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86" w:rsidRPr="00483448" w:rsidRDefault="00D21686" w:rsidP="00923A14">
      <w:pPr>
        <w:snapToGrid w:val="0"/>
        <w:spacing w:line="360" w:lineRule="auto"/>
        <w:jc w:val="both"/>
        <w:rPr>
          <w:rFonts w:ascii="Book Antiqua" w:hAnsi="Book Antiqua"/>
          <w:b/>
          <w:bCs/>
          <w:color w:val="000000"/>
        </w:rPr>
      </w:pPr>
      <w:bookmarkStart w:id="0" w:name="_Hlk10708186"/>
      <w:bookmarkStart w:id="1" w:name="_GoBack"/>
      <w:bookmarkEnd w:id="1"/>
      <w:r w:rsidRPr="00483448">
        <w:rPr>
          <w:rFonts w:ascii="Book Antiqua" w:hAnsi="Book Antiqua"/>
          <w:b/>
          <w:color w:val="000000"/>
        </w:rPr>
        <w:t xml:space="preserve">Name of Journal: </w:t>
      </w:r>
      <w:r w:rsidRPr="00483448">
        <w:rPr>
          <w:rFonts w:ascii="Book Antiqua" w:hAnsi="Book Antiqua"/>
          <w:b/>
          <w:bCs/>
          <w:i/>
          <w:color w:val="000000"/>
        </w:rPr>
        <w:t>World Journal of Gastrointestinal Oncology</w:t>
      </w:r>
    </w:p>
    <w:p w:rsidR="00D21686" w:rsidRPr="00483448" w:rsidRDefault="00D21686" w:rsidP="00923A14">
      <w:pPr>
        <w:adjustRightInd w:val="0"/>
        <w:snapToGrid w:val="0"/>
        <w:spacing w:line="360" w:lineRule="auto"/>
        <w:jc w:val="both"/>
        <w:rPr>
          <w:rFonts w:ascii="Book Antiqua" w:hAnsi="Book Antiqua" w:cs="Arial"/>
          <w:b/>
          <w:bCs/>
          <w:color w:val="000000"/>
        </w:rPr>
      </w:pPr>
      <w:r w:rsidRPr="00483448">
        <w:rPr>
          <w:rFonts w:ascii="Book Antiqua" w:hAnsi="Book Antiqua"/>
          <w:b/>
          <w:bCs/>
          <w:color w:val="000000"/>
        </w:rPr>
        <w:t>Manuscript NO</w:t>
      </w:r>
      <w:r w:rsidRPr="00483448">
        <w:rPr>
          <w:rFonts w:ascii="Book Antiqua" w:hAnsi="Book Antiqua" w:cs="Arial"/>
          <w:b/>
          <w:bCs/>
          <w:color w:val="000000"/>
        </w:rPr>
        <w:t>: 46287</w:t>
      </w:r>
    </w:p>
    <w:p w:rsidR="00D21686" w:rsidRPr="00483448" w:rsidRDefault="00D21686" w:rsidP="00923A14">
      <w:pPr>
        <w:snapToGrid w:val="0"/>
        <w:spacing w:line="360" w:lineRule="auto"/>
        <w:jc w:val="both"/>
        <w:rPr>
          <w:rFonts w:ascii="Book Antiqua" w:hAnsi="Book Antiqua"/>
          <w:b/>
          <w:bCs/>
          <w:color w:val="000000"/>
        </w:rPr>
      </w:pPr>
      <w:r w:rsidRPr="00483448">
        <w:rPr>
          <w:rFonts w:ascii="Book Antiqua" w:hAnsi="Book Antiqua"/>
          <w:b/>
          <w:bCs/>
          <w:color w:val="000000"/>
        </w:rPr>
        <w:t xml:space="preserve">Manuscript Type: </w:t>
      </w:r>
      <w:r w:rsidR="00353AF8" w:rsidRPr="00483448">
        <w:rPr>
          <w:rFonts w:ascii="Book Antiqua" w:hAnsi="Book Antiqua"/>
          <w:b/>
          <w:bCs/>
          <w:color w:val="000000"/>
        </w:rPr>
        <w:t>ORIGINAL ARTICLE</w:t>
      </w:r>
    </w:p>
    <w:p w:rsidR="00D21686" w:rsidRPr="00483448" w:rsidRDefault="00D21686" w:rsidP="0055232E">
      <w:pPr>
        <w:snapToGrid w:val="0"/>
        <w:spacing w:line="360" w:lineRule="auto"/>
        <w:jc w:val="both"/>
        <w:rPr>
          <w:rFonts w:ascii="Book Antiqua" w:hAnsi="Book Antiqua"/>
          <w:b/>
          <w:color w:val="000000"/>
        </w:rPr>
      </w:pPr>
    </w:p>
    <w:p w:rsidR="00C51411" w:rsidRPr="00483448" w:rsidRDefault="00D21686" w:rsidP="00E24139">
      <w:pPr>
        <w:snapToGrid w:val="0"/>
        <w:spacing w:line="360" w:lineRule="auto"/>
        <w:jc w:val="both"/>
        <w:rPr>
          <w:rFonts w:ascii="Book Antiqua" w:hAnsi="Book Antiqua"/>
          <w:b/>
          <w:bCs/>
          <w:i/>
          <w:iCs/>
          <w:color w:val="000000"/>
        </w:rPr>
      </w:pPr>
      <w:r w:rsidRPr="00483448">
        <w:rPr>
          <w:rFonts w:ascii="Book Antiqua" w:hAnsi="Book Antiqua"/>
          <w:b/>
          <w:bCs/>
          <w:i/>
          <w:iCs/>
          <w:color w:val="000000"/>
        </w:rPr>
        <w:t>Observational Study</w:t>
      </w:r>
      <w:bookmarkEnd w:id="0"/>
    </w:p>
    <w:p w:rsidR="00E721CF" w:rsidRPr="00483448" w:rsidRDefault="00EA4BFA" w:rsidP="004C5FED">
      <w:pPr>
        <w:pStyle w:val="1-2"/>
        <w:snapToGrid w:val="0"/>
        <w:spacing w:line="360" w:lineRule="auto"/>
        <w:jc w:val="both"/>
        <w:rPr>
          <w:rFonts w:ascii="Book Antiqua" w:hAnsi="Book Antiqua"/>
          <w:b/>
          <w:color w:val="000000"/>
        </w:rPr>
      </w:pPr>
      <w:r w:rsidRPr="00483448">
        <w:rPr>
          <w:rFonts w:ascii="Book Antiqua" w:hAnsi="Book Antiqua"/>
          <w:b/>
          <w:color w:val="000000"/>
        </w:rPr>
        <w:t>I</w:t>
      </w:r>
      <w:r w:rsidR="000654F9" w:rsidRPr="00483448">
        <w:rPr>
          <w:rFonts w:ascii="Book Antiqua" w:hAnsi="Book Antiqua"/>
          <w:b/>
          <w:color w:val="000000"/>
        </w:rPr>
        <w:t xml:space="preserve">mpact of </w:t>
      </w:r>
      <w:r w:rsidR="00E67683" w:rsidRPr="00483448">
        <w:rPr>
          <w:rFonts w:ascii="Book Antiqua" w:hAnsi="Book Antiqua"/>
          <w:b/>
          <w:color w:val="000000"/>
        </w:rPr>
        <w:t>regular enteral fee</w:t>
      </w:r>
      <w:r w:rsidRPr="00483448">
        <w:rPr>
          <w:rFonts w:ascii="Book Antiqua" w:hAnsi="Book Antiqua"/>
          <w:b/>
          <w:color w:val="000000"/>
        </w:rPr>
        <w:t xml:space="preserve">ding </w:t>
      </w:r>
      <w:r w:rsidR="00A33C79" w:rsidRPr="00483448">
        <w:rPr>
          <w:rFonts w:ascii="Book Antiqua" w:hAnsi="Book Antiqua"/>
          <w:b/>
          <w:i/>
          <w:iCs/>
          <w:color w:val="000000"/>
        </w:rPr>
        <w:t>via</w:t>
      </w:r>
      <w:r w:rsidRPr="00483448">
        <w:rPr>
          <w:rFonts w:ascii="Book Antiqua" w:hAnsi="Book Antiqua"/>
          <w:b/>
          <w:color w:val="000000"/>
        </w:rPr>
        <w:t xml:space="preserve"> jejunostomy during neo-</w:t>
      </w:r>
      <w:r w:rsidR="00E67683" w:rsidRPr="00483448">
        <w:rPr>
          <w:rFonts w:ascii="Book Antiqua" w:hAnsi="Book Antiqua"/>
          <w:b/>
          <w:color w:val="000000"/>
        </w:rPr>
        <w:t>adjuvant chemotherapy on body composition in patients with o</w:t>
      </w:r>
      <w:r w:rsidR="00E721CF" w:rsidRPr="00483448">
        <w:rPr>
          <w:rFonts w:ascii="Book Antiqua" w:hAnsi="Book Antiqua"/>
          <w:b/>
          <w:color w:val="000000"/>
        </w:rPr>
        <w:t xml:space="preserve">esophageal </w:t>
      </w:r>
      <w:r w:rsidR="00E67683" w:rsidRPr="00483448">
        <w:rPr>
          <w:rFonts w:ascii="Book Antiqua" w:hAnsi="Book Antiqua"/>
          <w:b/>
          <w:color w:val="000000"/>
        </w:rPr>
        <w:t>c</w:t>
      </w:r>
      <w:r w:rsidR="00E721CF" w:rsidRPr="00483448">
        <w:rPr>
          <w:rFonts w:ascii="Book Antiqua" w:hAnsi="Book Antiqua"/>
          <w:b/>
          <w:color w:val="000000"/>
        </w:rPr>
        <w:t>ancer</w:t>
      </w:r>
    </w:p>
    <w:p w:rsidR="00AD0CD6" w:rsidRPr="00483448" w:rsidRDefault="00AD0CD6" w:rsidP="004C5FED">
      <w:pPr>
        <w:pStyle w:val="1-2"/>
        <w:snapToGrid w:val="0"/>
        <w:spacing w:line="360" w:lineRule="auto"/>
        <w:jc w:val="both"/>
        <w:rPr>
          <w:rFonts w:ascii="Book Antiqua" w:hAnsi="Book Antiqua"/>
          <w:b/>
          <w:color w:val="000000"/>
        </w:rPr>
      </w:pPr>
    </w:p>
    <w:p w:rsidR="00AD0CD6" w:rsidRPr="00483448" w:rsidRDefault="00A33C79" w:rsidP="004C5FED">
      <w:pPr>
        <w:pStyle w:val="BodyA"/>
        <w:snapToGrid w:val="0"/>
        <w:spacing w:line="360" w:lineRule="auto"/>
        <w:jc w:val="both"/>
        <w:rPr>
          <w:rFonts w:ascii="Book Antiqua" w:eastAsia="宋体" w:hAnsi="Book Antiqua" w:cs="Book Antiqua"/>
          <w:bCs/>
          <w:sz w:val="24"/>
          <w:szCs w:val="24"/>
          <w:lang w:val="en-GB" w:eastAsia="zh-CN"/>
        </w:rPr>
      </w:pPr>
      <w:r w:rsidRPr="00483448">
        <w:rPr>
          <w:rFonts w:ascii="Book Antiqua" w:hAnsi="Book Antiqua"/>
          <w:sz w:val="24"/>
          <w:szCs w:val="24"/>
          <w:lang w:val="en-GB"/>
        </w:rPr>
        <w:t>Mohamed</w:t>
      </w:r>
      <w:r w:rsidRPr="00483448">
        <w:rPr>
          <w:rFonts w:ascii="Book Antiqua" w:eastAsia="宋体" w:hAnsi="Book Antiqua" w:cs="Book Antiqua"/>
          <w:bCs/>
          <w:sz w:val="24"/>
          <w:szCs w:val="24"/>
          <w:lang w:val="en-GB" w:eastAsia="zh-CN"/>
        </w:rPr>
        <w:t xml:space="preserve"> I</w:t>
      </w:r>
      <w:r w:rsidR="00B96B74" w:rsidRPr="00483448">
        <w:rPr>
          <w:rFonts w:ascii="Book Antiqua" w:eastAsia="宋体" w:hAnsi="Book Antiqua" w:cs="Book Antiqua"/>
          <w:bCs/>
          <w:sz w:val="24"/>
          <w:szCs w:val="24"/>
          <w:lang w:val="en-GB" w:eastAsia="zh-CN"/>
        </w:rPr>
        <w:t>M</w:t>
      </w:r>
      <w:r w:rsidRPr="00483448">
        <w:rPr>
          <w:rFonts w:ascii="Book Antiqua" w:eastAsia="宋体" w:hAnsi="Book Antiqua" w:cs="Book Antiqua"/>
          <w:bCs/>
          <w:sz w:val="24"/>
          <w:szCs w:val="24"/>
          <w:lang w:val="en-GB" w:eastAsia="zh-CN"/>
        </w:rPr>
        <w:t xml:space="preserve"> </w:t>
      </w:r>
      <w:r w:rsidRPr="00483448">
        <w:rPr>
          <w:rFonts w:ascii="Book Antiqua" w:eastAsia="宋体" w:hAnsi="Book Antiqua" w:cs="Book Antiqua"/>
          <w:bCs/>
          <w:i/>
          <w:iCs/>
          <w:sz w:val="24"/>
          <w:szCs w:val="24"/>
          <w:lang w:val="en-GB" w:eastAsia="zh-CN"/>
        </w:rPr>
        <w:t>et al</w:t>
      </w:r>
      <w:r w:rsidRPr="00483448">
        <w:rPr>
          <w:rFonts w:ascii="Book Antiqua" w:eastAsia="宋体" w:hAnsi="Book Antiqua" w:cs="Book Antiqua"/>
          <w:bCs/>
          <w:sz w:val="24"/>
          <w:szCs w:val="24"/>
          <w:lang w:val="en-GB" w:eastAsia="zh-CN"/>
        </w:rPr>
        <w:t xml:space="preserve">. </w:t>
      </w:r>
      <w:r w:rsidR="00EA4BFA" w:rsidRPr="00483448">
        <w:rPr>
          <w:rFonts w:ascii="Book Antiqua" w:eastAsia="宋体" w:hAnsi="Book Antiqua" w:cs="Book Antiqua"/>
          <w:bCs/>
          <w:sz w:val="24"/>
          <w:szCs w:val="24"/>
          <w:lang w:val="en-GB" w:eastAsia="zh-CN"/>
        </w:rPr>
        <w:t xml:space="preserve">Enteral feeding during neo-adjuvant chemotherapy </w:t>
      </w:r>
    </w:p>
    <w:p w:rsidR="00AD0CD6" w:rsidRPr="00483448" w:rsidRDefault="00AD0CD6" w:rsidP="004C5FED">
      <w:pPr>
        <w:pStyle w:val="1-2"/>
        <w:snapToGrid w:val="0"/>
        <w:spacing w:line="360" w:lineRule="auto"/>
        <w:jc w:val="both"/>
        <w:rPr>
          <w:rFonts w:ascii="Book Antiqua" w:hAnsi="Book Antiqua"/>
          <w:color w:val="000000"/>
        </w:rPr>
      </w:pPr>
    </w:p>
    <w:p w:rsidR="0042187C" w:rsidRPr="00483448" w:rsidRDefault="0042187C" w:rsidP="004C5FED">
      <w:pPr>
        <w:pStyle w:val="1-2"/>
        <w:snapToGrid w:val="0"/>
        <w:spacing w:line="360" w:lineRule="auto"/>
        <w:jc w:val="both"/>
        <w:rPr>
          <w:rFonts w:ascii="Book Antiqua" w:hAnsi="Book Antiqua"/>
          <w:b/>
          <w:bCs/>
          <w:color w:val="000000"/>
        </w:rPr>
      </w:pPr>
      <w:r w:rsidRPr="00483448">
        <w:rPr>
          <w:rFonts w:ascii="Book Antiqua" w:hAnsi="Book Antiqua"/>
          <w:b/>
          <w:bCs/>
          <w:color w:val="000000"/>
        </w:rPr>
        <w:t xml:space="preserve">Imran </w:t>
      </w:r>
      <w:r w:rsidR="002B42A4" w:rsidRPr="00483448">
        <w:rPr>
          <w:rFonts w:ascii="Book Antiqua" w:hAnsi="Book Antiqua"/>
          <w:b/>
          <w:bCs/>
          <w:color w:val="000000"/>
        </w:rPr>
        <w:t xml:space="preserve">M </w:t>
      </w:r>
      <w:r w:rsidRPr="00483448">
        <w:rPr>
          <w:rFonts w:ascii="Book Antiqua" w:hAnsi="Book Antiqua"/>
          <w:b/>
          <w:bCs/>
          <w:color w:val="000000"/>
        </w:rPr>
        <w:t>Mohamed, John Whiting, Benjamin HL Tan</w:t>
      </w:r>
    </w:p>
    <w:p w:rsidR="0042187C" w:rsidRPr="00483448" w:rsidRDefault="0042187C" w:rsidP="004C5FED">
      <w:pPr>
        <w:pStyle w:val="1-2"/>
        <w:snapToGrid w:val="0"/>
        <w:spacing w:line="360" w:lineRule="auto"/>
        <w:jc w:val="both"/>
        <w:rPr>
          <w:rFonts w:ascii="Book Antiqua" w:hAnsi="Book Antiqua"/>
          <w:color w:val="000000"/>
          <w:vertAlign w:val="superscript"/>
        </w:rPr>
      </w:pPr>
    </w:p>
    <w:p w:rsidR="00FC342C" w:rsidRPr="00483448" w:rsidRDefault="00540DC6" w:rsidP="004C5FED">
      <w:pPr>
        <w:pStyle w:val="1-2"/>
        <w:snapToGrid w:val="0"/>
        <w:spacing w:line="360" w:lineRule="auto"/>
        <w:jc w:val="both"/>
        <w:rPr>
          <w:rFonts w:ascii="Book Antiqua" w:hAnsi="Book Antiqua"/>
          <w:color w:val="000000"/>
          <w:vertAlign w:val="superscript"/>
        </w:rPr>
      </w:pPr>
      <w:r w:rsidRPr="00483448">
        <w:rPr>
          <w:rFonts w:ascii="Book Antiqua" w:hAnsi="Book Antiqua"/>
          <w:b/>
          <w:bCs/>
          <w:color w:val="000000"/>
        </w:rPr>
        <w:t xml:space="preserve">Imran </w:t>
      </w:r>
      <w:r w:rsidR="004E28CC" w:rsidRPr="00483448">
        <w:rPr>
          <w:rFonts w:ascii="Book Antiqua" w:hAnsi="Book Antiqua"/>
          <w:b/>
          <w:bCs/>
          <w:color w:val="000000"/>
        </w:rPr>
        <w:t xml:space="preserve">M </w:t>
      </w:r>
      <w:r w:rsidRPr="00483448">
        <w:rPr>
          <w:rFonts w:ascii="Book Antiqua" w:hAnsi="Book Antiqua"/>
          <w:b/>
          <w:bCs/>
          <w:color w:val="000000"/>
        </w:rPr>
        <w:t>Mohamed, John Whiting, Benjamin</w:t>
      </w:r>
      <w:r w:rsidR="00EA4BFA" w:rsidRPr="00483448">
        <w:rPr>
          <w:rFonts w:ascii="Book Antiqua" w:hAnsi="Book Antiqua"/>
          <w:b/>
          <w:bCs/>
          <w:color w:val="000000"/>
        </w:rPr>
        <w:t xml:space="preserve"> HL</w:t>
      </w:r>
      <w:r w:rsidRPr="00483448">
        <w:rPr>
          <w:rFonts w:ascii="Book Antiqua" w:hAnsi="Book Antiqua"/>
          <w:b/>
          <w:bCs/>
          <w:color w:val="000000"/>
        </w:rPr>
        <w:t xml:space="preserve"> Tan, </w:t>
      </w:r>
      <w:r w:rsidR="005E51A5" w:rsidRPr="00483448">
        <w:rPr>
          <w:rFonts w:ascii="Book Antiqua" w:hAnsi="Book Antiqua"/>
          <w:color w:val="000000"/>
        </w:rPr>
        <w:t>Department of Upper Gastrointestinal Surgery, Queen Elizabeth Hospital, Birmingham</w:t>
      </w:r>
      <w:r w:rsidRPr="00483448">
        <w:rPr>
          <w:rFonts w:ascii="Book Antiqua" w:hAnsi="Book Antiqua"/>
          <w:color w:val="000000"/>
        </w:rPr>
        <w:t xml:space="preserve"> B15 2TH</w:t>
      </w:r>
      <w:r w:rsidR="005E51A5" w:rsidRPr="00483448">
        <w:rPr>
          <w:rFonts w:ascii="Book Antiqua" w:hAnsi="Book Antiqua"/>
          <w:color w:val="000000"/>
        </w:rPr>
        <w:t>, United Kingdom</w:t>
      </w:r>
    </w:p>
    <w:p w:rsidR="005E51A5" w:rsidRPr="00483448" w:rsidRDefault="005E51A5" w:rsidP="004C5FED">
      <w:pPr>
        <w:pStyle w:val="1-2"/>
        <w:snapToGrid w:val="0"/>
        <w:spacing w:line="360" w:lineRule="auto"/>
        <w:jc w:val="both"/>
        <w:rPr>
          <w:rFonts w:ascii="Book Antiqua" w:hAnsi="Book Antiqua"/>
          <w:color w:val="000000"/>
        </w:rPr>
      </w:pPr>
    </w:p>
    <w:p w:rsidR="004423FE" w:rsidRPr="00483448" w:rsidRDefault="004423FE" w:rsidP="004C5FED">
      <w:pPr>
        <w:snapToGrid w:val="0"/>
        <w:spacing w:line="360" w:lineRule="auto"/>
        <w:jc w:val="both"/>
        <w:rPr>
          <w:rFonts w:ascii="Book Antiqua" w:hAnsi="Book Antiqua"/>
          <w:color w:val="000000"/>
        </w:rPr>
      </w:pPr>
      <w:r w:rsidRPr="00483448">
        <w:rPr>
          <w:rFonts w:ascii="Book Antiqua" w:hAnsi="Book Antiqua"/>
          <w:b/>
          <w:color w:val="000000"/>
        </w:rPr>
        <w:t xml:space="preserve">ORCID </w:t>
      </w:r>
      <w:r w:rsidR="00AD0CD6" w:rsidRPr="00483448">
        <w:rPr>
          <w:rFonts w:ascii="Book Antiqua" w:hAnsi="Book Antiqua"/>
          <w:b/>
          <w:color w:val="000000"/>
        </w:rPr>
        <w:t>n</w:t>
      </w:r>
      <w:r w:rsidRPr="00483448">
        <w:rPr>
          <w:rFonts w:ascii="Book Antiqua" w:hAnsi="Book Antiqua"/>
          <w:b/>
          <w:color w:val="000000"/>
        </w:rPr>
        <w:t>umber:</w:t>
      </w:r>
      <w:r w:rsidRPr="00483448">
        <w:rPr>
          <w:rFonts w:ascii="Book Antiqua" w:hAnsi="Book Antiqua"/>
          <w:color w:val="000000"/>
        </w:rPr>
        <w:t xml:space="preserve"> Imran Mohamed (0000-0003-3831-8594); John Whiting </w:t>
      </w:r>
      <w:r w:rsidR="005804B8" w:rsidRPr="00483448">
        <w:rPr>
          <w:rFonts w:ascii="Book Antiqua" w:hAnsi="Book Antiqua"/>
          <w:color w:val="000000"/>
        </w:rPr>
        <w:t>(</w:t>
      </w:r>
      <w:r w:rsidR="005804B8" w:rsidRPr="00483448">
        <w:rPr>
          <w:rFonts w:ascii="Book Antiqua" w:hAnsi="Book Antiqua"/>
          <w:color w:val="000000"/>
          <w:shd w:val="clear" w:color="auto" w:fill="FFFFFF"/>
        </w:rPr>
        <w:t>0000-0001-5432-9838</w:t>
      </w:r>
      <w:r w:rsidRPr="00483448">
        <w:rPr>
          <w:rFonts w:ascii="Book Antiqua" w:hAnsi="Book Antiqua"/>
          <w:color w:val="000000"/>
        </w:rPr>
        <w:t>); Benjamin Tan (0000-0002-4593-8719)</w:t>
      </w:r>
      <w:r w:rsidR="00B52122" w:rsidRPr="00483448">
        <w:rPr>
          <w:rFonts w:ascii="Book Antiqua" w:hAnsi="Book Antiqua"/>
          <w:color w:val="000000"/>
        </w:rPr>
        <w:t>.</w:t>
      </w:r>
    </w:p>
    <w:p w:rsidR="00B52122" w:rsidRPr="00483448" w:rsidRDefault="00B52122" w:rsidP="004C5FED">
      <w:pPr>
        <w:snapToGrid w:val="0"/>
        <w:spacing w:line="360" w:lineRule="auto"/>
        <w:jc w:val="both"/>
        <w:rPr>
          <w:rFonts w:ascii="Book Antiqua" w:hAnsi="Book Antiqua"/>
          <w:color w:val="000000"/>
        </w:rPr>
      </w:pPr>
    </w:p>
    <w:p w:rsidR="00C87B67" w:rsidRPr="00483448" w:rsidRDefault="00D44629" w:rsidP="004C5FED">
      <w:pPr>
        <w:snapToGrid w:val="0"/>
        <w:spacing w:line="360" w:lineRule="auto"/>
        <w:jc w:val="both"/>
        <w:rPr>
          <w:rFonts w:ascii="Book Antiqua" w:hAnsi="Book Antiqua"/>
          <w:b/>
          <w:color w:val="000000"/>
        </w:rPr>
      </w:pPr>
      <w:r w:rsidRPr="00483448">
        <w:rPr>
          <w:rFonts w:ascii="Book Antiqua" w:hAnsi="Book Antiqua"/>
          <w:b/>
          <w:color w:val="000000"/>
        </w:rPr>
        <w:t>Author contributions:</w:t>
      </w:r>
      <w:r w:rsidR="00B52122" w:rsidRPr="00483448">
        <w:rPr>
          <w:rFonts w:ascii="Book Antiqua" w:hAnsi="Book Antiqua"/>
          <w:b/>
          <w:color w:val="000000"/>
        </w:rPr>
        <w:t xml:space="preserve"> </w:t>
      </w:r>
      <w:r w:rsidR="00AC737F" w:rsidRPr="00483448">
        <w:rPr>
          <w:rFonts w:ascii="Book Antiqua" w:hAnsi="Book Antiqua"/>
          <w:bCs/>
          <w:color w:val="000000"/>
        </w:rPr>
        <w:t>Mohamed I</w:t>
      </w:r>
      <w:r w:rsidR="004E28CC" w:rsidRPr="00483448">
        <w:rPr>
          <w:rFonts w:ascii="Book Antiqua" w:hAnsi="Book Antiqua"/>
          <w:bCs/>
          <w:color w:val="000000"/>
        </w:rPr>
        <w:t>M</w:t>
      </w:r>
      <w:r w:rsidR="00AC737F" w:rsidRPr="00483448">
        <w:rPr>
          <w:rFonts w:ascii="Book Antiqua" w:hAnsi="Book Antiqua"/>
          <w:bCs/>
          <w:color w:val="000000"/>
        </w:rPr>
        <w:t>, Whiting J</w:t>
      </w:r>
      <w:r w:rsidR="00A33C79" w:rsidRPr="00483448">
        <w:rPr>
          <w:rFonts w:ascii="Book Antiqua" w:hAnsi="Book Antiqua"/>
          <w:bCs/>
          <w:color w:val="000000"/>
        </w:rPr>
        <w:t xml:space="preserve"> and </w:t>
      </w:r>
      <w:r w:rsidR="00AC737F" w:rsidRPr="00483448">
        <w:rPr>
          <w:rFonts w:ascii="Book Antiqua" w:hAnsi="Book Antiqua"/>
          <w:bCs/>
          <w:color w:val="000000"/>
        </w:rPr>
        <w:t>Tan B</w:t>
      </w:r>
      <w:r w:rsidR="00EA4BFA" w:rsidRPr="00483448">
        <w:rPr>
          <w:rFonts w:ascii="Book Antiqua" w:hAnsi="Book Antiqua"/>
          <w:bCs/>
          <w:color w:val="000000"/>
        </w:rPr>
        <w:t>H</w:t>
      </w:r>
      <w:r w:rsidR="00A33C79" w:rsidRPr="00483448">
        <w:rPr>
          <w:rFonts w:ascii="Book Antiqua" w:hAnsi="Book Antiqua"/>
          <w:bCs/>
          <w:color w:val="000000"/>
        </w:rPr>
        <w:t>L</w:t>
      </w:r>
      <w:r w:rsidR="00B52122" w:rsidRPr="00483448">
        <w:rPr>
          <w:rFonts w:ascii="Book Antiqua" w:hAnsi="Book Antiqua"/>
          <w:color w:val="000000"/>
        </w:rPr>
        <w:t xml:space="preserve"> contributed to the completion of the manuscript</w:t>
      </w:r>
      <w:r w:rsidR="00A33C79" w:rsidRPr="00483448">
        <w:rPr>
          <w:rFonts w:ascii="Book Antiqua" w:hAnsi="Book Antiqua"/>
          <w:color w:val="000000"/>
        </w:rPr>
        <w:t>;</w:t>
      </w:r>
      <w:r w:rsidR="00B52122" w:rsidRPr="00483448">
        <w:rPr>
          <w:rFonts w:ascii="Book Antiqua" w:hAnsi="Book Antiqua"/>
          <w:color w:val="000000"/>
        </w:rPr>
        <w:t xml:space="preserve"> </w:t>
      </w:r>
      <w:r w:rsidR="00AC737F" w:rsidRPr="00483448">
        <w:rPr>
          <w:rFonts w:ascii="Book Antiqua" w:hAnsi="Book Antiqua"/>
          <w:color w:val="000000"/>
        </w:rPr>
        <w:t>Mohamed I</w:t>
      </w:r>
      <w:r w:rsidR="004E28CC" w:rsidRPr="00483448">
        <w:rPr>
          <w:rFonts w:ascii="Book Antiqua" w:hAnsi="Book Antiqua"/>
          <w:color w:val="000000"/>
        </w:rPr>
        <w:t>M</w:t>
      </w:r>
      <w:r w:rsidR="00A33C79" w:rsidRPr="00483448">
        <w:rPr>
          <w:rFonts w:ascii="Book Antiqua" w:hAnsi="Book Antiqua"/>
          <w:color w:val="000000"/>
        </w:rPr>
        <w:t xml:space="preserve"> contributed to </w:t>
      </w:r>
      <w:r w:rsidR="00B52122" w:rsidRPr="00483448">
        <w:rPr>
          <w:rFonts w:ascii="Book Antiqua" w:hAnsi="Book Antiqua"/>
          <w:color w:val="000000"/>
        </w:rPr>
        <w:t>manuscript writing</w:t>
      </w:r>
      <w:r w:rsidR="00C2254F" w:rsidRPr="00483448">
        <w:rPr>
          <w:rFonts w:ascii="Book Antiqua" w:hAnsi="Book Antiqua"/>
          <w:color w:val="000000"/>
        </w:rPr>
        <w:t xml:space="preserve"> and</w:t>
      </w:r>
      <w:r w:rsidR="00B52122" w:rsidRPr="00483448">
        <w:rPr>
          <w:rFonts w:ascii="Book Antiqua" w:hAnsi="Book Antiqua"/>
          <w:color w:val="000000"/>
        </w:rPr>
        <w:t xml:space="preserve"> data analysis</w:t>
      </w:r>
      <w:r w:rsidR="00A33C79" w:rsidRPr="00483448">
        <w:rPr>
          <w:rFonts w:ascii="Book Antiqua" w:hAnsi="Book Antiqua"/>
          <w:color w:val="000000"/>
        </w:rPr>
        <w:t xml:space="preserve">; </w:t>
      </w:r>
      <w:r w:rsidR="00AC737F" w:rsidRPr="00483448">
        <w:rPr>
          <w:rFonts w:ascii="Book Antiqua" w:hAnsi="Book Antiqua"/>
          <w:color w:val="000000"/>
        </w:rPr>
        <w:t>Whiting J</w:t>
      </w:r>
      <w:r w:rsidR="00A33C79" w:rsidRPr="00483448">
        <w:rPr>
          <w:rFonts w:ascii="Book Antiqua" w:hAnsi="Book Antiqua"/>
          <w:color w:val="000000"/>
        </w:rPr>
        <w:t xml:space="preserve"> contributed to </w:t>
      </w:r>
      <w:r w:rsidR="00B52122" w:rsidRPr="00483448">
        <w:rPr>
          <w:rFonts w:ascii="Book Antiqua" w:hAnsi="Book Antiqua"/>
          <w:color w:val="000000"/>
        </w:rPr>
        <w:t>manuscript writing and review</w:t>
      </w:r>
      <w:r w:rsidR="00A33C79" w:rsidRPr="00483448">
        <w:rPr>
          <w:rFonts w:ascii="Book Antiqua" w:hAnsi="Book Antiqua"/>
          <w:color w:val="000000"/>
        </w:rPr>
        <w:t xml:space="preserve">; </w:t>
      </w:r>
      <w:r w:rsidR="00AC737F" w:rsidRPr="00483448">
        <w:rPr>
          <w:rFonts w:ascii="Book Antiqua" w:hAnsi="Book Antiqua"/>
          <w:color w:val="000000"/>
        </w:rPr>
        <w:t>Tan B</w:t>
      </w:r>
      <w:r w:rsidR="00EA4BFA" w:rsidRPr="00483448">
        <w:rPr>
          <w:rFonts w:ascii="Book Antiqua" w:hAnsi="Book Antiqua"/>
          <w:color w:val="000000"/>
        </w:rPr>
        <w:t>H</w:t>
      </w:r>
      <w:r w:rsidR="00A33C79" w:rsidRPr="00483448">
        <w:rPr>
          <w:rFonts w:ascii="Book Antiqua" w:hAnsi="Book Antiqua"/>
          <w:color w:val="000000"/>
        </w:rPr>
        <w:t>L contributed to</w:t>
      </w:r>
      <w:r w:rsidR="00B52122" w:rsidRPr="00483448">
        <w:rPr>
          <w:rFonts w:ascii="Book Antiqua" w:hAnsi="Book Antiqua"/>
          <w:color w:val="000000"/>
        </w:rPr>
        <w:t xml:space="preserve"> conception and design, manuscript writing, data analysis and review</w:t>
      </w:r>
      <w:r w:rsidR="00A33C79" w:rsidRPr="00483448">
        <w:rPr>
          <w:rFonts w:ascii="Book Antiqua" w:hAnsi="Book Antiqua"/>
          <w:color w:val="000000"/>
        </w:rPr>
        <w:t xml:space="preserve">; </w:t>
      </w:r>
      <w:r w:rsidR="00EA4BFA" w:rsidRPr="00483448">
        <w:rPr>
          <w:rFonts w:ascii="Book Antiqua" w:hAnsi="Book Antiqua"/>
          <w:color w:val="000000"/>
        </w:rPr>
        <w:t>All authors have read and approve</w:t>
      </w:r>
      <w:r w:rsidR="00C2254F" w:rsidRPr="00483448">
        <w:rPr>
          <w:rFonts w:ascii="Book Antiqua" w:hAnsi="Book Antiqua"/>
          <w:color w:val="000000"/>
        </w:rPr>
        <w:t>d</w:t>
      </w:r>
      <w:r w:rsidR="00EA4BFA" w:rsidRPr="00483448">
        <w:rPr>
          <w:rFonts w:ascii="Book Antiqua" w:hAnsi="Book Antiqua"/>
          <w:color w:val="000000"/>
        </w:rPr>
        <w:t xml:space="preserve"> the final manuscript.</w:t>
      </w:r>
    </w:p>
    <w:p w:rsidR="00EA4BFA" w:rsidRPr="00483448" w:rsidRDefault="00EA4BFA" w:rsidP="004C5FED">
      <w:pPr>
        <w:snapToGrid w:val="0"/>
        <w:spacing w:line="360" w:lineRule="auto"/>
        <w:jc w:val="both"/>
        <w:rPr>
          <w:rFonts w:ascii="Book Antiqua" w:hAnsi="Book Antiqua"/>
          <w:color w:val="000000"/>
        </w:rPr>
      </w:pPr>
    </w:p>
    <w:p w:rsidR="00C87B67" w:rsidRPr="00483448" w:rsidRDefault="00C87B67" w:rsidP="004C5FED">
      <w:pPr>
        <w:pStyle w:val="ad"/>
        <w:shd w:val="clear" w:color="auto" w:fill="FFFFFF"/>
        <w:snapToGrid w:val="0"/>
        <w:spacing w:before="0" w:beforeAutospacing="0" w:after="0" w:afterAutospacing="0" w:line="360" w:lineRule="auto"/>
        <w:jc w:val="both"/>
        <w:rPr>
          <w:rFonts w:ascii="Book Antiqua" w:hAnsi="Book Antiqua"/>
          <w:color w:val="000000"/>
        </w:rPr>
      </w:pPr>
      <w:r w:rsidRPr="00483448">
        <w:rPr>
          <w:rFonts w:ascii="Book Antiqua" w:hAnsi="Book Antiqua"/>
          <w:b/>
          <w:color w:val="000000"/>
        </w:rPr>
        <w:t>Informed consent statement:</w:t>
      </w:r>
      <w:r w:rsidRPr="00483448">
        <w:rPr>
          <w:rFonts w:ascii="Book Antiqua" w:hAnsi="Book Antiqua"/>
          <w:color w:val="000000"/>
        </w:rPr>
        <w:t xml:space="preserve"> Patients were not required to give informed consent to the study because the analysis used anonymous clinical data that were obtained after each patient agreed to treatment by written consent. </w:t>
      </w:r>
    </w:p>
    <w:p w:rsidR="00D44629" w:rsidRPr="00483448" w:rsidRDefault="00D44629" w:rsidP="004C5FED">
      <w:pPr>
        <w:pStyle w:val="ad"/>
        <w:shd w:val="clear" w:color="auto" w:fill="FFFFFF"/>
        <w:snapToGrid w:val="0"/>
        <w:spacing w:before="0" w:beforeAutospacing="0" w:after="0" w:afterAutospacing="0" w:line="360" w:lineRule="auto"/>
        <w:jc w:val="both"/>
        <w:rPr>
          <w:rFonts w:ascii="Book Antiqua" w:hAnsi="Book Antiqua"/>
          <w:color w:val="000000"/>
        </w:rPr>
      </w:pPr>
    </w:p>
    <w:p w:rsidR="00C87B67" w:rsidRPr="00483448" w:rsidRDefault="00C87B67" w:rsidP="004C5FED">
      <w:pPr>
        <w:pStyle w:val="ad"/>
        <w:shd w:val="clear" w:color="auto" w:fill="FFFFFF"/>
        <w:snapToGrid w:val="0"/>
        <w:spacing w:before="0" w:beforeAutospacing="0" w:after="0" w:afterAutospacing="0" w:line="360" w:lineRule="auto"/>
        <w:jc w:val="both"/>
        <w:rPr>
          <w:rFonts w:ascii="Book Antiqua" w:hAnsi="Book Antiqua"/>
          <w:color w:val="000000"/>
        </w:rPr>
      </w:pPr>
      <w:r w:rsidRPr="00483448">
        <w:rPr>
          <w:rFonts w:ascii="Book Antiqua" w:hAnsi="Book Antiqua"/>
          <w:b/>
          <w:color w:val="000000"/>
        </w:rPr>
        <w:t>Conflict-of-interest statement:</w:t>
      </w:r>
      <w:r w:rsidRPr="00483448">
        <w:rPr>
          <w:rFonts w:ascii="Book Antiqua" w:hAnsi="Book Antiqua"/>
          <w:color w:val="000000"/>
        </w:rPr>
        <w:t xml:space="preserve"> All authors declare no conflicts-of-interest related to this article. </w:t>
      </w:r>
    </w:p>
    <w:p w:rsidR="00D44629" w:rsidRPr="00483448" w:rsidRDefault="00D44629" w:rsidP="004C5FED">
      <w:pPr>
        <w:pStyle w:val="ad"/>
        <w:shd w:val="clear" w:color="auto" w:fill="FFFFFF"/>
        <w:snapToGrid w:val="0"/>
        <w:spacing w:before="0" w:beforeAutospacing="0" w:after="0" w:afterAutospacing="0" w:line="360" w:lineRule="auto"/>
        <w:jc w:val="both"/>
        <w:rPr>
          <w:rFonts w:ascii="Book Antiqua" w:hAnsi="Book Antiqua"/>
          <w:color w:val="000000"/>
        </w:rPr>
      </w:pPr>
    </w:p>
    <w:p w:rsidR="004423FE" w:rsidRPr="00483448" w:rsidRDefault="00C87B67" w:rsidP="004C5FED">
      <w:pPr>
        <w:pStyle w:val="ad"/>
        <w:shd w:val="clear" w:color="auto" w:fill="FFFFFF"/>
        <w:snapToGrid w:val="0"/>
        <w:spacing w:before="0" w:beforeAutospacing="0" w:after="0" w:afterAutospacing="0" w:line="360" w:lineRule="auto"/>
        <w:jc w:val="both"/>
        <w:rPr>
          <w:rFonts w:ascii="Book Antiqua" w:hAnsi="Book Antiqua"/>
          <w:color w:val="000000"/>
        </w:rPr>
      </w:pPr>
      <w:r w:rsidRPr="00483448">
        <w:rPr>
          <w:rFonts w:ascii="Book Antiqua" w:hAnsi="Book Antiqua"/>
          <w:b/>
          <w:color w:val="000000"/>
        </w:rPr>
        <w:t>Data sharing statement:</w:t>
      </w:r>
      <w:r w:rsidRPr="00483448">
        <w:rPr>
          <w:rFonts w:ascii="Book Antiqua" w:hAnsi="Book Antiqua"/>
          <w:color w:val="000000"/>
        </w:rPr>
        <w:t xml:space="preserve"> No additional data are available. </w:t>
      </w:r>
    </w:p>
    <w:p w:rsidR="00D44629" w:rsidRPr="00483448" w:rsidRDefault="00D44629" w:rsidP="004C5FED">
      <w:pPr>
        <w:pStyle w:val="ad"/>
        <w:shd w:val="clear" w:color="auto" w:fill="FFFFFF"/>
        <w:snapToGrid w:val="0"/>
        <w:spacing w:before="0" w:beforeAutospacing="0" w:after="0" w:afterAutospacing="0" w:line="360" w:lineRule="auto"/>
        <w:jc w:val="both"/>
        <w:rPr>
          <w:rFonts w:ascii="Book Antiqua" w:hAnsi="Book Antiqua"/>
          <w:color w:val="000000"/>
        </w:rPr>
      </w:pPr>
    </w:p>
    <w:p w:rsidR="00A33C79" w:rsidRPr="00483448" w:rsidRDefault="00A33C79" w:rsidP="004C5FED">
      <w:pPr>
        <w:snapToGrid w:val="0"/>
        <w:spacing w:line="360" w:lineRule="auto"/>
        <w:jc w:val="both"/>
        <w:rPr>
          <w:rFonts w:ascii="Book Antiqua" w:hAnsi="Book Antiqua"/>
          <w:color w:val="000000"/>
        </w:rPr>
      </w:pPr>
      <w:bookmarkStart w:id="2" w:name="OLE_LINK507"/>
      <w:bookmarkStart w:id="3" w:name="OLE_LINK506"/>
      <w:bookmarkStart w:id="4" w:name="OLE_LINK496"/>
      <w:bookmarkStart w:id="5" w:name="OLE_LINK479"/>
      <w:r w:rsidRPr="00483448">
        <w:rPr>
          <w:rFonts w:ascii="Book Antiqua" w:hAnsi="Book Antiqua"/>
          <w:b/>
          <w:color w:val="000000"/>
        </w:rPr>
        <w:t xml:space="preserve">Open-Access: </w:t>
      </w:r>
      <w:r w:rsidRPr="00483448">
        <w:rPr>
          <w:rFonts w:ascii="Book Antiqua" w:hAnsi="Book Antiqua"/>
          <w:color w:val="000000"/>
        </w:rPr>
        <w:t xml:space="preserve">This article is an open-access article </w:t>
      </w:r>
      <w:r w:rsidR="00C2254F" w:rsidRPr="00483448">
        <w:rPr>
          <w:rFonts w:ascii="Book Antiqua" w:hAnsi="Book Antiqua"/>
          <w:color w:val="000000"/>
        </w:rPr>
        <w:t xml:space="preserve">that </w:t>
      </w:r>
      <w:r w:rsidRPr="00483448">
        <w:rPr>
          <w:rFonts w:ascii="Book Antiqua" w:hAnsi="Book Antiqua"/>
          <w:color w:val="000000"/>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A33C79" w:rsidRPr="00483448" w:rsidRDefault="00A33C79" w:rsidP="004C5FED">
      <w:pPr>
        <w:snapToGrid w:val="0"/>
        <w:spacing w:line="360" w:lineRule="auto"/>
        <w:jc w:val="both"/>
        <w:rPr>
          <w:rFonts w:ascii="Book Antiqua" w:hAnsi="Book Antiqua"/>
          <w:color w:val="000000"/>
        </w:rPr>
      </w:pPr>
    </w:p>
    <w:p w:rsidR="00A33C79" w:rsidRPr="00483448" w:rsidRDefault="00A33C79" w:rsidP="004C5FED">
      <w:pPr>
        <w:snapToGrid w:val="0"/>
        <w:spacing w:line="360" w:lineRule="auto"/>
        <w:jc w:val="both"/>
        <w:rPr>
          <w:rFonts w:ascii="Book Antiqua" w:hAnsi="Book Antiqua"/>
        </w:rPr>
      </w:pPr>
      <w:r w:rsidRPr="00483448">
        <w:rPr>
          <w:rFonts w:ascii="Book Antiqua" w:hAnsi="Book Antiqua"/>
          <w:b/>
        </w:rPr>
        <w:t xml:space="preserve">Manuscript source: </w:t>
      </w:r>
      <w:r w:rsidRPr="00483448">
        <w:rPr>
          <w:rFonts w:ascii="Book Antiqua" w:hAnsi="Book Antiqua"/>
        </w:rPr>
        <w:t>Invited manuscript</w:t>
      </w:r>
    </w:p>
    <w:p w:rsidR="00CB19E6" w:rsidRPr="00483448" w:rsidRDefault="00CB19E6" w:rsidP="004C5FED">
      <w:pPr>
        <w:snapToGrid w:val="0"/>
        <w:spacing w:line="360" w:lineRule="auto"/>
        <w:jc w:val="both"/>
        <w:rPr>
          <w:rFonts w:ascii="Book Antiqua" w:eastAsia="宋体" w:hAnsi="Book Antiqua" w:hint="eastAsia"/>
          <w:b/>
          <w:lang w:eastAsia="zh-CN"/>
        </w:rPr>
      </w:pPr>
    </w:p>
    <w:p w:rsidR="00E93138" w:rsidRPr="00483448" w:rsidRDefault="00E93138" w:rsidP="00E93138">
      <w:pPr>
        <w:snapToGrid w:val="0"/>
        <w:spacing w:line="360" w:lineRule="auto"/>
        <w:jc w:val="both"/>
        <w:rPr>
          <w:rFonts w:ascii="Book Antiqua" w:hAnsi="Book Antiqua"/>
          <w:color w:val="000000"/>
        </w:rPr>
      </w:pPr>
      <w:r w:rsidRPr="00483448">
        <w:rPr>
          <w:rFonts w:ascii="Book Antiqua" w:hAnsi="Book Antiqua"/>
          <w:b/>
          <w:color w:val="000000"/>
        </w:rPr>
        <w:t>Corresponding author: Benjamin HL</w:t>
      </w:r>
      <w:r w:rsidRPr="00483448">
        <w:rPr>
          <w:rFonts w:ascii="Book Antiqua" w:hAnsi="Book Antiqua"/>
          <w:color w:val="000000"/>
        </w:rPr>
        <w:t xml:space="preserve"> </w:t>
      </w:r>
      <w:r w:rsidRPr="00483448">
        <w:rPr>
          <w:rFonts w:ascii="Book Antiqua" w:hAnsi="Book Antiqua"/>
          <w:b/>
          <w:color w:val="000000"/>
        </w:rPr>
        <w:t>Tan,</w:t>
      </w:r>
      <w:r w:rsidRPr="00483448">
        <w:rPr>
          <w:rFonts w:ascii="Book Antiqua" w:hAnsi="Book Antiqua"/>
          <w:color w:val="000000"/>
        </w:rPr>
        <w:t xml:space="preserve"> MBChB, MD, FRCS, Department of Upper Gastrointestinal Surgery, Queen Elizabeth Hospital, Mindelsohn Way, Birmingham B15 2TH, United Kingdom. benjamin.tan@uhb.nhs.uk</w:t>
      </w:r>
    </w:p>
    <w:p w:rsidR="00E93138" w:rsidRPr="00483448" w:rsidRDefault="00E93138" w:rsidP="004C5FED">
      <w:pPr>
        <w:snapToGrid w:val="0"/>
        <w:spacing w:line="360" w:lineRule="auto"/>
        <w:jc w:val="both"/>
        <w:rPr>
          <w:rFonts w:ascii="Book Antiqua" w:eastAsia="宋体" w:hAnsi="Book Antiqua" w:hint="eastAsia"/>
          <w:b/>
          <w:lang w:eastAsia="zh-CN"/>
        </w:rPr>
      </w:pPr>
    </w:p>
    <w:p w:rsidR="00A33C79" w:rsidRPr="00483448" w:rsidRDefault="00A33C79" w:rsidP="004C5FED">
      <w:pPr>
        <w:snapToGrid w:val="0"/>
        <w:spacing w:line="360" w:lineRule="auto"/>
        <w:jc w:val="both"/>
        <w:rPr>
          <w:rFonts w:ascii="Book Antiqua" w:hAnsi="Book Antiqua"/>
          <w:b/>
        </w:rPr>
      </w:pPr>
      <w:r w:rsidRPr="00483448">
        <w:rPr>
          <w:rFonts w:ascii="Book Antiqua" w:hAnsi="Book Antiqua"/>
          <w:b/>
        </w:rPr>
        <w:t xml:space="preserve">Received: </w:t>
      </w:r>
      <w:r w:rsidR="002A0BF7" w:rsidRPr="00483448">
        <w:rPr>
          <w:rFonts w:ascii="Book Antiqua" w:hAnsi="Book Antiqua"/>
          <w:bCs/>
        </w:rPr>
        <w:t>February 25, 2019</w:t>
      </w:r>
      <w:r w:rsidRPr="00483448">
        <w:rPr>
          <w:rFonts w:ascii="Book Antiqua" w:hAnsi="Book Antiqua"/>
          <w:b/>
        </w:rPr>
        <w:t xml:space="preserve"> </w:t>
      </w:r>
    </w:p>
    <w:p w:rsidR="00A33C79" w:rsidRPr="00483448" w:rsidRDefault="00A33C79" w:rsidP="004C5FED">
      <w:pPr>
        <w:snapToGrid w:val="0"/>
        <w:spacing w:line="360" w:lineRule="auto"/>
        <w:jc w:val="both"/>
        <w:rPr>
          <w:rFonts w:ascii="Book Antiqua" w:hAnsi="Book Antiqua"/>
          <w:b/>
        </w:rPr>
      </w:pPr>
      <w:r w:rsidRPr="00483448">
        <w:rPr>
          <w:rFonts w:ascii="Book Antiqua" w:hAnsi="Book Antiqua"/>
          <w:b/>
        </w:rPr>
        <w:t>Peer-review started:</w:t>
      </w:r>
      <w:r w:rsidR="002A0BF7" w:rsidRPr="00483448">
        <w:rPr>
          <w:rFonts w:ascii="Book Antiqua" w:hAnsi="Book Antiqua"/>
          <w:b/>
        </w:rPr>
        <w:t xml:space="preserve"> </w:t>
      </w:r>
      <w:r w:rsidR="002A0BF7" w:rsidRPr="00483448">
        <w:rPr>
          <w:rFonts w:ascii="Book Antiqua" w:hAnsi="Book Antiqua"/>
          <w:bCs/>
        </w:rPr>
        <w:t>February 26, 2019</w:t>
      </w:r>
    </w:p>
    <w:p w:rsidR="00A33C79" w:rsidRPr="00483448" w:rsidRDefault="00A33C79" w:rsidP="004C5FED">
      <w:pPr>
        <w:snapToGrid w:val="0"/>
        <w:spacing w:line="360" w:lineRule="auto"/>
        <w:jc w:val="both"/>
        <w:rPr>
          <w:rFonts w:ascii="Book Antiqua" w:hAnsi="Book Antiqua"/>
          <w:b/>
        </w:rPr>
      </w:pPr>
      <w:r w:rsidRPr="00483448">
        <w:rPr>
          <w:rFonts w:ascii="Book Antiqua" w:hAnsi="Book Antiqua"/>
          <w:b/>
        </w:rPr>
        <w:t>First decision:</w:t>
      </w:r>
      <w:r w:rsidR="00407691" w:rsidRPr="00483448">
        <w:rPr>
          <w:rFonts w:ascii="Book Antiqua" w:hAnsi="Book Antiqua"/>
          <w:b/>
        </w:rPr>
        <w:t xml:space="preserve"> </w:t>
      </w:r>
      <w:r w:rsidR="00407691" w:rsidRPr="00483448">
        <w:rPr>
          <w:rFonts w:ascii="Book Antiqua" w:hAnsi="Book Antiqua"/>
          <w:bCs/>
        </w:rPr>
        <w:t>July 31, 2019</w:t>
      </w:r>
    </w:p>
    <w:p w:rsidR="00A33C79" w:rsidRPr="00483448" w:rsidRDefault="00A33C79" w:rsidP="004C5FED">
      <w:pPr>
        <w:snapToGrid w:val="0"/>
        <w:spacing w:line="360" w:lineRule="auto"/>
        <w:jc w:val="both"/>
        <w:rPr>
          <w:rFonts w:ascii="Book Antiqua" w:hAnsi="Book Antiqua"/>
          <w:b/>
        </w:rPr>
      </w:pPr>
      <w:r w:rsidRPr="00483448">
        <w:rPr>
          <w:rFonts w:ascii="Book Antiqua" w:hAnsi="Book Antiqua"/>
          <w:b/>
        </w:rPr>
        <w:t xml:space="preserve">Revised: </w:t>
      </w:r>
      <w:r w:rsidR="0006515D" w:rsidRPr="00483448">
        <w:rPr>
          <w:rFonts w:ascii="Book Antiqua" w:hAnsi="Book Antiqua"/>
          <w:bCs/>
        </w:rPr>
        <w:t>August 29, 2019</w:t>
      </w:r>
    </w:p>
    <w:p w:rsidR="00A33C79" w:rsidRPr="00483448" w:rsidRDefault="00A33C79" w:rsidP="004C5FED">
      <w:pPr>
        <w:snapToGrid w:val="0"/>
        <w:spacing w:line="360" w:lineRule="auto"/>
        <w:jc w:val="both"/>
        <w:rPr>
          <w:rFonts w:ascii="Book Antiqua" w:hAnsi="Book Antiqua"/>
          <w:b/>
        </w:rPr>
      </w:pPr>
      <w:r w:rsidRPr="00483448">
        <w:rPr>
          <w:rFonts w:ascii="Book Antiqua" w:hAnsi="Book Antiqua"/>
          <w:b/>
        </w:rPr>
        <w:t xml:space="preserve">Accepted: </w:t>
      </w:r>
      <w:r w:rsidR="00CB19E6" w:rsidRPr="00483448">
        <w:rPr>
          <w:rFonts w:ascii="Book Antiqua" w:hAnsi="Book Antiqua"/>
          <w:bCs/>
        </w:rPr>
        <w:t>November 4, 2019</w:t>
      </w:r>
    </w:p>
    <w:p w:rsidR="00A33C79" w:rsidRPr="00483448" w:rsidRDefault="00A33C79" w:rsidP="004C5FED">
      <w:pPr>
        <w:snapToGrid w:val="0"/>
        <w:spacing w:line="360" w:lineRule="auto"/>
        <w:jc w:val="both"/>
        <w:rPr>
          <w:rFonts w:ascii="Book Antiqua" w:hAnsi="Book Antiqua"/>
          <w:b/>
        </w:rPr>
      </w:pPr>
      <w:r w:rsidRPr="00483448">
        <w:rPr>
          <w:rFonts w:ascii="Book Antiqua" w:hAnsi="Book Antiqua"/>
          <w:b/>
        </w:rPr>
        <w:t>Article in press:</w:t>
      </w:r>
      <w:r w:rsidR="00E93138" w:rsidRPr="00483448">
        <w:rPr>
          <w:rFonts w:ascii="Book Antiqua" w:hAnsi="Book Antiqua"/>
          <w:bCs/>
        </w:rPr>
        <w:t xml:space="preserve"> November 4, 2019</w:t>
      </w:r>
    </w:p>
    <w:p w:rsidR="00A33C79" w:rsidRPr="00483448" w:rsidRDefault="00A33C79" w:rsidP="004C5FED">
      <w:pPr>
        <w:snapToGrid w:val="0"/>
        <w:spacing w:line="360" w:lineRule="auto"/>
        <w:jc w:val="both"/>
        <w:rPr>
          <w:rFonts w:ascii="Book Antiqua" w:hAnsi="Book Antiqua"/>
        </w:rPr>
      </w:pPr>
      <w:r w:rsidRPr="00483448">
        <w:rPr>
          <w:rFonts w:ascii="Book Antiqua" w:hAnsi="Book Antiqua"/>
          <w:b/>
        </w:rPr>
        <w:t>Published online:</w:t>
      </w:r>
      <w:r w:rsidR="00E93138" w:rsidRPr="00483448">
        <w:rPr>
          <w:rFonts w:ascii="Book Antiqua" w:hAnsi="Book Antiqua"/>
          <w:color w:val="000000"/>
        </w:rPr>
        <w:t xml:space="preserve"> December</w:t>
      </w:r>
      <w:r w:rsidR="00E93138" w:rsidRPr="00483448">
        <w:rPr>
          <w:rFonts w:ascii="Book Antiqua" w:hAnsi="Book Antiqua" w:hint="eastAsia"/>
          <w:color w:val="000000"/>
        </w:rPr>
        <w:t xml:space="preserve"> 15, 2019</w:t>
      </w:r>
    </w:p>
    <w:p w:rsidR="00540DC6" w:rsidRPr="00483448" w:rsidRDefault="00540DC6" w:rsidP="004C5FED">
      <w:pPr>
        <w:pStyle w:val="1-2"/>
        <w:snapToGrid w:val="0"/>
        <w:spacing w:line="360" w:lineRule="auto"/>
        <w:jc w:val="both"/>
        <w:rPr>
          <w:rFonts w:ascii="Book Antiqua" w:hAnsi="Book Antiqua"/>
          <w:color w:val="000000"/>
        </w:rPr>
      </w:pPr>
    </w:p>
    <w:p w:rsidR="00540DC6" w:rsidRPr="00483448" w:rsidRDefault="00540DC6" w:rsidP="004C5FED">
      <w:pPr>
        <w:pStyle w:val="1-2"/>
        <w:tabs>
          <w:tab w:val="left" w:pos="1072"/>
        </w:tabs>
        <w:snapToGrid w:val="0"/>
        <w:spacing w:line="360" w:lineRule="auto"/>
        <w:jc w:val="both"/>
        <w:rPr>
          <w:rFonts w:ascii="Book Antiqua" w:hAnsi="Book Antiqua"/>
          <w:color w:val="000000"/>
        </w:rPr>
      </w:pPr>
    </w:p>
    <w:p w:rsidR="00540DC6" w:rsidRPr="00483448" w:rsidRDefault="00540DC6" w:rsidP="004C5FED">
      <w:pPr>
        <w:pStyle w:val="ad"/>
        <w:shd w:val="clear" w:color="auto" w:fill="FFFFFF"/>
        <w:snapToGrid w:val="0"/>
        <w:spacing w:before="0" w:beforeAutospacing="0" w:after="0" w:afterAutospacing="0" w:line="360" w:lineRule="auto"/>
        <w:jc w:val="both"/>
        <w:rPr>
          <w:rFonts w:ascii="Book Antiqua" w:hAnsi="Book Antiqua"/>
          <w:color w:val="000000"/>
        </w:rPr>
      </w:pPr>
    </w:p>
    <w:p w:rsidR="00814042" w:rsidRPr="00483448" w:rsidRDefault="00814042" w:rsidP="004C5FED">
      <w:pPr>
        <w:pStyle w:val="1-2"/>
        <w:tabs>
          <w:tab w:val="left" w:pos="1072"/>
        </w:tabs>
        <w:snapToGrid w:val="0"/>
        <w:spacing w:line="360" w:lineRule="auto"/>
        <w:jc w:val="both"/>
        <w:rPr>
          <w:rFonts w:ascii="Book Antiqua" w:hAnsi="Book Antiqua"/>
          <w:b/>
          <w:color w:val="000000"/>
        </w:rPr>
      </w:pPr>
      <w:r w:rsidRPr="00483448">
        <w:rPr>
          <w:rFonts w:ascii="Book Antiqua" w:hAnsi="Book Antiqua"/>
          <w:color w:val="000000"/>
        </w:rPr>
        <w:br w:type="page"/>
      </w:r>
      <w:r w:rsidRPr="00483448">
        <w:rPr>
          <w:rFonts w:ascii="Book Antiqua" w:hAnsi="Book Antiqua"/>
          <w:b/>
          <w:color w:val="000000"/>
        </w:rPr>
        <w:lastRenderedPageBreak/>
        <w:t>Abstract</w:t>
      </w:r>
    </w:p>
    <w:p w:rsidR="00814042" w:rsidRPr="00483448" w:rsidRDefault="00D44629" w:rsidP="004C5FED">
      <w:pPr>
        <w:snapToGrid w:val="0"/>
        <w:spacing w:line="360" w:lineRule="auto"/>
        <w:jc w:val="both"/>
        <w:rPr>
          <w:rFonts w:ascii="Book Antiqua" w:hAnsi="Book Antiqua"/>
          <w:b/>
          <w:i/>
          <w:iCs/>
          <w:color w:val="000000"/>
        </w:rPr>
      </w:pPr>
      <w:r w:rsidRPr="00483448">
        <w:rPr>
          <w:rFonts w:ascii="Book Antiqua" w:hAnsi="Book Antiqua"/>
          <w:b/>
          <w:i/>
          <w:iCs/>
          <w:color w:val="000000"/>
        </w:rPr>
        <w:t>BACKGROUND</w:t>
      </w:r>
    </w:p>
    <w:p w:rsidR="00D44629" w:rsidRPr="00483448" w:rsidRDefault="00814042" w:rsidP="004C5FED">
      <w:pPr>
        <w:snapToGrid w:val="0"/>
        <w:spacing w:line="360" w:lineRule="auto"/>
        <w:jc w:val="both"/>
        <w:rPr>
          <w:rFonts w:ascii="Book Antiqua" w:hAnsi="Book Antiqua"/>
          <w:color w:val="000000"/>
        </w:rPr>
      </w:pPr>
      <w:r w:rsidRPr="00483448">
        <w:rPr>
          <w:rFonts w:ascii="Book Antiqua" w:hAnsi="Book Antiqua"/>
          <w:color w:val="000000"/>
        </w:rPr>
        <w:t xml:space="preserve">Malnourishment and sarcopenia are well documented phenomena in oesophageal cancer. Patients undergoing neo-adjuvant chemotherapy prior to oesophagectomy have complex nutritional needs. </w:t>
      </w:r>
    </w:p>
    <w:p w:rsidR="00D44629" w:rsidRPr="00483448" w:rsidRDefault="00D44629" w:rsidP="004C5FED">
      <w:pPr>
        <w:snapToGrid w:val="0"/>
        <w:spacing w:line="360" w:lineRule="auto"/>
        <w:jc w:val="both"/>
        <w:rPr>
          <w:rFonts w:ascii="Book Antiqua" w:hAnsi="Book Antiqua"/>
          <w:color w:val="000000"/>
        </w:rPr>
      </w:pPr>
    </w:p>
    <w:p w:rsidR="00D44629" w:rsidRPr="00483448" w:rsidRDefault="00D44629" w:rsidP="004C5FED">
      <w:pPr>
        <w:snapToGrid w:val="0"/>
        <w:spacing w:line="360" w:lineRule="auto"/>
        <w:jc w:val="both"/>
        <w:rPr>
          <w:rFonts w:ascii="Book Antiqua" w:hAnsi="Book Antiqua"/>
          <w:b/>
          <w:bCs/>
          <w:i/>
          <w:iCs/>
          <w:color w:val="000000"/>
        </w:rPr>
      </w:pPr>
      <w:r w:rsidRPr="00483448">
        <w:rPr>
          <w:rFonts w:ascii="Book Antiqua" w:hAnsi="Book Antiqua"/>
          <w:b/>
          <w:bCs/>
          <w:i/>
          <w:iCs/>
          <w:color w:val="000000"/>
        </w:rPr>
        <w:t>AIM</w:t>
      </w:r>
    </w:p>
    <w:p w:rsidR="00814042" w:rsidRPr="00483448" w:rsidRDefault="00814042" w:rsidP="004C5FED">
      <w:pPr>
        <w:snapToGrid w:val="0"/>
        <w:spacing w:line="360" w:lineRule="auto"/>
        <w:jc w:val="both"/>
        <w:rPr>
          <w:rFonts w:ascii="Book Antiqua" w:hAnsi="Book Antiqua"/>
          <w:color w:val="000000"/>
        </w:rPr>
      </w:pPr>
      <w:r w:rsidRPr="00483448">
        <w:rPr>
          <w:rFonts w:ascii="Book Antiqua" w:hAnsi="Book Antiqua"/>
          <w:color w:val="000000"/>
        </w:rPr>
        <w:t>T</w:t>
      </w:r>
      <w:r w:rsidR="00D44629" w:rsidRPr="00483448">
        <w:rPr>
          <w:rFonts w:ascii="Book Antiqua" w:hAnsi="Book Antiqua"/>
          <w:color w:val="000000"/>
        </w:rPr>
        <w:t>o</w:t>
      </w:r>
      <w:r w:rsidRPr="00483448">
        <w:rPr>
          <w:rFonts w:ascii="Book Antiqua" w:hAnsi="Book Antiqua"/>
          <w:color w:val="000000"/>
        </w:rPr>
        <w:t xml:space="preserve"> examine the effect of regular nutritional support </w:t>
      </w:r>
      <w:r w:rsidR="00A33C79" w:rsidRPr="00483448">
        <w:rPr>
          <w:rFonts w:ascii="Book Antiqua" w:hAnsi="Book Antiqua"/>
          <w:i/>
          <w:iCs/>
          <w:color w:val="000000"/>
        </w:rPr>
        <w:t>via</w:t>
      </w:r>
      <w:r w:rsidRPr="00483448">
        <w:rPr>
          <w:rFonts w:ascii="Book Antiqua" w:hAnsi="Book Antiqua"/>
          <w:color w:val="000000"/>
        </w:rPr>
        <w:t xml:space="preserve"> feeding jejunostomy on overall body composition in patients undergoing neo-adjuvant chemotherapy prior to oesophagectomy for oesophageal cancer.</w:t>
      </w:r>
    </w:p>
    <w:p w:rsidR="00814042" w:rsidRPr="00483448" w:rsidRDefault="00814042" w:rsidP="004C5FED">
      <w:pPr>
        <w:snapToGrid w:val="0"/>
        <w:spacing w:line="360" w:lineRule="auto"/>
        <w:jc w:val="both"/>
        <w:rPr>
          <w:rFonts w:ascii="Book Antiqua" w:hAnsi="Book Antiqua"/>
          <w:color w:val="000000"/>
        </w:rPr>
      </w:pPr>
    </w:p>
    <w:p w:rsidR="00814042" w:rsidRPr="00483448" w:rsidRDefault="00D44629" w:rsidP="004C5FED">
      <w:pPr>
        <w:snapToGrid w:val="0"/>
        <w:spacing w:line="360" w:lineRule="auto"/>
        <w:jc w:val="both"/>
        <w:rPr>
          <w:rFonts w:ascii="Book Antiqua" w:hAnsi="Book Antiqua"/>
          <w:b/>
          <w:i/>
          <w:iCs/>
          <w:color w:val="000000"/>
        </w:rPr>
      </w:pPr>
      <w:r w:rsidRPr="00483448">
        <w:rPr>
          <w:rFonts w:ascii="Book Antiqua" w:hAnsi="Book Antiqua"/>
          <w:b/>
          <w:i/>
          <w:iCs/>
          <w:color w:val="000000"/>
        </w:rPr>
        <w:t>METHODS</w:t>
      </w:r>
    </w:p>
    <w:p w:rsidR="00814042" w:rsidRPr="00483448" w:rsidRDefault="00814042" w:rsidP="004C5FED">
      <w:pPr>
        <w:snapToGrid w:val="0"/>
        <w:spacing w:line="360" w:lineRule="auto"/>
        <w:jc w:val="both"/>
        <w:rPr>
          <w:rFonts w:ascii="Book Antiqua" w:hAnsi="Book Antiqua"/>
          <w:color w:val="000000"/>
        </w:rPr>
      </w:pPr>
      <w:r w:rsidRPr="00483448">
        <w:rPr>
          <w:rFonts w:ascii="Book Antiqua" w:hAnsi="Book Antiqua"/>
          <w:color w:val="000000"/>
        </w:rPr>
        <w:t xml:space="preserve">Retrospective data were collected for 15 patients </w:t>
      </w:r>
      <w:r w:rsidR="00266A75" w:rsidRPr="00483448">
        <w:rPr>
          <w:rFonts w:ascii="Book Antiqua" w:hAnsi="Book Antiqua"/>
          <w:color w:val="000000"/>
        </w:rPr>
        <w:t>before</w:t>
      </w:r>
      <w:r w:rsidRPr="00483448">
        <w:rPr>
          <w:rFonts w:ascii="Book Antiqua" w:hAnsi="Book Antiqua"/>
          <w:color w:val="000000"/>
        </w:rPr>
        <w:t xml:space="preserve"> and </w:t>
      </w:r>
      <w:r w:rsidR="00266A75" w:rsidRPr="00483448">
        <w:rPr>
          <w:rFonts w:ascii="Book Antiqua" w:hAnsi="Book Antiqua"/>
          <w:color w:val="000000"/>
        </w:rPr>
        <w:t>after</w:t>
      </w:r>
      <w:r w:rsidRPr="00483448">
        <w:rPr>
          <w:rFonts w:ascii="Book Antiqua" w:hAnsi="Book Antiqua"/>
          <w:color w:val="000000"/>
        </w:rPr>
        <w:t xml:space="preserve"> neo-adjuvant chemotherapy. All patients had feeding jejunostomies inserted at staging laparoscopy prior to neo-adjuvant chemotherapy and underwent regular jejunostomy feeding. Changes in body composition were determined by analysis of </w:t>
      </w:r>
      <w:r w:rsidR="00266A75" w:rsidRPr="00483448">
        <w:rPr>
          <w:rFonts w:ascii="Book Antiqua" w:hAnsi="Book Antiqua"/>
          <w:color w:val="000000"/>
        </w:rPr>
        <w:t>computed tomography</w:t>
      </w:r>
      <w:r w:rsidRPr="00483448">
        <w:rPr>
          <w:rFonts w:ascii="Book Antiqua" w:hAnsi="Book Antiqua"/>
          <w:color w:val="000000"/>
        </w:rPr>
        <w:t xml:space="preserve"> imaging.</w:t>
      </w:r>
    </w:p>
    <w:p w:rsidR="00814042" w:rsidRPr="00483448" w:rsidRDefault="00814042" w:rsidP="004C5FED">
      <w:pPr>
        <w:snapToGrid w:val="0"/>
        <w:spacing w:line="360" w:lineRule="auto"/>
        <w:jc w:val="both"/>
        <w:rPr>
          <w:rFonts w:ascii="Book Antiqua" w:hAnsi="Book Antiqua"/>
          <w:color w:val="000000"/>
        </w:rPr>
      </w:pPr>
    </w:p>
    <w:p w:rsidR="00814042" w:rsidRPr="00483448" w:rsidRDefault="00D44629" w:rsidP="004C5FED">
      <w:pPr>
        <w:snapToGrid w:val="0"/>
        <w:spacing w:line="360" w:lineRule="auto"/>
        <w:jc w:val="both"/>
        <w:rPr>
          <w:rFonts w:ascii="Book Antiqua" w:hAnsi="Book Antiqua"/>
          <w:b/>
          <w:i/>
          <w:iCs/>
          <w:color w:val="000000"/>
        </w:rPr>
      </w:pPr>
      <w:r w:rsidRPr="00483448">
        <w:rPr>
          <w:rFonts w:ascii="Book Antiqua" w:hAnsi="Book Antiqua"/>
          <w:b/>
          <w:i/>
          <w:iCs/>
          <w:color w:val="000000"/>
        </w:rPr>
        <w:t>RESULTS</w:t>
      </w:r>
    </w:p>
    <w:p w:rsidR="00850722" w:rsidRPr="00483448" w:rsidRDefault="00814042" w:rsidP="004C5FED">
      <w:pPr>
        <w:snapToGrid w:val="0"/>
        <w:spacing w:line="360" w:lineRule="auto"/>
        <w:jc w:val="both"/>
        <w:rPr>
          <w:rFonts w:ascii="Book Antiqua" w:hAnsi="Book Antiqua"/>
          <w:color w:val="000000"/>
        </w:rPr>
      </w:pPr>
      <w:r w:rsidRPr="00483448">
        <w:rPr>
          <w:rFonts w:ascii="Book Antiqua" w:hAnsi="Book Antiqua"/>
          <w:color w:val="000000"/>
        </w:rPr>
        <w:t>Patient age was 61.3</w:t>
      </w:r>
      <w:r w:rsidR="00F13118" w:rsidRPr="00483448">
        <w:rPr>
          <w:rFonts w:ascii="Book Antiqua" w:hAnsi="Book Antiqua"/>
          <w:color w:val="000000"/>
        </w:rPr>
        <w:t xml:space="preserve"> </w:t>
      </w:r>
      <w:r w:rsidRPr="00483448">
        <w:rPr>
          <w:rFonts w:ascii="Book Antiqua" w:hAnsi="Book Antiqua"/>
          <w:color w:val="000000"/>
        </w:rPr>
        <w:sym w:font="Symbol" w:char="F0B1"/>
      </w:r>
      <w:r w:rsidR="00F13118" w:rsidRPr="00483448">
        <w:rPr>
          <w:rFonts w:ascii="Book Antiqua" w:hAnsi="Book Antiqua"/>
          <w:color w:val="000000"/>
        </w:rPr>
        <w:t xml:space="preserve"> </w:t>
      </w:r>
      <w:r w:rsidRPr="00483448">
        <w:rPr>
          <w:rFonts w:ascii="Book Antiqua" w:hAnsi="Book Antiqua"/>
          <w:color w:val="000000"/>
        </w:rPr>
        <w:t>12.8</w:t>
      </w:r>
      <w:r w:rsidR="00266A75" w:rsidRPr="00483448">
        <w:rPr>
          <w:rFonts w:ascii="Book Antiqua" w:hAnsi="Book Antiqua"/>
          <w:color w:val="000000"/>
        </w:rPr>
        <w:t xml:space="preserve"> </w:t>
      </w:r>
      <w:r w:rsidRPr="00483448">
        <w:rPr>
          <w:rFonts w:ascii="Book Antiqua" w:hAnsi="Book Antiqua"/>
          <w:color w:val="000000"/>
        </w:rPr>
        <w:t>years,</w:t>
      </w:r>
      <w:r w:rsidR="00266A75" w:rsidRPr="00483448">
        <w:rPr>
          <w:rFonts w:ascii="Book Antiqua" w:hAnsi="Book Antiqua"/>
          <w:color w:val="000000"/>
        </w:rPr>
        <w:t xml:space="preserve"> and</w:t>
      </w:r>
      <w:r w:rsidRPr="00483448">
        <w:rPr>
          <w:rFonts w:ascii="Book Antiqua" w:hAnsi="Book Antiqua"/>
          <w:color w:val="000000"/>
        </w:rPr>
        <w:t xml:space="preserve"> 73% of patients were male. The time between start of chemotherapy and surgery was 107</w:t>
      </w:r>
      <w:r w:rsidR="00F13118" w:rsidRPr="00483448">
        <w:rPr>
          <w:rFonts w:ascii="Book Antiqua" w:hAnsi="Book Antiqua"/>
          <w:color w:val="000000"/>
        </w:rPr>
        <w:t xml:space="preserve"> </w:t>
      </w:r>
      <w:r w:rsidRPr="00483448">
        <w:rPr>
          <w:rFonts w:ascii="Book Antiqua" w:hAnsi="Book Antiqua"/>
          <w:color w:val="000000"/>
        </w:rPr>
        <w:t>±</w:t>
      </w:r>
      <w:r w:rsidR="00F13118" w:rsidRPr="00483448">
        <w:rPr>
          <w:rFonts w:ascii="Book Antiqua" w:hAnsi="Book Antiqua"/>
          <w:color w:val="000000"/>
        </w:rPr>
        <w:t xml:space="preserve"> </w:t>
      </w:r>
      <w:r w:rsidRPr="00483448">
        <w:rPr>
          <w:rFonts w:ascii="Book Antiqua" w:hAnsi="Book Antiqua"/>
          <w:color w:val="000000"/>
        </w:rPr>
        <w:t xml:space="preserve">21.6 d. There </w:t>
      </w:r>
      <w:r w:rsidR="003C5AF1" w:rsidRPr="00483448">
        <w:rPr>
          <w:rFonts w:ascii="Book Antiqua" w:hAnsi="Book Antiqua"/>
          <w:color w:val="000000"/>
        </w:rPr>
        <w:t>was no change</w:t>
      </w:r>
      <w:r w:rsidRPr="00483448">
        <w:rPr>
          <w:rFonts w:ascii="Book Antiqua" w:hAnsi="Book Antiqua"/>
          <w:color w:val="000000"/>
        </w:rPr>
        <w:t xml:space="preserve"> in weight (74.5</w:t>
      </w:r>
      <w:r w:rsidR="00F13118" w:rsidRPr="00483448">
        <w:rPr>
          <w:rFonts w:ascii="Book Antiqua" w:hAnsi="Book Antiqua"/>
          <w:color w:val="000000"/>
        </w:rPr>
        <w:t xml:space="preserve"> </w:t>
      </w:r>
      <w:r w:rsidRPr="00483448">
        <w:rPr>
          <w:rFonts w:ascii="Book Antiqua" w:hAnsi="Book Antiqua"/>
          <w:color w:val="000000"/>
        </w:rPr>
        <w:sym w:font="Symbol" w:char="F0B1"/>
      </w:r>
      <w:r w:rsidR="00F13118" w:rsidRPr="00483448">
        <w:rPr>
          <w:rFonts w:ascii="Book Antiqua" w:hAnsi="Book Antiqua"/>
          <w:color w:val="000000"/>
        </w:rPr>
        <w:t xml:space="preserve"> </w:t>
      </w:r>
      <w:r w:rsidRPr="00483448">
        <w:rPr>
          <w:rFonts w:ascii="Book Antiqua" w:hAnsi="Book Antiqua"/>
          <w:color w:val="000000"/>
        </w:rPr>
        <w:t xml:space="preserve">14.1 </w:t>
      </w:r>
      <w:r w:rsidR="00F13118" w:rsidRPr="00483448">
        <w:rPr>
          <w:rFonts w:ascii="Book Antiqua" w:hAnsi="Book Antiqua"/>
          <w:color w:val="000000"/>
        </w:rPr>
        <w:t xml:space="preserve">kg </w:t>
      </w:r>
      <w:r w:rsidRPr="00483448">
        <w:rPr>
          <w:rFonts w:ascii="Book Antiqua" w:hAnsi="Book Antiqua"/>
          <w:color w:val="000000"/>
        </w:rPr>
        <w:t>to 74.8</w:t>
      </w:r>
      <w:r w:rsidR="00F13118" w:rsidRPr="00483448">
        <w:rPr>
          <w:rFonts w:ascii="Book Antiqua" w:hAnsi="Book Antiqua"/>
          <w:color w:val="000000"/>
        </w:rPr>
        <w:t xml:space="preserve"> </w:t>
      </w:r>
      <w:r w:rsidRPr="00483448">
        <w:rPr>
          <w:rFonts w:ascii="Book Antiqua" w:hAnsi="Book Antiqua"/>
          <w:color w:val="000000"/>
        </w:rPr>
        <w:sym w:font="Symbol" w:char="F0B1"/>
      </w:r>
      <w:r w:rsidR="00F13118" w:rsidRPr="00483448">
        <w:rPr>
          <w:rFonts w:ascii="Book Antiqua" w:hAnsi="Book Antiqua"/>
          <w:color w:val="000000"/>
        </w:rPr>
        <w:t xml:space="preserve"> </w:t>
      </w:r>
      <w:r w:rsidRPr="00483448">
        <w:rPr>
          <w:rFonts w:ascii="Book Antiqua" w:hAnsi="Book Antiqua"/>
          <w:color w:val="000000"/>
        </w:rPr>
        <w:t>13.1</w:t>
      </w:r>
      <w:r w:rsidR="00F13118" w:rsidRPr="00483448">
        <w:rPr>
          <w:rFonts w:ascii="Book Antiqua" w:hAnsi="Book Antiqua"/>
          <w:color w:val="000000"/>
        </w:rPr>
        <w:t xml:space="preserve"> </w:t>
      </w:r>
      <w:r w:rsidRPr="00483448">
        <w:rPr>
          <w:rFonts w:ascii="Book Antiqua" w:hAnsi="Book Antiqua"/>
          <w:color w:val="000000"/>
        </w:rPr>
        <w:t xml:space="preserve">kg) and </w:t>
      </w:r>
      <w:r w:rsidR="000A33DA" w:rsidRPr="00483448">
        <w:rPr>
          <w:rFonts w:ascii="Book Antiqua" w:hAnsi="Book Antiqua"/>
          <w:color w:val="000000"/>
        </w:rPr>
        <w:t>body mass index</w:t>
      </w:r>
      <w:r w:rsidRPr="00483448">
        <w:rPr>
          <w:rFonts w:ascii="Book Antiqua" w:hAnsi="Book Antiqua"/>
          <w:color w:val="000000"/>
        </w:rPr>
        <w:t xml:space="preserve"> (26.0</w:t>
      </w:r>
      <w:r w:rsidR="00F13118" w:rsidRPr="00483448">
        <w:rPr>
          <w:rFonts w:ascii="Book Antiqua" w:hAnsi="Book Antiqua"/>
          <w:color w:val="000000"/>
        </w:rPr>
        <w:t xml:space="preserve"> </w:t>
      </w:r>
      <w:r w:rsidRPr="00483448">
        <w:rPr>
          <w:rFonts w:ascii="Book Antiqua" w:hAnsi="Book Antiqua"/>
          <w:color w:val="000000"/>
        </w:rPr>
        <w:sym w:font="Symbol" w:char="F0B1"/>
      </w:r>
      <w:r w:rsidR="00F13118" w:rsidRPr="00483448">
        <w:rPr>
          <w:rFonts w:ascii="Book Antiqua" w:hAnsi="Book Antiqua"/>
          <w:color w:val="000000"/>
        </w:rPr>
        <w:t xml:space="preserve"> </w:t>
      </w:r>
      <w:r w:rsidRPr="00483448">
        <w:rPr>
          <w:rFonts w:ascii="Book Antiqua" w:hAnsi="Book Antiqua"/>
          <w:color w:val="000000"/>
        </w:rPr>
        <w:t xml:space="preserve">3.8 </w:t>
      </w:r>
      <w:r w:rsidR="00F13118" w:rsidRPr="00483448">
        <w:rPr>
          <w:rFonts w:ascii="Book Antiqua" w:hAnsi="Book Antiqua"/>
          <w:color w:val="000000"/>
        </w:rPr>
        <w:t>kg/m</w:t>
      </w:r>
      <w:r w:rsidR="00F13118" w:rsidRPr="00483448">
        <w:rPr>
          <w:rFonts w:ascii="Book Antiqua" w:hAnsi="Book Antiqua"/>
          <w:color w:val="000000"/>
          <w:vertAlign w:val="superscript"/>
        </w:rPr>
        <w:t xml:space="preserve">2 </w:t>
      </w:r>
      <w:r w:rsidRPr="00483448">
        <w:rPr>
          <w:rFonts w:ascii="Book Antiqua" w:hAnsi="Book Antiqua"/>
          <w:color w:val="000000"/>
        </w:rPr>
        <w:t>to 26.1</w:t>
      </w:r>
      <w:r w:rsidR="00F13118" w:rsidRPr="00483448">
        <w:rPr>
          <w:rFonts w:ascii="Book Antiqua" w:hAnsi="Book Antiqua"/>
          <w:color w:val="000000"/>
        </w:rPr>
        <w:t xml:space="preserve"> </w:t>
      </w:r>
      <w:r w:rsidRPr="00483448">
        <w:rPr>
          <w:rFonts w:ascii="Book Antiqua" w:hAnsi="Book Antiqua"/>
          <w:color w:val="000000"/>
        </w:rPr>
        <w:sym w:font="Symbol" w:char="F0B1"/>
      </w:r>
      <w:r w:rsidR="00F13118" w:rsidRPr="00483448">
        <w:rPr>
          <w:rFonts w:ascii="Book Antiqua" w:hAnsi="Book Antiqua"/>
          <w:color w:val="000000"/>
        </w:rPr>
        <w:t xml:space="preserve"> </w:t>
      </w:r>
      <w:r w:rsidRPr="00483448">
        <w:rPr>
          <w:rFonts w:ascii="Book Antiqua" w:hAnsi="Book Antiqua"/>
          <w:color w:val="000000"/>
        </w:rPr>
        <w:t>3.4</w:t>
      </w:r>
      <w:r w:rsidR="00F13118" w:rsidRPr="00483448">
        <w:rPr>
          <w:rFonts w:ascii="Book Antiqua" w:hAnsi="Book Antiqua"/>
          <w:color w:val="000000"/>
        </w:rPr>
        <w:t xml:space="preserve"> </w:t>
      </w:r>
      <w:r w:rsidRPr="00483448">
        <w:rPr>
          <w:rFonts w:ascii="Book Antiqua" w:hAnsi="Book Antiqua"/>
          <w:color w:val="000000"/>
        </w:rPr>
        <w:t>kg/m</w:t>
      </w:r>
      <w:r w:rsidRPr="00483448">
        <w:rPr>
          <w:rFonts w:ascii="Book Antiqua" w:hAnsi="Book Antiqua"/>
          <w:color w:val="000000"/>
          <w:vertAlign w:val="superscript"/>
        </w:rPr>
        <w:t>2</w:t>
      </w:r>
      <w:r w:rsidRPr="00483448">
        <w:rPr>
          <w:rFonts w:ascii="Book Antiqua" w:hAnsi="Book Antiqua"/>
          <w:color w:val="000000"/>
        </w:rPr>
        <w:t>). Body composition analysis revealed a statistically significant decrease in lumbar skeletal muscle index despite regular feeding (45.8</w:t>
      </w:r>
      <w:r w:rsidR="00F13118" w:rsidRPr="00483448">
        <w:rPr>
          <w:rFonts w:ascii="Book Antiqua" w:hAnsi="Book Antiqua"/>
          <w:color w:val="000000"/>
        </w:rPr>
        <w:t xml:space="preserve"> </w:t>
      </w:r>
      <w:r w:rsidRPr="00483448">
        <w:rPr>
          <w:rFonts w:ascii="Book Antiqua" w:hAnsi="Book Antiqua"/>
          <w:color w:val="000000"/>
        </w:rPr>
        <w:sym w:font="Symbol" w:char="F0B1"/>
      </w:r>
      <w:r w:rsidR="00F13118" w:rsidRPr="00483448">
        <w:rPr>
          <w:rFonts w:ascii="Book Antiqua" w:hAnsi="Book Antiqua"/>
          <w:color w:val="000000"/>
        </w:rPr>
        <w:t xml:space="preserve"> </w:t>
      </w:r>
      <w:r w:rsidRPr="00483448">
        <w:rPr>
          <w:rFonts w:ascii="Book Antiqua" w:hAnsi="Book Antiqua"/>
          <w:color w:val="000000"/>
        </w:rPr>
        <w:t xml:space="preserve">8.0 </w:t>
      </w:r>
      <w:r w:rsidR="00F13118" w:rsidRPr="00483448">
        <w:rPr>
          <w:rFonts w:ascii="Book Antiqua" w:hAnsi="Book Antiqua"/>
          <w:bCs/>
          <w:color w:val="000000"/>
        </w:rPr>
        <w:t>cm</w:t>
      </w:r>
      <w:r w:rsidR="00F13118" w:rsidRPr="00483448">
        <w:rPr>
          <w:rFonts w:ascii="Book Antiqua" w:hAnsi="Book Antiqua"/>
          <w:bCs/>
          <w:color w:val="000000"/>
          <w:vertAlign w:val="superscript"/>
        </w:rPr>
        <w:t>2</w:t>
      </w:r>
      <w:r w:rsidR="00F13118" w:rsidRPr="00483448">
        <w:rPr>
          <w:rFonts w:ascii="Book Antiqua" w:hAnsi="Book Antiqua"/>
          <w:bCs/>
          <w:color w:val="000000"/>
        </w:rPr>
        <w:t>/m</w:t>
      </w:r>
      <w:r w:rsidR="00F13118" w:rsidRPr="00483448">
        <w:rPr>
          <w:rFonts w:ascii="Book Antiqua" w:hAnsi="Book Antiqua"/>
          <w:bCs/>
          <w:color w:val="000000"/>
          <w:vertAlign w:val="superscript"/>
        </w:rPr>
        <w:t xml:space="preserve">2 </w:t>
      </w:r>
      <w:r w:rsidRPr="00483448">
        <w:rPr>
          <w:rFonts w:ascii="Book Antiqua" w:hAnsi="Book Antiqua"/>
          <w:color w:val="000000"/>
        </w:rPr>
        <w:t>to 43.5</w:t>
      </w:r>
      <w:r w:rsidR="00F13118" w:rsidRPr="00483448">
        <w:rPr>
          <w:rFonts w:ascii="Book Antiqua" w:hAnsi="Book Antiqua"/>
          <w:color w:val="000000"/>
        </w:rPr>
        <w:t xml:space="preserve"> </w:t>
      </w:r>
      <w:r w:rsidRPr="00483448">
        <w:rPr>
          <w:rFonts w:ascii="Book Antiqua" w:hAnsi="Book Antiqua"/>
          <w:color w:val="000000"/>
        </w:rPr>
        <w:sym w:font="Symbol" w:char="F0B1"/>
      </w:r>
      <w:r w:rsidR="00F13118" w:rsidRPr="00483448">
        <w:rPr>
          <w:rFonts w:ascii="Book Antiqua" w:hAnsi="Book Antiqua"/>
          <w:color w:val="000000"/>
        </w:rPr>
        <w:t xml:space="preserve"> </w:t>
      </w:r>
      <w:r w:rsidRPr="00483448">
        <w:rPr>
          <w:rFonts w:ascii="Book Antiqua" w:hAnsi="Book Antiqua"/>
          <w:color w:val="000000"/>
        </w:rPr>
        <w:t>7.3</w:t>
      </w:r>
      <w:r w:rsidR="00F13118" w:rsidRPr="00483448">
        <w:rPr>
          <w:rFonts w:ascii="Book Antiqua" w:hAnsi="Book Antiqua"/>
          <w:color w:val="000000"/>
        </w:rPr>
        <w:t xml:space="preserve"> </w:t>
      </w:r>
      <w:r w:rsidRPr="00483448">
        <w:rPr>
          <w:rFonts w:ascii="Book Antiqua" w:hAnsi="Book Antiqua"/>
          <w:bCs/>
          <w:color w:val="000000"/>
        </w:rPr>
        <w:t>cm</w:t>
      </w:r>
      <w:r w:rsidRPr="00483448">
        <w:rPr>
          <w:rFonts w:ascii="Book Antiqua" w:hAnsi="Book Antiqua"/>
          <w:bCs/>
          <w:color w:val="000000"/>
          <w:vertAlign w:val="superscript"/>
        </w:rPr>
        <w:t>2</w:t>
      </w:r>
      <w:r w:rsidRPr="00483448">
        <w:rPr>
          <w:rFonts w:ascii="Book Antiqua" w:hAnsi="Book Antiqua"/>
          <w:bCs/>
          <w:color w:val="000000"/>
        </w:rPr>
        <w:t>/m</w:t>
      </w:r>
      <w:r w:rsidRPr="00483448">
        <w:rPr>
          <w:rFonts w:ascii="Book Antiqua" w:hAnsi="Book Antiqua"/>
          <w:bCs/>
          <w:color w:val="000000"/>
          <w:vertAlign w:val="superscript"/>
        </w:rPr>
        <w:t>2</w:t>
      </w:r>
      <w:r w:rsidRPr="00483448">
        <w:rPr>
          <w:rFonts w:ascii="Book Antiqua" w:hAnsi="Book Antiqua"/>
          <w:color w:val="000000"/>
        </w:rPr>
        <w:t xml:space="preserve">; </w:t>
      </w:r>
      <w:r w:rsidRPr="00483448">
        <w:rPr>
          <w:rFonts w:ascii="Book Antiqua" w:hAnsi="Book Antiqua"/>
          <w:i/>
          <w:iCs/>
          <w:caps/>
          <w:color w:val="000000"/>
        </w:rPr>
        <w:t>p</w:t>
      </w:r>
      <w:r w:rsidR="00F13118" w:rsidRPr="00483448">
        <w:rPr>
          <w:rFonts w:ascii="Book Antiqua" w:hAnsi="Book Antiqua"/>
          <w:color w:val="000000"/>
        </w:rPr>
        <w:t xml:space="preserve"> </w:t>
      </w:r>
      <w:r w:rsidRPr="00483448">
        <w:rPr>
          <w:rFonts w:ascii="Book Antiqua" w:hAnsi="Book Antiqua"/>
          <w:color w:val="000000"/>
        </w:rPr>
        <w:t>=</w:t>
      </w:r>
      <w:r w:rsidR="00F13118" w:rsidRPr="00483448">
        <w:rPr>
          <w:rFonts w:ascii="Book Antiqua" w:hAnsi="Book Antiqua"/>
          <w:color w:val="000000"/>
        </w:rPr>
        <w:t xml:space="preserve"> </w:t>
      </w:r>
      <w:r w:rsidRPr="00483448">
        <w:rPr>
          <w:rFonts w:ascii="Book Antiqua" w:hAnsi="Book Antiqua"/>
          <w:color w:val="000000"/>
        </w:rPr>
        <w:t xml:space="preserve">0.045). The proportion of sarcopenic patients increased (33.3% to 60%). Six patients (40%) experienced </w:t>
      </w:r>
      <w:r w:rsidR="00D203A2" w:rsidRPr="00483448">
        <w:rPr>
          <w:rFonts w:ascii="Book Antiqua" w:hAnsi="Book Antiqua"/>
          <w:color w:val="000000"/>
        </w:rPr>
        <w:t>d</w:t>
      </w:r>
      <w:r w:rsidRPr="00483448">
        <w:rPr>
          <w:rFonts w:ascii="Book Antiqua" w:hAnsi="Book Antiqua"/>
          <w:color w:val="000000"/>
        </w:rPr>
        <w:t xml:space="preserve">ose-limiting </w:t>
      </w:r>
      <w:r w:rsidR="00D203A2" w:rsidRPr="00483448">
        <w:rPr>
          <w:rFonts w:ascii="Book Antiqua" w:hAnsi="Book Antiqua"/>
          <w:color w:val="000000"/>
        </w:rPr>
        <w:t>t</w:t>
      </w:r>
      <w:r w:rsidRPr="00483448">
        <w:rPr>
          <w:rFonts w:ascii="Book Antiqua" w:hAnsi="Book Antiqua"/>
          <w:color w:val="000000"/>
        </w:rPr>
        <w:t>oxicity during chemotherapy.</w:t>
      </w:r>
    </w:p>
    <w:p w:rsidR="00850722" w:rsidRPr="00483448" w:rsidRDefault="00850722" w:rsidP="004C5FED">
      <w:pPr>
        <w:snapToGrid w:val="0"/>
        <w:spacing w:line="360" w:lineRule="auto"/>
        <w:jc w:val="both"/>
        <w:rPr>
          <w:rFonts w:ascii="Book Antiqua" w:hAnsi="Book Antiqua"/>
          <w:color w:val="000000"/>
        </w:rPr>
      </w:pPr>
    </w:p>
    <w:p w:rsidR="00814042" w:rsidRPr="00483448" w:rsidRDefault="00D44629" w:rsidP="004C5FED">
      <w:pPr>
        <w:snapToGrid w:val="0"/>
        <w:spacing w:line="360" w:lineRule="auto"/>
        <w:jc w:val="both"/>
        <w:rPr>
          <w:rFonts w:ascii="Book Antiqua" w:hAnsi="Book Antiqua"/>
          <w:b/>
          <w:i/>
          <w:iCs/>
          <w:color w:val="000000"/>
        </w:rPr>
      </w:pPr>
      <w:r w:rsidRPr="00483448">
        <w:rPr>
          <w:rFonts w:ascii="Book Antiqua" w:hAnsi="Book Antiqua"/>
          <w:b/>
          <w:i/>
          <w:iCs/>
          <w:color w:val="000000"/>
        </w:rPr>
        <w:t>CONCLUSION</w:t>
      </w:r>
    </w:p>
    <w:p w:rsidR="000F528C" w:rsidRPr="00483448" w:rsidRDefault="00814042" w:rsidP="004C5FED">
      <w:pPr>
        <w:pStyle w:val="1-2"/>
        <w:snapToGrid w:val="0"/>
        <w:spacing w:line="360" w:lineRule="auto"/>
        <w:jc w:val="both"/>
        <w:rPr>
          <w:rFonts w:ascii="Book Antiqua" w:hAnsi="Book Antiqua"/>
          <w:color w:val="000000"/>
        </w:rPr>
      </w:pPr>
      <w:r w:rsidRPr="00483448">
        <w:rPr>
          <w:rFonts w:ascii="Book Antiqua" w:hAnsi="Book Antiqua"/>
          <w:color w:val="000000"/>
        </w:rPr>
        <w:t>Regular jejunostomy feeding during neo</w:t>
      </w:r>
      <w:r w:rsidR="00EA4BFA" w:rsidRPr="00483448">
        <w:rPr>
          <w:rFonts w:ascii="Book Antiqua" w:hAnsi="Book Antiqua"/>
          <w:color w:val="000000"/>
        </w:rPr>
        <w:t>-</w:t>
      </w:r>
      <w:r w:rsidRPr="00483448">
        <w:rPr>
          <w:rFonts w:ascii="Book Antiqua" w:hAnsi="Book Antiqua"/>
          <w:color w:val="000000"/>
        </w:rPr>
        <w:t xml:space="preserve">adjuvant chemotherapy can </w:t>
      </w:r>
      <w:r w:rsidR="003C5AF1" w:rsidRPr="00483448">
        <w:rPr>
          <w:rFonts w:ascii="Book Antiqua" w:hAnsi="Book Antiqua"/>
          <w:color w:val="000000"/>
        </w:rPr>
        <w:t>maintain</w:t>
      </w:r>
      <w:r w:rsidRPr="00483448">
        <w:rPr>
          <w:rFonts w:ascii="Book Antiqua" w:hAnsi="Book Antiqua"/>
          <w:color w:val="000000"/>
        </w:rPr>
        <w:t xml:space="preserve"> weight and adipose tissue. Feeding alone is not sufficient to maintain muscle mass. </w:t>
      </w:r>
      <w:r w:rsidRPr="00483448">
        <w:rPr>
          <w:rFonts w:ascii="Book Antiqua" w:hAnsi="Book Antiqua"/>
          <w:color w:val="000000"/>
        </w:rPr>
        <w:lastRenderedPageBreak/>
        <w:t>Further insight into the underlying processes causing reduced muscle mass in cancer patients may help to provide targeted interventions.</w:t>
      </w:r>
    </w:p>
    <w:p w:rsidR="00D44629" w:rsidRPr="00483448" w:rsidRDefault="00D44629" w:rsidP="004C5FED">
      <w:pPr>
        <w:pStyle w:val="1-2"/>
        <w:snapToGrid w:val="0"/>
        <w:spacing w:line="360" w:lineRule="auto"/>
        <w:jc w:val="both"/>
        <w:rPr>
          <w:rFonts w:ascii="Book Antiqua" w:hAnsi="Book Antiqua"/>
          <w:color w:val="000000"/>
        </w:rPr>
      </w:pPr>
    </w:p>
    <w:p w:rsidR="00D44629" w:rsidRPr="00483448" w:rsidRDefault="00D44629" w:rsidP="004C5FED">
      <w:pPr>
        <w:pStyle w:val="1-2"/>
        <w:snapToGrid w:val="0"/>
        <w:spacing w:line="360" w:lineRule="auto"/>
        <w:jc w:val="both"/>
        <w:rPr>
          <w:rFonts w:ascii="Book Antiqua" w:hAnsi="Book Antiqua"/>
          <w:color w:val="000000"/>
        </w:rPr>
      </w:pPr>
      <w:r w:rsidRPr="00483448">
        <w:rPr>
          <w:rFonts w:ascii="Book Antiqua" w:hAnsi="Book Antiqua"/>
          <w:b/>
          <w:color w:val="000000"/>
        </w:rPr>
        <w:t>Key words:</w:t>
      </w:r>
      <w:r w:rsidRPr="00483448">
        <w:rPr>
          <w:rFonts w:ascii="Book Antiqua" w:hAnsi="Book Antiqua"/>
          <w:color w:val="000000"/>
        </w:rPr>
        <w:t xml:space="preserve"> </w:t>
      </w:r>
      <w:r w:rsidRPr="00483448">
        <w:rPr>
          <w:rFonts w:ascii="Book Antiqua" w:hAnsi="Book Antiqua"/>
          <w:caps/>
          <w:color w:val="000000"/>
        </w:rPr>
        <w:t>b</w:t>
      </w:r>
      <w:r w:rsidRPr="00483448">
        <w:rPr>
          <w:rFonts w:ascii="Book Antiqua" w:hAnsi="Book Antiqua"/>
          <w:color w:val="000000"/>
        </w:rPr>
        <w:t xml:space="preserve">ody composition; </w:t>
      </w:r>
      <w:r w:rsidRPr="00483448">
        <w:rPr>
          <w:rFonts w:ascii="Book Antiqua" w:hAnsi="Book Antiqua"/>
          <w:caps/>
          <w:color w:val="000000"/>
        </w:rPr>
        <w:t>n</w:t>
      </w:r>
      <w:r w:rsidRPr="00483448">
        <w:rPr>
          <w:rFonts w:ascii="Book Antiqua" w:hAnsi="Book Antiqua"/>
          <w:color w:val="000000"/>
        </w:rPr>
        <w:t xml:space="preserve">eo-adjuvant therapy; </w:t>
      </w:r>
      <w:r w:rsidRPr="00483448">
        <w:rPr>
          <w:rFonts w:ascii="Book Antiqua" w:hAnsi="Book Antiqua"/>
          <w:caps/>
          <w:color w:val="000000"/>
        </w:rPr>
        <w:t>o</w:t>
      </w:r>
      <w:r w:rsidRPr="00483448">
        <w:rPr>
          <w:rFonts w:ascii="Book Antiqua" w:hAnsi="Book Antiqua"/>
          <w:color w:val="000000"/>
        </w:rPr>
        <w:t xml:space="preserve">esophageal cancer; </w:t>
      </w:r>
      <w:r w:rsidRPr="00483448">
        <w:rPr>
          <w:rFonts w:ascii="Book Antiqua" w:hAnsi="Book Antiqua"/>
          <w:caps/>
          <w:color w:val="000000"/>
        </w:rPr>
        <w:t>e</w:t>
      </w:r>
      <w:r w:rsidRPr="00483448">
        <w:rPr>
          <w:rFonts w:ascii="Book Antiqua" w:hAnsi="Book Antiqua"/>
          <w:color w:val="000000"/>
        </w:rPr>
        <w:t>nteral feeding</w:t>
      </w:r>
    </w:p>
    <w:p w:rsidR="00D44629" w:rsidRPr="00483448" w:rsidRDefault="00D44629" w:rsidP="004C5FED">
      <w:pPr>
        <w:pStyle w:val="1-2"/>
        <w:snapToGrid w:val="0"/>
        <w:spacing w:line="360" w:lineRule="auto"/>
        <w:jc w:val="both"/>
        <w:rPr>
          <w:rFonts w:ascii="Book Antiqua" w:hAnsi="Book Antiqua"/>
          <w:color w:val="000000"/>
        </w:rPr>
      </w:pPr>
    </w:p>
    <w:p w:rsidR="00F13118" w:rsidRPr="00483448" w:rsidRDefault="00F13118" w:rsidP="00923A14">
      <w:pPr>
        <w:autoSpaceDE w:val="0"/>
        <w:autoSpaceDN w:val="0"/>
        <w:adjustRightInd w:val="0"/>
        <w:snapToGrid w:val="0"/>
        <w:spacing w:line="360" w:lineRule="auto"/>
        <w:jc w:val="both"/>
        <w:rPr>
          <w:rFonts w:ascii="Book Antiqua" w:hAnsi="Book Antiqua" w:cs="Arial Unicode M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bookmarkStart w:id="141" w:name="_Hlk17899813"/>
      <w:r w:rsidRPr="00483448">
        <w:rPr>
          <w:rFonts w:ascii="Book Antiqua" w:hAnsi="Book Antiqua"/>
          <w:b/>
          <w:color w:val="000000"/>
        </w:rPr>
        <w:t xml:space="preserve">© </w:t>
      </w:r>
      <w:r w:rsidRPr="00483448">
        <w:rPr>
          <w:rFonts w:ascii="Book Antiqua" w:eastAsia="AdvTimes" w:hAnsi="Book Antiqua" w:cs="AdvTimes"/>
          <w:b/>
          <w:color w:val="000000"/>
        </w:rPr>
        <w:t>The Author(s) 201</w:t>
      </w:r>
      <w:r w:rsidRPr="00483448">
        <w:rPr>
          <w:rFonts w:ascii="Book Antiqua" w:hAnsi="Book Antiqua" w:cs="AdvTimes"/>
          <w:b/>
          <w:color w:val="000000"/>
        </w:rPr>
        <w:t>9</w:t>
      </w:r>
      <w:r w:rsidR="00923A14" w:rsidRPr="00483448">
        <w:rPr>
          <w:rFonts w:ascii="Book Antiqua" w:hAnsi="Book Antiqua" w:cs="AdvTimes"/>
          <w:b/>
          <w:color w:val="000000"/>
        </w:rPr>
        <w:t>.</w:t>
      </w:r>
      <w:r w:rsidRPr="00483448">
        <w:rPr>
          <w:rFonts w:ascii="Book Antiqua" w:eastAsia="AdvTimes" w:hAnsi="Book Antiqua" w:cs="AdvTimes"/>
          <w:color w:val="000000"/>
        </w:rPr>
        <w:t xml:space="preserve"> Published by </w:t>
      </w:r>
      <w:r w:rsidRPr="00483448">
        <w:rPr>
          <w:rFonts w:ascii="Book Antiqua" w:hAnsi="Book Antiqua" w:cs="Arial Unicode MS"/>
          <w:color w:val="000000"/>
        </w:rPr>
        <w:t>Baishideng Publishing Group Inc.</w:t>
      </w:r>
      <w:r w:rsidRPr="00483448">
        <w:rPr>
          <w:rFonts w:ascii="Book Antiqua" w:hAnsi="Book Antiqua" w:cs="Arial Unicode MS"/>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bookmarkEnd w:id="141"/>
    <w:p w:rsidR="00F13118" w:rsidRPr="00483448" w:rsidRDefault="00F13118" w:rsidP="004C5FED">
      <w:pPr>
        <w:pStyle w:val="1-2"/>
        <w:snapToGrid w:val="0"/>
        <w:spacing w:line="360" w:lineRule="auto"/>
        <w:jc w:val="both"/>
        <w:rPr>
          <w:rFonts w:ascii="Book Antiqua" w:hAnsi="Book Antiqua"/>
          <w:color w:val="000000"/>
        </w:rPr>
      </w:pPr>
    </w:p>
    <w:p w:rsidR="000E09CC" w:rsidRPr="00483448" w:rsidRDefault="00506BD7" w:rsidP="004C5FED">
      <w:pPr>
        <w:snapToGrid w:val="0"/>
        <w:spacing w:line="360" w:lineRule="auto"/>
        <w:jc w:val="both"/>
        <w:rPr>
          <w:rFonts w:ascii="Book Antiqua" w:hAnsi="Book Antiqua" w:cs="Tahoma"/>
          <w:b/>
          <w:color w:val="000000"/>
        </w:rPr>
      </w:pPr>
      <w:bookmarkStart w:id="142" w:name="_Hlk10468991"/>
      <w:r w:rsidRPr="00483448">
        <w:rPr>
          <w:rFonts w:ascii="Book Antiqua" w:hAnsi="Book Antiqua" w:cs="Tahoma"/>
          <w:b/>
          <w:color w:val="000000"/>
        </w:rPr>
        <w:t>Core tip</w:t>
      </w:r>
      <w:r w:rsidR="00E31924" w:rsidRPr="00483448">
        <w:rPr>
          <w:rFonts w:ascii="Book Antiqua" w:hAnsi="Book Antiqua" w:cs="Tahoma"/>
          <w:b/>
          <w:color w:val="000000"/>
        </w:rPr>
        <w:t xml:space="preserve">: </w:t>
      </w:r>
      <w:r w:rsidR="000E09CC" w:rsidRPr="00483448">
        <w:rPr>
          <w:rFonts w:ascii="Book Antiqua" w:hAnsi="Book Antiqua"/>
          <w:color w:val="000000"/>
        </w:rPr>
        <w:t xml:space="preserve">Patients undergoing neo-adjuvant chemotherapy prior to oesophagectomy have complex nutritional needs. Retrospective data were collected for 15 patients </w:t>
      </w:r>
      <w:r w:rsidR="00D203A2" w:rsidRPr="00483448">
        <w:rPr>
          <w:rFonts w:ascii="Book Antiqua" w:hAnsi="Book Antiqua"/>
          <w:color w:val="000000"/>
        </w:rPr>
        <w:t>before</w:t>
      </w:r>
      <w:r w:rsidR="000E09CC" w:rsidRPr="00483448">
        <w:rPr>
          <w:rFonts w:ascii="Book Antiqua" w:hAnsi="Book Antiqua"/>
          <w:color w:val="000000"/>
        </w:rPr>
        <w:t xml:space="preserve"> and </w:t>
      </w:r>
      <w:r w:rsidR="00D203A2" w:rsidRPr="00483448">
        <w:rPr>
          <w:rFonts w:ascii="Book Antiqua" w:hAnsi="Book Antiqua"/>
          <w:color w:val="000000"/>
        </w:rPr>
        <w:t>after</w:t>
      </w:r>
      <w:r w:rsidR="000E09CC" w:rsidRPr="00483448">
        <w:rPr>
          <w:rFonts w:ascii="Book Antiqua" w:hAnsi="Book Antiqua"/>
          <w:color w:val="000000"/>
        </w:rPr>
        <w:t xml:space="preserve"> neo-adjuvant chemotherapy to examine the effect of regular nutritional support </w:t>
      </w:r>
      <w:r w:rsidR="00A33C79" w:rsidRPr="00483448">
        <w:rPr>
          <w:rFonts w:ascii="Book Antiqua" w:hAnsi="Book Antiqua"/>
          <w:i/>
          <w:iCs/>
          <w:color w:val="000000"/>
        </w:rPr>
        <w:t>via</w:t>
      </w:r>
      <w:r w:rsidR="000E09CC" w:rsidRPr="00483448">
        <w:rPr>
          <w:rFonts w:ascii="Book Antiqua" w:hAnsi="Book Antiqua"/>
          <w:color w:val="000000"/>
        </w:rPr>
        <w:t xml:space="preserve"> feeding jejunostomy on overall body composition. There was no change in weight and </w:t>
      </w:r>
      <w:r w:rsidR="000A33DA" w:rsidRPr="00483448">
        <w:rPr>
          <w:rFonts w:ascii="Book Antiqua" w:hAnsi="Book Antiqua"/>
          <w:color w:val="000000"/>
        </w:rPr>
        <w:t>body mass index</w:t>
      </w:r>
      <w:r w:rsidR="000E09CC" w:rsidRPr="00483448">
        <w:rPr>
          <w:rFonts w:ascii="Book Antiqua" w:hAnsi="Book Antiqua"/>
          <w:color w:val="000000"/>
        </w:rPr>
        <w:t>. Body composition analysis revealed a statistically significant decrease in lumbar skeletal muscle index despite regular feeding. Regular jejunostomy feeding during neo</w:t>
      </w:r>
      <w:r w:rsidR="009C57CB" w:rsidRPr="00483448">
        <w:rPr>
          <w:rFonts w:ascii="Book Antiqua" w:hAnsi="Book Antiqua"/>
          <w:color w:val="000000"/>
        </w:rPr>
        <w:t>-</w:t>
      </w:r>
      <w:r w:rsidR="000E09CC" w:rsidRPr="00483448">
        <w:rPr>
          <w:rFonts w:ascii="Book Antiqua" w:hAnsi="Book Antiqua"/>
          <w:color w:val="000000"/>
        </w:rPr>
        <w:t>adjuvant chemotherapy can maintain weight and adipose tissue. Further insight into processes causing reduced muscle mass in cancer patients may provide targeted interventions.</w:t>
      </w:r>
    </w:p>
    <w:bookmarkEnd w:id="142"/>
    <w:p w:rsidR="00D44629" w:rsidRPr="00483448" w:rsidRDefault="00D44629" w:rsidP="004C5FED">
      <w:pPr>
        <w:pStyle w:val="1-2"/>
        <w:snapToGrid w:val="0"/>
        <w:spacing w:line="360" w:lineRule="auto"/>
        <w:jc w:val="both"/>
        <w:rPr>
          <w:rFonts w:ascii="Book Antiqua" w:hAnsi="Book Antiqua"/>
          <w:color w:val="000000"/>
        </w:rPr>
      </w:pPr>
    </w:p>
    <w:p w:rsidR="00596703" w:rsidRPr="00483448" w:rsidRDefault="00596703" w:rsidP="00E93138">
      <w:pPr>
        <w:spacing w:line="360" w:lineRule="auto"/>
        <w:rPr>
          <w:rFonts w:ascii="Book Antiqua" w:eastAsia="宋体" w:hAnsi="Book Antiqua" w:hint="eastAsia"/>
          <w:iCs/>
          <w:lang w:eastAsia="zh-CN"/>
        </w:rPr>
      </w:pPr>
      <w:r w:rsidRPr="00483448">
        <w:rPr>
          <w:rFonts w:ascii="Book Antiqua" w:eastAsia="宋体" w:hAnsi="Book Antiqua" w:hint="eastAsia"/>
          <w:b/>
          <w:bCs/>
          <w:color w:val="000000"/>
          <w:lang w:eastAsia="zh-CN"/>
        </w:rPr>
        <w:t>Citation:</w:t>
      </w:r>
      <w:r w:rsidRPr="00483448">
        <w:rPr>
          <w:rFonts w:ascii="Book Antiqua" w:eastAsia="宋体" w:hAnsi="Book Antiqua" w:hint="eastAsia"/>
          <w:bCs/>
          <w:color w:val="000000"/>
          <w:lang w:eastAsia="zh-CN"/>
        </w:rPr>
        <w:t xml:space="preserve"> </w:t>
      </w:r>
      <w:r w:rsidR="00F13118" w:rsidRPr="00483448">
        <w:rPr>
          <w:rFonts w:ascii="Book Antiqua" w:hAnsi="Book Antiqua"/>
          <w:bCs/>
          <w:color w:val="000000"/>
        </w:rPr>
        <w:t>Mohamed I</w:t>
      </w:r>
      <w:r w:rsidR="00D63F7C" w:rsidRPr="00483448">
        <w:rPr>
          <w:rFonts w:ascii="Book Antiqua" w:hAnsi="Book Antiqua"/>
          <w:bCs/>
          <w:caps/>
          <w:color w:val="000000"/>
        </w:rPr>
        <w:t>m</w:t>
      </w:r>
      <w:r w:rsidR="00F13118" w:rsidRPr="00483448">
        <w:rPr>
          <w:rFonts w:ascii="Book Antiqua" w:hAnsi="Book Antiqua"/>
          <w:bCs/>
          <w:color w:val="000000"/>
        </w:rPr>
        <w:t xml:space="preserve">, Whiting J, Tan BHL. Impact of regular enteral feeding </w:t>
      </w:r>
      <w:r w:rsidR="00F13118" w:rsidRPr="00483448">
        <w:rPr>
          <w:rFonts w:ascii="Book Antiqua" w:hAnsi="Book Antiqua"/>
          <w:bCs/>
          <w:i/>
          <w:iCs/>
          <w:color w:val="000000"/>
        </w:rPr>
        <w:t>via</w:t>
      </w:r>
      <w:r w:rsidR="00F13118" w:rsidRPr="00483448">
        <w:rPr>
          <w:rFonts w:ascii="Book Antiqua" w:hAnsi="Book Antiqua"/>
          <w:bCs/>
          <w:color w:val="000000"/>
        </w:rPr>
        <w:t xml:space="preserve"> jejunostomy during neo-adjuvant chemotherapy on body composition in patients with oesophageal cancer. </w:t>
      </w:r>
      <w:r w:rsidR="00874604" w:rsidRPr="00483448">
        <w:rPr>
          <w:rFonts w:ascii="Book Antiqua" w:hAnsi="Book Antiqua"/>
          <w:bCs/>
          <w:i/>
          <w:iCs/>
          <w:color w:val="000000"/>
        </w:rPr>
        <w:t xml:space="preserve">World J Gastrointest Oncol </w:t>
      </w:r>
      <w:r w:rsidR="00E93138" w:rsidRPr="00483448">
        <w:rPr>
          <w:rFonts w:ascii="Book Antiqua" w:hAnsi="Book Antiqua"/>
          <w:iCs/>
        </w:rPr>
        <w:t>2019; 11(</w:t>
      </w:r>
      <w:r w:rsidR="00E93138" w:rsidRPr="00483448">
        <w:rPr>
          <w:rFonts w:ascii="Book Antiqua" w:hAnsi="Book Antiqua" w:hint="eastAsia"/>
          <w:iCs/>
        </w:rPr>
        <w:t>12</w:t>
      </w:r>
      <w:r w:rsidR="00E93138" w:rsidRPr="00483448">
        <w:rPr>
          <w:rFonts w:ascii="Book Antiqua" w:hAnsi="Book Antiqua"/>
          <w:iCs/>
        </w:rPr>
        <w:t xml:space="preserve">): </w:t>
      </w:r>
      <w:r w:rsidR="00483448" w:rsidRPr="00483448">
        <w:rPr>
          <w:rFonts w:ascii="Book Antiqua" w:hAnsi="Book Antiqua" w:hint="eastAsia"/>
        </w:rPr>
        <w:t>1182-1192</w:t>
      </w:r>
    </w:p>
    <w:p w:rsidR="00596703" w:rsidRPr="00483448" w:rsidRDefault="00E93138" w:rsidP="00E93138">
      <w:pPr>
        <w:spacing w:line="360" w:lineRule="auto"/>
        <w:rPr>
          <w:rFonts w:ascii="Book Antiqua" w:eastAsia="宋体" w:hAnsi="Book Antiqua" w:hint="eastAsia"/>
          <w:iCs/>
          <w:lang w:eastAsia="zh-CN"/>
        </w:rPr>
      </w:pPr>
      <w:r w:rsidRPr="00483448">
        <w:rPr>
          <w:rFonts w:ascii="Book Antiqua" w:hAnsi="Book Antiqua"/>
          <w:iCs/>
        </w:rPr>
        <w:t xml:space="preserve">URL: </w:t>
      </w:r>
      <w:hyperlink r:id="rId9" w:history="1">
        <w:r w:rsidR="00596703" w:rsidRPr="00483448">
          <w:rPr>
            <w:rStyle w:val="a3"/>
            <w:rFonts w:ascii="Book Antiqua" w:hAnsi="Book Antiqua"/>
            <w:iCs/>
          </w:rPr>
          <w:t>https://www.wjgnet.com/</w:t>
        </w:r>
        <w:r w:rsidR="00596703" w:rsidRPr="00483448">
          <w:rPr>
            <w:rStyle w:val="a3"/>
            <w:rFonts w:ascii="Book Antiqua" w:hAnsi="Book Antiqua"/>
            <w:shd w:val="clear" w:color="auto" w:fill="FFFFFF"/>
          </w:rPr>
          <w:t>1948-5204</w:t>
        </w:r>
        <w:r w:rsidR="00596703" w:rsidRPr="00483448">
          <w:rPr>
            <w:rStyle w:val="a3"/>
            <w:rFonts w:ascii="Book Antiqua" w:hAnsi="Book Antiqua"/>
            <w:iCs/>
          </w:rPr>
          <w:t>/full/v11/i</w:t>
        </w:r>
        <w:r w:rsidR="00596703" w:rsidRPr="00483448">
          <w:rPr>
            <w:rStyle w:val="a3"/>
            <w:rFonts w:ascii="Book Antiqua" w:hAnsi="Book Antiqua" w:hint="eastAsia"/>
            <w:iCs/>
          </w:rPr>
          <w:t>12</w:t>
        </w:r>
        <w:r w:rsidR="00596703" w:rsidRPr="00483448">
          <w:rPr>
            <w:rStyle w:val="a3"/>
            <w:rFonts w:ascii="Book Antiqua" w:hAnsi="Book Antiqua"/>
            <w:iCs/>
          </w:rPr>
          <w:t>/</w:t>
        </w:r>
        <w:r w:rsidR="00483448" w:rsidRPr="00483448">
          <w:rPr>
            <w:rFonts w:ascii="Book Antiqua" w:hAnsi="Book Antiqua" w:hint="eastAsia"/>
          </w:rPr>
          <w:t>1182</w:t>
        </w:r>
        <w:r w:rsidR="00596703" w:rsidRPr="00483448">
          <w:rPr>
            <w:rStyle w:val="a3"/>
            <w:rFonts w:ascii="Book Antiqua" w:hAnsi="Book Antiqua"/>
            <w:iCs/>
          </w:rPr>
          <w:t>.htm</w:t>
        </w:r>
      </w:hyperlink>
    </w:p>
    <w:p w:rsidR="00E93138" w:rsidRPr="00483448" w:rsidRDefault="00E93138" w:rsidP="00E93138">
      <w:pPr>
        <w:spacing w:line="360" w:lineRule="auto"/>
        <w:rPr>
          <w:rFonts w:ascii="Book Antiqua" w:eastAsia="等线" w:hAnsi="Book Antiqua"/>
          <w:iCs/>
        </w:rPr>
      </w:pPr>
      <w:r w:rsidRPr="00483448">
        <w:rPr>
          <w:rFonts w:ascii="Book Antiqua" w:hAnsi="Book Antiqua"/>
          <w:iCs/>
        </w:rPr>
        <w:t>DOI: https://dx.doi.org/</w:t>
      </w:r>
      <w:r w:rsidRPr="00483448">
        <w:rPr>
          <w:rFonts w:ascii="Book Antiqua" w:hAnsi="Book Antiqua" w:cs="宋体"/>
        </w:rPr>
        <w:t>10.4251</w:t>
      </w:r>
      <w:r w:rsidRPr="00483448">
        <w:rPr>
          <w:rFonts w:ascii="Book Antiqua" w:hAnsi="Book Antiqua"/>
          <w:iCs/>
        </w:rPr>
        <w:t>/wjgo.v11.i</w:t>
      </w:r>
      <w:r w:rsidRPr="00483448">
        <w:rPr>
          <w:rFonts w:ascii="Book Antiqua" w:hAnsi="Book Antiqua" w:hint="eastAsia"/>
          <w:iCs/>
        </w:rPr>
        <w:t>12</w:t>
      </w:r>
      <w:r w:rsidRPr="00483448">
        <w:rPr>
          <w:rFonts w:ascii="Book Antiqua" w:hAnsi="Book Antiqua"/>
          <w:iCs/>
        </w:rPr>
        <w:t>.</w:t>
      </w:r>
      <w:r w:rsidR="00483448" w:rsidRPr="00483448">
        <w:rPr>
          <w:rFonts w:ascii="Book Antiqua" w:hAnsi="Book Antiqua" w:hint="eastAsia"/>
        </w:rPr>
        <w:t>1182</w:t>
      </w:r>
    </w:p>
    <w:p w:rsidR="00F13118" w:rsidRPr="00483448" w:rsidRDefault="00F13118" w:rsidP="00E93138">
      <w:pPr>
        <w:snapToGrid w:val="0"/>
        <w:spacing w:line="360" w:lineRule="auto"/>
        <w:jc w:val="both"/>
        <w:rPr>
          <w:rFonts w:ascii="Book Antiqua" w:hAnsi="Book Antiqua"/>
          <w:color w:val="000000"/>
        </w:rPr>
      </w:pPr>
    </w:p>
    <w:p w:rsidR="00E721CF" w:rsidRPr="00483448" w:rsidRDefault="00D203A2" w:rsidP="004C5FED">
      <w:pPr>
        <w:pStyle w:val="1-2"/>
        <w:snapToGrid w:val="0"/>
        <w:spacing w:line="360" w:lineRule="auto"/>
        <w:jc w:val="both"/>
        <w:rPr>
          <w:rFonts w:ascii="Book Antiqua" w:hAnsi="Book Antiqua"/>
          <w:b/>
          <w:color w:val="000000"/>
        </w:rPr>
      </w:pPr>
      <w:r w:rsidRPr="00483448">
        <w:rPr>
          <w:rFonts w:ascii="Book Antiqua" w:hAnsi="Book Antiqua"/>
          <w:b/>
          <w:color w:val="000000"/>
        </w:rPr>
        <w:br w:type="page"/>
      </w:r>
      <w:r w:rsidR="00506BD7" w:rsidRPr="00483448">
        <w:rPr>
          <w:rFonts w:ascii="Book Antiqua" w:hAnsi="Book Antiqua"/>
          <w:b/>
          <w:color w:val="000000"/>
        </w:rPr>
        <w:lastRenderedPageBreak/>
        <w:t>INTRODUCTION</w:t>
      </w:r>
    </w:p>
    <w:p w:rsidR="002054B2" w:rsidRPr="00483448" w:rsidRDefault="002054B2" w:rsidP="004C5FED">
      <w:pPr>
        <w:pStyle w:val="1-2"/>
        <w:snapToGrid w:val="0"/>
        <w:spacing w:line="360" w:lineRule="auto"/>
        <w:jc w:val="both"/>
        <w:rPr>
          <w:rFonts w:ascii="Book Antiqua" w:hAnsi="Book Antiqua"/>
          <w:color w:val="000000"/>
        </w:rPr>
      </w:pPr>
      <w:r w:rsidRPr="00483448">
        <w:rPr>
          <w:rFonts w:ascii="Book Antiqua" w:hAnsi="Book Antiqua"/>
          <w:color w:val="000000"/>
        </w:rPr>
        <w:t>Oesophageal cancer is the sixth most common cause of cancer death in the U</w:t>
      </w:r>
      <w:r w:rsidR="0048216D" w:rsidRPr="00483448">
        <w:rPr>
          <w:rFonts w:ascii="Book Antiqua" w:hAnsi="Book Antiqua"/>
          <w:color w:val="000000"/>
        </w:rPr>
        <w:t>nited States</w:t>
      </w:r>
      <w:r w:rsidR="00AB3F52" w:rsidRPr="00483448">
        <w:rPr>
          <w:rFonts w:ascii="Book Antiqua" w:hAnsi="Book Antiqua"/>
          <w:color w:val="000000"/>
          <w:vertAlign w:val="superscript"/>
        </w:rPr>
        <w:fldChar w:fldCharType="begin" w:fldLock="1"/>
      </w:r>
      <w:r w:rsidR="007D2F73" w:rsidRPr="00483448">
        <w:rPr>
          <w:rFonts w:ascii="Book Antiqua" w:hAnsi="Book Antiqua"/>
          <w:color w:val="000000"/>
          <w:vertAlign w:val="superscript"/>
        </w:rPr>
        <w:instrText>ADDIN CSL_CITATION {"citationItems":[{"id":"ITEM-1","itemData":{"URL":"http://www.cancerresearchuk.org/health-professional/cancer-statistics/statistics-by-cancer-type/oesophageal-cancer - heading-Zero","accessed":{"date-parts":[["2019","1","12"]]},"author":[{"dropping-particle":"","family":"Cancer Research UK","given":"","non-dropping-particle":"","parse-names":false,"suffix":""}],"id":"ITEM-1","issued":{"date-parts":[["0"]]},"title":"Cancer Research UK. Oesophageal Cancer Statistics 2018","type":"webpage"},"uris":["http://www.mendeley.com/documents/?uuid=68bc17fe-6ec4-3a64-85a9-1a957cebd292"]}],"mendeley":{"formattedCitation":"&lt;sup&gt;[1]&lt;/sup&gt;","plainTextFormattedCitation":"[1]","previouslyFormattedCitation":"(1)"},"properties":{"noteIndex":0},"schema":"https://github.com/citation-style-language/schema/raw/master/csl-citation.json"}</w:instrText>
      </w:r>
      <w:r w:rsidR="00AB3F52" w:rsidRPr="00483448">
        <w:rPr>
          <w:rFonts w:ascii="Book Antiqua" w:hAnsi="Book Antiqua"/>
          <w:color w:val="000000"/>
          <w:vertAlign w:val="superscript"/>
        </w:rPr>
        <w:fldChar w:fldCharType="separate"/>
      </w:r>
      <w:r w:rsidR="007D2F73" w:rsidRPr="00483448">
        <w:rPr>
          <w:rFonts w:ascii="Book Antiqua" w:hAnsi="Book Antiqua"/>
          <w:color w:val="000000"/>
          <w:vertAlign w:val="superscript"/>
        </w:rPr>
        <w:t>[1]</w:t>
      </w:r>
      <w:r w:rsidR="00AB3F52" w:rsidRPr="00483448">
        <w:rPr>
          <w:rFonts w:ascii="Book Antiqua" w:hAnsi="Book Antiqua"/>
          <w:color w:val="000000"/>
          <w:vertAlign w:val="superscript"/>
        </w:rPr>
        <w:fldChar w:fldCharType="end"/>
      </w:r>
      <w:r w:rsidRPr="00483448">
        <w:rPr>
          <w:rFonts w:ascii="Book Antiqua" w:hAnsi="Book Antiqua"/>
          <w:color w:val="000000"/>
        </w:rPr>
        <w:t>. Neo</w:t>
      </w:r>
      <w:r w:rsidR="009C57CB" w:rsidRPr="00483448">
        <w:rPr>
          <w:rFonts w:ascii="Book Antiqua" w:hAnsi="Book Antiqua"/>
          <w:color w:val="000000"/>
        </w:rPr>
        <w:t>-</w:t>
      </w:r>
      <w:r w:rsidRPr="00483448">
        <w:rPr>
          <w:rFonts w:ascii="Book Antiqua" w:hAnsi="Book Antiqua"/>
          <w:color w:val="000000"/>
        </w:rPr>
        <w:t>adjuvant chemotherapy is now the mainstay of treatment prior to oesophagectomy</w:t>
      </w:r>
      <w:r w:rsidR="00F21D28" w:rsidRPr="00483448">
        <w:rPr>
          <w:rFonts w:ascii="Book Antiqua" w:hAnsi="Book Antiqua"/>
          <w:color w:val="000000"/>
        </w:rPr>
        <w:t xml:space="preserve"> and is</w:t>
      </w:r>
      <w:r w:rsidRPr="00483448">
        <w:rPr>
          <w:rFonts w:ascii="Book Antiqua" w:hAnsi="Book Antiqua"/>
          <w:color w:val="000000"/>
        </w:rPr>
        <w:t xml:space="preserve"> associated with improved survival compared to surgery alone</w:t>
      </w:r>
      <w:r w:rsidR="00AB3F52"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{"citationItems":[{"id":"ITEM-1","itemData":{"DOI":"10.1093/dote/dox110","ISSN":"1442-2050","PMID":"29024949","abstract":"This narrative review aims to evaluate the evidence for the different nutritional approaches employed during neoadjuvant therapy in patients with locoregional esophageal cancer. Patients with esophageal cancer are often malnourished and difficult to optimize nutritionally. While evidence suggests that neoadjuvant therapy can offer a survival advantage, associated toxicity can exacerbate poor nutritional status. There is currently no accepted standard of care regarding optimal nutritional approach. A systematic literature search was undertaken. Studies describing the utilization of an additional nutritional intervention in patients with esophageal cancer receiving neoadjuvant therapy prior to esophagectomy were included. Primary outcome measure was 30-day postoperative mortality after esophagectomy. Secondary outcome measures were loss of weight during neoadjuvant therapy, completion rate of intended neoadjuvant therapy, complications from nutritional intervention, 30-day postoperative morbidity after esophagectomy and quality of life during neoadjuvant treatment. Given the heterogeneity of retrieved articles results was presented as a narrative review. Twenty-five studies were included of which 16 evaluated esophageal stenting, four feeding jejunostomy, three gastrostomy, one nasogastric feeding, and one comparative study of esophageal stenting to feeding jejunostomy. 30-day postoperative mortality was only reported in two of the 26 included studies limiting comparison between nutritional strategies. All studies of esophageal stents reported improvements in dysphagia with reported weight change ranging from -5.4 to +6 kg and one study reported 30-day postoperative mortality after esophagectomy (10%). In patients undergoing esophageal stenting for their neoadjuvant treatment overall migration rate was 29.9%. Studies of laparoscopically inserted jejunostomy were all retrospective reviews that demonstrated an increase in weight ranging from 0.4 to 11.8 kg and similarly no study reported 30-day postoperative mortality. Only one comparative study was included that compared esophageal stents to jejunostomy. This study reported no significant difference between the two groups in respect to complication rates (stents 22% vs. jejunostomy 4%, P = 0.11) or increase in weight (stents 4.4 kg vs. jejunostomy 4.2 kg, P = 0.59). Quality of life was also poorly reported. This review demonstrates the uncertainty on the optimal nutritional approach for patients with resec…","author":[{"dropping-particle":"","family":"Huddy","given":"J R","non-dropping-particle":"","parse-names":false,"suffix":""},{"dropping-particle":"","family":"Huddy","given":"F M S","non-dropping-particle":"","parse-names":false,"suffix":""},{"dropping-particle":"","family":"Markar","given":"S R","non-dropping-particle":"","parse-names":false,"suffix":""},{"dropping-particle":"","family":"Tucker","given":"O","non-dropping-particle":"","parse-names":false,"suffix":""}],"container-title":"Diseases of the esophagus : official journal of the International Society for Diseases of the Esophagus","id":"ITEM-1","issue":"1","issued":{"date-parts":[["2018","1","1"]]},"page":"1-11","title":"Nutritional optimization during neoadjuvant therapy prior to surgical resection of esophageal cancer-a narrative review.","type":"article-journal","volume":"31"},"uris":["http://www.mendeley.com/documents/?uuid=b1e7e73f-43f0-3607-9db1-ec8d2946d0f3"]}],"mendeley":{"formattedCitation":"&lt;sup&gt;[2]&lt;/sup&gt;","plainTextFormattedCitation":"[2]","previouslyFormattedCitation":"(2)"},"properties":{"noteIndex":0},"schema":"https://github.com/citation-style-language/schema/raw/master/csl-citation.json"}</w:instrText>
      </w:r>
      <w:r w:rsidR="00AB3F52" w:rsidRPr="00483448">
        <w:rPr>
          <w:rFonts w:ascii="Book Antiqua" w:hAnsi="Book Antiqua"/>
          <w:color w:val="000000"/>
        </w:rPr>
        <w:fldChar w:fldCharType="separate"/>
      </w:r>
      <w:r w:rsidR="007D2F73" w:rsidRPr="00483448">
        <w:rPr>
          <w:rFonts w:ascii="Book Antiqua" w:hAnsi="Book Antiqua"/>
          <w:color w:val="000000"/>
          <w:vertAlign w:val="superscript"/>
        </w:rPr>
        <w:t>[2]</w:t>
      </w:r>
      <w:r w:rsidR="00AB3F52" w:rsidRPr="00483448">
        <w:rPr>
          <w:rFonts w:ascii="Book Antiqua" w:hAnsi="Book Antiqua"/>
          <w:color w:val="000000"/>
        </w:rPr>
        <w:fldChar w:fldCharType="end"/>
      </w:r>
      <w:r w:rsidR="00F21D28" w:rsidRPr="00483448">
        <w:rPr>
          <w:rFonts w:ascii="Book Antiqua" w:hAnsi="Book Antiqua"/>
          <w:color w:val="000000"/>
        </w:rPr>
        <w:t>. However,</w:t>
      </w:r>
      <w:r w:rsidR="00D2308D" w:rsidRPr="00483448">
        <w:rPr>
          <w:rFonts w:ascii="Book Antiqua" w:hAnsi="Book Antiqua"/>
          <w:color w:val="000000"/>
        </w:rPr>
        <w:t xml:space="preserve"> </w:t>
      </w:r>
      <w:r w:rsidR="007B139D" w:rsidRPr="00483448">
        <w:rPr>
          <w:rFonts w:ascii="Book Antiqua" w:hAnsi="Book Antiqua"/>
          <w:color w:val="000000"/>
        </w:rPr>
        <w:t xml:space="preserve">use of such therapy places additional </w:t>
      </w:r>
      <w:r w:rsidR="0001575E" w:rsidRPr="00483448">
        <w:rPr>
          <w:rFonts w:ascii="Book Antiqua" w:hAnsi="Book Antiqua"/>
          <w:color w:val="000000"/>
        </w:rPr>
        <w:t xml:space="preserve">nutritional burden on patients </w:t>
      </w:r>
      <w:r w:rsidR="00522318" w:rsidRPr="00483448">
        <w:rPr>
          <w:rFonts w:ascii="Book Antiqua" w:hAnsi="Book Antiqua"/>
          <w:color w:val="000000"/>
        </w:rPr>
        <w:t>and has an</w:t>
      </w:r>
      <w:r w:rsidR="0001575E" w:rsidRPr="00483448">
        <w:rPr>
          <w:rFonts w:ascii="Book Antiqua" w:hAnsi="Book Antiqua"/>
          <w:color w:val="000000"/>
        </w:rPr>
        <w:t xml:space="preserve"> </w:t>
      </w:r>
      <w:r w:rsidR="007E700A" w:rsidRPr="00483448">
        <w:rPr>
          <w:rFonts w:ascii="Book Antiqua" w:hAnsi="Book Antiqua"/>
          <w:color w:val="000000"/>
        </w:rPr>
        <w:t>adverse</w:t>
      </w:r>
      <w:r w:rsidR="00D2308D" w:rsidRPr="00483448">
        <w:rPr>
          <w:rFonts w:ascii="Book Antiqua" w:hAnsi="Book Antiqua"/>
          <w:color w:val="000000"/>
        </w:rPr>
        <w:t xml:space="preserve"> impact on nutritional status and body composition</w:t>
      </w:r>
      <w:r w:rsidR="00BA5660" w:rsidRPr="00483448">
        <w:rPr>
          <w:rFonts w:ascii="Book Antiqua" w:hAnsi="Book Antiqua"/>
          <w:color w:val="000000"/>
        </w:rPr>
        <w:t xml:space="preserve"> </w:t>
      </w:r>
      <w:r w:rsidR="00F214FE" w:rsidRPr="00483448">
        <w:rPr>
          <w:rFonts w:ascii="Book Antiqua" w:hAnsi="Book Antiqua"/>
          <w:color w:val="000000"/>
        </w:rPr>
        <w:t xml:space="preserve">as measured by </w:t>
      </w:r>
      <w:r w:rsidR="00BA5660" w:rsidRPr="00483448">
        <w:rPr>
          <w:rFonts w:ascii="Book Antiqua" w:hAnsi="Book Antiqua"/>
          <w:color w:val="000000"/>
        </w:rPr>
        <w:t>the proportions of skeletal muscle and fat</w:t>
      </w:r>
      <w:r w:rsidR="00AB3F52"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{"citationItems":[{"id":"ITEM-1","itemData":{"DOI":"10.1007/s00520-017-3993-0","ISSN":"0941-4355","author":[{"dropping-particle":"","family":"Guinan","given":"Emer M.","non-dropping-particle":"","parse-names":false,"suffix":""},{"dropping-particle":"","family":"Doyle","given":"S. L.","non-dropping-particle":"","parse-names":false,"suffix":""},{"dropping-particle":"","family":"Bennett","given":"A. E.","non-dropping-particle":"","parse-names":false,"suffix":""},{"dropping-particle":"","family":"O’Neill","given":"L.","non-dropping-particle":"","parse-names":false,"suffix":""},{"dropping-particle":"","family":"Gannon","given":"J.","non-dropping-particle":"","parse-names":false,"suffix":""},{"dropping-particle":"","family":"Elliott","given":"J. A.","non-dropping-particle":"","parse-names":false,"suffix":""},{"dropping-particle":"","family":"O’Sullivan","given":"J.","non-dropping-particle":"","parse-names":false,"suffix":""},{"dropping-particle":"V.","family":"Reynolds","given":"J.","non-dropping-particle":"","parse-names":false,"suffix":""},{"dropping-particle":"","family":"Hussey","given":"J.","non-dropping-particle":"","parse-names":false,"suffix":""}],"container-title":"Supportive Care in Cancer","id":"ITEM-1","issue":"5","issued":{"date-parts":[["2017","12","2"]]},"page":"1569-1576","publisher":"Springer Berlin Heidelberg","title":"Sarcopenia during neoadjuvant therapy for oesophageal cancer: characterising the impact on muscle strength and physical performance","type":"article-journal","volume":"26"},"uris":["http://www.mendeley.com/documents/?uuid=a6483836-22c4-3547-9850-be5b0a52843b"]}],"mendeley":{"formattedCitation":"&lt;sup&gt;[3]&lt;/sup&gt;","plainTextFormattedCitation":"[3]","previouslyFormattedCitation":"(3)"},"properties":{"noteIndex":0},"schema":"https://github.com/citation-style-language/schema/raw/master/csl-citation.json"}</w:instrText>
      </w:r>
      <w:r w:rsidR="00AB3F52" w:rsidRPr="00483448">
        <w:rPr>
          <w:rFonts w:ascii="Book Antiqua" w:hAnsi="Book Antiqua"/>
          <w:b/>
          <w:color w:val="000000"/>
        </w:rPr>
        <w:fldChar w:fldCharType="separate"/>
      </w:r>
      <w:r w:rsidR="007D2F73" w:rsidRPr="00483448">
        <w:rPr>
          <w:rFonts w:ascii="Book Antiqua" w:hAnsi="Book Antiqua"/>
          <w:color w:val="000000"/>
          <w:vertAlign w:val="superscript"/>
        </w:rPr>
        <w:t>[3]</w:t>
      </w:r>
      <w:r w:rsidR="00AB3F52" w:rsidRPr="00483448">
        <w:rPr>
          <w:rFonts w:ascii="Book Antiqua" w:hAnsi="Book Antiqua"/>
          <w:b/>
          <w:color w:val="000000"/>
        </w:rPr>
        <w:fldChar w:fldCharType="end"/>
      </w:r>
      <w:r w:rsidRPr="00483448">
        <w:rPr>
          <w:rFonts w:ascii="Book Antiqua" w:hAnsi="Book Antiqua"/>
          <w:color w:val="000000"/>
        </w:rPr>
        <w:t>.</w:t>
      </w:r>
      <w:r w:rsidR="002772C6" w:rsidRPr="00483448">
        <w:rPr>
          <w:rFonts w:ascii="Book Antiqua" w:hAnsi="Book Antiqua"/>
          <w:color w:val="000000"/>
        </w:rPr>
        <w:t xml:space="preserve"> Continued improvement in overall survival has </w:t>
      </w:r>
      <w:r w:rsidR="002658F4" w:rsidRPr="00483448">
        <w:rPr>
          <w:rFonts w:ascii="Book Antiqua" w:hAnsi="Book Antiqua"/>
          <w:color w:val="000000"/>
        </w:rPr>
        <w:t>led</w:t>
      </w:r>
      <w:r w:rsidR="002772C6" w:rsidRPr="00483448">
        <w:rPr>
          <w:rFonts w:ascii="Book Antiqua" w:hAnsi="Book Antiqua"/>
          <w:color w:val="000000"/>
        </w:rPr>
        <w:t xml:space="preserve"> to increased focus on optimising patients’ nutritional status throughout the whole </w:t>
      </w:r>
      <w:r w:rsidR="008E5091" w:rsidRPr="00483448">
        <w:rPr>
          <w:rFonts w:ascii="Book Antiqua" w:hAnsi="Book Antiqua"/>
          <w:color w:val="000000"/>
        </w:rPr>
        <w:t xml:space="preserve">continuum of </w:t>
      </w:r>
      <w:r w:rsidR="002772C6" w:rsidRPr="00483448">
        <w:rPr>
          <w:rFonts w:ascii="Book Antiqua" w:hAnsi="Book Antiqua"/>
          <w:color w:val="000000"/>
        </w:rPr>
        <w:t xml:space="preserve">their </w:t>
      </w:r>
      <w:r w:rsidR="008E5091" w:rsidRPr="00483448">
        <w:rPr>
          <w:rFonts w:ascii="Book Antiqua" w:hAnsi="Book Antiqua"/>
          <w:color w:val="000000"/>
        </w:rPr>
        <w:t>management</w:t>
      </w:r>
      <w:r w:rsidR="002772C6" w:rsidRPr="00483448">
        <w:rPr>
          <w:rFonts w:ascii="Book Antiqua" w:hAnsi="Book Antiqua"/>
          <w:color w:val="000000"/>
        </w:rPr>
        <w:t>.</w:t>
      </w:r>
    </w:p>
    <w:p w:rsidR="00ED4CD9" w:rsidRPr="00483448" w:rsidRDefault="00DF6245"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Patients with oesophageal cancer have complex nutritional needs. </w:t>
      </w:r>
      <w:r w:rsidR="008D5676" w:rsidRPr="00483448">
        <w:rPr>
          <w:rFonts w:ascii="Book Antiqua" w:hAnsi="Book Antiqua"/>
          <w:color w:val="000000"/>
        </w:rPr>
        <w:t xml:space="preserve">Such patients often experience the onset of a catabolic state induced by the malignancy as well as tumour-associated dysphagia. </w:t>
      </w:r>
      <w:r w:rsidR="007A31F3" w:rsidRPr="00483448">
        <w:rPr>
          <w:rFonts w:ascii="Book Antiqua" w:hAnsi="Book Antiqua"/>
          <w:color w:val="000000"/>
        </w:rPr>
        <w:t xml:space="preserve">The use of multiple strategies </w:t>
      </w:r>
      <w:r w:rsidR="00FD2324" w:rsidRPr="00483448">
        <w:rPr>
          <w:rFonts w:ascii="Book Antiqua" w:hAnsi="Book Antiqua"/>
          <w:color w:val="000000"/>
        </w:rPr>
        <w:t xml:space="preserve">to manage disease progression </w:t>
      </w:r>
      <w:r w:rsidR="007A31F3" w:rsidRPr="00483448">
        <w:rPr>
          <w:rFonts w:ascii="Book Antiqua" w:hAnsi="Book Antiqua"/>
          <w:color w:val="000000"/>
        </w:rPr>
        <w:t xml:space="preserve">including radiation, chemotherapy and surgical resection present an additional nutritional burden to these patients who are often malnourished at presentation. </w:t>
      </w:r>
      <w:r w:rsidR="00B42BDC" w:rsidRPr="00483448">
        <w:rPr>
          <w:rFonts w:ascii="Book Antiqua" w:hAnsi="Book Antiqua"/>
          <w:color w:val="000000"/>
        </w:rPr>
        <w:t xml:space="preserve">Adequate nutritional </w:t>
      </w:r>
      <w:r w:rsidR="003B6173" w:rsidRPr="00483448">
        <w:rPr>
          <w:rFonts w:ascii="Book Antiqua" w:hAnsi="Book Antiqua"/>
          <w:color w:val="000000"/>
        </w:rPr>
        <w:t>reserves are</w:t>
      </w:r>
      <w:r w:rsidR="00B42BDC" w:rsidRPr="00483448">
        <w:rPr>
          <w:rFonts w:ascii="Book Antiqua" w:hAnsi="Book Antiqua"/>
          <w:color w:val="000000"/>
        </w:rPr>
        <w:t xml:space="preserve"> essential to allow patients to tolerate neo</w:t>
      </w:r>
      <w:r w:rsidR="009C57CB" w:rsidRPr="00483448">
        <w:rPr>
          <w:rFonts w:ascii="Book Antiqua" w:hAnsi="Book Antiqua"/>
          <w:color w:val="000000"/>
        </w:rPr>
        <w:t>-</w:t>
      </w:r>
      <w:r w:rsidR="00B42BDC" w:rsidRPr="00483448">
        <w:rPr>
          <w:rFonts w:ascii="Book Antiqua" w:hAnsi="Book Antiqua"/>
          <w:color w:val="000000"/>
        </w:rPr>
        <w:t xml:space="preserve">adjuvant chemotherapy as well as </w:t>
      </w:r>
      <w:r w:rsidR="008E5091" w:rsidRPr="00483448">
        <w:rPr>
          <w:rFonts w:ascii="Book Antiqua" w:hAnsi="Book Antiqua"/>
          <w:color w:val="000000"/>
        </w:rPr>
        <w:t>subsequent</w:t>
      </w:r>
      <w:r w:rsidR="00B42BDC" w:rsidRPr="00483448">
        <w:rPr>
          <w:rFonts w:ascii="Book Antiqua" w:hAnsi="Book Antiqua"/>
          <w:color w:val="000000"/>
        </w:rPr>
        <w:t xml:space="preserve"> surgery. </w:t>
      </w:r>
      <w:r w:rsidR="008E5091" w:rsidRPr="00483448">
        <w:rPr>
          <w:rFonts w:ascii="Book Antiqua" w:hAnsi="Book Antiqua"/>
          <w:color w:val="000000"/>
        </w:rPr>
        <w:t xml:space="preserve">Malnourishment and sarcopenia are well documented phenomena in oesophageal cancer. </w:t>
      </w:r>
      <w:r w:rsidR="00DA08B1" w:rsidRPr="00483448">
        <w:rPr>
          <w:rFonts w:ascii="Book Antiqua" w:hAnsi="Book Antiqua"/>
          <w:color w:val="000000"/>
        </w:rPr>
        <w:t>L</w:t>
      </w:r>
      <w:r w:rsidR="001825FC" w:rsidRPr="00483448">
        <w:rPr>
          <w:rFonts w:ascii="Book Antiqua" w:hAnsi="Book Antiqua"/>
          <w:color w:val="000000"/>
        </w:rPr>
        <w:t>ocal tumour effects, dysphagia, loss of appetite</w:t>
      </w:r>
      <w:r w:rsidR="000A33DA" w:rsidRPr="00483448">
        <w:rPr>
          <w:rFonts w:ascii="Book Antiqua" w:hAnsi="Book Antiqua"/>
          <w:color w:val="000000"/>
        </w:rPr>
        <w:t xml:space="preserve">, </w:t>
      </w:r>
      <w:r w:rsidR="001825FC" w:rsidRPr="00483448">
        <w:rPr>
          <w:rFonts w:ascii="Book Antiqua" w:hAnsi="Book Antiqua"/>
          <w:color w:val="000000"/>
        </w:rPr>
        <w:t xml:space="preserve">physical inactivity as well as psychological factors </w:t>
      </w:r>
      <w:r w:rsidR="0062386E" w:rsidRPr="00483448">
        <w:rPr>
          <w:rFonts w:ascii="Book Antiqua" w:hAnsi="Book Antiqua"/>
          <w:color w:val="000000"/>
        </w:rPr>
        <w:t xml:space="preserve">all </w:t>
      </w:r>
      <w:r w:rsidR="001825FC" w:rsidRPr="00483448">
        <w:rPr>
          <w:rFonts w:ascii="Book Antiqua" w:hAnsi="Book Antiqua"/>
          <w:color w:val="000000"/>
        </w:rPr>
        <w:t>impair dietary intake</w:t>
      </w:r>
      <w:r w:rsidR="001C48B0" w:rsidRPr="00483448">
        <w:rPr>
          <w:rFonts w:ascii="Book Antiqua" w:hAnsi="Book Antiqua"/>
          <w:color w:val="000000"/>
        </w:rPr>
        <w:t xml:space="preserve"> and </w:t>
      </w:r>
      <w:r w:rsidR="00FE3C95" w:rsidRPr="00483448">
        <w:rPr>
          <w:rFonts w:ascii="Book Antiqua" w:hAnsi="Book Antiqua"/>
          <w:color w:val="000000"/>
        </w:rPr>
        <w:t xml:space="preserve">serve to </w:t>
      </w:r>
      <w:r w:rsidR="001C48B0" w:rsidRPr="00483448">
        <w:rPr>
          <w:rFonts w:ascii="Book Antiqua" w:hAnsi="Book Antiqua"/>
          <w:color w:val="000000"/>
        </w:rPr>
        <w:t>compound cancer cachexia</w:t>
      </w:r>
      <w:r w:rsidR="00AB3F52"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{"citationItems":[{"id":"ITEM-1","itemData":{"DOI":"10.1093/dote/dox110","ISSN":"1442-2050","PMID":"29024949","abstract":"This narrative review aims to evaluate the evidence for the different nutritional approaches employed during neoadjuvant therapy in patients with locoregional esophageal cancer. Patients with esophageal cancer are often malnourished and difficult to optimize nutritionally. While evidence suggests that neoadjuvant therapy can offer a survival advantage, associated toxicity can exacerbate poor nutritional status. There is currently no accepted standard of care regarding optimal nutritional approach. A systematic literature search was undertaken. Studies describing the utilization of an additional nutritional intervention in patients with esophageal cancer receiving neoadjuvant therapy prior to esophagectomy were included. Primary outcome measure was 30-day postoperative mortality after esophagectomy. Secondary outcome measures were loss of weight during neoadjuvant therapy, completion rate of intended neoadjuvant therapy, complications from nutritional intervention, 30-day postoperative morbidity after esophagectomy and quality of life during neoadjuvant treatment. Given the heterogeneity of retrieved articles results was presented as a narrative review. Twenty-five studies were included of which 16 evaluated esophageal stenting, four feeding jejunostomy, three gastrostomy, one nasogastric feeding, and one comparative study of esophageal stenting to feeding jejunostomy. 30-day postoperative mortality was only reported in two of the 26 included studies limiting comparison between nutritional strategies. All studies of esophageal stents reported improvements in dysphagia with reported weight change ranging from -5.4 to +6 kg and one study reported 30-day postoperative mortality after esophagectomy (10%). In patients undergoing esophageal stenting for their neoadjuvant treatment overall migration rate was 29.9%. Studies of laparoscopically inserted jejunostomy were all retrospective reviews that demonstrated an increase in weight ranging from 0.4 to 11.8 kg and similarly no study reported 30-day postoperative mortality. Only one comparative study was included that compared esophageal stents to jejunostomy. This study reported no significant difference between the two groups in respect to complication rates (stents 22% vs. jejunostomy 4%, P = 0.11) or increase in weight (stents 4.4 kg vs. jejunostomy 4.2 kg, P = 0.59). Quality of life was also poorly reported. This review demonstrates the uncertainty on the optimal nutritional approach for patients with resec…","author":[{"dropping-particle":"","family":"Huddy","given":"J R","non-dropping-particle":"","parse-names":false,"suffix":""},{"dropping-particle":"","family":"Huddy","given":"F M S","non-dropping-particle":"","parse-names":false,"suffix":""},{"dropping-particle":"","family":"Markar","given":"S R","non-dropping-particle":"","parse-names":false,"suffix":""},{"dropping-particle":"","family":"Tucker","given":"O","non-dropping-particle":"","parse-names":false,"suffix":""}],"container-title":"Diseases of the esophagus : official journal of the International Society for Diseases of the Esophagus","id":"ITEM-1","issue":"1","issued":{"date-parts":[["2018","1","1"]]},"page":"1-11","title":"Nutritional optimization during neoadjuvant therapy prior to surgical resection of esophageal cancer-a narrative review.","type":"article-journal","volume":"31"},"uris":["http://www.mendeley.com/documents/?uuid=b1e7e73f-43f0-3607-9db1-ec8d2946d0f3"]},{"id":"ITEM-2","itemData":{"DOI":"10.1007/s00520-017-3993-0","ISSN":"0941-4355","author":[{"dropping-particle":"","family":"Guinan","given":"Emer M.","non-dropping-particle":"","parse-names":false,"suffix":""},{"dropping-particle":"","family":"Doyle","given":"S. L.","non-dropping-particle":"","parse-names":false,"suffix":""},{"dropping-particle":"","family":"Bennett","given":"A. E.","non-dropping-particle":"","parse-names":false,"suffix":""},{"dropping-particle":"","family":"O’Neill","given":"L.","non-dropping-particle":"","parse-names":false,"suffix":""},{"dropping-particle":"","family":"Gannon","given":"J.","non-dropping-particle":"","parse-names":false,"suffix":""},{"dropping-particle":"","family":"Elliott","given":"J. A.","non-dropping-particle":"","parse-names":false,"suffix":""},{"dropping-particle":"","family":"O’Sullivan","given":"J.","non-dropping-particle":"","parse-names":false,"suffix":""},{"dropping-particle":"V.","family":"Reynolds","given":"J.","non-dropping-particle":"","parse-names":false,"suffix":""},{"dropping-particle":"","family":"Hussey","given":"J.","non-dropping-particle":"","parse-names":false,"suffix":""}],"container-title":"Supportive Care in Cancer","id":"ITEM-2","issue":"5","issued":{"date-parts":[["2017","12","2"]]},"page":"1569-1576","publisher":"Springer Berlin Heidelberg","title":"Sarcopenia during neoadjuvant therapy for oesophageal cancer: characterising the impact on muscle strength and physical performance","type":"article-journal","volume":"26"},"uris":["http://www.mendeley.com/documents/?uuid=a6483836-22c4-3547-9850-be5b0a52843b"]},{"id":"ITEM-3","itemData":{"DOI":"10.1080/17474124.2017.1325320","ISSN":"1747-4124","PMID":"28454509","abstract":"INTRODUCTION Nutritional status and dietary intake are increasingly recognized as essential areas in esophageal cancer management. Nutritional management of esophageal cancer is a continuously evolving field and comprises an interesting area for scientific research. Areas covered: This review encompasses the current literature on nutrition in the pre-operative, peri-operative, and post-operative phases of esophageal cancer. Both established interventions and potential novel targets for nutritional management are discussed. Expert commentary: To ensure an optimal pre-operative status and to reduce peri-operative complications, it is key to assess nutritional status in all pre-operative esophageal cancer patients and to apply nutritional interventions accordingly. Since esophagectomy results in a permanent anatomical change, a special focus on nutritional strategies is needed in the post-operative phase, including early initiation of enteral feeding, nutritional interventions for post-operative complications, and attention to long-term nutritional intake and status. Nutritional aspects of pre-optimization and peri-operative management should be incorporated in novel Enhanced Recovery After Surgery programs for esophageal cancer.","author":[{"dropping-particle":"","family":"Steenhagen","given":"Elles","non-dropping-particle":"","parse-names":false,"suffix":""},{"dropping-particle":"","family":"Vulpen","given":"Jonna K.","non-dropping-particle":"van","parse-names":false,"suffix":""},{"dropping-particle":"","family":"Hillegersberg","given":"Richard","non-dropping-particle":"van","parse-names":false,"suffix":""},{"dropping-particle":"","family":"May","given":"Anne M.","non-dropping-particle":"","parse-names":false,"suffix":""},{"dropping-particle":"","family":"Siersema","given":"Peter D.","non-dropping-particle":"","parse-names":false,"suffix":""}],"container-title":"Expert Review of Gastroenterology &amp; Hepatology","id":"ITEM-3","issue":"7","issued":{"date-parts":[["2017","7","3"]]},"page":"663-672","title":"Nutrition in peri-operative esophageal cancer management","type":"article-journal","volume":"11"},"uris":["http://www.mendeley.com/documents/?uuid=9319d39a-59f5-3c13-bd0b-a72d2abe5239"]}],"mendeley":{"formattedCitation":"&lt;sup&gt;[2–4]&lt;/sup&gt;","plainTextFormattedCitation":"[2–4]","previouslyFormattedCitation":"(2–4)"},"properties":{"noteIndex":0},"schema":"https://github.com/citation-style-language/schema/raw/master/csl-citation.json"}</w:instrText>
      </w:r>
      <w:r w:rsidR="00AB3F52" w:rsidRPr="00483448">
        <w:rPr>
          <w:rFonts w:ascii="Book Antiqua" w:hAnsi="Book Antiqua"/>
          <w:color w:val="000000"/>
        </w:rPr>
        <w:fldChar w:fldCharType="separate"/>
      </w:r>
      <w:r w:rsidR="007D2F73" w:rsidRPr="00483448">
        <w:rPr>
          <w:rFonts w:ascii="Book Antiqua" w:hAnsi="Book Antiqua"/>
          <w:color w:val="000000"/>
          <w:vertAlign w:val="superscript"/>
        </w:rPr>
        <w:t>[2</w:t>
      </w:r>
      <w:r w:rsidR="00857500" w:rsidRPr="00483448">
        <w:rPr>
          <w:rFonts w:ascii="Book Antiqua" w:hAnsi="Book Antiqua" w:hint="eastAsia"/>
          <w:color w:val="000000"/>
          <w:vertAlign w:val="superscript"/>
          <w:lang w:eastAsia="zh-CN"/>
        </w:rPr>
        <w:t>-</w:t>
      </w:r>
      <w:r w:rsidR="007D2F73" w:rsidRPr="00483448">
        <w:rPr>
          <w:rFonts w:ascii="Book Antiqua" w:hAnsi="Book Antiqua"/>
          <w:color w:val="000000"/>
          <w:vertAlign w:val="superscript"/>
        </w:rPr>
        <w:t>4]</w:t>
      </w:r>
      <w:r w:rsidR="00AB3F52" w:rsidRPr="00483448">
        <w:rPr>
          <w:rFonts w:ascii="Book Antiqua" w:hAnsi="Book Antiqua"/>
          <w:color w:val="000000"/>
        </w:rPr>
        <w:fldChar w:fldCharType="end"/>
      </w:r>
      <w:r w:rsidR="00130202" w:rsidRPr="00483448">
        <w:rPr>
          <w:rFonts w:ascii="Book Antiqua" w:hAnsi="Book Antiqua"/>
          <w:color w:val="000000"/>
        </w:rPr>
        <w:t>. Malnourishment reduces the potential response of the malignancy to chemoradiotherapy and impairs the patient’s ability to tolerate the full course of treatment.  Nutritional deficiencies may also contribute to increased perioperative morbidity and mortality</w:t>
      </w:r>
      <w:r w:rsidR="00325402" w:rsidRPr="00483448">
        <w:rPr>
          <w:rFonts w:ascii="Book Antiqua" w:hAnsi="Book Antiqua"/>
          <w:color w:val="000000"/>
        </w:rPr>
        <w:t>.</w:t>
      </w:r>
    </w:p>
    <w:p w:rsidR="0007729C" w:rsidRPr="00483448" w:rsidRDefault="00ED4CD9"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 There are v</w:t>
      </w:r>
      <w:r w:rsidR="001825FC" w:rsidRPr="00483448">
        <w:rPr>
          <w:rFonts w:ascii="Book Antiqua" w:hAnsi="Book Antiqua"/>
          <w:color w:val="000000"/>
        </w:rPr>
        <w:t xml:space="preserve">arious indicators of nutritional status </w:t>
      </w:r>
      <w:r w:rsidRPr="00483448">
        <w:rPr>
          <w:rFonts w:ascii="Book Antiqua" w:hAnsi="Book Antiqua"/>
          <w:color w:val="000000"/>
        </w:rPr>
        <w:t xml:space="preserve">that </w:t>
      </w:r>
      <w:r w:rsidR="009A687A" w:rsidRPr="00483448">
        <w:rPr>
          <w:rFonts w:ascii="Book Antiqua" w:hAnsi="Book Antiqua"/>
          <w:color w:val="000000"/>
        </w:rPr>
        <w:t xml:space="preserve">predict </w:t>
      </w:r>
      <w:r w:rsidR="001825FC" w:rsidRPr="00483448">
        <w:rPr>
          <w:rFonts w:ascii="Book Antiqua" w:hAnsi="Book Antiqua"/>
          <w:color w:val="000000"/>
        </w:rPr>
        <w:t>an individual’s ability to tolerate neo</w:t>
      </w:r>
      <w:r w:rsidR="009C57CB" w:rsidRPr="00483448">
        <w:rPr>
          <w:rFonts w:ascii="Book Antiqua" w:hAnsi="Book Antiqua"/>
          <w:color w:val="000000"/>
        </w:rPr>
        <w:t>-</w:t>
      </w:r>
      <w:r w:rsidR="001825FC" w:rsidRPr="00483448">
        <w:rPr>
          <w:rFonts w:ascii="Book Antiqua" w:hAnsi="Book Antiqua"/>
          <w:color w:val="000000"/>
        </w:rPr>
        <w:t xml:space="preserve">adjuvant chemotherapy and surgery for oesophageal cancer. </w:t>
      </w:r>
      <w:r w:rsidR="00122260" w:rsidRPr="00483448">
        <w:rPr>
          <w:rFonts w:ascii="Book Antiqua" w:hAnsi="Book Antiqua"/>
          <w:color w:val="000000"/>
        </w:rPr>
        <w:t>Lower b</w:t>
      </w:r>
      <w:r w:rsidR="006567EF" w:rsidRPr="00483448">
        <w:rPr>
          <w:rFonts w:ascii="Book Antiqua" w:hAnsi="Book Antiqua"/>
          <w:color w:val="000000"/>
        </w:rPr>
        <w:t>ody mass index (BMI), s</w:t>
      </w:r>
      <w:r w:rsidR="001A3BC4" w:rsidRPr="00483448">
        <w:rPr>
          <w:rFonts w:ascii="Book Antiqua" w:hAnsi="Book Antiqua"/>
          <w:color w:val="000000"/>
        </w:rPr>
        <w:t xml:space="preserve">keletal muscle depletion, </w:t>
      </w:r>
      <w:r w:rsidR="006567EF" w:rsidRPr="00483448">
        <w:rPr>
          <w:rFonts w:ascii="Book Antiqua" w:hAnsi="Book Antiqua"/>
          <w:color w:val="000000"/>
        </w:rPr>
        <w:t xml:space="preserve">sarcopenia </w:t>
      </w:r>
      <w:r w:rsidR="001A3BC4" w:rsidRPr="00483448">
        <w:rPr>
          <w:rFonts w:ascii="Book Antiqua" w:hAnsi="Book Antiqua"/>
          <w:color w:val="000000"/>
        </w:rPr>
        <w:t xml:space="preserve">and sarcopenic obesity </w:t>
      </w:r>
      <w:r w:rsidR="006567EF" w:rsidRPr="00483448">
        <w:rPr>
          <w:rFonts w:ascii="Book Antiqua" w:hAnsi="Book Antiqua"/>
          <w:color w:val="000000"/>
        </w:rPr>
        <w:t>are associated with dose</w:t>
      </w:r>
      <w:r w:rsidR="000A33DA" w:rsidRPr="00483448">
        <w:rPr>
          <w:rFonts w:ascii="Book Antiqua" w:hAnsi="Book Antiqua"/>
          <w:color w:val="000000"/>
        </w:rPr>
        <w:t>-</w:t>
      </w:r>
      <w:r w:rsidR="006567EF" w:rsidRPr="00483448">
        <w:rPr>
          <w:rFonts w:ascii="Book Antiqua" w:hAnsi="Book Antiqua"/>
          <w:color w:val="000000"/>
        </w:rPr>
        <w:t xml:space="preserve">limiting toxicity </w:t>
      </w:r>
      <w:r w:rsidR="00DB5429" w:rsidRPr="00483448">
        <w:rPr>
          <w:rFonts w:ascii="Book Antiqua" w:hAnsi="Book Antiqua"/>
          <w:color w:val="000000"/>
        </w:rPr>
        <w:t xml:space="preserve">(DLT) </w:t>
      </w:r>
      <w:r w:rsidR="006567EF" w:rsidRPr="00483448">
        <w:rPr>
          <w:rFonts w:ascii="Book Antiqua" w:hAnsi="Book Antiqua"/>
          <w:color w:val="000000"/>
        </w:rPr>
        <w:t>during treatment with neo</w:t>
      </w:r>
      <w:r w:rsidR="009C57CB" w:rsidRPr="00483448">
        <w:rPr>
          <w:rFonts w:ascii="Book Antiqua" w:hAnsi="Book Antiqua"/>
          <w:color w:val="000000"/>
        </w:rPr>
        <w:t>-</w:t>
      </w:r>
      <w:r w:rsidR="006567EF" w:rsidRPr="00483448">
        <w:rPr>
          <w:rFonts w:ascii="Book Antiqua" w:hAnsi="Book Antiqua"/>
          <w:color w:val="000000"/>
        </w:rPr>
        <w:t>adjuvant chemotherapy</w:t>
      </w:r>
      <w:r w:rsidR="004947ED"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{"citationItems":[{"id":"ITEM-1","itemData":{"DOI":"10.1080/17474124.2017.1325320","ISSN":"1747-4124","PMID":"28454509","abstract":"INTRODUCTION Nutritional status and dietary intake are increasingly recognized as essential areas in esophageal cancer management. Nutritional management of esophageal cancer is a continuously evolving field and comprises an interesting area for scientific research. Areas covered: This review encompasses the current literature on nutrition in the pre-operative, peri-operative, and post-operative phases of esophageal cancer. Both established interventions and potential novel targets for nutritional management are discussed. Expert commentary: To ensure an optimal pre-operative status and to reduce peri-operative complications, it is key to assess nutritional status in all pre-operative esophageal cancer patients and to apply nutritional interventions accordingly. Since esophagectomy results in a permanent anatomical change, a special focus on nutritional strategies is needed in the post-operative phase, including early initiation of enteral feeding, nutritional interventions for post-operative complications, and attention to long-term nutritional intake and status. Nutritional aspects of pre-optimization and peri-operative management should be incorporated in novel Enhanced Recovery After Surgery programs for esophageal cancer.","author":[{"dropping-particle":"","family":"Steenhagen","given":"Elles","non-dropping-particle":"","parse-names":false,"suffix":""},{"dropping-particle":"","family":"Vulpen","given":"Jonna K.","non-dropping-particle":"van","parse-names":false,"suffix":""},{"dropping-particle":"","family":"Hillegersberg","given":"Richard","non-dropping-particle":"van","parse-names":false,"suffix":""},{"dropping-particle":"","family":"May","given":"Anne M.","non-dropping-particle":"","parse-names":false,"suffix":""},{"dropping-particle":"","family":"Siersema","given":"Peter D.","non-dropping-particle":"","parse-names":false,"suffix":""}],"container-title":"Expert Review of Gastroenterology &amp; Hepatology","id":"ITEM-1","issue":"7","issued":{"date-parts":[["2017","7","3"]]},"page":"663-672","title":"Nutrition in peri-operative esophageal cancer management","type":"article-journal","volume":"11"},"uris":["http://www.mendeley.com/documents/?uuid=9319d39a-59f5-3c13-bd0b-a72d2abe5239"]},{"id":"ITEM-2","itemData":{"DOI":"10.1016/j.ejso.2014.11.040","ISSN":"1532-2157","PMID":"25498359","abstract":"BACKGROUND Patients with potentially curative oesophago-gastric cancer typically undergo neo-adjuvant chemotherapy prior to surgery. The majority of anti-cancer drugs have a narrow therapeutic index. The aim of this study was to determine if features of body composition, assessed using computed tomography (CT) scans, may be predictive of dose-limiting toxicity (DLT) in patients undergoing neo-adjuvant chemotherapy for oesophago-gastric cancer. The influence of sarcopenia and DLT on overall survival was also evaluated. METHODS 89 Patients having potentially curative oesophago-gastric cancer surgery were studied. Patients studied had histologically confirmed oesophago-gastric cancer with no evidence of distant metastasis on pre-operative staging. CT scan was performed in all cases at diagnosis. DLT was defined as toxicity leading to postponement of treatment, a drug dose reduction or definitive interruption of drug administration. RESULTS DLT occurred in 37 out of 89 patients (41.6%) undergoing chemotherapy. Sarcopenia (odds ratio, 2.95; 95% confidence interval, 1.23-7.09; p = 0.015) was associated with DLT on multivariate analysis. Median overall survival for patients who were sarcopenic was 569 days (IQ range: 357-1230 days) vs. 1013 days (IQ range: 496-1318 days) for patients who were not sarcopenic (p = 0.04). There was no significant difference in overall survival in patients who experienced DLT compared with those that did not (p = 0.665). CONCLUSIONS Sarcopenia is a significant predictor of DLT in oesophago-gastric cancer patients undergoing neo-adjuvant chemotherapy. These results raise the potential for use of assessment of skeletal muscle mass using CT scans to predict toxicity and individualize chemotherapy dosing.","author":[{"dropping-particle":"","family":"Tan","given":"B H L","non-dropping-particle":"","parse-names":false,"suffix":""},{"dropping-particle":"","family":"Brammer","given":"K","non-dropping-particle":"","parse-names":false,"suffix":""},{"dropping-particle":"","family":"Randhawa","given":"N","non-dropping-particle":"","parse-names":false,"suffix":""},{"dropping-particle":"","family":"Welch","given":"N T","non-dropping-particle":"","parse-names":false,"suffix":""},{"dropping-particle":"","family":"Parsons","given":"S L","non-dropping-particle":"","parse-names":false,"suffix":""},{"dropping-particle":"","family":"James","given":"E J","non-dropping-particle":"","parse-names":false,"suffix":""},{"dropping-particle":"","family":"Catton","given":"J A","non-dropping-particle":"","parse-names":false,"suffix":""}],"container-title":"European journal of surgical oncology : the journal of the European Society of Surgical Oncology and the British Association of Surgical Oncology","id":"ITEM-2","issue":"3","issued":{"date-parts":[["2015","3"]]},"page":"333-8","title":"Sarcopenia is associated with toxicity in patients undergoing neo-adjuvant chemotherapy for oesophago-gastric cancer.","type":"article-journal","volume":"41"},"uris":["http://www.mendeley.com/documents/?uuid=01507e6b-7453-3e3e-b73e-0144da799bae"]},{"id":"ITEM-3","itemData":{"DOI":"10.1634/theoncologist.2016-0066","ISSN":"1083-7159","PMID":"27412391","abstract":": In several diseases, low muscle mass has been revealed as an unfavorable prognostic factor for outcome. Whether this holds true in patients with solid malignancies as well has increasingly been explored recently. However, this research field is severely hampered by a lack of consensus on how to determine muscle mass in cancer patients and on the definition of low muscle mass. Consequently, the prevalence of low muscle mass varies widely across several studies. Nevertheless, most studies show that, in patients with solid malignancies, low muscle mass is associated with a poor outcome. In the future, more research is needed to get better insight into the best method to determine muscle mass, the exact prognostic value of low muscle mass in diverse tumor types and stages, pathophysiology of low muscle mass in patients with cancer, and ways to intervene and improve muscle mass in patients. This review addresses the current literature on the importance of muscle mass in cancer patients and the methods of muscle measurement. IMPLICATIONS FOR PRACTICE An increasing number of studies underline the clinical value of low muscle mass as a prognostic factor for adverse outcomes in cancer patients. However, studies show large heterogeneity because of the lack of a standardized approach to measure muscle mass and the lack of reference populations. As a result, the interpretation of data and further progress are severely hampered, hindering the implementation of muscle measurement in oncological care. This review summarizes the methods of diagnosing low muscle mass in cancer patients, the difference between underlying syndromes such as sarcopenia and cachexia, and the association with clinical outcomes described so far.","author":[{"dropping-particle":"","family":"Rier","given":"Hánah N.","non-dropping-particle":"","parse-names":false,"suffix":""},{"dropping-particle":"","family":"Jager","given":"Agnes","non-dropping-particle":"","parse-names":false,"suffix":""},{"dropping-particle":"","family":"Sleijfer","given":"Stefan","non-dropping-particle":"","parse-names":false,"suffix":""},{"dropping-particle":"","family":"Maier","given":"Andrea B.","non-dropping-particle":"","parse-names":false,"suffix":""},{"dropping-particle":"","family":"Levin","given":"Mark-David","non-dropping-particle":"","parse-names":false,"suffix":""}],"container-title":"The Oncologist","id":"ITEM-3","issue":"11","issued":{"date-parts":[["2016","11"]]},"page":"1396-1409","title":"The Prevalence and Prognostic Value of Low Muscle Mass in Cancer Patients: A Review of the Literature","type":"article-journal","volume":"21"},"uris":["http://www.mendeley.com/documents/?uuid=57b93493-2858-364c-a98f-04666abf5c58"]}],"mendeley":{"formattedCitation":"&lt;sup&gt;[4–6]&lt;/sup&gt;","plainTextFormattedCitation":"[4–6]","previouslyFormattedCitation":"(4–6)"},"properties":{"noteIndex":0},"schema":"https://github.com/citation-style-language/schema/raw/master/csl-citation.json"}</w:instrText>
      </w:r>
      <w:r w:rsidR="004947ED" w:rsidRPr="00483448">
        <w:rPr>
          <w:rFonts w:ascii="Book Antiqua" w:hAnsi="Book Antiqua"/>
          <w:color w:val="000000"/>
        </w:rPr>
        <w:fldChar w:fldCharType="separate"/>
      </w:r>
      <w:r w:rsidR="007D2F73" w:rsidRPr="00483448">
        <w:rPr>
          <w:rFonts w:ascii="Book Antiqua" w:hAnsi="Book Antiqua"/>
          <w:color w:val="000000"/>
          <w:vertAlign w:val="superscript"/>
        </w:rPr>
        <w:t>[4</w:t>
      </w:r>
      <w:r w:rsidR="00373D19" w:rsidRPr="00483448">
        <w:rPr>
          <w:rFonts w:ascii="Book Antiqua" w:hAnsi="Book Antiqua" w:hint="eastAsia"/>
          <w:color w:val="000000"/>
          <w:vertAlign w:val="superscript"/>
          <w:lang w:eastAsia="zh-CN"/>
        </w:rPr>
        <w:t>-</w:t>
      </w:r>
      <w:r w:rsidR="007D2F73" w:rsidRPr="00483448">
        <w:rPr>
          <w:rFonts w:ascii="Book Antiqua" w:hAnsi="Book Antiqua"/>
          <w:color w:val="000000"/>
          <w:vertAlign w:val="superscript"/>
        </w:rPr>
        <w:t>6]</w:t>
      </w:r>
      <w:r w:rsidR="004947ED" w:rsidRPr="00483448">
        <w:rPr>
          <w:rFonts w:ascii="Book Antiqua" w:hAnsi="Book Antiqua"/>
          <w:color w:val="000000"/>
        </w:rPr>
        <w:fldChar w:fldCharType="end"/>
      </w:r>
      <w:r w:rsidR="006567EF" w:rsidRPr="00483448">
        <w:rPr>
          <w:rFonts w:ascii="Book Antiqua" w:hAnsi="Book Antiqua"/>
          <w:color w:val="000000"/>
        </w:rPr>
        <w:t>.</w:t>
      </w:r>
      <w:r w:rsidR="00D2514F" w:rsidRPr="00483448">
        <w:rPr>
          <w:rFonts w:ascii="Book Antiqua" w:hAnsi="Book Antiqua"/>
          <w:color w:val="000000"/>
        </w:rPr>
        <w:t xml:space="preserve"> </w:t>
      </w:r>
      <w:r w:rsidR="003F3610" w:rsidRPr="00483448">
        <w:rPr>
          <w:rFonts w:ascii="Book Antiqua" w:hAnsi="Book Antiqua"/>
          <w:color w:val="000000"/>
        </w:rPr>
        <w:t>Treatment with neo</w:t>
      </w:r>
      <w:r w:rsidR="009C57CB" w:rsidRPr="00483448">
        <w:rPr>
          <w:rFonts w:ascii="Book Antiqua" w:hAnsi="Book Antiqua"/>
          <w:color w:val="000000"/>
        </w:rPr>
        <w:t>-</w:t>
      </w:r>
      <w:r w:rsidR="003F3610" w:rsidRPr="00483448">
        <w:rPr>
          <w:rFonts w:ascii="Book Antiqua" w:hAnsi="Book Antiqua"/>
          <w:color w:val="000000"/>
        </w:rPr>
        <w:t xml:space="preserve">adjuvant chemotherapy is </w:t>
      </w:r>
      <w:r w:rsidRPr="00483448">
        <w:rPr>
          <w:rFonts w:ascii="Book Antiqua" w:hAnsi="Book Antiqua"/>
          <w:color w:val="000000"/>
        </w:rPr>
        <w:t xml:space="preserve">also </w:t>
      </w:r>
      <w:r w:rsidR="003F3610" w:rsidRPr="00483448">
        <w:rPr>
          <w:rFonts w:ascii="Book Antiqua" w:hAnsi="Book Antiqua"/>
          <w:color w:val="000000"/>
        </w:rPr>
        <w:t>associated with changes in body composition. Indeed, A</w:t>
      </w:r>
      <w:r w:rsidR="00156465" w:rsidRPr="00483448">
        <w:rPr>
          <w:rFonts w:ascii="Book Antiqua" w:hAnsi="Book Antiqua"/>
          <w:color w:val="000000"/>
        </w:rPr>
        <w:t xml:space="preserve">wad </w:t>
      </w:r>
      <w:r w:rsidR="00156465" w:rsidRPr="00483448">
        <w:rPr>
          <w:rFonts w:ascii="Book Antiqua" w:hAnsi="Book Antiqua"/>
          <w:i/>
          <w:iCs/>
          <w:color w:val="000000"/>
        </w:rPr>
        <w:t>et al</w:t>
      </w:r>
      <w:r w:rsidR="004947ED"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{"citationItems":[{"id":"ITEM-1","itemData":{"DOI":"10.1016/j.clnu.2011.08.008","ISSN":"1532-1983","PMID":"21875767","abstract":"BACKGROUND &amp; AIMS Patients with sarcopenia [reduced fat free mass (FFM)] have a higher incidence of chemotherapy-related toxicity and decreased survival. As there are no such data in patients with oesophagogastric cancer (OGC), this study investigated changes in body composition in OGC patients receiving neoadjuvant chemotherapy (NAC). METHODS OGC patients who had CT scans before and after NAC were studied. CT images at the L3 vertebral level were analysed using SliceOmatic(®) software to derive estimates of FFM and fat mass (FM). Comparisons were made between pre- and post-NAC CT images. Data are reported as mean ± SD. RESULTS Forty-seven patients (34 male) aged 63 ± 12 years were studied and 79% completed their course of NAC. The interval between CT scans was 107 ± 27 days. The proportion of patients with sarcopenia increased from 57% pre-NAC to 79% post-NAC (p = 0.046). During NAC there were significant reductions in estimated FFM and FM (2.9 ± 4.7 kg, p &lt; 0.0001 and 1.3 ± 3.2 kg, p = 0.007, respectively). No association was demonstrated between loss of FFM and non-completion of NAC, increased hospital stay or mortality. CONCLUSIONS In patients with OGC commencing NAC, sarcopenia was present in 57%. NAC was associated with further reductions in FFM and an increase in the proportion of patients becoming sarcopenic.","author":[{"dropping-particle":"","family":"Awad","given":"Sherif","non-dropping-particle":"","parse-names":false,"suffix":""},{"dropping-particle":"","family":"Tan","given":"Benjamin H","non-dropping-particle":"","parse-names":false,"suffix":""},{"dropping-particle":"","family":"Cui","given":"Helen","non-dropping-particle":"","parse-names":false,"suffix":""},{"dropping-particle":"","family":"Bhalla","given":"Ashish","non-dropping-particle":"","parse-names":false,"suffix":""},{"dropping-particle":"","family":"Fearon","given":"Kenneth C H","non-dropping-particle":"","parse-names":false,"suffix":""},{"dropping-particle":"","family":"Parsons","given":"Simon L","non-dropping-particle":"","parse-names":false,"suffix":""},{"dropping-particle":"","family":"Catton","given":"James A","non-dropping-particle":"","parse-names":false,"suffix":""},{"dropping-particle":"","family":"Lobo","given":"Dileep N","non-dropping-particle":"","parse-names":false,"suffix":""}],"container-title":"Clinical nutrition (Edinburgh, Scotland)","id":"ITEM-1","issue":"1","issued":{"date-parts":[["2012","2"]]},"page":"74-7","title":"Marked changes in body composition following neoadjuvant chemotherapy for oesophagogastric cancer.","type":"article-journal","volume":"31"},"uris":["http://www.mendeley.com/documents/?uuid=586eef36-7925-36e5-a12f-7f71fdda98b9"]}],"mendeley":{"formattedCitation":"&lt;sup&gt;[7]&lt;/sup&gt;","plainTextFormattedCitation":"[7]","previouslyFormattedCitation":"(7)"},"properties":{"noteIndex":0},"schema":"https://github.com/citation-style-language/schema/raw/master/csl-citation.json"}</w:instrText>
      </w:r>
      <w:r w:rsidR="004947ED" w:rsidRPr="00483448">
        <w:rPr>
          <w:rFonts w:ascii="Book Antiqua" w:hAnsi="Book Antiqua"/>
          <w:b/>
          <w:color w:val="000000"/>
        </w:rPr>
        <w:fldChar w:fldCharType="separate"/>
      </w:r>
      <w:r w:rsidR="007D2F73" w:rsidRPr="00483448">
        <w:rPr>
          <w:rFonts w:ascii="Book Antiqua" w:hAnsi="Book Antiqua"/>
          <w:color w:val="000000"/>
          <w:vertAlign w:val="superscript"/>
        </w:rPr>
        <w:t>[7]</w:t>
      </w:r>
      <w:r w:rsidR="004947ED" w:rsidRPr="00483448">
        <w:rPr>
          <w:rFonts w:ascii="Book Antiqua" w:hAnsi="Book Antiqua"/>
          <w:b/>
          <w:color w:val="000000"/>
        </w:rPr>
        <w:fldChar w:fldCharType="end"/>
      </w:r>
      <w:r w:rsidR="003F3610" w:rsidRPr="00483448">
        <w:rPr>
          <w:rFonts w:ascii="Book Antiqua" w:hAnsi="Book Antiqua"/>
          <w:color w:val="000000"/>
        </w:rPr>
        <w:t xml:space="preserve"> showed a decrease in fat free mass</w:t>
      </w:r>
      <w:r w:rsidR="00D93991" w:rsidRPr="00483448">
        <w:rPr>
          <w:rFonts w:ascii="Book Antiqua" w:hAnsi="Book Antiqua"/>
          <w:color w:val="000000"/>
        </w:rPr>
        <w:t xml:space="preserve"> and increased prevalence of sarcopenia in their observational study</w:t>
      </w:r>
      <w:r w:rsidR="008A7043" w:rsidRPr="00483448">
        <w:rPr>
          <w:rFonts w:ascii="Book Antiqua" w:hAnsi="Book Antiqua"/>
          <w:color w:val="000000"/>
        </w:rPr>
        <w:t xml:space="preserve"> after treatment with neo</w:t>
      </w:r>
      <w:r w:rsidR="009C57CB" w:rsidRPr="00483448">
        <w:rPr>
          <w:rFonts w:ascii="Book Antiqua" w:hAnsi="Book Antiqua"/>
          <w:color w:val="000000"/>
        </w:rPr>
        <w:t>-</w:t>
      </w:r>
      <w:r w:rsidR="008A7043" w:rsidRPr="00483448">
        <w:rPr>
          <w:rFonts w:ascii="Book Antiqua" w:hAnsi="Book Antiqua"/>
          <w:color w:val="000000"/>
        </w:rPr>
        <w:t>adjuvant chemotherapy</w:t>
      </w:r>
      <w:r w:rsidR="003F3610" w:rsidRPr="00483448">
        <w:rPr>
          <w:rFonts w:ascii="Book Antiqua" w:hAnsi="Book Antiqua"/>
          <w:color w:val="000000"/>
        </w:rPr>
        <w:t xml:space="preserve">. </w:t>
      </w:r>
      <w:r w:rsidR="00601B03" w:rsidRPr="00483448">
        <w:rPr>
          <w:rFonts w:ascii="Book Antiqua" w:hAnsi="Book Antiqua"/>
          <w:color w:val="000000"/>
        </w:rPr>
        <w:t xml:space="preserve">Tsujimoto </w:t>
      </w:r>
      <w:r w:rsidR="00601B03" w:rsidRPr="00483448">
        <w:rPr>
          <w:rFonts w:ascii="Book Antiqua" w:hAnsi="Book Antiqua"/>
          <w:i/>
          <w:iCs/>
          <w:color w:val="000000"/>
        </w:rPr>
        <w:t xml:space="preserve">et </w:t>
      </w:r>
      <w:r w:rsidR="00601B03" w:rsidRPr="00483448">
        <w:rPr>
          <w:rFonts w:ascii="Book Antiqua" w:hAnsi="Book Antiqua"/>
          <w:i/>
          <w:iCs/>
          <w:color w:val="000000"/>
        </w:rPr>
        <w:lastRenderedPageBreak/>
        <w:t>al</w:t>
      </w:r>
      <w:r w:rsidR="004947ED"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{"citationItems":[{"id":"ITEM-1","itemData":{"DOI":"10.3892/mco.2015.612","ISSN":"2049-9450","PMID":"26807238","abstract":"The aim of this study was to describe a minimally invasive laparoscopic jejunostomy (Lap-J) technique for obstruction due to upper gastrointestinal malignancies and evaluate the nutritional benefit of Lap-J during neoadjuvant chemotherapy (NAC) in cases with obstructing esophageal cancer. Under general anesthesia, the jejunum 20-30 cm distant from the Treitz ligament was pulled out through an extended umbilical laparoscopic incision and a jejunal tube was inserted to 30 cm. The loop of bowel was gently returned to the abdomen and the feeding tube was drawn through the abdominal wall via the left lower incision. The jejunum was then laparoscopically sutured to the anterior abdominal wall. Lap-J was performed in 26 cases. The median operative time was 82 min. The postoperative course was uneventful. Lap-J prior to NAC was not associated with a decrease in body weight or serum total protein during NAC, compared with patients who received NAC without Lap-J. This minimally invasive jejunostomy technique may be particularly useful in patients in whom endoscopic therapy is not feasible due to obstruction from upper gastrointestinal malignancies.","author":[{"dropping-particle":"","family":"Tsujimoto","given":"Hironori","non-dropping-particle":"","parse-names":false,"suffix":""},{"dropping-particle":"","family":"Hiraki","given":"Shuichi","non-dropping-particle":"","parse-names":false,"suffix":""},{"dropping-particle":"","family":"Takahata","given":"Risa","non-dropping-particle":"","parse-names":false,"suffix":""},{"dropping-particle":"","family":"Nomura","given":"Shinsuke","non-dropping-particle":"","parse-names":false,"suffix":""},{"dropping-particle":"","family":"Ito","given":"Nozomi","non-dropping-particle":"","parse-names":false,"suffix":""},{"dropping-particle":"","family":"Kanematsu","given":"Kyohei","non-dropping-particle":"","parse-names":false,"suffix":""},{"dropping-particle":"","family":"Horiguchi","given":"Hiroyuki","non-dropping-particle":"","parse-names":false,"suffix":""},{"dropping-particle":"","family":"Aosasa","given":"Suefumi","non-dropping-particle":"","parse-names":false,"suffix":""},{"dropping-particle":"","family":"Yamamoto","given":"Junji","non-dropping-particle":"","parse-names":false,"suffix":""},{"dropping-particle":"","family":"Hase","given":"Kazuo","non-dropping-particle":"","parse-names":false,"suffix":""}],"container-title":"Molecular and clinical oncology","id":"ITEM-1","issue":"6","issued":{"date-parts":[["2015","11"]]},"page":"1307-1310","title":"Laparoscopic jejunostomy for obstructing upper gastrointestinal malignancies.","type":"article-journal","volume":"3"},"uris":["http://www.mendeley.com/documents/?uuid=b7d16d63-ecc5-3ad8-b755-32048a86dc21"]}],"mendeley":{"formattedCitation":"&lt;sup&gt;[8]&lt;/sup&gt;","plainTextFormattedCitation":"[8]","previouslyFormattedCitation":"(8)"},"properties":{"noteIndex":0},"schema":"https://github.com/citation-style-language/schema/raw/master/csl-citation.json"}</w:instrText>
      </w:r>
      <w:r w:rsidR="004947ED" w:rsidRPr="00483448">
        <w:rPr>
          <w:rFonts w:ascii="Book Antiqua" w:hAnsi="Book Antiqua"/>
          <w:b/>
          <w:color w:val="000000"/>
        </w:rPr>
        <w:fldChar w:fldCharType="separate"/>
      </w:r>
      <w:r w:rsidR="007D2F73" w:rsidRPr="00483448">
        <w:rPr>
          <w:rFonts w:ascii="Book Antiqua" w:hAnsi="Book Antiqua"/>
          <w:color w:val="000000"/>
          <w:vertAlign w:val="superscript"/>
        </w:rPr>
        <w:t>[8]</w:t>
      </w:r>
      <w:r w:rsidR="004947ED" w:rsidRPr="00483448">
        <w:rPr>
          <w:rFonts w:ascii="Book Antiqua" w:hAnsi="Book Antiqua"/>
          <w:b/>
          <w:color w:val="000000"/>
        </w:rPr>
        <w:fldChar w:fldCharType="end"/>
      </w:r>
      <w:r w:rsidR="00156465" w:rsidRPr="00483448">
        <w:rPr>
          <w:rFonts w:ascii="Book Antiqua" w:hAnsi="Book Antiqua"/>
          <w:color w:val="000000"/>
        </w:rPr>
        <w:t xml:space="preserve"> </w:t>
      </w:r>
      <w:r w:rsidR="00601B03" w:rsidRPr="00483448">
        <w:rPr>
          <w:rFonts w:ascii="Book Antiqua" w:hAnsi="Book Antiqua"/>
          <w:color w:val="000000"/>
        </w:rPr>
        <w:t xml:space="preserve">recorded </w:t>
      </w:r>
      <w:r w:rsidR="00605FEE" w:rsidRPr="00483448">
        <w:rPr>
          <w:rFonts w:ascii="Book Antiqua" w:hAnsi="Book Antiqua"/>
          <w:color w:val="000000"/>
        </w:rPr>
        <w:t>statistically significant decreases in body weight and serum total protein in patients who received neo</w:t>
      </w:r>
      <w:r w:rsidR="009C57CB" w:rsidRPr="00483448">
        <w:rPr>
          <w:rFonts w:ascii="Book Antiqua" w:hAnsi="Book Antiqua"/>
          <w:color w:val="000000"/>
        </w:rPr>
        <w:t>-</w:t>
      </w:r>
      <w:r w:rsidR="00605FEE" w:rsidRPr="00483448">
        <w:rPr>
          <w:rFonts w:ascii="Book Antiqua" w:hAnsi="Book Antiqua"/>
          <w:color w:val="000000"/>
        </w:rPr>
        <w:t xml:space="preserve">adjuvant chemotherapy. </w:t>
      </w:r>
      <w:r w:rsidR="006567EF" w:rsidRPr="00483448">
        <w:rPr>
          <w:rFonts w:ascii="Book Antiqua" w:hAnsi="Book Antiqua"/>
          <w:color w:val="000000"/>
        </w:rPr>
        <w:t>Toxicity</w:t>
      </w:r>
      <w:r w:rsidR="00DD5A8F" w:rsidRPr="00483448">
        <w:rPr>
          <w:rFonts w:ascii="Book Antiqua" w:hAnsi="Book Antiqua"/>
          <w:color w:val="000000"/>
        </w:rPr>
        <w:t xml:space="preserve"> </w:t>
      </w:r>
      <w:r w:rsidR="00D93991" w:rsidRPr="00483448">
        <w:rPr>
          <w:rFonts w:ascii="Book Antiqua" w:hAnsi="Book Antiqua"/>
          <w:color w:val="000000"/>
        </w:rPr>
        <w:t>from neo</w:t>
      </w:r>
      <w:r w:rsidR="008465F3" w:rsidRPr="00483448">
        <w:rPr>
          <w:rFonts w:ascii="Book Antiqua" w:hAnsi="Book Antiqua"/>
          <w:color w:val="000000"/>
        </w:rPr>
        <w:t>-</w:t>
      </w:r>
      <w:r w:rsidR="00D93991" w:rsidRPr="00483448">
        <w:rPr>
          <w:rFonts w:ascii="Book Antiqua" w:hAnsi="Book Antiqua"/>
          <w:color w:val="000000"/>
        </w:rPr>
        <w:t>adjuvant chemotherapy</w:t>
      </w:r>
      <w:r w:rsidR="006567EF" w:rsidRPr="00483448">
        <w:rPr>
          <w:rFonts w:ascii="Book Antiqua" w:hAnsi="Book Antiqua"/>
          <w:color w:val="000000"/>
        </w:rPr>
        <w:t xml:space="preserve"> can </w:t>
      </w:r>
      <w:r w:rsidR="009A687A" w:rsidRPr="00483448">
        <w:rPr>
          <w:rFonts w:ascii="Book Antiqua" w:hAnsi="Book Antiqua"/>
          <w:color w:val="000000"/>
        </w:rPr>
        <w:t xml:space="preserve">also </w:t>
      </w:r>
      <w:r w:rsidR="006567EF" w:rsidRPr="00483448">
        <w:rPr>
          <w:rFonts w:ascii="Book Antiqua" w:hAnsi="Book Antiqua"/>
          <w:color w:val="000000"/>
        </w:rPr>
        <w:t>lead to further malnutrition and weight loss</w:t>
      </w:r>
      <w:r w:rsidR="009D228F" w:rsidRPr="00483448">
        <w:rPr>
          <w:rFonts w:ascii="Book Antiqua" w:hAnsi="Book Antiqua"/>
          <w:color w:val="000000"/>
        </w:rPr>
        <w:t>. Thus</w:t>
      </w:r>
      <w:r w:rsidR="006567EF" w:rsidRPr="00483448">
        <w:rPr>
          <w:rFonts w:ascii="Book Antiqua" w:hAnsi="Book Antiqua"/>
          <w:color w:val="000000"/>
        </w:rPr>
        <w:t>,</w:t>
      </w:r>
      <w:r w:rsidR="009D228F" w:rsidRPr="00483448">
        <w:rPr>
          <w:rFonts w:ascii="Book Antiqua" w:hAnsi="Book Antiqua"/>
          <w:color w:val="000000"/>
        </w:rPr>
        <w:t xml:space="preserve"> further changes in body composition</w:t>
      </w:r>
      <w:r w:rsidR="006567EF" w:rsidRPr="00483448">
        <w:rPr>
          <w:rFonts w:ascii="Book Antiqua" w:hAnsi="Book Antiqua"/>
          <w:color w:val="000000"/>
        </w:rPr>
        <w:t xml:space="preserve"> </w:t>
      </w:r>
      <w:r w:rsidR="005F369E" w:rsidRPr="00483448">
        <w:rPr>
          <w:rFonts w:ascii="Book Antiqua" w:hAnsi="Book Antiqua"/>
          <w:color w:val="000000"/>
        </w:rPr>
        <w:t xml:space="preserve">can affect tolerability of subsequent treatment, </w:t>
      </w:r>
      <w:r w:rsidR="006567EF" w:rsidRPr="00483448">
        <w:rPr>
          <w:rFonts w:ascii="Book Antiqua" w:hAnsi="Book Antiqua"/>
          <w:color w:val="000000"/>
        </w:rPr>
        <w:t>which in turn relate</w:t>
      </w:r>
      <w:r w:rsidR="005F369E" w:rsidRPr="00483448">
        <w:rPr>
          <w:rFonts w:ascii="Book Antiqua" w:hAnsi="Book Antiqua"/>
          <w:color w:val="000000"/>
        </w:rPr>
        <w:t>s</w:t>
      </w:r>
      <w:r w:rsidR="006567EF" w:rsidRPr="00483448">
        <w:rPr>
          <w:rFonts w:ascii="Book Antiqua" w:hAnsi="Book Antiqua"/>
          <w:color w:val="000000"/>
        </w:rPr>
        <w:t xml:space="preserve"> to poorer patient outcomes</w:t>
      </w:r>
      <w:r w:rsidR="004947ED"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{"citationItems":[{"id":"ITEM-1","itemData":{"DOI":"10.1007/s00520-017-3993-0","ISSN":"0941-4355","author":[{"dropping-particle":"","family":"Guinan","given":"Emer M.","non-dropping-particle":"","parse-names":false,"suffix":""},{"dropping-particle":"","family":"Doyle","given":"S. L.","non-dropping-particle":"","parse-names":false,"suffix":""},{"dropping-particle":"","family":"Bennett","given":"A. E.","non-dropping-particle":"","parse-names":false,"suffix":""},{"dropping-particle":"","family":"O’Neill","given":"L.","non-dropping-particle":"","parse-names":false,"suffix":""},{"dropping-particle":"","family":"Gannon","given":"J.","non-dropping-particle":"","parse-names":false,"suffix":""},{"dropping-particle":"","family":"Elliott","given":"J. A.","non-dropping-particle":"","parse-names":false,"suffix":""},{"dropping-particle":"","family":"O’Sullivan","given":"J.","non-dropping-particle":"","parse-names":false,"suffix":""},{"dropping-particle":"V.","family":"Reynolds","given":"J.","non-dropping-particle":"","parse-names":false,"suffix":""},{"dropping-particle":"","family":"Hussey","given":"J.","non-dropping-particle":"","parse-names":false,"suffix":""}],"container-title":"Supportive Care in Cancer","id":"ITEM-1","issue":"5","issued":{"date-parts":[["2017","12","2"]]},"page":"1569-1576","publisher":"Springer Berlin Heidelberg","title":"Sarcopenia during neoadjuvant therapy for oesophageal cancer: characterising the impact on muscle strength and physical performance","type":"article-journal","volume":"26"},"uris":["http://www.mendeley.com/documents/?uuid=a6483836-22c4-3547-9850-be5b0a52843b"]},{"id":"ITEM-2","itemData":{"DOI":"10.1007/s00330-014-3110-4","ISSN":"1432-1084","PMID":"24535076","abstract":"OBJECTIVES Sarcopenia and changes in body composition following neoadjuvant chemotherapy (NAC) may affect clinical outcome. We assessed the associations between CT body composition changes following NAC and outcomes in oesophageal cancer. METHODS A total of 35 patients who received NAC followed by oesophagectomy, and underwent CT assessment pre- and post-NAC were included. Fat mass (FM), fat-free mass (FFM), subcutaneous fat to muscle ratio (FMR) and visceral to subcutaneous adipose tissue ratio (VA/SA) were derived from CT. Changes in FM, FFM, FMR, VA/SA and sarcopenia were correlated to chemotherapy dose reductions, postoperative complications, length of hospital stay (LOS), circumferential resection margin (CRM), pathological chemotherapy response, disease-free survival (DFS) and overall survival (OS). RESULTS Nine (26 %) patients were sarcopenic before NAC and this increased to 15 (43 %) after NAC. Average weight loss was 3.7 %</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6.4 (SD) in comparison to FM index (-1.2</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4.2), FFM index (-4.6</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6.8), FMR (-1.2</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24.3) and VA/SA (-62.3</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12.7). Changes in FM index (p</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0.022), FMR (p</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0.028), VA/SA (p</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0.024) and weight (p</w:instrText>
      </w:r>
      <w:r w:rsidR="007D2F73" w:rsidRPr="00483448">
        <w:rPr>
          <w:rFonts w:ascii="Times New Roman" w:hAnsi="Times New Roman"/>
          <w:b/>
          <w:color w:val="000000"/>
        </w:rPr>
        <w:instrText> </w:instrText>
      </w:r>
      <w:r w:rsidR="007D2F73" w:rsidRPr="00483448">
        <w:rPr>
          <w:rFonts w:ascii="Book Antiqua" w:hAnsi="Book Antiqua"/>
          <w:b/>
          <w:color w:val="000000"/>
        </w:rPr>
        <w:instrText>=</w:instrText>
      </w:r>
      <w:r w:rsidR="007D2F73" w:rsidRPr="00483448">
        <w:rPr>
          <w:rFonts w:ascii="Times New Roman" w:hAnsi="Times New Roman"/>
          <w:b/>
          <w:color w:val="000000"/>
        </w:rPr>
        <w:instrText> </w:instrText>
      </w:r>
      <w:r w:rsidR="007D2F73" w:rsidRPr="00483448">
        <w:rPr>
          <w:rFonts w:ascii="Book Antiqua" w:hAnsi="Book Antiqua"/>
          <w:b/>
          <w:color w:val="000000"/>
        </w:rPr>
        <w:instrText>0.007) were significant univariable factors for CRM status. There was no significant association between changes in body composition and survival. CONCLUSIONS Loss of FM, differential loss of VA/SA and skeletal muscle were associated with risk of CRM positivity. KEY POINTS • Changes in CT body composition occur after neoadjuvant chemotherapy in oesophageal cancer. • Sarcopenia was more prevalent after neoadjuvant chemotherapy. • Fat mass, fat-free mass and weight decreased after neoadjuvant chemotherapy. • Changes in body composition were associated with CRM positivity. • Changes in body composition did not affect perioperative complications and survival.","author":[{"dropping-particle":"","family":"Yip","given":"Connie","non-dropping-particle":"","parse-names":false,"suffix":""},{"dropping-particle":"","family":"Goh","given":"Vicky","non-dropping-particle":"","parse-names":false,"suffix":""},{"dropping-particle":"","family":"Davies","given":"Andrew","non-dropping-particle":"","parse-names":false,"suffix":""},{"dropping-particle":"","family":"Gossage","given":"James","non-dropping-particle":"","parse-names":false,"suffix":""},{"dropping-particle":"","family":"Mitchell-Hay","given":"Rosalind","non-dropping-particle":"","parse-names":false,"suffix":""},{"dropping-particle":"","family":"Hynes","given":"Orla","non-dropping-particle":"","parse-names":false,"suffix":""},{"dropping-particle":"","family":"Maisey","given":"Nick","non-dropping-particle":"","parse-names":false,"suffix":""},{"dropping-particle":"","family":"Ross","given":"Paul","non-dropping-particle":"","parse-names":false,"suffix":""},{"dropping-particle":"","family":"Gaya","given":"Andrew","non-dropping-particle":"","parse-names":false,"suffix":""},{"dropping-particle":"","family":"Landau","given":"David B","non-dropping-particle":"","parse-names":false,"suffix":""},{"dropping-particle":"","family":"Cook","given":"Gary J","non-dropping-particle":"","parse-names":false,"suffix":""},{"dropping-particle":"","family":"Griffin","given":"Nyree","non-dropping-particle":"","parse-names":false,"suffix":""},{"dropping-particle":"","family":"Mason","given":"Robert","non-dropping-particle":"","parse-names":false,"suffix":""}],"container-title":"European radiology","id":"ITEM-2","issue":"5","issued":{"date-parts":[["2014","5","18"]]},"page":"998-1005","title":"Assessment of sarcopenia and changes in body composition after neoadjuvant chemotherapy and associations with clinical outcomes in oesophageal cancer.","type":"article-journal","volume":"24"},"uris":["http://www.mendeley.com/documents/?uuid=06fb9f46-29d6-3361-af1f-2b69c69a0ae1"]}],"mendeley":{"formattedCitation":"&lt;sup&gt;[3,9]&lt;/sup&gt;","plainTextFormattedCitation":"[3,9]","previouslyFormattedCitation":"(3,9)"},"properties":{"noteIndex":0},"schema":"https://github.com/citation-style-language/schema/raw/master/csl-citation.json"}</w:instrText>
      </w:r>
      <w:r w:rsidR="004947ED" w:rsidRPr="00483448">
        <w:rPr>
          <w:rFonts w:ascii="Book Antiqua" w:hAnsi="Book Antiqua"/>
          <w:b/>
          <w:color w:val="000000"/>
        </w:rPr>
        <w:fldChar w:fldCharType="separate"/>
      </w:r>
      <w:r w:rsidR="007D2F73" w:rsidRPr="00483448">
        <w:rPr>
          <w:rFonts w:ascii="Book Antiqua" w:hAnsi="Book Antiqua"/>
          <w:color w:val="000000"/>
          <w:vertAlign w:val="superscript"/>
        </w:rPr>
        <w:t>[3,9]</w:t>
      </w:r>
      <w:r w:rsidR="004947ED" w:rsidRPr="00483448">
        <w:rPr>
          <w:rFonts w:ascii="Book Antiqua" w:hAnsi="Book Antiqua"/>
          <w:b/>
          <w:color w:val="000000"/>
        </w:rPr>
        <w:fldChar w:fldCharType="end"/>
      </w:r>
      <w:r w:rsidR="006567EF" w:rsidRPr="00483448">
        <w:rPr>
          <w:rFonts w:ascii="Book Antiqua" w:hAnsi="Book Antiqua"/>
          <w:color w:val="000000"/>
        </w:rPr>
        <w:t>.</w:t>
      </w:r>
    </w:p>
    <w:p w:rsidR="009A687A" w:rsidRPr="00483448" w:rsidRDefault="008465F3" w:rsidP="004C5FED">
      <w:pPr>
        <w:pStyle w:val="1-2"/>
        <w:snapToGrid w:val="0"/>
        <w:spacing w:line="360" w:lineRule="auto"/>
        <w:jc w:val="both"/>
        <w:rPr>
          <w:rFonts w:ascii="Book Antiqua" w:hAnsi="Book Antiqua"/>
          <w:color w:val="000000"/>
        </w:rPr>
      </w:pPr>
      <w:r w:rsidRPr="00483448">
        <w:rPr>
          <w:rFonts w:ascii="Book Antiqua" w:hAnsi="Book Antiqua"/>
          <w:color w:val="000000"/>
        </w:rPr>
        <w:tab/>
      </w:r>
      <w:r w:rsidR="00D341EE" w:rsidRPr="00483448">
        <w:rPr>
          <w:rFonts w:ascii="Book Antiqua" w:hAnsi="Book Antiqua"/>
          <w:color w:val="000000"/>
        </w:rPr>
        <w:t xml:space="preserve">The period preceding surgery is the </w:t>
      </w:r>
      <w:r w:rsidR="005E2899" w:rsidRPr="00483448">
        <w:rPr>
          <w:rFonts w:ascii="Book Antiqua" w:hAnsi="Book Antiqua"/>
          <w:color w:val="000000"/>
        </w:rPr>
        <w:t>ideal</w:t>
      </w:r>
      <w:r w:rsidR="00D341EE" w:rsidRPr="00483448">
        <w:rPr>
          <w:rFonts w:ascii="Book Antiqua" w:hAnsi="Book Antiqua"/>
          <w:color w:val="000000"/>
        </w:rPr>
        <w:t xml:space="preserve"> time to ensure patients are in the best possible state for surgery. </w:t>
      </w:r>
      <w:r w:rsidR="00522524" w:rsidRPr="00483448">
        <w:rPr>
          <w:rFonts w:ascii="Book Antiqua" w:hAnsi="Book Antiqua"/>
          <w:color w:val="000000"/>
        </w:rPr>
        <w:t>Optimisation of nutrition th</w:t>
      </w:r>
      <w:r w:rsidR="008871EF" w:rsidRPr="00483448">
        <w:rPr>
          <w:rFonts w:ascii="Book Antiqua" w:hAnsi="Book Antiqua"/>
          <w:color w:val="000000"/>
        </w:rPr>
        <w:t>rough nutritional screening and supplemen</w:t>
      </w:r>
      <w:r w:rsidR="00061143" w:rsidRPr="00483448">
        <w:rPr>
          <w:rFonts w:ascii="Book Antiqua" w:hAnsi="Book Antiqua"/>
          <w:color w:val="000000"/>
        </w:rPr>
        <w:t>t</w:t>
      </w:r>
      <w:r w:rsidR="008871EF" w:rsidRPr="00483448">
        <w:rPr>
          <w:rFonts w:ascii="Book Antiqua" w:hAnsi="Book Antiqua"/>
          <w:color w:val="000000"/>
        </w:rPr>
        <w:t>ation</w:t>
      </w:r>
      <w:r w:rsidR="00522524" w:rsidRPr="00483448">
        <w:rPr>
          <w:rFonts w:ascii="Book Antiqua" w:hAnsi="Book Antiqua"/>
          <w:color w:val="000000"/>
        </w:rPr>
        <w:t xml:space="preserve"> is an important consideration in the overall peri-operative management of oesophageal cancer, including during treatment with neo</w:t>
      </w:r>
      <w:r w:rsidR="009C57CB" w:rsidRPr="00483448">
        <w:rPr>
          <w:rFonts w:ascii="Book Antiqua" w:hAnsi="Book Antiqua"/>
          <w:color w:val="000000"/>
        </w:rPr>
        <w:t>-</w:t>
      </w:r>
      <w:r w:rsidR="00522524" w:rsidRPr="00483448">
        <w:rPr>
          <w:rFonts w:ascii="Book Antiqua" w:hAnsi="Book Antiqua"/>
          <w:color w:val="000000"/>
        </w:rPr>
        <w:t>adjuvant chemotherapy.</w:t>
      </w:r>
      <w:r w:rsidR="009A687A" w:rsidRPr="00483448">
        <w:rPr>
          <w:rFonts w:ascii="Book Antiqua" w:hAnsi="Book Antiqua"/>
          <w:color w:val="000000"/>
        </w:rPr>
        <w:t xml:space="preserve"> </w:t>
      </w:r>
    </w:p>
    <w:p w:rsidR="008E0122" w:rsidRPr="00483448" w:rsidRDefault="007A2DDF"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The use of </w:t>
      </w:r>
      <w:r w:rsidR="00ED4CD9" w:rsidRPr="00483448">
        <w:rPr>
          <w:rFonts w:ascii="Book Antiqua" w:hAnsi="Book Antiqua"/>
          <w:color w:val="000000"/>
        </w:rPr>
        <w:t xml:space="preserve">enteral </w:t>
      </w:r>
      <w:r w:rsidRPr="00483448">
        <w:rPr>
          <w:rFonts w:ascii="Book Antiqua" w:hAnsi="Book Antiqua"/>
          <w:color w:val="000000"/>
        </w:rPr>
        <w:t xml:space="preserve">feeding </w:t>
      </w:r>
      <w:r w:rsidR="00A33C79" w:rsidRPr="00483448">
        <w:rPr>
          <w:rFonts w:ascii="Book Antiqua" w:hAnsi="Book Antiqua"/>
          <w:i/>
          <w:iCs/>
          <w:color w:val="000000"/>
        </w:rPr>
        <w:t>via</w:t>
      </w:r>
      <w:r w:rsidR="00ED4CD9" w:rsidRPr="00483448">
        <w:rPr>
          <w:rFonts w:ascii="Book Antiqua" w:hAnsi="Book Antiqua"/>
          <w:color w:val="000000"/>
        </w:rPr>
        <w:t xml:space="preserve"> </w:t>
      </w:r>
      <w:r w:rsidRPr="00483448">
        <w:rPr>
          <w:rFonts w:ascii="Book Antiqua" w:hAnsi="Book Antiqua"/>
          <w:color w:val="000000"/>
        </w:rPr>
        <w:t>jejunostomy, particularly in oesophageal cancer,</w:t>
      </w:r>
      <w:r w:rsidR="004D3BA9" w:rsidRPr="00483448">
        <w:rPr>
          <w:rFonts w:ascii="Book Antiqua" w:hAnsi="Book Antiqua"/>
          <w:color w:val="000000"/>
        </w:rPr>
        <w:t xml:space="preserve"> </w:t>
      </w:r>
      <w:r w:rsidRPr="00483448">
        <w:rPr>
          <w:rFonts w:ascii="Book Antiqua" w:hAnsi="Book Antiqua"/>
          <w:color w:val="000000"/>
        </w:rPr>
        <w:t xml:space="preserve">is </w:t>
      </w:r>
      <w:r w:rsidR="00D86B3A" w:rsidRPr="00483448">
        <w:rPr>
          <w:rFonts w:ascii="Book Antiqua" w:hAnsi="Book Antiqua"/>
          <w:color w:val="000000"/>
        </w:rPr>
        <w:t xml:space="preserve">a reliable </w:t>
      </w:r>
      <w:r w:rsidRPr="00483448">
        <w:rPr>
          <w:rFonts w:ascii="Book Antiqua" w:hAnsi="Book Antiqua"/>
          <w:color w:val="000000"/>
        </w:rPr>
        <w:t xml:space="preserve">method to optimise nutrition. </w:t>
      </w:r>
      <w:r w:rsidR="00ED4CD9" w:rsidRPr="00483448">
        <w:rPr>
          <w:rFonts w:ascii="Book Antiqua" w:hAnsi="Book Antiqua"/>
          <w:color w:val="000000"/>
        </w:rPr>
        <w:t>The a</w:t>
      </w:r>
      <w:r w:rsidR="0040414B" w:rsidRPr="00483448">
        <w:rPr>
          <w:rFonts w:ascii="Book Antiqua" w:hAnsi="Book Antiqua"/>
          <w:color w:val="000000"/>
        </w:rPr>
        <w:t>ssociated risks of insertion do not significantly outweigh the conferred benefits</w:t>
      </w:r>
      <w:r w:rsidR="004947ED"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{"citationItems":[{"id":"ITEM-1","itemData":{"DOI":"10.3892/mco.2015.612","ISSN":"2049-9450","PMID":"26807238","abstract":"The aim of this study was to describe a minimally invasive laparoscopic jejunostomy (Lap-J) technique for obstruction due to upper gastrointestinal malignancies and evaluate the nutritional benefit of Lap-J during neoadjuvant chemotherapy (NAC) in cases with obstructing esophageal cancer. Under general anesthesia, the jejunum 20-30 cm distant from the Treitz ligament was pulled out through an extended umbilical laparoscopic incision and a jejunal tube was inserted to 30 cm. The loop of bowel was gently returned to the abdomen and the feeding tube was drawn through the abdominal wall via the left lower incision. The jejunum was then laparoscopically sutured to the anterior abdominal wall. Lap-J was performed in 26 cases. The median operative time was 82 min. The postoperative course was uneventful. Lap-J prior to NAC was not associated with a decrease in body weight or serum total protein during NAC, compared with patients who received NAC without Lap-J. This minimally invasive jejunostomy technique may be particularly useful in patients in whom endoscopic therapy is not feasible due to obstruction from upper gastrointestinal malignancies.","author":[{"dropping-particle":"","family":"Tsujimoto","given":"Hironori","non-dropping-particle":"","parse-names":false,"suffix":""},{"dropping-particle":"","family":"Hiraki","given":"Shuichi","non-dropping-particle":"","parse-names":false,"suffix":""},{"dropping-particle":"","family":"Takahata","given":"Risa","non-dropping-particle":"","parse-names":false,"suffix":""},{"dropping-particle":"","family":"Nomura","given":"Shinsuke","non-dropping-particle":"","parse-names":false,"suffix":""},{"dropping-particle":"","family":"Ito","given":"Nozomi","non-dropping-particle":"","parse-names":false,"suffix":""},{"dropping-particle":"","family":"Kanematsu","given":"Kyohei","non-dropping-particle":"","parse-names":false,"suffix":""},{"dropping-particle":"","family":"Horiguchi","given":"Hiroyuki","non-dropping-particle":"","parse-names":false,"suffix":""},{"dropping-particle":"","family":"Aosasa","given":"Suefumi","non-dropping-particle":"","parse-names":false,"suffix":""},{"dropping-particle":"","family":"Yamamoto","given":"Junji","non-dropping-particle":"","parse-names":false,"suffix":""},{"dropping-particle":"","family":"Hase","given":"Kazuo","non-dropping-particle":"","parse-names":false,"suffix":""}],"container-title":"Molecular and clinical oncology","id":"ITEM-1","issue":"6","issued":{"date-parts":[["2015","11"]]},"page":"1307-1310","title":"Laparoscopic jejunostomy for obstructing upper gastrointestinal malignancies.","type":"article-journal","volume":"3"},"uris":["http://www.mendeley.com/documents/?uuid=b7d16d63-ecc5-3ad8-b755-32048a86dc21"]},{"id":"ITEM-2","itemData":{"DOI":"10.1007/s00464-005-0727-z","ISSN":"0930-2794","PMID":"17122985","abstract":"BACKGROUND Patients with esophagogastric malignancies often require nutritional supplementation in the perioperative period, especially in the setting where neoadjuvant therapy may delay tumor resection. A simple technique is described here that can be performed at the time of staging laparoscopy and that has not been described before. RESULTS Forty-three patients treated over a 4-year period who had a laparoscopic feeding jejunostomy placed at the time of staging laparoscopy were reviewed. Of these, 35 had preoperative chemotherapy according to a modified MRC OEO2 protocol. In the period between staging and eventual resection, 32% required immediate feeding, and in 14% of those who were thought not to need feeding it later became necessary. More patients gained weight or had a rise in albumin in the group that had jejunal feeding (p &lt; 0.05). The mean time to surgery was 10 weeks. There were no conversions to an open procedure, nor were there any laparotomies for tube-related complications. Dislodgement was recorded in 6 patients; blockage, in 4. In most of these cases a simple bedside replacement of the tube was all that was required. Mean time in the operating room for each procedure was 44 minutes. CONCLUSIONS Laparoscopic percutaneous feeding jejunostomy is a safe and simple technique that adds little to the morbidity and cost of managing patients with esophagogastric cancers. It facilitates optimization of nutrition in the perioperative period for these patients, especially in those receiving preoperative chemotherapy.","author":[{"dropping-particle":"","family":"Jenkinson","given":"A. D.","non-dropping-particle":"","parse-names":false,"suffix":""},{"dropping-particle":"","family":"Lim","given":"J.","non-dropping-particle":"","parse-names":false,"suffix":""},{"dropping-particle":"","family":"Agrawal","given":"N.","non-dropping-particle":"","parse-names":false,"suffix":""},{"dropping-particle":"","family":"Menzies","given":"D.","non-dropping-particle":"","parse-names":false,"suffix":""}],"container-title":"Surgical Endoscopy","id":"ITEM-2","issue":"2","issued":{"date-parts":[["2007","2","1"]]},"page":"299-302","title":"Laparoscopic feeding jejunostomy in esophagogastric cancer","type":"article-journal","volume":"21"},"uris":["http://www.mendeley.com/documents/?uuid=83cef985-1a29-3b39-8ccf-645fc8e8c7fd"]},{"id":"ITEM-3","itemData":{"DOI":"10.1007/s11605-013-2231-4","ISSN":"1873-4626","PMID":"23709367","abstract":"OBJECTIVE Laparoscopic feeding jejunostomy is a safe and effective means of providing enteral nutrition in the preoperative phase to esophageal cancer patients. DESIGN This research is a retrospective case series. SETTING This study was conducted in a university tertiary care center. PATIENTS Between August 2007 and April 2012, 153 laparoscopic feeding jejunostomies were performed in patients 10 weeks prior to their definitive minimally invasive esophagectomy. MAIN OUTCOME MEASURES The outcome is measured based on the technique, safety, and feasibility of a laparoscopic feeding jejunostomy in the preoperative phase of esophageal cancer patients. RESULTS One hundred fifty-three patients underwent a laparoscopic feeding jejunostomy approximately 1 and 10 week(s) prior to the start of their neoadjuvant therapy and definitive minimally invasive esophagectomy, respectively. Median age was 63 years. Of the patients, 75 % were males and 25 % were females. One hundred twenty-seven patients had gastroesophageal junction adenocarcinoma and 26 had squamous cell carcinoma. All patients completed their neoadjuvant chemoradiation therapy. The median operative time was 65 min. We had no intraoperative complications, perforation, postoperative bowel necrosis, bowel torsion, herniation, intraperitoneal leak, or mortality as a result of the laparoscopic feeding jejunostomy. Four patients were noted to have superficial skin infection around the tube, and 11 patients required a tube exchange for dislodgment, clogging, and leaking around the tube. All patients progressed to their definitive surgical esophageal resection. CONCLUSION A laparoscopic feeding jejunostomy is technically feasible, safe, and can provide appropriate enteral nutrition in the preoperative phase of esophageal cancer patients.","author":[{"dropping-particle":"","family":"Ben-David","given":"Kfir","non-dropping-particle":"","parse-names":false,"suffix":""},{"dropping-particle":"","family":"Kim","given":"Tad","non-dropping-particle":"","parse-names":false,"suffix":""},{"dropping-particle":"","family":"Caban","given":"Angel M","non-dropping-particle":"","parse-names":false,"suffix":""},{"dropping-particle":"","family":"Rossidis","given":"Georgios","non-dropping-particle":"","parse-names":false,"suffix":""},{"dropping-particle":"","family":"Rodriguez","given":"Sara S","non-dropping-particle":"","parse-names":false,"suffix":""},{"dropping-particle":"","family":"Hochwald","given":"Steven N","non-dropping-particle":"","parse-names":false,"suffix":""}],"container-title":"Journal of gastrointestinal surgery : official journal of the Society for Surgery of the Alimentary Tract","id":"ITEM-3","issue":"8","issued":{"date-parts":[["2013","8","25"]]},"page":"1352-8","title":"Pre-therapy laparoscopic feeding jejunostomy is safe and effective in patients undergoing minimally invasive esophagectomy for cancer.","type":"article-journal","volume":"17"},"uris":["http://www.mendeley.com/documents/?uuid=aa0f0ed4-1880-3e7d-94a6-da4221def86d"]}],"mendeley":{"formattedCitation":"&lt;sup&gt;[8,10,11]&lt;/sup&gt;","plainTextFormattedCitation":"[8,10,11]","previouslyFormattedCitation":"(8,10,11)"},"properties":{"noteIndex":0},"schema":"https://github.com/citation-style-language/schema/raw/master/csl-citation.json"}</w:instrText>
      </w:r>
      <w:r w:rsidR="004947ED" w:rsidRPr="00483448">
        <w:rPr>
          <w:rFonts w:ascii="Book Antiqua" w:hAnsi="Book Antiqua"/>
          <w:color w:val="000000"/>
        </w:rPr>
        <w:fldChar w:fldCharType="separate"/>
      </w:r>
      <w:r w:rsidR="007D2F73" w:rsidRPr="00483448">
        <w:rPr>
          <w:rFonts w:ascii="Book Antiqua" w:hAnsi="Book Antiqua"/>
          <w:color w:val="000000"/>
          <w:vertAlign w:val="superscript"/>
        </w:rPr>
        <w:t>[8,10,11]</w:t>
      </w:r>
      <w:r w:rsidR="004947ED" w:rsidRPr="00483448">
        <w:rPr>
          <w:rFonts w:ascii="Book Antiqua" w:hAnsi="Book Antiqua"/>
          <w:color w:val="000000"/>
        </w:rPr>
        <w:fldChar w:fldCharType="end"/>
      </w:r>
      <w:r w:rsidR="002662D1" w:rsidRPr="00483448">
        <w:rPr>
          <w:rFonts w:ascii="Book Antiqua" w:hAnsi="Book Antiqua"/>
          <w:color w:val="000000"/>
        </w:rPr>
        <w:t>.</w:t>
      </w:r>
      <w:r w:rsidR="00565584" w:rsidRPr="00483448">
        <w:rPr>
          <w:rFonts w:ascii="Book Antiqua" w:hAnsi="Book Antiqua"/>
          <w:color w:val="000000"/>
        </w:rPr>
        <w:t xml:space="preserve"> </w:t>
      </w:r>
      <w:r w:rsidR="004E0035" w:rsidRPr="00483448">
        <w:rPr>
          <w:rFonts w:ascii="Book Antiqua" w:hAnsi="Book Antiqua"/>
          <w:color w:val="000000"/>
        </w:rPr>
        <w:t xml:space="preserve">Previous studies of feeding </w:t>
      </w:r>
      <w:r w:rsidR="00A33C79" w:rsidRPr="00483448">
        <w:rPr>
          <w:rFonts w:ascii="Book Antiqua" w:hAnsi="Book Antiqua"/>
          <w:i/>
          <w:iCs/>
          <w:color w:val="000000"/>
        </w:rPr>
        <w:t>via</w:t>
      </w:r>
      <w:r w:rsidR="004E0035" w:rsidRPr="00483448">
        <w:rPr>
          <w:rFonts w:ascii="Book Antiqua" w:hAnsi="Book Antiqua"/>
          <w:color w:val="000000"/>
        </w:rPr>
        <w:t xml:space="preserve"> laparoscopically inserted jejunostomy prior to neo</w:t>
      </w:r>
      <w:r w:rsidR="009C57CB" w:rsidRPr="00483448">
        <w:rPr>
          <w:rFonts w:ascii="Book Antiqua" w:hAnsi="Book Antiqua"/>
          <w:color w:val="000000"/>
        </w:rPr>
        <w:t>-</w:t>
      </w:r>
      <w:r w:rsidR="004E0035" w:rsidRPr="00483448">
        <w:rPr>
          <w:rFonts w:ascii="Book Antiqua" w:hAnsi="Book Antiqua"/>
          <w:color w:val="000000"/>
        </w:rPr>
        <w:t>adjuvant chemotherapy demonstrated an increase in weight ranging from 0.4 to 11.8 kg</w:t>
      </w:r>
      <w:r w:rsidR="004947ED"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{"citationItems":[{"id":"ITEM-1","itemData":{"DOI":"10.1093/dote/dox110","ISSN":"1442-2050","PMID":"29024949","abstract":"This narrative review aims to evaluate the evidence for the different nutritional approaches employed during neoadjuvant therapy in patients with locoregional esophageal cancer. Patients with esophageal cancer are often malnourished and difficult to optimize nutritionally. While evidence suggests that neoadjuvant therapy can offer a survival advantage, associated toxicity can exacerbate poor nutritional status. There is currently no accepted standard of care regarding optimal nutritional approach. A systematic literature search was undertaken. Studies describing the utilization of an additional nutritional intervention in patients with esophageal cancer receiving neoadjuvant therapy prior to esophagectomy were included. Primary outcome measure was 30-day postoperative mortality after esophagectomy. Secondary outcome measures were loss of weight during neoadjuvant therapy, completion rate of intended neoadjuvant therapy, complications from nutritional intervention, 30-day postoperative morbidity after esophagectomy and quality of life during neoadjuvant treatment. Given the heterogeneity of retrieved articles results was presented as a narrative review. Twenty-five studies were included of which 16 evaluated esophageal stenting, four feeding jejunostomy, three gastrostomy, one nasogastric feeding, and one comparative study of esophageal stenting to feeding jejunostomy. 30-day postoperative mortality was only reported in two of the 26 included studies limiting comparison between nutritional strategies. All studies of esophageal stents reported improvements in dysphagia with reported weight change ranging from -5.4 to +6 kg and one study reported 30-day postoperative mortality after esophagectomy (10%). In patients undergoing esophageal stenting for their neoadjuvant treatment overall migration rate was 29.9%. Studies of laparoscopically inserted jejunostomy were all retrospective reviews that demonstrated an increase in weight ranging from 0.4 to 11.8 kg and similarly no study reported 30-day postoperative mortality. Only one comparative study was included that compared esophageal stents to jejunostomy. This study reported no significant difference between the two groups in respect to complication rates (stents 22% vs. jejunostomy 4%, P = 0.11) or increase in weight (stents 4.4 kg vs. jejunostomy 4.2 kg, P = 0.59). Quality of life was also poorly reported. This review demonstrates the uncertainty on the optimal nutritional approach for patients with resec…","author":[{"dropping-particle":"","family":"Huddy","given":"J R","non-dropping-particle":"","parse-names":false,"suffix":""},{"dropping-particle":"","family":"Huddy","given":"F M S","non-dropping-particle":"","parse-names":false,"suffix":""},{"dropping-particle":"","family":"Markar","given":"S R","non-dropping-particle":"","parse-names":false,"suffix":""},{"dropping-particle":"","family":"Tucker","given":"O","non-dropping-particle":"","parse-names":false,"suffix":""}],"container-title":"Diseases of the esophagus : official journal of the International Society for Diseases of the Esophagus","id":"ITEM-1","issue":"1","issued":{"date-parts":[["2018","1","1"]]},"page":"1-11","title":"Nutritional optimization during neoadjuvant therapy prior to surgical resection of esophageal cancer-a narrative review.","type":"article-journal","volume":"31"},"uris":["http://www.mendeley.com/documents/?uuid=b1e7e73f-43f0-3607-9db1-ec8d2946d0f3"]}],"mendeley":{"formattedCitation":"&lt;sup&gt;[2]&lt;/sup&gt;","plainTextFormattedCitation":"[2]","previouslyFormattedCitation":"(2)"},"properties":{"noteIndex":0},"schema":"https://github.com/citation-style-language/schema/raw/master/csl-citation.json"}</w:instrText>
      </w:r>
      <w:r w:rsidR="004947ED" w:rsidRPr="00483448">
        <w:rPr>
          <w:rFonts w:ascii="Book Antiqua" w:hAnsi="Book Antiqua"/>
          <w:b/>
          <w:color w:val="000000"/>
        </w:rPr>
        <w:fldChar w:fldCharType="separate"/>
      </w:r>
      <w:r w:rsidR="007D2F73" w:rsidRPr="00483448">
        <w:rPr>
          <w:rFonts w:ascii="Book Antiqua" w:hAnsi="Book Antiqua"/>
          <w:color w:val="000000"/>
          <w:vertAlign w:val="superscript"/>
        </w:rPr>
        <w:t>[2]</w:t>
      </w:r>
      <w:r w:rsidR="004947ED" w:rsidRPr="00483448">
        <w:rPr>
          <w:rFonts w:ascii="Book Antiqua" w:hAnsi="Book Antiqua"/>
          <w:b/>
          <w:color w:val="000000"/>
        </w:rPr>
        <w:fldChar w:fldCharType="end"/>
      </w:r>
      <w:r w:rsidR="004E0035" w:rsidRPr="00483448">
        <w:rPr>
          <w:rFonts w:ascii="Book Antiqua" w:hAnsi="Book Antiqua"/>
          <w:color w:val="000000"/>
        </w:rPr>
        <w:t>. The present study</w:t>
      </w:r>
      <w:r w:rsidR="00920860" w:rsidRPr="00483448">
        <w:rPr>
          <w:rFonts w:ascii="Book Antiqua" w:hAnsi="Book Antiqua"/>
          <w:color w:val="000000"/>
        </w:rPr>
        <w:t xml:space="preserve"> </w:t>
      </w:r>
      <w:r w:rsidR="004E0035" w:rsidRPr="00483448">
        <w:rPr>
          <w:rFonts w:ascii="Book Antiqua" w:hAnsi="Book Antiqua"/>
          <w:color w:val="000000"/>
        </w:rPr>
        <w:t xml:space="preserve">is the first to </w:t>
      </w:r>
      <w:r w:rsidR="0034672F" w:rsidRPr="00483448">
        <w:rPr>
          <w:rFonts w:ascii="Book Antiqua" w:hAnsi="Book Antiqua"/>
          <w:color w:val="000000"/>
        </w:rPr>
        <w:t xml:space="preserve">our knowledge to </w:t>
      </w:r>
      <w:r w:rsidR="004E0035" w:rsidRPr="00483448">
        <w:rPr>
          <w:rFonts w:ascii="Book Antiqua" w:hAnsi="Book Antiqua"/>
          <w:color w:val="000000"/>
        </w:rPr>
        <w:t xml:space="preserve">examine the changes of body composition from regular enteral feeding </w:t>
      </w:r>
      <w:r w:rsidR="00A33C79" w:rsidRPr="00483448">
        <w:rPr>
          <w:rFonts w:ascii="Book Antiqua" w:hAnsi="Book Antiqua"/>
          <w:i/>
          <w:iCs/>
          <w:color w:val="000000"/>
        </w:rPr>
        <w:t>via</w:t>
      </w:r>
      <w:r w:rsidR="004E0035" w:rsidRPr="00483448">
        <w:rPr>
          <w:rFonts w:ascii="Book Antiqua" w:hAnsi="Book Antiqua"/>
          <w:color w:val="000000"/>
        </w:rPr>
        <w:t xml:space="preserve"> jejunostomy during neo-adjuvant therapy for oesophageal cancer</w:t>
      </w:r>
      <w:r w:rsidR="004947ED"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{"citationItems":[{"id":"ITEM-1","itemData":{"DOI":"10.1093/dote/dox110","ISSN":"1442-2050","PMID":"29024949","abstract":"This narrative review aims to evaluate the evidence for the different nutritional approaches employed during neoadjuvant therapy in patients with locoregional esophageal cancer. Patients with esophageal cancer are often malnourished and difficult to optimize nutritionally. While evidence suggests that neoadjuvant therapy can offer a survival advantage, associated toxicity can exacerbate poor nutritional status. There is currently no accepted standard of care regarding optimal nutritional approach. A systematic literature search was undertaken. Studies describing the utilization of an additional nutritional intervention in patients with esophageal cancer receiving neoadjuvant therapy prior to esophagectomy were included. Primary outcome measure was 30-day postoperative mortality after esophagectomy. Secondary outcome measures were loss of weight during neoadjuvant therapy, completion rate of intended neoadjuvant therapy, complications from nutritional intervention, 30-day postoperative morbidity after esophagectomy and quality of life during neoadjuvant treatment. Given the heterogeneity of retrieved articles results was presented as a narrative review. Twenty-five studies were included of which 16 evaluated esophageal stenting, four feeding jejunostomy, three gastrostomy, one nasogastric feeding, and one comparative study of esophageal stenting to feeding jejunostomy. 30-day postoperative mortality was only reported in two of the 26 included studies limiting comparison between nutritional strategies. All studies of esophageal stents reported improvements in dysphagia with reported weight change ranging from -5.4 to +6 kg and one study reported 30-day postoperative mortality after esophagectomy (10%). In patients undergoing esophageal stenting for their neoadjuvant treatment overall migration rate was 29.9%. Studies of laparoscopically inserted jejunostomy were all retrospective reviews that demonstrated an increase in weight ranging from 0.4 to 11.8 kg and similarly no study reported 30-day postoperative mortality. Only one comparative study was included that compared esophageal stents to jejunostomy. This study reported no significant difference between the two groups in respect to complication rates (stents 22% vs. jejunostomy 4%, P = 0.11) or increase in weight (stents 4.4 kg vs. jejunostomy 4.2 kg, P = 0.59). Quality of life was also poorly reported. This review demonstrates the uncertainty on the optimal nutritional approach for patients with resec…","author":[{"dropping-particle":"","family":"Huddy","given":"J R","non-dropping-particle":"","parse-names":false,"suffix":""},{"dropping-particle":"","family":"Huddy","given":"F M S","non-dropping-particle":"","parse-names":false,"suffix":""},{"dropping-particle":"","family":"Markar","given":"S R","non-dropping-particle":"","parse-names":false,"suffix":""},{"dropping-particle":"","family":"Tucker","given":"O","non-dropping-particle":"","parse-names":false,"suffix":""}],"container-title":"Diseases of the esophagus : official journal of the International Society for Diseases of the Esophagus","id":"ITEM-1","issue":"1","issued":{"date-parts":[["2018","1","1"]]},"page":"1-11","title":"Nutritional optimization during neoadjuvant therapy prior to surgical resection of esophageal cancer-a narrative review.","type":"article-journal","volume":"31"},"uris":["http://www.mendeley.com/documents/?uuid=b1e7e73f-43f0-3607-9db1-ec8d2946d0f3"]}],"mendeley":{"formattedCitation":"&lt;sup&gt;[2]&lt;/sup&gt;","plainTextFormattedCitation":"[2]","previouslyFormattedCitation":"(2)"},"properties":{"noteIndex":0},"schema":"https://github.com/citation-style-language/schema/raw/master/csl-citation.json"}</w:instrText>
      </w:r>
      <w:r w:rsidR="004947ED" w:rsidRPr="00483448">
        <w:rPr>
          <w:rFonts w:ascii="Book Antiqua" w:hAnsi="Book Antiqua"/>
          <w:b/>
          <w:color w:val="000000"/>
        </w:rPr>
        <w:fldChar w:fldCharType="separate"/>
      </w:r>
      <w:r w:rsidR="007D2F73" w:rsidRPr="00483448">
        <w:rPr>
          <w:rFonts w:ascii="Book Antiqua" w:hAnsi="Book Antiqua"/>
          <w:color w:val="000000"/>
          <w:vertAlign w:val="superscript"/>
        </w:rPr>
        <w:t>[2]</w:t>
      </w:r>
      <w:r w:rsidR="004947ED" w:rsidRPr="00483448">
        <w:rPr>
          <w:rFonts w:ascii="Book Antiqua" w:hAnsi="Book Antiqua"/>
          <w:b/>
          <w:color w:val="000000"/>
        </w:rPr>
        <w:fldChar w:fldCharType="end"/>
      </w:r>
      <w:r w:rsidR="004947ED" w:rsidRPr="00483448">
        <w:rPr>
          <w:rFonts w:ascii="Book Antiqua" w:hAnsi="Book Antiqua"/>
          <w:color w:val="000000"/>
        </w:rPr>
        <w:t>.</w:t>
      </w:r>
    </w:p>
    <w:p w:rsidR="00CB4941" w:rsidRPr="00483448" w:rsidRDefault="009C1500"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The aim of this study is to examine the effect of </w:t>
      </w:r>
      <w:r w:rsidR="00E54130" w:rsidRPr="00483448">
        <w:rPr>
          <w:rFonts w:ascii="Book Antiqua" w:hAnsi="Book Antiqua"/>
          <w:color w:val="000000"/>
        </w:rPr>
        <w:t xml:space="preserve">regular </w:t>
      </w:r>
      <w:r w:rsidR="00D64C6F" w:rsidRPr="00483448">
        <w:rPr>
          <w:rFonts w:ascii="Book Antiqua" w:hAnsi="Book Antiqua"/>
          <w:color w:val="000000"/>
        </w:rPr>
        <w:t xml:space="preserve">enteral feeding </w:t>
      </w:r>
      <w:r w:rsidR="00A33C79" w:rsidRPr="00483448">
        <w:rPr>
          <w:rFonts w:ascii="Book Antiqua" w:hAnsi="Book Antiqua"/>
          <w:i/>
          <w:iCs/>
          <w:color w:val="000000"/>
        </w:rPr>
        <w:t>via</w:t>
      </w:r>
      <w:r w:rsidR="00D64C6F" w:rsidRPr="00483448">
        <w:rPr>
          <w:rFonts w:ascii="Book Antiqua" w:hAnsi="Book Antiqua"/>
          <w:color w:val="000000"/>
        </w:rPr>
        <w:t xml:space="preserve"> jejunostomy </w:t>
      </w:r>
      <w:r w:rsidR="00CB4941" w:rsidRPr="00483448">
        <w:rPr>
          <w:rFonts w:ascii="Book Antiqua" w:hAnsi="Book Antiqua"/>
          <w:color w:val="000000"/>
        </w:rPr>
        <w:t>on overall body</w:t>
      </w:r>
      <w:r w:rsidR="00D20CD5" w:rsidRPr="00483448">
        <w:rPr>
          <w:rFonts w:ascii="Book Antiqua" w:hAnsi="Book Antiqua"/>
          <w:color w:val="000000"/>
        </w:rPr>
        <w:t xml:space="preserve"> </w:t>
      </w:r>
      <w:r w:rsidR="00CB4941" w:rsidRPr="00483448">
        <w:rPr>
          <w:rFonts w:ascii="Book Antiqua" w:hAnsi="Book Antiqua"/>
          <w:color w:val="000000"/>
        </w:rPr>
        <w:t xml:space="preserve">composition in a cohort of patients </w:t>
      </w:r>
      <w:r w:rsidR="00CC6437" w:rsidRPr="00483448">
        <w:rPr>
          <w:rFonts w:ascii="Book Antiqua" w:hAnsi="Book Antiqua"/>
          <w:color w:val="000000"/>
        </w:rPr>
        <w:t xml:space="preserve">with oesophageal cancer </w:t>
      </w:r>
      <w:r w:rsidR="00CB4941" w:rsidRPr="00483448">
        <w:rPr>
          <w:rFonts w:ascii="Book Antiqua" w:hAnsi="Book Antiqua"/>
          <w:color w:val="000000"/>
        </w:rPr>
        <w:t xml:space="preserve">undergoing </w:t>
      </w:r>
      <w:r w:rsidR="00D86B3A" w:rsidRPr="00483448">
        <w:rPr>
          <w:rFonts w:ascii="Book Antiqua" w:hAnsi="Book Antiqua"/>
          <w:color w:val="000000"/>
        </w:rPr>
        <w:t>neo</w:t>
      </w:r>
      <w:r w:rsidR="009C57CB" w:rsidRPr="00483448">
        <w:rPr>
          <w:rFonts w:ascii="Book Antiqua" w:hAnsi="Book Antiqua"/>
          <w:color w:val="000000"/>
        </w:rPr>
        <w:t>-</w:t>
      </w:r>
      <w:r w:rsidR="00D86B3A" w:rsidRPr="00483448">
        <w:rPr>
          <w:rFonts w:ascii="Book Antiqua" w:hAnsi="Book Antiqua"/>
          <w:color w:val="000000"/>
        </w:rPr>
        <w:t xml:space="preserve">adjuvant chemotherapy prior to </w:t>
      </w:r>
      <w:r w:rsidR="00CB4941" w:rsidRPr="00483448">
        <w:rPr>
          <w:rFonts w:ascii="Book Antiqua" w:hAnsi="Book Antiqua"/>
          <w:color w:val="000000"/>
        </w:rPr>
        <w:t>oesophagectomy</w:t>
      </w:r>
      <w:r w:rsidR="00CC6437" w:rsidRPr="00483448">
        <w:rPr>
          <w:rFonts w:ascii="Book Antiqua" w:hAnsi="Book Antiqua"/>
          <w:color w:val="000000"/>
        </w:rPr>
        <w:t xml:space="preserve">. </w:t>
      </w:r>
      <w:r w:rsidR="00C63486" w:rsidRPr="00483448">
        <w:rPr>
          <w:rFonts w:ascii="Book Antiqua" w:hAnsi="Book Antiqua"/>
          <w:color w:val="000000"/>
        </w:rPr>
        <w:t xml:space="preserve">The effect of regular jejunostomy feeding on the development of </w:t>
      </w:r>
      <w:r w:rsidR="008465F3" w:rsidRPr="00483448">
        <w:rPr>
          <w:rFonts w:ascii="Book Antiqua" w:hAnsi="Book Antiqua"/>
          <w:color w:val="000000"/>
        </w:rPr>
        <w:t>DLT</w:t>
      </w:r>
      <w:r w:rsidR="00C63486" w:rsidRPr="00483448">
        <w:rPr>
          <w:rFonts w:ascii="Book Antiqua" w:hAnsi="Book Antiqua"/>
          <w:color w:val="000000"/>
        </w:rPr>
        <w:t xml:space="preserve"> during neo-adjuvant </w:t>
      </w:r>
      <w:r w:rsidR="00F9249F" w:rsidRPr="00483448">
        <w:rPr>
          <w:rFonts w:ascii="Book Antiqua" w:hAnsi="Book Antiqua"/>
          <w:color w:val="000000"/>
        </w:rPr>
        <w:t xml:space="preserve">chemotherapy was also examined. </w:t>
      </w:r>
    </w:p>
    <w:p w:rsidR="00FD6C3A" w:rsidRPr="00483448" w:rsidRDefault="00FD6C3A" w:rsidP="004C5FED">
      <w:pPr>
        <w:pStyle w:val="1-2"/>
        <w:snapToGrid w:val="0"/>
        <w:spacing w:line="360" w:lineRule="auto"/>
        <w:jc w:val="both"/>
        <w:rPr>
          <w:rFonts w:ascii="Book Antiqua" w:hAnsi="Book Antiqua"/>
          <w:color w:val="000000"/>
        </w:rPr>
      </w:pPr>
    </w:p>
    <w:p w:rsidR="00267052" w:rsidRPr="00483448" w:rsidRDefault="0048216D" w:rsidP="004C5FED">
      <w:pPr>
        <w:pStyle w:val="1-2"/>
        <w:snapToGrid w:val="0"/>
        <w:spacing w:line="360" w:lineRule="auto"/>
        <w:jc w:val="both"/>
        <w:rPr>
          <w:rFonts w:ascii="Book Antiqua" w:hAnsi="Book Antiqua"/>
          <w:b/>
          <w:color w:val="000000"/>
        </w:rPr>
      </w:pPr>
      <w:r w:rsidRPr="00483448">
        <w:rPr>
          <w:rFonts w:ascii="Book Antiqua" w:hAnsi="Book Antiqua"/>
          <w:b/>
          <w:color w:val="000000"/>
        </w:rPr>
        <w:t>MATERIALS AND METHODS</w:t>
      </w:r>
    </w:p>
    <w:p w:rsidR="00267052" w:rsidRPr="00483448" w:rsidRDefault="00267052" w:rsidP="004C5FED">
      <w:pPr>
        <w:pStyle w:val="1-2"/>
        <w:snapToGrid w:val="0"/>
        <w:spacing w:line="360" w:lineRule="auto"/>
        <w:jc w:val="both"/>
        <w:outlineLvl w:val="0"/>
        <w:rPr>
          <w:rFonts w:ascii="Book Antiqua" w:hAnsi="Book Antiqua"/>
          <w:b/>
          <w:bCs/>
          <w:i/>
          <w:color w:val="000000"/>
        </w:rPr>
      </w:pPr>
      <w:r w:rsidRPr="00483448">
        <w:rPr>
          <w:rFonts w:ascii="Book Antiqua" w:hAnsi="Book Antiqua"/>
          <w:b/>
          <w:bCs/>
          <w:i/>
          <w:color w:val="000000"/>
        </w:rPr>
        <w:t>Study population</w:t>
      </w:r>
    </w:p>
    <w:p w:rsidR="00E73ED7" w:rsidRPr="00483448" w:rsidRDefault="005E4D97" w:rsidP="004C5FED">
      <w:pPr>
        <w:pStyle w:val="1-2"/>
        <w:snapToGrid w:val="0"/>
        <w:spacing w:line="360" w:lineRule="auto"/>
        <w:jc w:val="both"/>
        <w:rPr>
          <w:rFonts w:ascii="Book Antiqua" w:hAnsi="Book Antiqua"/>
          <w:color w:val="000000"/>
        </w:rPr>
      </w:pPr>
      <w:r w:rsidRPr="00483448">
        <w:rPr>
          <w:rFonts w:ascii="Book Antiqua" w:hAnsi="Book Antiqua"/>
          <w:color w:val="000000"/>
        </w:rPr>
        <w:t>P</w:t>
      </w:r>
      <w:r w:rsidR="00E73ED7" w:rsidRPr="00483448">
        <w:rPr>
          <w:rFonts w:ascii="Book Antiqua" w:hAnsi="Book Antiqua"/>
          <w:color w:val="000000"/>
        </w:rPr>
        <w:t>atients having potentially curative, locally advanced oesophag</w:t>
      </w:r>
      <w:r w:rsidR="008C1755" w:rsidRPr="00483448">
        <w:rPr>
          <w:rFonts w:ascii="Book Antiqua" w:hAnsi="Book Antiqua"/>
          <w:color w:val="000000"/>
        </w:rPr>
        <w:t>eal and oesophago-gastric junctional cancer</w:t>
      </w:r>
      <w:r w:rsidR="00E73ED7" w:rsidRPr="00483448">
        <w:rPr>
          <w:rFonts w:ascii="Book Antiqua" w:hAnsi="Book Antiqua"/>
          <w:color w:val="000000"/>
        </w:rPr>
        <w:t xml:space="preserve"> without evidence of metastasis presenting to the </w:t>
      </w:r>
      <w:r w:rsidRPr="00483448">
        <w:rPr>
          <w:rFonts w:ascii="Book Antiqua" w:hAnsi="Book Antiqua"/>
          <w:color w:val="000000"/>
        </w:rPr>
        <w:t>Queen Elizabeth Hospital, Birmingham</w:t>
      </w:r>
      <w:r w:rsidR="00E73ED7" w:rsidRPr="00483448">
        <w:rPr>
          <w:rFonts w:ascii="Book Antiqua" w:hAnsi="Book Antiqua"/>
          <w:color w:val="000000"/>
        </w:rPr>
        <w:t xml:space="preserve"> Upper </w:t>
      </w:r>
      <w:r w:rsidR="00D94683" w:rsidRPr="00483448">
        <w:rPr>
          <w:rFonts w:ascii="Book Antiqua" w:hAnsi="Book Antiqua"/>
          <w:color w:val="000000"/>
        </w:rPr>
        <w:t>Gastrointestinal Multidisciplinary Team</w:t>
      </w:r>
      <w:r w:rsidR="00E73ED7" w:rsidRPr="00483448">
        <w:rPr>
          <w:rFonts w:ascii="Book Antiqua" w:hAnsi="Book Antiqua"/>
          <w:color w:val="000000"/>
        </w:rPr>
        <w:t xml:space="preserve"> between </w:t>
      </w:r>
      <w:r w:rsidR="008C1755" w:rsidRPr="00483448">
        <w:rPr>
          <w:rFonts w:ascii="Book Antiqua" w:hAnsi="Book Antiqua"/>
          <w:color w:val="000000"/>
        </w:rPr>
        <w:t>March 2014</w:t>
      </w:r>
      <w:r w:rsidR="00E73ED7" w:rsidRPr="00483448">
        <w:rPr>
          <w:rFonts w:ascii="Book Antiqua" w:hAnsi="Book Antiqua"/>
          <w:color w:val="000000"/>
        </w:rPr>
        <w:t xml:space="preserve"> and </w:t>
      </w:r>
      <w:r w:rsidR="008C1755" w:rsidRPr="00483448">
        <w:rPr>
          <w:rFonts w:ascii="Book Antiqua" w:hAnsi="Book Antiqua"/>
          <w:color w:val="000000"/>
        </w:rPr>
        <w:t>June 2017</w:t>
      </w:r>
      <w:r w:rsidR="00E73ED7" w:rsidRPr="00483448">
        <w:rPr>
          <w:rFonts w:ascii="Book Antiqua" w:hAnsi="Book Antiqua"/>
          <w:color w:val="000000"/>
        </w:rPr>
        <w:t xml:space="preserve"> were considered for this study.</w:t>
      </w:r>
      <w:r w:rsidR="00FE31EB" w:rsidRPr="00483448">
        <w:rPr>
          <w:rFonts w:ascii="Book Antiqua" w:hAnsi="Book Antiqua"/>
          <w:color w:val="000000"/>
        </w:rPr>
        <w:t xml:space="preserve"> All patients were routinely staged with a combination of computed tomography (CT), endoscopic </w:t>
      </w:r>
      <w:r w:rsidR="00FE31EB" w:rsidRPr="00483448">
        <w:rPr>
          <w:rFonts w:ascii="Book Antiqua" w:hAnsi="Book Antiqua"/>
          <w:color w:val="000000"/>
        </w:rPr>
        <w:lastRenderedPageBreak/>
        <w:t>ultrasound and laparoscopy according to the International Union Against Cancer system</w:t>
      </w:r>
      <w:r w:rsidR="00011069"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{"citationItems":[{"id":"ITEM-1","itemData":{"ISBN":"9781119263579","abstract":"Eighth edition. Revised edition of: TNM classification of malignant tumours / edited by L.H. Sobin, M.K. Gospodarowicz and Ch. Wittekind. 7th ed. 2010. TNM Classification of Malignant Tumours eighth edition provides the latest, internationally agreed-upon standards to describe and categorize cancer stage. Published in affiliation with the Union for International Cancer Control (UICC). Arranged by anatomical region, this authoritative pocket sized guide contains many important updated organ-specific classifications. There are new classifications for p16 positive oropharyngeal carcinomas, carcinomas of the thymus, neuroendocrine tumours of the pancreas, and sarcomas. To facilitate the collection of stage data for cancer surveillance in low and middle income countries there are new sections on Essential TNM and Paediatric Cancer Stage. New colour presentation. -- Publisher. Head and neck tumours -- Digestive system tumours -- Lung, pleural, and thymic tumours -- Tumours of bone and soft tissues -- Skin tumours -- Breast tumours -- Gynaecological tumours -- Urological tumours -- Adrenal cortex -- Ophthalmic tumours -- Hodgkin lymphoma -- Non-hodgkin lymphomas -- Essential TNM -- Paediatric tumours.","author":[{"dropping-particle":"","family":"Brierley","given":"James","non-dropping-particle":"","parse-names":false,"suffix":""},{"dropping-particle":"","family":"Gospodarowicz","given":"M. K. (Mary K.)","non-dropping-particle":"","parse-names":false,"suffix":""},{"dropping-particle":"","family":"Wittekind","given":"Ch. (Christian)","non-dropping-particle":"","parse-names":false,"suffix":""}],"id":"ITEM-1","issued":{"date-parts":[["0"]]},"number-of-pages":"253","title":"TNM classification of malignant tumours","type":"book"},"uris":["http://www.mendeley.com/documents/?uuid=161aa2c0-b294-36da-b1d0-88fe3271d1f6"]}],"mendeley":{"formattedCitation":"&lt;sup&gt;[12]&lt;/sup&gt;","plainTextFormattedCitation":"[12]","previouslyFormattedCitation":"(12)"},"properties":{"noteIndex":0},"schema":"https://github.com/citation-style-language/schema/raw/master/csl-citation.json"}</w:instrText>
      </w:r>
      <w:r w:rsidR="00011069" w:rsidRPr="00483448">
        <w:rPr>
          <w:rFonts w:ascii="Book Antiqua" w:hAnsi="Book Antiqua"/>
          <w:b/>
          <w:color w:val="000000"/>
        </w:rPr>
        <w:fldChar w:fldCharType="separate"/>
      </w:r>
      <w:r w:rsidR="007D2F73" w:rsidRPr="00483448">
        <w:rPr>
          <w:rFonts w:ascii="Book Antiqua" w:hAnsi="Book Antiqua"/>
          <w:color w:val="000000"/>
          <w:vertAlign w:val="superscript"/>
        </w:rPr>
        <w:t>[12]</w:t>
      </w:r>
      <w:r w:rsidR="00011069" w:rsidRPr="00483448">
        <w:rPr>
          <w:rFonts w:ascii="Book Antiqua" w:hAnsi="Book Antiqua"/>
          <w:b/>
          <w:color w:val="000000"/>
        </w:rPr>
        <w:fldChar w:fldCharType="end"/>
      </w:r>
      <w:r w:rsidR="00FE31EB" w:rsidRPr="00483448">
        <w:rPr>
          <w:rFonts w:ascii="Book Antiqua" w:hAnsi="Book Antiqua"/>
          <w:color w:val="000000"/>
        </w:rPr>
        <w:t xml:space="preserve">. </w:t>
      </w:r>
      <w:r w:rsidR="00E73ED7" w:rsidRPr="00483448">
        <w:rPr>
          <w:rFonts w:ascii="Book Antiqua" w:hAnsi="Book Antiqua"/>
          <w:color w:val="000000"/>
        </w:rPr>
        <w:t>Those with locally advanced disease (T2 and greater and/or locoregional lymphadenopathy) and with sufficient physiological reserve to tolerate neo</w:t>
      </w:r>
      <w:r w:rsidR="009C57CB" w:rsidRPr="00483448">
        <w:rPr>
          <w:rFonts w:ascii="Book Antiqua" w:hAnsi="Book Antiqua"/>
          <w:color w:val="000000"/>
        </w:rPr>
        <w:t>-</w:t>
      </w:r>
      <w:r w:rsidR="00E73ED7" w:rsidRPr="00483448">
        <w:rPr>
          <w:rFonts w:ascii="Book Antiqua" w:hAnsi="Book Antiqua"/>
          <w:color w:val="000000"/>
        </w:rPr>
        <w:t xml:space="preserve">adjuvant chemotherapy were </w:t>
      </w:r>
      <w:r w:rsidR="008C1755" w:rsidRPr="00483448">
        <w:rPr>
          <w:rFonts w:ascii="Book Antiqua" w:hAnsi="Book Antiqua"/>
          <w:color w:val="000000"/>
        </w:rPr>
        <w:t xml:space="preserve">further examined retrospectively for suitability </w:t>
      </w:r>
      <w:r w:rsidR="00EC7380" w:rsidRPr="00483448">
        <w:rPr>
          <w:rFonts w:ascii="Book Antiqua" w:hAnsi="Book Antiqua"/>
          <w:color w:val="000000"/>
        </w:rPr>
        <w:t>for inclusion into the present study</w:t>
      </w:r>
      <w:r w:rsidR="00E73ED7" w:rsidRPr="00483448">
        <w:rPr>
          <w:rFonts w:ascii="Book Antiqua" w:hAnsi="Book Antiqua"/>
          <w:color w:val="000000"/>
        </w:rPr>
        <w:t>.</w:t>
      </w:r>
    </w:p>
    <w:p w:rsidR="003C54B2" w:rsidRPr="00483448" w:rsidRDefault="00CE318A"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All patients </w:t>
      </w:r>
      <w:r w:rsidR="006200DA" w:rsidRPr="00483448">
        <w:rPr>
          <w:rFonts w:ascii="Book Antiqua" w:hAnsi="Book Antiqua"/>
          <w:color w:val="000000"/>
        </w:rPr>
        <w:t xml:space="preserve">included in this study </w:t>
      </w:r>
      <w:r w:rsidRPr="00483448">
        <w:rPr>
          <w:rFonts w:ascii="Book Antiqua" w:hAnsi="Book Antiqua"/>
          <w:color w:val="000000"/>
        </w:rPr>
        <w:t xml:space="preserve">were reviewed by a </w:t>
      </w:r>
      <w:r w:rsidR="008E0122" w:rsidRPr="00483448">
        <w:rPr>
          <w:rFonts w:ascii="Book Antiqua" w:hAnsi="Book Antiqua"/>
          <w:color w:val="000000"/>
        </w:rPr>
        <w:t>C</w:t>
      </w:r>
      <w:r w:rsidRPr="00483448">
        <w:rPr>
          <w:rFonts w:ascii="Book Antiqua" w:hAnsi="Book Antiqua"/>
          <w:color w:val="000000"/>
        </w:rPr>
        <w:t xml:space="preserve">onsultant </w:t>
      </w:r>
      <w:r w:rsidR="008E0122" w:rsidRPr="00483448">
        <w:rPr>
          <w:rFonts w:ascii="Book Antiqua" w:hAnsi="Book Antiqua"/>
          <w:color w:val="000000"/>
        </w:rPr>
        <w:t>O</w:t>
      </w:r>
      <w:r w:rsidR="003C54B2" w:rsidRPr="00483448">
        <w:rPr>
          <w:rFonts w:ascii="Book Antiqua" w:hAnsi="Book Antiqua"/>
          <w:color w:val="000000"/>
        </w:rPr>
        <w:t>esophago-gastric</w:t>
      </w:r>
      <w:r w:rsidRPr="00483448">
        <w:rPr>
          <w:rFonts w:ascii="Book Antiqua" w:hAnsi="Book Antiqua"/>
          <w:color w:val="000000"/>
        </w:rPr>
        <w:t xml:space="preserve"> </w:t>
      </w:r>
      <w:r w:rsidR="008E0122" w:rsidRPr="00483448">
        <w:rPr>
          <w:rFonts w:ascii="Book Antiqua" w:hAnsi="Book Antiqua"/>
          <w:color w:val="000000"/>
        </w:rPr>
        <w:t>S</w:t>
      </w:r>
      <w:r w:rsidRPr="00483448">
        <w:rPr>
          <w:rFonts w:ascii="Book Antiqua" w:hAnsi="Book Antiqua"/>
          <w:color w:val="000000"/>
        </w:rPr>
        <w:t>urgeon after diagnosis</w:t>
      </w:r>
      <w:r w:rsidR="006200DA" w:rsidRPr="00483448">
        <w:rPr>
          <w:rFonts w:ascii="Book Antiqua" w:hAnsi="Book Antiqua"/>
          <w:color w:val="000000"/>
        </w:rPr>
        <w:t xml:space="preserve"> </w:t>
      </w:r>
      <w:r w:rsidR="003C54B2" w:rsidRPr="00483448">
        <w:rPr>
          <w:rFonts w:ascii="Book Antiqua" w:hAnsi="Book Antiqua"/>
          <w:color w:val="000000"/>
        </w:rPr>
        <w:t xml:space="preserve">and were assessed to have </w:t>
      </w:r>
      <w:r w:rsidR="00F2456E" w:rsidRPr="00483448">
        <w:rPr>
          <w:rFonts w:ascii="Book Antiqua" w:hAnsi="Book Antiqua"/>
          <w:color w:val="000000"/>
        </w:rPr>
        <w:t xml:space="preserve">a dysphagia score of 3 </w:t>
      </w:r>
      <w:r w:rsidR="00F620A6" w:rsidRPr="00483448">
        <w:rPr>
          <w:rFonts w:ascii="Book Antiqua" w:hAnsi="Book Antiqua"/>
          <w:color w:val="000000"/>
        </w:rPr>
        <w:t xml:space="preserve">(the ability to swallow liquids only) </w:t>
      </w:r>
      <w:r w:rsidR="00F2456E" w:rsidRPr="00483448">
        <w:rPr>
          <w:rFonts w:ascii="Book Antiqua" w:hAnsi="Book Antiqua"/>
          <w:color w:val="000000"/>
        </w:rPr>
        <w:t xml:space="preserve">or </w:t>
      </w:r>
      <w:r w:rsidRPr="00483448">
        <w:rPr>
          <w:rFonts w:ascii="Book Antiqua" w:hAnsi="Book Antiqua"/>
          <w:color w:val="000000"/>
        </w:rPr>
        <w:t>4</w:t>
      </w:r>
      <w:r w:rsidR="00F620A6" w:rsidRPr="00483448">
        <w:rPr>
          <w:rFonts w:ascii="Book Antiqua" w:hAnsi="Book Antiqua"/>
          <w:color w:val="000000"/>
        </w:rPr>
        <w:t xml:space="preserve"> (complete dysphagia)</w:t>
      </w:r>
      <w:r w:rsidR="00011069"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{"citationItems":[{"id":"ITEM-1","itemData":{"DOI":"10.1056/NEJM199310283291803","ISSN":"0028-4793","PMID":"7692297","abstract":"BACKGROUND Esophageal obstruction due to cancer can produce debilitating dysphagia. Rapid palliation is usually possible with endoscopic placement of a plastic esophageal prosthesis, but this device has a high rate of complications. A new alternative is a metal-mesh stent that collapses to 3 mm in diameter at placement but can then expand up to 16 mm. METHODS Patients with esophageal carcinoma (39 patients) or malignant extrinsic obstruction (3 patients) were randomly assigned to treatment with either a plastic prosthesis (16 mm in diameter) or an expansile metal-mesh stent. The patients were evaluated every six weeks until death. The degree of palliation was expressed as a dysphagia score and a Karnofsky performance score. RESULTS Complications were significantly less frequent with the metal stents than with the plastic prostheses (no complications vs. nine; P &lt; 0.001). The dysphagia and Karnofsky scores improved significantly and to a similar degree in both treatment groups. The most common causes of recurrent dysphagia were migration of the plastic prostheses (five patients) and ingrowth or overgrowth of the metal stents by tumor (five patients). The rates of reintervention were similar in both treatment groups, as were the 30-day mortality rates. The period of hospitalization after placement of a prosthesis was significantly longer in the group given plastic prostheses than in the group given metal stents (mean +/- SE, 12.5 +/- 2.1 vs. 5.4 +/- 1.0 days; P = 0.005). Despite their higher initial cost, the metal stents were cost effective because of the absence of fatal complications and the decrease in the hospital stay. CONCLUSIONS Expansile metal stents are a safe and cost-effective alternative to conventional plastic endoprostheses in the treatment of esophageal obstruction due to inoperable cancer.","author":[{"dropping-particle":"","family":"Knyrim","given":"K","non-dropping-particle":"","parse-names":false,"suffix":""},{"dropping-particle":"","family":"Wagner","given":"H J","non-dropping-particle":"","parse-names":false,"suffix":""},{"dropping-particle":"","family":"Bethge","given":"N","non-dropping-particle":"","parse-names":false,"suffix":""},{"dropping-particle":"","family":"Keymling","given":"M","non-dropping-particle":"","parse-names":false,"suffix":""},{"dropping-particle":"","family":"Vakil","given":"N","non-dropping-particle":"","parse-names":false,"suffix":""}],"container-title":"The New England journal of medicine","id":"ITEM-1","issue":"18","issued":{"date-parts":[["1993","10","28"]]},"page":"1302-7","title":"A controlled trial of an expansile metal stent for palliation of esophageal obstruction due to inoperable cancer.","type":"article-journal","volume":"329"},"uris":["http://www.mendeley.com/documents/?uuid=3cb33035-cc53-36c8-9c29-ba264485771a"]}],"mendeley":{"formattedCitation":"&lt;sup&gt;[13]&lt;/sup&gt;","plainTextFormattedCitation":"[13]","previouslyFormattedCitation":"(13)"},"properties":{"noteIndex":0},"schema":"https://github.com/citation-style-language/schema/raw/master/csl-citation.json"}</w:instrText>
      </w:r>
      <w:r w:rsidR="00011069" w:rsidRPr="00483448">
        <w:rPr>
          <w:rFonts w:ascii="Book Antiqua" w:hAnsi="Book Antiqua"/>
          <w:b/>
          <w:color w:val="000000"/>
        </w:rPr>
        <w:fldChar w:fldCharType="separate"/>
      </w:r>
      <w:r w:rsidR="007D2F73" w:rsidRPr="00483448">
        <w:rPr>
          <w:rFonts w:ascii="Book Antiqua" w:hAnsi="Book Antiqua"/>
          <w:color w:val="000000"/>
          <w:vertAlign w:val="superscript"/>
        </w:rPr>
        <w:t>[13]</w:t>
      </w:r>
      <w:r w:rsidR="00011069" w:rsidRPr="00483448">
        <w:rPr>
          <w:rFonts w:ascii="Book Antiqua" w:hAnsi="Book Antiqua"/>
          <w:b/>
          <w:color w:val="000000"/>
        </w:rPr>
        <w:fldChar w:fldCharType="end"/>
      </w:r>
      <w:r w:rsidRPr="00483448">
        <w:rPr>
          <w:rFonts w:ascii="Book Antiqua" w:hAnsi="Book Antiqua"/>
          <w:color w:val="000000"/>
        </w:rPr>
        <w:t>.</w:t>
      </w:r>
      <w:r w:rsidR="00FD6C3A" w:rsidRPr="00483448">
        <w:rPr>
          <w:rFonts w:ascii="Book Antiqua" w:hAnsi="Book Antiqua"/>
          <w:color w:val="000000"/>
        </w:rPr>
        <w:t xml:space="preserve"> </w:t>
      </w:r>
      <w:r w:rsidR="003C54B2" w:rsidRPr="00483448">
        <w:rPr>
          <w:rFonts w:ascii="Book Antiqua" w:hAnsi="Book Antiqua"/>
          <w:color w:val="000000"/>
        </w:rPr>
        <w:t xml:space="preserve">These </w:t>
      </w:r>
      <w:r w:rsidR="00FD6C3A" w:rsidRPr="00483448">
        <w:rPr>
          <w:rFonts w:ascii="Book Antiqua" w:hAnsi="Book Antiqua"/>
          <w:color w:val="000000"/>
        </w:rPr>
        <w:t xml:space="preserve">patients had a feeding jejunostomy inserted at </w:t>
      </w:r>
      <w:r w:rsidR="009939FC" w:rsidRPr="00483448">
        <w:rPr>
          <w:rFonts w:ascii="Book Antiqua" w:hAnsi="Book Antiqua"/>
          <w:color w:val="000000"/>
        </w:rPr>
        <w:t xml:space="preserve">the time of </w:t>
      </w:r>
      <w:r w:rsidR="00FD6C3A" w:rsidRPr="00483448">
        <w:rPr>
          <w:rFonts w:ascii="Book Antiqua" w:hAnsi="Book Antiqua"/>
          <w:color w:val="000000"/>
        </w:rPr>
        <w:t>staging laparoscopy prior to commencement of neo</w:t>
      </w:r>
      <w:r w:rsidR="009C57CB" w:rsidRPr="00483448">
        <w:rPr>
          <w:rFonts w:ascii="Book Antiqua" w:hAnsi="Book Antiqua"/>
          <w:color w:val="000000"/>
        </w:rPr>
        <w:t>-</w:t>
      </w:r>
      <w:r w:rsidR="00FD6C3A" w:rsidRPr="00483448">
        <w:rPr>
          <w:rFonts w:ascii="Book Antiqua" w:hAnsi="Book Antiqua"/>
          <w:color w:val="000000"/>
        </w:rPr>
        <w:t xml:space="preserve">adjuvant chemotherapy. </w:t>
      </w:r>
    </w:p>
    <w:p w:rsidR="003C54B2" w:rsidRPr="00483448" w:rsidRDefault="009939FC"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All patients were </w:t>
      </w:r>
      <w:r w:rsidR="00F620A6" w:rsidRPr="00483448">
        <w:rPr>
          <w:rFonts w:ascii="Book Antiqua" w:hAnsi="Book Antiqua"/>
          <w:color w:val="000000"/>
        </w:rPr>
        <w:t>assessed</w:t>
      </w:r>
      <w:r w:rsidRPr="00483448">
        <w:rPr>
          <w:rFonts w:ascii="Book Antiqua" w:hAnsi="Book Antiqua"/>
          <w:color w:val="000000"/>
        </w:rPr>
        <w:t xml:space="preserve"> by a dietician prior to starting regular jejunostomy feeding. </w:t>
      </w:r>
      <w:r w:rsidR="00F620A6" w:rsidRPr="00483448">
        <w:rPr>
          <w:rFonts w:ascii="Book Antiqua" w:hAnsi="Book Antiqua"/>
          <w:color w:val="000000"/>
        </w:rPr>
        <w:t xml:space="preserve">After assessment by the dietitian, each patient had the feeding regimen tailored to their individual nutritional needs. </w:t>
      </w:r>
      <w:r w:rsidR="001024B7" w:rsidRPr="00483448">
        <w:rPr>
          <w:rFonts w:ascii="Book Antiqua" w:hAnsi="Book Antiqua"/>
          <w:color w:val="000000"/>
        </w:rPr>
        <w:t>The Henry</w:t>
      </w:r>
      <w:r w:rsidR="00F620A6" w:rsidRPr="00483448">
        <w:rPr>
          <w:rFonts w:ascii="Book Antiqua" w:hAnsi="Book Antiqua"/>
          <w:color w:val="000000"/>
        </w:rPr>
        <w:t xml:space="preserve"> equation</w:t>
      </w:r>
      <w:r w:rsidR="00231645"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{"citationItems":[{"id":"ITEM-1","itemData":{"DOI":"10.1079/PHN2005801","ISSN":"1368-9800","abstract":"&lt;div class=\"abstract\" data-abstract-type=\"normal\"&gt;&lt;div class='sec'&gt;&lt;span class=\"bold\"&gt;Objective&lt;/span&gt;&lt;p&gt;To facilitate the Food and Agriculture Organization/World Health Organization/United Nations University Joint (FAO/WHO/UNU) Expert Consultation on Energy and Protein Requirements which met in Rome in 1981, Schofield &lt;span class='italic'&gt;et al.&lt;/span&gt; reviewed the literature and produced predictive equations for both sexes for the following ages: 0–3, 3–10, 10–18, 18–30, 30–60 and &amp;gt;60 years. These formed the basis for the equations used in 1985 FAO/WHO/UNU document, &lt;span class='italic'&gt;Energy and Protein Requirements&lt;/span&gt;.&lt;/p&gt;&lt;p&gt;While Schofield's analysis has served a significant role in re-establishing the importance of using basal metabolic rate (BMR) to predict human energy requirements, recent workers have subsequently queried the universal validity and application of these equations. A survey of the most recent studies (1980–2000) in BMR suggests that in most cases the current FAO/WHO/UNU predictive equations overestimate BMR in many communities. The FAO/WHO/UNU equations to predict BMR were developed using a database that contained a disproportionate number – 3388 out of 7173 (47%) – of Italian subjects. The Schofield database contained relatively few subjects from the tropical region.&lt;/p&gt;&lt;p&gt;The objective here is to review the historical development in the measurement and application of BMR and to critically review the Schofield &lt;span class='italic'&gt;et al.&lt;/span&gt; BMR database presenting a series of new equations to predict BMR.&lt;/p&gt;&lt;/div&gt;&lt;div class='sec'&gt;&lt;span class=\"bold\"&gt;Design&lt;/span&gt;&lt;p&gt;This division, while arbitrary, will enable readers who wish to omit the historical review of BMR to concentrate on the evolution of the new BMR equations.&lt;/p&gt;&lt;/div&gt;&lt;div class='sec'&gt;&lt;span class=\"bold\"&gt;Setting&lt;/span&gt;&lt;p&gt;BMR data collected from published and measured values.&lt;/p&gt;&lt;/div&gt;&lt;div class='sec'&gt;&lt;span class=\"bold\"&gt;Subjects&lt;/span&gt;&lt;p&gt;A series of new equations (Oxford equations) have been developed using a data set of 10 552 BMR values that (1) excluded all the Italian subjects and (2) included a much larger number (4018) of people from the tropics.&lt;/p&gt;&lt;/div&gt;&lt;div class='sec'&gt;&lt;span class=\"bold\"&gt;Results&lt;/span&gt;&lt;p&gt;In general, the Oxford equations tend to produce lower BMR values than the current FAO/WHO/UNU equations in 18–30 and 30–60 year old males and in all females over 18 years of age.&lt;/p&gt;&lt;/div&gt;&lt;div class='sec'&gt;&lt;span class=\"bold\"&gt;Conclusions&lt;/span&gt;&lt;p&gt;This …","author":[{"dropping-particle":"","family":"Henry","given":"CJK","non-dropping-particle":"","parse-names":false,"suffix":""}],"container-title":"Public Health Nutrition","id":"ITEM-1","issue":"7a","issued":{"date-parts":[["2005","10","2"]]},"page":"1133-1152","publisher":"Cambridge University Press","title":"Basal metabolic rate studies in humans: measurement and development of new equations","type":"article-journal","volume":"8"},"uris":["http://www.mendeley.com/documents/?uuid=7275ec40-8da4-37a8-a1f8-f152be674e4b"]}],"mendeley":{"formattedCitation":"&lt;sup&gt;[14]&lt;/sup&gt;","plainTextFormattedCitation":"[14]","previouslyFormattedCitation":"(14)"},"properties":{"noteIndex":0},"schema":"https://github.com/citation-style-language/schema/raw/master/csl-citation.json"}</w:instrText>
      </w:r>
      <w:r w:rsidR="00231645" w:rsidRPr="00483448">
        <w:rPr>
          <w:rFonts w:ascii="Book Antiqua" w:hAnsi="Book Antiqua"/>
          <w:color w:val="000000"/>
        </w:rPr>
        <w:fldChar w:fldCharType="separate"/>
      </w:r>
      <w:r w:rsidR="007D2F73" w:rsidRPr="00483448">
        <w:rPr>
          <w:rFonts w:ascii="Book Antiqua" w:hAnsi="Book Antiqua"/>
          <w:color w:val="000000"/>
          <w:vertAlign w:val="superscript"/>
        </w:rPr>
        <w:t>[14]</w:t>
      </w:r>
      <w:r w:rsidR="00231645" w:rsidRPr="00483448">
        <w:rPr>
          <w:rFonts w:ascii="Book Antiqua" w:hAnsi="Book Antiqua"/>
          <w:color w:val="000000"/>
        </w:rPr>
        <w:fldChar w:fldCharType="end"/>
      </w:r>
      <w:r w:rsidR="00F620A6" w:rsidRPr="00483448">
        <w:rPr>
          <w:rFonts w:ascii="Book Antiqua" w:hAnsi="Book Antiqua"/>
          <w:color w:val="000000"/>
        </w:rPr>
        <w:t xml:space="preserve"> </w:t>
      </w:r>
      <w:r w:rsidR="000748C5" w:rsidRPr="00483448">
        <w:rPr>
          <w:rFonts w:ascii="Book Antiqua" w:hAnsi="Book Antiqua"/>
          <w:color w:val="000000"/>
        </w:rPr>
        <w:t>wa</w:t>
      </w:r>
      <w:r w:rsidR="00F620A6" w:rsidRPr="00483448">
        <w:rPr>
          <w:rFonts w:ascii="Book Antiqua" w:hAnsi="Book Antiqua"/>
          <w:color w:val="000000"/>
        </w:rPr>
        <w:t xml:space="preserve">s used to estimate </w:t>
      </w:r>
      <w:r w:rsidR="00FC51C1" w:rsidRPr="00483448">
        <w:rPr>
          <w:rFonts w:ascii="Book Antiqua" w:hAnsi="Book Antiqua"/>
          <w:color w:val="000000"/>
        </w:rPr>
        <w:t>basal metabolic rate</w:t>
      </w:r>
      <w:r w:rsidR="00F620A6" w:rsidRPr="00483448">
        <w:rPr>
          <w:rFonts w:ascii="Book Antiqua" w:hAnsi="Book Antiqua"/>
          <w:color w:val="000000"/>
        </w:rPr>
        <w:t xml:space="preserve"> with 10% added as </w:t>
      </w:r>
      <w:r w:rsidR="000748C5" w:rsidRPr="00483448">
        <w:rPr>
          <w:rFonts w:ascii="Book Antiqua" w:hAnsi="Book Antiqua"/>
          <w:color w:val="000000"/>
        </w:rPr>
        <w:t xml:space="preserve">a </w:t>
      </w:r>
      <w:r w:rsidR="00F620A6" w:rsidRPr="00483448">
        <w:rPr>
          <w:rFonts w:ascii="Book Antiqua" w:hAnsi="Book Antiqua"/>
          <w:color w:val="000000"/>
        </w:rPr>
        <w:t>stress factor during chemotherapy. Each individuals</w:t>
      </w:r>
      <w:r w:rsidR="000748C5" w:rsidRPr="00483448">
        <w:rPr>
          <w:rFonts w:ascii="Book Antiqua" w:hAnsi="Book Antiqua"/>
          <w:color w:val="000000"/>
        </w:rPr>
        <w:t>’</w:t>
      </w:r>
      <w:r w:rsidR="00F620A6" w:rsidRPr="00483448">
        <w:rPr>
          <w:rFonts w:ascii="Book Antiqua" w:hAnsi="Book Antiqua"/>
          <w:color w:val="000000"/>
        </w:rPr>
        <w:t xml:space="preserve"> activity factor </w:t>
      </w:r>
      <w:r w:rsidR="000748C5" w:rsidRPr="00483448">
        <w:rPr>
          <w:rFonts w:ascii="Book Antiqua" w:hAnsi="Book Antiqua"/>
          <w:color w:val="000000"/>
        </w:rPr>
        <w:t>wa</w:t>
      </w:r>
      <w:r w:rsidR="00F620A6" w:rsidRPr="00483448">
        <w:rPr>
          <w:rFonts w:ascii="Book Antiqua" w:hAnsi="Book Antiqua"/>
          <w:color w:val="000000"/>
        </w:rPr>
        <w:t xml:space="preserve">s </w:t>
      </w:r>
      <w:r w:rsidR="00ED246E" w:rsidRPr="00483448">
        <w:rPr>
          <w:rFonts w:ascii="Book Antiqua" w:hAnsi="Book Antiqua"/>
          <w:color w:val="000000"/>
        </w:rPr>
        <w:t xml:space="preserve">also </w:t>
      </w:r>
      <w:r w:rsidR="00E10CAF" w:rsidRPr="00483448">
        <w:rPr>
          <w:rFonts w:ascii="Book Antiqua" w:hAnsi="Book Antiqua"/>
          <w:color w:val="000000"/>
        </w:rPr>
        <w:t>considered</w:t>
      </w:r>
      <w:r w:rsidR="00F620A6" w:rsidRPr="00483448">
        <w:rPr>
          <w:rFonts w:ascii="Book Antiqua" w:hAnsi="Book Antiqua"/>
          <w:color w:val="000000"/>
        </w:rPr>
        <w:t xml:space="preserve">. Based on these, the calorie intake </w:t>
      </w:r>
      <w:r w:rsidR="00ED246E" w:rsidRPr="00483448">
        <w:rPr>
          <w:rFonts w:ascii="Book Antiqua" w:hAnsi="Book Antiqua"/>
          <w:color w:val="000000"/>
        </w:rPr>
        <w:t xml:space="preserve">required </w:t>
      </w:r>
      <w:r w:rsidR="00F620A6" w:rsidRPr="00483448">
        <w:rPr>
          <w:rFonts w:ascii="Book Antiqua" w:hAnsi="Book Antiqua"/>
          <w:color w:val="000000"/>
        </w:rPr>
        <w:t xml:space="preserve">per day </w:t>
      </w:r>
      <w:r w:rsidR="000748C5" w:rsidRPr="00483448">
        <w:rPr>
          <w:rFonts w:ascii="Book Antiqua" w:hAnsi="Book Antiqua"/>
          <w:color w:val="000000"/>
        </w:rPr>
        <w:t>wa</w:t>
      </w:r>
      <w:r w:rsidR="00F620A6" w:rsidRPr="00483448">
        <w:rPr>
          <w:rFonts w:ascii="Book Antiqua" w:hAnsi="Book Antiqua"/>
          <w:color w:val="000000"/>
        </w:rPr>
        <w:t>s calculated.</w:t>
      </w:r>
      <w:r w:rsidR="00ED246E" w:rsidRPr="00483448">
        <w:rPr>
          <w:rFonts w:ascii="Book Antiqua" w:hAnsi="Book Antiqua"/>
          <w:color w:val="000000"/>
        </w:rPr>
        <w:t xml:space="preserve"> The feeding regiment aims to provide 0.17-0.2</w:t>
      </w:r>
      <w:r w:rsidR="00874604" w:rsidRPr="00483448">
        <w:rPr>
          <w:rFonts w:ascii="Book Antiqua" w:hAnsi="Book Antiqua"/>
          <w:color w:val="000000"/>
        </w:rPr>
        <w:t xml:space="preserve"> </w:t>
      </w:r>
      <w:r w:rsidR="00ED246E" w:rsidRPr="00483448">
        <w:rPr>
          <w:rFonts w:ascii="Book Antiqua" w:hAnsi="Book Antiqua"/>
          <w:color w:val="000000"/>
        </w:rPr>
        <w:t>g nitrogen/kg/d. Each individuals’ feeding regiment takes into account the amount of oral diet achieved. The feeding regimen aim</w:t>
      </w:r>
      <w:r w:rsidR="000748C5" w:rsidRPr="00483448">
        <w:rPr>
          <w:rFonts w:ascii="Book Antiqua" w:hAnsi="Book Antiqua"/>
          <w:color w:val="000000"/>
        </w:rPr>
        <w:t>ed</w:t>
      </w:r>
      <w:r w:rsidR="00ED246E" w:rsidRPr="00483448">
        <w:rPr>
          <w:rFonts w:ascii="Book Antiqua" w:hAnsi="Book Antiqua"/>
          <w:color w:val="000000"/>
        </w:rPr>
        <w:t xml:space="preserve"> to provide 10-12 hr overnight continuous feeding if </w:t>
      </w:r>
      <w:r w:rsidR="00416FF2" w:rsidRPr="00483448">
        <w:rPr>
          <w:rFonts w:ascii="Book Antiqua" w:hAnsi="Book Antiqua"/>
          <w:color w:val="000000"/>
        </w:rPr>
        <w:t>possible,</w:t>
      </w:r>
      <w:r w:rsidR="00ED246E" w:rsidRPr="00483448">
        <w:rPr>
          <w:rFonts w:ascii="Book Antiqua" w:hAnsi="Book Antiqua"/>
          <w:color w:val="000000"/>
        </w:rPr>
        <w:t xml:space="preserve"> to limit disruption of daytime activities.</w:t>
      </w:r>
      <w:r w:rsidR="00E10CAF" w:rsidRPr="00483448">
        <w:rPr>
          <w:rFonts w:ascii="Book Antiqua" w:hAnsi="Book Antiqua"/>
          <w:color w:val="000000"/>
        </w:rPr>
        <w:t xml:space="preserve"> </w:t>
      </w:r>
      <w:r w:rsidRPr="00483448">
        <w:rPr>
          <w:rFonts w:ascii="Book Antiqua" w:hAnsi="Book Antiqua"/>
          <w:color w:val="000000"/>
        </w:rPr>
        <w:t xml:space="preserve">All patients were maintained on regular feeding daily throughout </w:t>
      </w:r>
      <w:r w:rsidR="00055B9B" w:rsidRPr="00483448">
        <w:rPr>
          <w:rFonts w:ascii="Book Antiqua" w:hAnsi="Book Antiqua"/>
          <w:color w:val="000000"/>
        </w:rPr>
        <w:t>the</w:t>
      </w:r>
      <w:r w:rsidR="004770BB" w:rsidRPr="00483448">
        <w:rPr>
          <w:rFonts w:ascii="Book Antiqua" w:hAnsi="Book Antiqua"/>
          <w:color w:val="000000"/>
        </w:rPr>
        <w:t>ir</w:t>
      </w:r>
      <w:r w:rsidR="00055B9B" w:rsidRPr="00483448">
        <w:rPr>
          <w:rFonts w:ascii="Book Antiqua" w:hAnsi="Book Antiqua"/>
          <w:color w:val="000000"/>
        </w:rPr>
        <w:t xml:space="preserve"> period of receiving neo-adjuvant chemotherapy.</w:t>
      </w:r>
    </w:p>
    <w:p w:rsidR="00377CFF" w:rsidRPr="00483448" w:rsidRDefault="00377CFF" w:rsidP="004C5FED">
      <w:pPr>
        <w:pStyle w:val="1-2"/>
        <w:snapToGrid w:val="0"/>
        <w:spacing w:line="360" w:lineRule="auto"/>
        <w:jc w:val="both"/>
        <w:rPr>
          <w:rFonts w:ascii="Book Antiqua" w:hAnsi="Book Antiqua"/>
          <w:color w:val="000000"/>
        </w:rPr>
      </w:pPr>
    </w:p>
    <w:p w:rsidR="00DB5429" w:rsidRPr="00483448" w:rsidRDefault="006F3F62" w:rsidP="004C5FED">
      <w:pPr>
        <w:pStyle w:val="1-2"/>
        <w:snapToGrid w:val="0"/>
        <w:spacing w:line="360" w:lineRule="auto"/>
        <w:jc w:val="both"/>
        <w:outlineLvl w:val="0"/>
        <w:rPr>
          <w:rFonts w:ascii="Book Antiqua" w:hAnsi="Book Antiqua"/>
          <w:b/>
          <w:bCs/>
          <w:i/>
          <w:color w:val="000000"/>
        </w:rPr>
      </w:pPr>
      <w:r w:rsidRPr="00483448">
        <w:rPr>
          <w:rFonts w:ascii="Book Antiqua" w:hAnsi="Book Antiqua"/>
          <w:b/>
          <w:bCs/>
          <w:i/>
          <w:color w:val="000000"/>
        </w:rPr>
        <w:t>Anthropometric measurements</w:t>
      </w:r>
    </w:p>
    <w:p w:rsidR="006F3F62" w:rsidRPr="00483448" w:rsidRDefault="006F3F62" w:rsidP="004C5FED">
      <w:pPr>
        <w:pStyle w:val="1-2"/>
        <w:snapToGrid w:val="0"/>
        <w:spacing w:line="360" w:lineRule="auto"/>
        <w:jc w:val="both"/>
        <w:outlineLvl w:val="0"/>
        <w:rPr>
          <w:rFonts w:ascii="Book Antiqua" w:hAnsi="Book Antiqua"/>
          <w:b/>
          <w:bCs/>
          <w:iCs/>
          <w:color w:val="000000"/>
        </w:rPr>
      </w:pPr>
      <w:r w:rsidRPr="00483448">
        <w:rPr>
          <w:rFonts w:ascii="Book Antiqua" w:hAnsi="Book Antiqua"/>
          <w:color w:val="000000"/>
        </w:rPr>
        <w:t>Weight and height were recorded according to standard methods. Weight was measured with a medical balance beam scale</w:t>
      </w:r>
      <w:r w:rsidR="00C74498" w:rsidRPr="00483448">
        <w:rPr>
          <w:rFonts w:ascii="Book Antiqua" w:hAnsi="Book Antiqua"/>
          <w:color w:val="000000"/>
        </w:rPr>
        <w:t>,</w:t>
      </w:r>
      <w:r w:rsidRPr="00483448">
        <w:rPr>
          <w:rFonts w:ascii="Book Antiqua" w:hAnsi="Book Antiqua"/>
          <w:color w:val="000000"/>
        </w:rPr>
        <w:t xml:space="preserve"> and height was measured with a stadiometer. BMI was calculated [weight (kg)/height (m</w:t>
      </w:r>
      <w:r w:rsidRPr="00483448">
        <w:rPr>
          <w:rFonts w:ascii="Book Antiqua" w:hAnsi="Book Antiqua"/>
          <w:color w:val="000000"/>
          <w:vertAlign w:val="superscript"/>
        </w:rPr>
        <w:t>2</w:t>
      </w:r>
      <w:r w:rsidRPr="00483448">
        <w:rPr>
          <w:rFonts w:ascii="Book Antiqua" w:hAnsi="Book Antiqua"/>
          <w:color w:val="000000"/>
        </w:rPr>
        <w:t xml:space="preserve">)]. </w:t>
      </w:r>
    </w:p>
    <w:p w:rsidR="008C2F4B" w:rsidRPr="00483448" w:rsidRDefault="008C2F4B" w:rsidP="004C5FED">
      <w:pPr>
        <w:pStyle w:val="1-2"/>
        <w:snapToGrid w:val="0"/>
        <w:spacing w:line="360" w:lineRule="auto"/>
        <w:jc w:val="both"/>
        <w:rPr>
          <w:rFonts w:ascii="Book Antiqua" w:hAnsi="Book Antiqua"/>
          <w:color w:val="000000"/>
        </w:rPr>
      </w:pPr>
    </w:p>
    <w:p w:rsidR="006F3F62" w:rsidRPr="00483448" w:rsidRDefault="006F3F62" w:rsidP="004C5FED">
      <w:pPr>
        <w:pStyle w:val="1-2"/>
        <w:snapToGrid w:val="0"/>
        <w:spacing w:line="360" w:lineRule="auto"/>
        <w:jc w:val="both"/>
        <w:outlineLvl w:val="0"/>
        <w:rPr>
          <w:rFonts w:ascii="Book Antiqua" w:hAnsi="Book Antiqua"/>
          <w:b/>
          <w:bCs/>
          <w:i/>
          <w:color w:val="000000"/>
        </w:rPr>
      </w:pPr>
      <w:r w:rsidRPr="00483448">
        <w:rPr>
          <w:rFonts w:ascii="Book Antiqua" w:hAnsi="Book Antiqua"/>
          <w:b/>
          <w:bCs/>
          <w:i/>
          <w:color w:val="000000"/>
        </w:rPr>
        <w:t>Image analysis</w:t>
      </w:r>
    </w:p>
    <w:p w:rsidR="006F3F62" w:rsidRPr="00483448" w:rsidRDefault="006F3F62" w:rsidP="004C5FED">
      <w:pPr>
        <w:pStyle w:val="1-2"/>
        <w:snapToGrid w:val="0"/>
        <w:spacing w:line="360" w:lineRule="auto"/>
        <w:jc w:val="both"/>
        <w:rPr>
          <w:rFonts w:ascii="Book Antiqua" w:hAnsi="Book Antiqua"/>
          <w:color w:val="000000"/>
        </w:rPr>
      </w:pPr>
      <w:r w:rsidRPr="00483448">
        <w:rPr>
          <w:rFonts w:ascii="Book Antiqua" w:hAnsi="Book Antiqua"/>
          <w:color w:val="000000"/>
        </w:rPr>
        <w:t>CT has proven to be accurate for measuring human body composition</w:t>
      </w:r>
      <w:r w:rsidR="00011069"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{"citationItems":[{"id":"ITEM-1","itemData":{"DOI":"10.1152/jappl.1998.85.1.115","ISSN":"8750-7587","PMID":"9655763","abstract":"Magnetic resonance imaging (MRI) and computerized tomography (CT) are promising reference methods for quantifying whole body and regional skeletal muscle mass. Earlier MRI and CT validation studies used data-acquisition techniques and data-analysis procedures now outdated, evaluated anatomic rather than adipose tissue-free skeletal muscle (ATFSM), studied only the relatively large thigh, or found unduly large estimation errors. The aim of the present study was to compare arm and leg ATFSM cross-sectional area estimates (cm2) by using standard MRI and CT acquisition and image-analysis methods with corresponding cadaver estimates. A second objective was to validate MRI and CT measurements of adipose tissue embedded within muscle (interstitial adipose tissue) and surrounding muscle (subcutaneous adipose tissue). ATFSM area (n = 119) by MRI [38.9 +/- 22.3 (SD) cm2], CT (39.7 +/- 22.8 cm2), and cadaver (39.5 +/- 23.0 cm2) were not different (P &gt; 0.001), and both MRI and CT estimates of ATFSM were highly correlated with corresponding cadaver values [MRI: r = 0.99, SE of estimate (SEE) 3.9 cm2, P &lt; 0.001; and CT: r = 0.99, SEE = 3.8 cm2, P &lt; 0.001]. Similarly good results were observed between MRI- and CT-measured vs. cadaver-measured interstitial and subcutaneous adipose tissue. For MRI-ATFSM the intraobserver correlation for duplicate measurements in vivo was 0. 99 [SEE = 8.7 cm2 (2.9%), P &lt; 0.001]. These findings strongly support the use of MRI and CT as reference methods for appendicular skeletal muscle, interstitial and subcutaneous adipose tissue measurement in vivo.","author":[{"dropping-particle":"","family":"Mitsiopoulos","given":"N","non-dropping-particle":"","parse-names":false,"suffix":""},{"dropping-particle":"","family":"Baumgartner","given":"R N","non-dropping-particle":"","parse-names":false,"suffix":""},{"dropping-particle":"","family":"Heymsfield","given":"S B","non-dropping-particle":"","parse-names":false,"suffix":""},{"dropping-particle":"","family":"Lyons","given":"W","non-dropping-particle":"","parse-names":false,"suffix":""},{"dropping-particle":"","family":"Gallagher","given":"D","non-dropping-particle":"","parse-names":false,"suffix":""},{"dropping-particle":"","family":"Ross","given":"R","non-dropping-particle":"","parse-names":false,"suffix":""}],"container-title":"Journal of applied physiology (Bethesda, Md. : 1985)","id":"ITEM-1","issue":"1","issued":{"date-parts":[["1998","7"]]},"page":"115-22","title":"Cadaver validation of skeletal muscle measurement by magnetic resonance imaging and computerized tomography.","type":"article-journal","volume":"85"},"uris":["http://www.mendeley.com/documents/?uuid=7bc03620-be8a-380f-97cb-cacc3d621edb"]},{"id":"ITEM-2","itemData":{"DOI":"10.1146/annurev.nutr.17.1.527","ISSN":"0199-9885","PMID":"9240939","abstract":"The field of human body composition research is reaching a mature stage in its development: The three interconnected areas that define body composition research--models and their rules, methodology, and biological effects--are well-defined and are actively investigated by scientists in diverse disciplines from many different nations; and methods are available for measuring all major atomic, molecular, cellular, and tissue-system level body composition components in research, clinical, and epidemiological settings. This review summarizes main body composition research concepts, examines new component-measurement methodologies, and identifies potential areas of future research.","author":[{"dropping-particle":"","family":"B. Heymsfield","given":"Steven","non-dropping-particle":"","parse-names":false,"suffix":""},{"dropping-particle":"","family":"Wang","given":"ZiMian","non-dropping-particle":"","parse-names":false,"suffix":""},{"dropping-particle":"","family":"Baumgartner","given":"Richard N.","non-dropping-particle":"","parse-names":false,"suffix":""},{"dropping-particle":"","family":"Ross","given":"Robert","non-dropping-particle":"","parse-names":false,"suffix":""}],"container-title":"Annual Review of Nutrition","id":"ITEM-2","issue":"1","issued":{"date-parts":[["1997","7"]]},"page":"527-558","title":"Human Body Composition: Advances in Models and Methods","type":"article-journal","volume":"17"},"uris":["http://www.mendeley.com/documents/?uuid=175ede81-ed40-35df-9de1-93555e8e6348"]}],"mendeley":{"formattedCitation":"&lt;sup&gt;[15,16]&lt;/sup&gt;","plainTextFormattedCitation":"[15,16]","previouslyFormattedCitation":"(15,16)"},"properties":{"noteIndex":0},"schema":"https://github.com/citation-style-language/schema/raw/master/csl-citation.json"}</w:instrText>
      </w:r>
      <w:r w:rsidR="00011069" w:rsidRPr="00483448">
        <w:rPr>
          <w:rFonts w:ascii="Book Antiqua" w:hAnsi="Book Antiqua"/>
          <w:color w:val="000000"/>
        </w:rPr>
        <w:fldChar w:fldCharType="separate"/>
      </w:r>
      <w:r w:rsidR="007D2F73" w:rsidRPr="00483448">
        <w:rPr>
          <w:rFonts w:ascii="Book Antiqua" w:hAnsi="Book Antiqua"/>
          <w:color w:val="000000"/>
          <w:vertAlign w:val="superscript"/>
        </w:rPr>
        <w:t>[15,16]</w:t>
      </w:r>
      <w:r w:rsidR="00011069" w:rsidRPr="00483448">
        <w:rPr>
          <w:rFonts w:ascii="Book Antiqua" w:hAnsi="Book Antiqua"/>
          <w:color w:val="000000"/>
        </w:rPr>
        <w:fldChar w:fldCharType="end"/>
      </w:r>
      <w:r w:rsidR="00B462C5" w:rsidRPr="00483448">
        <w:rPr>
          <w:rFonts w:ascii="Book Antiqua" w:hAnsi="Book Antiqua"/>
          <w:color w:val="000000"/>
        </w:rPr>
        <w:t xml:space="preserve">. </w:t>
      </w:r>
      <w:r w:rsidRPr="00483448">
        <w:rPr>
          <w:rFonts w:ascii="Book Antiqua" w:hAnsi="Book Antiqua"/>
          <w:color w:val="000000"/>
        </w:rPr>
        <w:t>Regional muscle tissue was measured by CT from electronically stored images, which had been done previously for diagnostic purposes. CT scans w</w:t>
      </w:r>
      <w:r w:rsidR="00843EDA" w:rsidRPr="00483448">
        <w:rPr>
          <w:rFonts w:ascii="Book Antiqua" w:hAnsi="Book Antiqua"/>
          <w:color w:val="000000"/>
        </w:rPr>
        <w:t>ere</w:t>
      </w:r>
      <w:r w:rsidRPr="00483448">
        <w:rPr>
          <w:rFonts w:ascii="Book Antiqua" w:hAnsi="Book Antiqua"/>
          <w:color w:val="000000"/>
        </w:rPr>
        <w:t xml:space="preserve"> performed at two time </w:t>
      </w:r>
      <w:r w:rsidRPr="00483448">
        <w:rPr>
          <w:rFonts w:ascii="Book Antiqua" w:hAnsi="Book Antiqua"/>
          <w:color w:val="000000"/>
        </w:rPr>
        <w:lastRenderedPageBreak/>
        <w:t xml:space="preserve">points: </w:t>
      </w:r>
      <w:r w:rsidR="00584B61" w:rsidRPr="00483448">
        <w:rPr>
          <w:rFonts w:ascii="Book Antiqua" w:hAnsi="Book Antiqua"/>
          <w:color w:val="000000"/>
        </w:rPr>
        <w:t>the first</w:t>
      </w:r>
      <w:r w:rsidRPr="00483448">
        <w:rPr>
          <w:rFonts w:ascii="Book Antiqua" w:hAnsi="Book Antiqua"/>
          <w:color w:val="000000"/>
        </w:rPr>
        <w:t xml:space="preserve"> at diagnosis prior to commencement of chemotherapy</w:t>
      </w:r>
      <w:r w:rsidR="00584B61" w:rsidRPr="00483448">
        <w:rPr>
          <w:rFonts w:ascii="Book Antiqua" w:hAnsi="Book Antiqua"/>
          <w:color w:val="000000"/>
        </w:rPr>
        <w:t xml:space="preserve"> and the second</w:t>
      </w:r>
      <w:r w:rsidRPr="00483448">
        <w:rPr>
          <w:rFonts w:ascii="Book Antiqua" w:hAnsi="Book Antiqua"/>
          <w:color w:val="000000"/>
        </w:rPr>
        <w:t xml:space="preserve"> after completion of neo-adjuvant chemotherapy prior to surgery</w:t>
      </w:r>
      <w:r w:rsidR="00711024" w:rsidRPr="00483448">
        <w:rPr>
          <w:rFonts w:ascii="Book Antiqua" w:hAnsi="Book Antiqua"/>
          <w:color w:val="000000"/>
        </w:rPr>
        <w:t xml:space="preserve"> (Figure 1)</w:t>
      </w:r>
      <w:r w:rsidRPr="00483448">
        <w:rPr>
          <w:rFonts w:ascii="Book Antiqua" w:hAnsi="Book Antiqua"/>
          <w:color w:val="000000"/>
        </w:rPr>
        <w:t>.</w:t>
      </w:r>
    </w:p>
    <w:p w:rsidR="00F2456E" w:rsidRPr="00483448" w:rsidRDefault="006F3F62"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The third lumbar vertebra (L3) was chosen as a landmark, and two consecutive slices were assessed to measure cross-sectional area of muscle and adipose tissue as described</w:t>
      </w:r>
      <w:r w:rsidR="00011069"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{"citationItems":[{"id":"ITEM-1","itemData":{"DOI":"10.1177/0148607114550189","ISSN":"0148-6071","PMID":"25239112","abstract":"Body composition refers to the amount of fat and lean tissues in our body; it is a science that looks beyond a unit of body weight, accounting for the proportion of different tissues and its relationship to health. Although body weight and body mass index are well-known indexes of health status, most researchers agree that they are rather inaccurate measures, especially for elderly individuals and those patients with specific clinical conditions. The emerging use of imaging techniques such as dual energy x-ray absorptiometry, computerized tomography, magnetic resonance imaging, and ultrasound imaging in the clinical setting have highlighted the importance of lean soft tissue (LST) as an independent predictor of morbidity and mortality. It is clear from emerging studies that body composition health will be vital in treatment decisions, prognostic outcomes, and quality of life in several nonclinical and clinical states. This review explores the methodologies and the emerging value of imaging techniques in the assessment of body composition, focusing on the value of LST to predict nutrition status.","author":[{"dropping-particle":"","family":"Prado","given":"Carla M. M.","non-dropping-particle":"","parse-names":false,"suffix":""},{"dropping-particle":"","family":"Heymsfield","given":"Steven B.","non-dropping-particle":"","parse-names":false,"suffix":""}],"container-title":"Journal of Parenteral and Enteral Nutrition","id":"ITEM-1","issue":"8","issued":{"date-parts":[["2014","11","19"]]},"page":"940-953","title":"Lean Tissue Imaging","type":"article-journal","volume":"38"},"uris":["http://www.mendeley.com/documents/?uuid=f79b0f18-1a00-30aa-860e-d6c42a9ea354"]}],"mendeley":{"formattedCitation":"&lt;sup&gt;[17]&lt;/sup&gt;","plainTextFormattedCitation":"[17]","previouslyFormattedCitation":"(17)"},"properties":{"noteIndex":0},"schema":"https://github.com/citation-style-language/schema/raw/master/csl-citation.json"}</w:instrText>
      </w:r>
      <w:r w:rsidR="00011069" w:rsidRPr="00483448">
        <w:rPr>
          <w:rFonts w:ascii="Book Antiqua" w:hAnsi="Book Antiqua"/>
          <w:b/>
          <w:color w:val="000000"/>
        </w:rPr>
        <w:fldChar w:fldCharType="separate"/>
      </w:r>
      <w:r w:rsidR="007D2F73" w:rsidRPr="00483448">
        <w:rPr>
          <w:rFonts w:ascii="Book Antiqua" w:hAnsi="Book Antiqua"/>
          <w:color w:val="000000"/>
          <w:vertAlign w:val="superscript"/>
        </w:rPr>
        <w:t>[17]</w:t>
      </w:r>
      <w:r w:rsidR="00011069" w:rsidRPr="00483448">
        <w:rPr>
          <w:rFonts w:ascii="Book Antiqua" w:hAnsi="Book Antiqua"/>
          <w:b/>
          <w:color w:val="000000"/>
        </w:rPr>
        <w:fldChar w:fldCharType="end"/>
      </w:r>
      <w:r w:rsidRPr="00483448">
        <w:rPr>
          <w:rFonts w:ascii="Book Antiqua" w:hAnsi="Book Antiqua"/>
          <w:color w:val="000000"/>
        </w:rPr>
        <w:t>.</w:t>
      </w:r>
      <w:r w:rsidR="00B51D00" w:rsidRPr="00483448">
        <w:rPr>
          <w:rFonts w:ascii="Book Antiqua" w:hAnsi="Book Antiqua"/>
          <w:color w:val="000000"/>
        </w:rPr>
        <w:t xml:space="preserve"> </w:t>
      </w:r>
      <w:r w:rsidRPr="00483448">
        <w:rPr>
          <w:rFonts w:ascii="Book Antiqua" w:hAnsi="Book Antiqua"/>
          <w:color w:val="000000"/>
        </w:rPr>
        <w:t xml:space="preserve">The average value of two images was computed for </w:t>
      </w:r>
      <w:r w:rsidR="003C0FD4" w:rsidRPr="00483448">
        <w:rPr>
          <w:rFonts w:ascii="Book Antiqua" w:hAnsi="Book Antiqua"/>
          <w:color w:val="000000"/>
        </w:rPr>
        <w:t>each patient. Images were analys</w:t>
      </w:r>
      <w:r w:rsidRPr="00483448">
        <w:rPr>
          <w:rFonts w:ascii="Book Antiqua" w:hAnsi="Book Antiqua"/>
          <w:color w:val="000000"/>
        </w:rPr>
        <w:t>ed using</w:t>
      </w:r>
      <w:r w:rsidR="00DA3595" w:rsidRPr="00483448">
        <w:rPr>
          <w:rFonts w:ascii="Book Antiqua" w:hAnsi="Book Antiqua"/>
          <w:color w:val="000000"/>
        </w:rPr>
        <w:t xml:space="preserve"> </w:t>
      </w:r>
      <w:r w:rsidRPr="00483448">
        <w:rPr>
          <w:rFonts w:ascii="Book Antiqua" w:hAnsi="Book Antiqua"/>
          <w:color w:val="000000"/>
        </w:rPr>
        <w:t>Slice-O-Matic software V4.3 (Tomovision). Cross sectional area for muscle and adipose tissue was normalized for stature (cm</w:t>
      </w:r>
      <w:r w:rsidRPr="00483448">
        <w:rPr>
          <w:rFonts w:ascii="Book Antiqua" w:hAnsi="Book Antiqua"/>
          <w:color w:val="000000"/>
          <w:vertAlign w:val="superscript"/>
        </w:rPr>
        <w:t>2</w:t>
      </w:r>
      <w:r w:rsidRPr="00483448">
        <w:rPr>
          <w:rFonts w:ascii="Book Antiqua" w:hAnsi="Book Antiqua"/>
          <w:color w:val="000000"/>
        </w:rPr>
        <w:t>/m</w:t>
      </w:r>
      <w:r w:rsidRPr="00483448">
        <w:rPr>
          <w:rFonts w:ascii="Book Antiqua" w:hAnsi="Book Antiqua"/>
          <w:color w:val="000000"/>
          <w:vertAlign w:val="superscript"/>
        </w:rPr>
        <w:t>2</w:t>
      </w:r>
      <w:r w:rsidRPr="00483448">
        <w:rPr>
          <w:rFonts w:ascii="Book Antiqua" w:hAnsi="Book Antiqua"/>
          <w:color w:val="000000"/>
        </w:rPr>
        <w:t>) and reported.</w:t>
      </w:r>
      <w:r w:rsidR="00EF77DA" w:rsidRPr="00483448">
        <w:rPr>
          <w:rFonts w:ascii="Book Antiqua" w:hAnsi="Book Antiqua"/>
          <w:color w:val="000000"/>
        </w:rPr>
        <w:t xml:space="preserve"> </w:t>
      </w:r>
      <w:r w:rsidR="00E72A3E" w:rsidRPr="00483448">
        <w:rPr>
          <w:rFonts w:ascii="Book Antiqua" w:hAnsi="Book Antiqua"/>
          <w:color w:val="000000"/>
        </w:rPr>
        <w:t>Patients were classified as sarcopenic according to established cut offs</w:t>
      </w:r>
      <w:r w:rsidR="0081036C" w:rsidRPr="00483448">
        <w:rPr>
          <w:rFonts w:ascii="Book Antiqua" w:hAnsi="Book Antiqua"/>
          <w:color w:val="000000"/>
        </w:rPr>
        <w:t>:</w:t>
      </w:r>
      <w:r w:rsidR="00E72A3E" w:rsidRPr="00483448">
        <w:rPr>
          <w:rFonts w:ascii="Book Antiqua" w:hAnsi="Book Antiqua"/>
          <w:color w:val="000000"/>
        </w:rPr>
        <w:t xml:space="preserve"> L3 muscle index &lt; 41 cm</w:t>
      </w:r>
      <w:r w:rsidR="00E72A3E" w:rsidRPr="00483448">
        <w:rPr>
          <w:rFonts w:ascii="Book Antiqua" w:hAnsi="Book Antiqua"/>
          <w:color w:val="000000"/>
          <w:vertAlign w:val="superscript"/>
        </w:rPr>
        <w:t>2</w:t>
      </w:r>
      <w:r w:rsidR="00E72A3E" w:rsidRPr="00483448">
        <w:rPr>
          <w:rFonts w:ascii="Book Antiqua" w:hAnsi="Book Antiqua"/>
          <w:color w:val="000000"/>
        </w:rPr>
        <w:t>/m</w:t>
      </w:r>
      <w:r w:rsidR="00E72A3E" w:rsidRPr="00483448">
        <w:rPr>
          <w:rFonts w:ascii="Book Antiqua" w:hAnsi="Book Antiqua"/>
          <w:color w:val="000000"/>
          <w:vertAlign w:val="superscript"/>
        </w:rPr>
        <w:t xml:space="preserve">2 </w:t>
      </w:r>
      <w:r w:rsidR="00E72A3E" w:rsidRPr="00483448">
        <w:rPr>
          <w:rFonts w:ascii="Book Antiqua" w:hAnsi="Book Antiqua"/>
          <w:color w:val="000000"/>
        </w:rPr>
        <w:t>for women and &lt;</w:t>
      </w:r>
      <w:r w:rsidR="00DB5429" w:rsidRPr="00483448">
        <w:rPr>
          <w:rFonts w:ascii="Book Antiqua" w:hAnsi="Book Antiqua"/>
          <w:color w:val="000000"/>
        </w:rPr>
        <w:t xml:space="preserve"> </w:t>
      </w:r>
      <w:r w:rsidR="00E72A3E" w:rsidRPr="00483448">
        <w:rPr>
          <w:rFonts w:ascii="Book Antiqua" w:hAnsi="Book Antiqua"/>
          <w:color w:val="000000"/>
        </w:rPr>
        <w:t>43 cm</w:t>
      </w:r>
      <w:r w:rsidR="00E72A3E" w:rsidRPr="00483448">
        <w:rPr>
          <w:rFonts w:ascii="Book Antiqua" w:hAnsi="Book Antiqua"/>
          <w:color w:val="000000"/>
          <w:vertAlign w:val="superscript"/>
        </w:rPr>
        <w:t>2</w:t>
      </w:r>
      <w:r w:rsidR="00E72A3E" w:rsidRPr="00483448">
        <w:rPr>
          <w:rFonts w:ascii="Book Antiqua" w:hAnsi="Book Antiqua"/>
          <w:color w:val="000000"/>
        </w:rPr>
        <w:t>/m</w:t>
      </w:r>
      <w:r w:rsidR="00E72A3E" w:rsidRPr="00483448">
        <w:rPr>
          <w:rFonts w:ascii="Book Antiqua" w:hAnsi="Book Antiqua"/>
          <w:color w:val="000000"/>
          <w:vertAlign w:val="superscript"/>
        </w:rPr>
        <w:t>2</w:t>
      </w:r>
      <w:r w:rsidR="00E72A3E" w:rsidRPr="00483448">
        <w:rPr>
          <w:rFonts w:ascii="Book Antiqua" w:hAnsi="Book Antiqua"/>
          <w:color w:val="000000"/>
        </w:rPr>
        <w:t xml:space="preserve"> for men with a BMI &lt; 25 </w:t>
      </w:r>
      <w:r w:rsidR="001E2927" w:rsidRPr="00483448">
        <w:rPr>
          <w:rFonts w:ascii="Book Antiqua" w:hAnsi="Book Antiqua"/>
          <w:color w:val="000000"/>
        </w:rPr>
        <w:t xml:space="preserve">or L3 muscle index </w:t>
      </w:r>
      <w:r w:rsidR="00E72A3E" w:rsidRPr="00483448">
        <w:rPr>
          <w:rFonts w:ascii="Book Antiqua" w:hAnsi="Book Antiqua"/>
          <w:color w:val="000000"/>
        </w:rPr>
        <w:t>&lt;</w:t>
      </w:r>
      <w:r w:rsidR="001E2927" w:rsidRPr="00483448">
        <w:rPr>
          <w:rFonts w:ascii="Book Antiqua" w:hAnsi="Book Antiqua"/>
          <w:color w:val="000000"/>
        </w:rPr>
        <w:t xml:space="preserve"> </w:t>
      </w:r>
      <w:r w:rsidR="00E72A3E" w:rsidRPr="00483448">
        <w:rPr>
          <w:rFonts w:ascii="Book Antiqua" w:hAnsi="Book Antiqua"/>
          <w:color w:val="000000"/>
        </w:rPr>
        <w:t>53</w:t>
      </w:r>
      <w:r w:rsidR="00905B71" w:rsidRPr="00483448">
        <w:rPr>
          <w:rFonts w:ascii="Book Antiqua" w:hAnsi="Book Antiqua"/>
          <w:color w:val="000000"/>
        </w:rPr>
        <w:t xml:space="preserve"> cm</w:t>
      </w:r>
      <w:r w:rsidR="00905B71" w:rsidRPr="00483448">
        <w:rPr>
          <w:rFonts w:ascii="Book Antiqua" w:hAnsi="Book Antiqua"/>
          <w:color w:val="000000"/>
          <w:vertAlign w:val="superscript"/>
        </w:rPr>
        <w:t>2</w:t>
      </w:r>
      <w:r w:rsidR="00905B71" w:rsidRPr="00483448">
        <w:rPr>
          <w:rFonts w:ascii="Book Antiqua" w:hAnsi="Book Antiqua"/>
          <w:color w:val="000000"/>
        </w:rPr>
        <w:t>/m</w:t>
      </w:r>
      <w:r w:rsidR="00905B71" w:rsidRPr="00483448">
        <w:rPr>
          <w:rFonts w:ascii="Book Antiqua" w:hAnsi="Book Antiqua"/>
          <w:color w:val="000000"/>
          <w:vertAlign w:val="superscript"/>
        </w:rPr>
        <w:t>2</w:t>
      </w:r>
      <w:r w:rsidR="00E72A3E" w:rsidRPr="00483448">
        <w:rPr>
          <w:rFonts w:ascii="Book Antiqua" w:hAnsi="Book Antiqua"/>
          <w:color w:val="000000"/>
        </w:rPr>
        <w:t xml:space="preserve"> for men with a BMI &gt;</w:t>
      </w:r>
      <w:r w:rsidR="00C93834" w:rsidRPr="00483448">
        <w:rPr>
          <w:rFonts w:ascii="Book Antiqua" w:hAnsi="Book Antiqua"/>
          <w:color w:val="000000"/>
        </w:rPr>
        <w:t xml:space="preserve"> 25</w:t>
      </w:r>
      <w:r w:rsidR="00011069"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{"citationItems":[{"id":"ITEM-1","itemData":{"DOI":"10.1200/JCO.2012.45.2722","ISSN":"1527-7755","PMID":"23530101","abstract":"PURPOSE Emerging evidence suggests muscle depletion predicts survival of patients with cancer. PATIENTS AND METHODS At a cancer center in Alberta, Canada, consecutive patients with cancer (lung or GI; N = 1,473) were assessed at presentation for weight loss history, lumbar skeletal muscle index, and mean muscle attenuation (Hounsfield units) by computed tomography (CT). Univariate and multivariate analyses were conducted. Concordance (c) statistics were used to test predictive accuracy of survival models. RESULTS Body mass index (BMI) distribution was 17% obese, 35% overweight, 36% normal weight, and 12% underweight. Patients in all BMI categories varied widely in weight loss, muscle index, and muscle attenuation. Thresholds defining associations between these three variables and survival were determined using optimal stratification. High weight loss, low muscle index, and low muscle attenuation were independently prognostic of survival. A survival model containing conventional covariates (cancer diagnosis, stage, age, performance status) gave a c statistic of 0.73 (95% CI, 0.67 to 0.79), whereas a model ignoring conventional variables and including only BMI, weight loss, muscle index, and muscle attenuation gave a c statistic of 0.92 (95% CI, 0.88 to 0.95; P &lt; .001). Patients who possessed all three of these poor prognostic variables survived 8.4 months (95% CI, 6.5 to 10.3), regardless of whether they presented as obese, overweight, normal weight, or underweight, in contrast to patients who had none of these features, who survived 28.4 months (95% CI, 24.2 to 32.6; P &lt; .001). CONCLUSION CT images reveal otherwise occult muscle depletion. Patients with cancer who are cachexic by the conventional criterion (involuntary weight loss) and by two additional criteria (muscle depletion and low muscle attenuation) share a poor prognosis, regardless of overall body weight.","author":[{"dropping-particle":"","family":"Martin","given":"Lisa","non-dropping-particle":"","parse-names":false,"suffix":""},{"dropping-particle":"","family":"Birdsell","given":"Laura","non-dropping-particle":"","parse-names":false,"suffix":""},{"dropping-particle":"","family":"Macdonald","given":"Neil","non-dropping-particle":"","parse-names":false,"suffix":""},{"dropping-particle":"","family":"Reiman","given":"Tony","non-dropping-particle":"","parse-names":false,"suffix":""},{"dropping-particle":"","family":"Clandinin","given":"M Thomas","non-dropping-particle":"","parse-names":false,"suffix":""},{"dropping-particle":"","family":"McCargar","given":"Linda J","non-dropping-particle":"","parse-names":false,"suffix":""},{"dropping-particle":"","family":"Murphy","given":"Rachel","non-dropping-particle":"","parse-names":false,"suffix":""},{"dropping-particle":"","family":"Ghosh","given":"Sunita","non-dropping-particle":"","parse-names":false,"suffix":""},{"dropping-particle":"","family":"Sawyer","given":"Michael B","non-dropping-particle":"","parse-names":false,"suffix":""},{"dropping-particle":"","family":"Baracos","given":"Vickie E","non-dropping-particle":"","parse-names":false,"suffix":""}],"container-title":"Journal of clinical oncology : official journal of the American Society of Clinical Oncology","id":"ITEM-1","issue":"12","issued":{"date-parts":[["2013","4","20"]]},"page":"1539-47","title":"Cancer cachexia in the age of obesity: skeletal muscle depletion is a powerful prognostic factor, independent of body mass index.","type":"article-journal","volume":"31"},"uris":["http://www.mendeley.com/documents/?uuid=8ab72360-3358-3510-ab25-17f58512e04a"]}],"mendeley":{"formattedCitation":"&lt;sup&gt;[18]&lt;/sup&gt;","plainTextFormattedCitation":"[18]","previouslyFormattedCitation":"(18)"},"properties":{"noteIndex":0},"schema":"https://github.com/citation-style-language/schema/raw/master/csl-citation.json"}</w:instrText>
      </w:r>
      <w:r w:rsidR="00011069" w:rsidRPr="00483448">
        <w:rPr>
          <w:rFonts w:ascii="Book Antiqua" w:hAnsi="Book Antiqua"/>
          <w:b/>
          <w:color w:val="000000"/>
        </w:rPr>
        <w:fldChar w:fldCharType="separate"/>
      </w:r>
      <w:r w:rsidR="007D2F73" w:rsidRPr="00483448">
        <w:rPr>
          <w:rFonts w:ascii="Book Antiqua" w:hAnsi="Book Antiqua"/>
          <w:color w:val="000000"/>
          <w:vertAlign w:val="superscript"/>
        </w:rPr>
        <w:t>[18]</w:t>
      </w:r>
      <w:r w:rsidR="00011069" w:rsidRPr="00483448">
        <w:rPr>
          <w:rFonts w:ascii="Book Antiqua" w:hAnsi="Book Antiqua"/>
          <w:b/>
          <w:color w:val="000000"/>
        </w:rPr>
        <w:fldChar w:fldCharType="end"/>
      </w:r>
      <w:r w:rsidR="00C93834" w:rsidRPr="00483448">
        <w:rPr>
          <w:rFonts w:ascii="Book Antiqua" w:hAnsi="Book Antiqua"/>
          <w:color w:val="000000"/>
        </w:rPr>
        <w:t xml:space="preserve">. </w:t>
      </w:r>
      <w:r w:rsidR="00DE018D" w:rsidRPr="00483448">
        <w:rPr>
          <w:rFonts w:ascii="Book Antiqua" w:hAnsi="Book Antiqua"/>
          <w:color w:val="000000"/>
        </w:rPr>
        <w:t>The mean Hounsfield unit measurement of all skeletal muscle within the L3 cross-section was recorded as a measure of myosteatosis, which was defined operationally as a mean skeletal muscle radiodensity of &lt;</w:t>
      </w:r>
      <w:r w:rsidR="00DB5429" w:rsidRPr="00483448">
        <w:rPr>
          <w:rFonts w:ascii="Book Antiqua" w:hAnsi="Book Antiqua"/>
          <w:color w:val="000000"/>
        </w:rPr>
        <w:t xml:space="preserve"> </w:t>
      </w:r>
      <w:r w:rsidR="00DE018D" w:rsidRPr="00483448">
        <w:rPr>
          <w:rFonts w:ascii="Book Antiqua" w:hAnsi="Book Antiqua"/>
          <w:color w:val="000000"/>
        </w:rPr>
        <w:t xml:space="preserve">33 </w:t>
      </w:r>
      <w:r w:rsidR="001E2927" w:rsidRPr="00483448">
        <w:rPr>
          <w:rFonts w:ascii="Book Antiqua" w:hAnsi="Book Antiqua"/>
          <w:color w:val="000000"/>
        </w:rPr>
        <w:t>Hounsfield unit</w:t>
      </w:r>
      <w:r w:rsidR="00DE018D" w:rsidRPr="00483448">
        <w:rPr>
          <w:rFonts w:ascii="Book Antiqua" w:hAnsi="Book Antiqua"/>
          <w:color w:val="000000"/>
        </w:rPr>
        <w:t xml:space="preserve"> in those with a BMI &gt;</w:t>
      </w:r>
      <w:r w:rsidR="00DB5429" w:rsidRPr="00483448">
        <w:rPr>
          <w:rFonts w:ascii="Book Antiqua" w:hAnsi="Book Antiqua"/>
          <w:color w:val="000000"/>
        </w:rPr>
        <w:t xml:space="preserve"> </w:t>
      </w:r>
      <w:r w:rsidR="00DE018D" w:rsidRPr="00483448">
        <w:rPr>
          <w:rFonts w:ascii="Book Antiqua" w:hAnsi="Book Antiqua"/>
          <w:color w:val="000000"/>
        </w:rPr>
        <w:t>25; and &lt;</w:t>
      </w:r>
      <w:r w:rsidR="00DB5429" w:rsidRPr="00483448">
        <w:rPr>
          <w:rFonts w:ascii="Book Antiqua" w:hAnsi="Book Antiqua"/>
          <w:color w:val="000000"/>
        </w:rPr>
        <w:t xml:space="preserve"> </w:t>
      </w:r>
      <w:r w:rsidR="00DE018D" w:rsidRPr="00483448">
        <w:rPr>
          <w:rFonts w:ascii="Book Antiqua" w:hAnsi="Book Antiqua"/>
          <w:color w:val="000000"/>
        </w:rPr>
        <w:t xml:space="preserve">41 </w:t>
      </w:r>
      <w:r w:rsidR="001E2927" w:rsidRPr="00483448">
        <w:rPr>
          <w:rFonts w:ascii="Book Antiqua" w:hAnsi="Book Antiqua"/>
          <w:color w:val="000000"/>
        </w:rPr>
        <w:t>Hounsfield unit</w:t>
      </w:r>
      <w:r w:rsidR="00DE018D" w:rsidRPr="00483448">
        <w:rPr>
          <w:rFonts w:ascii="Book Antiqua" w:hAnsi="Book Antiqua"/>
          <w:color w:val="000000"/>
        </w:rPr>
        <w:t xml:space="preserve"> in those with a BMI &lt; 25 across the axial orthogonal view</w:t>
      </w:r>
      <w:r w:rsidR="00011069"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{"citationItems":[{"id":"ITEM-1","itemData":{"DOI":"10.1200/JCO.2012.45.2722","ISSN":"1527-7755","PMID":"23530101","abstract":"PURPOSE Emerging evidence suggests muscle depletion predicts survival of patients with cancer. PATIENTS AND METHODS At a cancer center in Alberta, Canada, consecutive patients with cancer (lung or GI; N = 1,473) were assessed at presentation for weight loss history, lumbar skeletal muscle index, and mean muscle attenuation (Hounsfield units) by computed tomography (CT). Univariate and multivariate analyses were conducted. Concordance (c) statistics were used to test predictive accuracy of survival models. RESULTS Body mass index (BMI) distribution was 17% obese, 35% overweight, 36% normal weight, and 12% underweight. Patients in all BMI categories varied widely in weight loss, muscle index, and muscle attenuation. Thresholds defining associations between these three variables and survival were determined using optimal stratification. High weight loss, low muscle index, and low muscle attenuation were independently prognostic of survival. A survival model containing conventional covariates (cancer diagnosis, stage, age, performance status) gave a c statistic of 0.73 (95% CI, 0.67 to 0.79), whereas a model ignoring conventional variables and including only BMI, weight loss, muscle index, and muscle attenuation gave a c statistic of 0.92 (95% CI, 0.88 to 0.95; P &lt; .001). Patients who possessed all three of these poor prognostic variables survived 8.4 months (95% CI, 6.5 to 10.3), regardless of whether they presented as obese, overweight, normal weight, or underweight, in contrast to patients who had none of these features, who survived 28.4 months (95% CI, 24.2 to 32.6; P &lt; .001). CONCLUSION CT images reveal otherwise occult muscle depletion. Patients with cancer who are cachexic by the conventional criterion (involuntary weight loss) and by two additional criteria (muscle depletion and low muscle attenuation) share a poor prognosis, regardless of overall body weight.","author":[{"dropping-particle":"","family":"Martin","given":"Lisa","non-dropping-particle":"","parse-names":false,"suffix":""},{"dropping-particle":"","family":"Birdsell","given":"Laura","non-dropping-particle":"","parse-names":false,"suffix":""},{"dropping-particle":"","family":"Macdonald","given":"Neil","non-dropping-particle":"","parse-names":false,"suffix":""},{"dropping-particle":"","family":"Reiman","given":"Tony","non-dropping-particle":"","parse-names":false,"suffix":""},{"dropping-particle":"","family":"Clandinin","given":"M Thomas","non-dropping-particle":"","parse-names":false,"suffix":""},{"dropping-particle":"","family":"McCargar","given":"Linda J","non-dropping-particle":"","parse-names":false,"suffix":""},{"dropping-particle":"","family":"Murphy","given":"Rachel","non-dropping-particle":"","parse-names":false,"suffix":""},{"dropping-particle":"","family":"Ghosh","given":"Sunita","non-dropping-particle":"","parse-names":false,"suffix":""},{"dropping-particle":"","family":"Sawyer","given":"Michael B","non-dropping-particle":"","parse-names":false,"suffix":""},{"dropping-particle":"","family":"Baracos","given":"Vickie E","non-dropping-particle":"","parse-names":false,"suffix":""}],"container-title":"Journal of clinical oncology : official journal of the American Society of Clinical Oncology","id":"ITEM-1","issue":"12","issued":{"date-parts":[["2013","4","20"]]},"page":"1539-47","title":"Cancer cachexia in the age of obesity: skeletal muscle depletion is a powerful prognostic factor, independent of body mass index.","type":"article-journal","volume":"31"},"uris":["http://www.mendeley.com/documents/?uuid=8ab72360-3358-3510-ab25-17f58512e04a"]}],"mendeley":{"formattedCitation":"&lt;sup&gt;[18]&lt;/sup&gt;","plainTextFormattedCitation":"[18]","previouslyFormattedCitation":"(18)"},"properties":{"noteIndex":0},"schema":"https://github.com/citation-style-language/schema/raw/master/csl-citation.json"}</w:instrText>
      </w:r>
      <w:r w:rsidR="00011069" w:rsidRPr="00483448">
        <w:rPr>
          <w:rFonts w:ascii="Book Antiqua" w:hAnsi="Book Antiqua"/>
          <w:b/>
          <w:color w:val="000000"/>
        </w:rPr>
        <w:fldChar w:fldCharType="separate"/>
      </w:r>
      <w:r w:rsidR="007D2F73" w:rsidRPr="00483448">
        <w:rPr>
          <w:rFonts w:ascii="Book Antiqua" w:hAnsi="Book Antiqua"/>
          <w:color w:val="000000"/>
          <w:vertAlign w:val="superscript"/>
        </w:rPr>
        <w:t>[18]</w:t>
      </w:r>
      <w:r w:rsidR="00011069" w:rsidRPr="00483448">
        <w:rPr>
          <w:rFonts w:ascii="Book Antiqua" w:hAnsi="Book Antiqua"/>
          <w:b/>
          <w:color w:val="000000"/>
        </w:rPr>
        <w:fldChar w:fldCharType="end"/>
      </w:r>
      <w:r w:rsidR="00011069" w:rsidRPr="00483448">
        <w:rPr>
          <w:rFonts w:ascii="Book Antiqua" w:hAnsi="Book Antiqua"/>
          <w:color w:val="000000"/>
        </w:rPr>
        <w:t>.</w:t>
      </w:r>
    </w:p>
    <w:p w:rsidR="002A6617" w:rsidRPr="00483448" w:rsidRDefault="002A6617" w:rsidP="004C5FED">
      <w:pPr>
        <w:pStyle w:val="1-2"/>
        <w:snapToGrid w:val="0"/>
        <w:spacing w:line="360" w:lineRule="auto"/>
        <w:jc w:val="both"/>
        <w:rPr>
          <w:rFonts w:ascii="Book Antiqua" w:hAnsi="Book Antiqua"/>
          <w:b/>
          <w:bCs/>
          <w:color w:val="000000"/>
          <w:u w:val="single"/>
        </w:rPr>
      </w:pPr>
    </w:p>
    <w:p w:rsidR="00DB5429" w:rsidRPr="00483448" w:rsidRDefault="00DB5429" w:rsidP="004C5FED">
      <w:pPr>
        <w:pStyle w:val="1-2"/>
        <w:snapToGrid w:val="0"/>
        <w:spacing w:line="360" w:lineRule="auto"/>
        <w:jc w:val="both"/>
        <w:rPr>
          <w:rFonts w:ascii="Book Antiqua" w:hAnsi="Book Antiqua"/>
          <w:color w:val="000000"/>
        </w:rPr>
      </w:pPr>
      <w:r w:rsidRPr="00483448">
        <w:rPr>
          <w:rFonts w:ascii="Book Antiqua" w:hAnsi="Book Antiqua"/>
          <w:b/>
          <w:bCs/>
          <w:i/>
          <w:iCs/>
          <w:color w:val="000000"/>
        </w:rPr>
        <w:t>DLT</w:t>
      </w:r>
    </w:p>
    <w:p w:rsidR="002A6617" w:rsidRPr="00483448" w:rsidRDefault="002A6617" w:rsidP="004C5FED">
      <w:pPr>
        <w:pStyle w:val="1-2"/>
        <w:snapToGrid w:val="0"/>
        <w:spacing w:line="360" w:lineRule="auto"/>
        <w:jc w:val="both"/>
        <w:rPr>
          <w:rFonts w:ascii="Book Antiqua" w:hAnsi="Book Antiqua"/>
          <w:color w:val="000000"/>
        </w:rPr>
      </w:pPr>
      <w:r w:rsidRPr="00483448">
        <w:rPr>
          <w:rFonts w:ascii="Book Antiqua" w:hAnsi="Book Antiqua"/>
          <w:color w:val="000000"/>
        </w:rPr>
        <w:t>DLT was defined by intolerable toxicities requiring the postponement of treatment, a drug dose reduction or definitive interruption of drug</w:t>
      </w:r>
      <w:r w:rsidR="007A42F7" w:rsidRPr="00483448">
        <w:rPr>
          <w:rFonts w:ascii="Book Antiqua" w:hAnsi="Book Antiqua"/>
          <w:color w:val="000000"/>
        </w:rPr>
        <w:t xml:space="preserve"> </w:t>
      </w:r>
      <w:r w:rsidRPr="00483448">
        <w:rPr>
          <w:rFonts w:ascii="Book Antiqua" w:hAnsi="Book Antiqua"/>
          <w:color w:val="000000"/>
        </w:rPr>
        <w:t>administration.</w:t>
      </w:r>
    </w:p>
    <w:p w:rsidR="00D01FB3" w:rsidRPr="00483448" w:rsidRDefault="00D01FB3" w:rsidP="004C5FED">
      <w:pPr>
        <w:pStyle w:val="1-2"/>
        <w:snapToGrid w:val="0"/>
        <w:spacing w:line="360" w:lineRule="auto"/>
        <w:jc w:val="both"/>
        <w:rPr>
          <w:rFonts w:ascii="Book Antiqua" w:hAnsi="Book Antiqua"/>
          <w:color w:val="000000"/>
        </w:rPr>
      </w:pPr>
    </w:p>
    <w:p w:rsidR="005103DC" w:rsidRPr="00483448" w:rsidRDefault="005103DC" w:rsidP="004C5FED">
      <w:pPr>
        <w:pStyle w:val="1-2"/>
        <w:snapToGrid w:val="0"/>
        <w:spacing w:line="360" w:lineRule="auto"/>
        <w:jc w:val="both"/>
        <w:outlineLvl w:val="0"/>
        <w:rPr>
          <w:rFonts w:ascii="Book Antiqua" w:hAnsi="Book Antiqua"/>
          <w:b/>
          <w:bCs/>
          <w:i/>
          <w:color w:val="000000"/>
        </w:rPr>
      </w:pPr>
      <w:r w:rsidRPr="00483448">
        <w:rPr>
          <w:rFonts w:ascii="Book Antiqua" w:hAnsi="Book Antiqua"/>
          <w:b/>
          <w:bCs/>
          <w:i/>
          <w:color w:val="000000"/>
        </w:rPr>
        <w:t>Statistic</w:t>
      </w:r>
      <w:r w:rsidR="00DB5429" w:rsidRPr="00483448">
        <w:rPr>
          <w:rFonts w:ascii="Book Antiqua" w:hAnsi="Book Antiqua"/>
          <w:b/>
          <w:bCs/>
          <w:i/>
          <w:color w:val="000000"/>
        </w:rPr>
        <w:t>al analysis</w:t>
      </w:r>
    </w:p>
    <w:p w:rsidR="00182E40" w:rsidRPr="00483448" w:rsidRDefault="005103DC" w:rsidP="004C5FED">
      <w:pPr>
        <w:pStyle w:val="1-2"/>
        <w:snapToGrid w:val="0"/>
        <w:spacing w:line="360" w:lineRule="auto"/>
        <w:jc w:val="both"/>
        <w:rPr>
          <w:rFonts w:ascii="Book Antiqua" w:hAnsi="Book Antiqua"/>
          <w:color w:val="000000"/>
        </w:rPr>
      </w:pPr>
      <w:r w:rsidRPr="00483448">
        <w:rPr>
          <w:rFonts w:ascii="Book Antiqua" w:hAnsi="Book Antiqua"/>
          <w:color w:val="000000"/>
        </w:rPr>
        <w:t xml:space="preserve">Data were recorded as mean </w:t>
      </w:r>
      <w:r w:rsidRPr="00483448">
        <w:rPr>
          <w:rFonts w:ascii="Book Antiqua" w:hAnsi="Book Antiqua"/>
          <w:color w:val="000000"/>
        </w:rPr>
        <w:sym w:font="Symbol" w:char="F0B1"/>
      </w:r>
      <w:r w:rsidRPr="00483448">
        <w:rPr>
          <w:rFonts w:ascii="Book Antiqua" w:hAnsi="Book Antiqua"/>
          <w:color w:val="000000"/>
        </w:rPr>
        <w:t xml:space="preserve"> </w:t>
      </w:r>
      <w:r w:rsidR="001E2927" w:rsidRPr="00483448">
        <w:rPr>
          <w:rFonts w:ascii="Book Antiqua" w:hAnsi="Book Antiqua"/>
          <w:color w:val="000000"/>
        </w:rPr>
        <w:t>standard deviation</w:t>
      </w:r>
      <w:r w:rsidR="002A6617" w:rsidRPr="00483448">
        <w:rPr>
          <w:rFonts w:ascii="Book Antiqua" w:hAnsi="Book Antiqua"/>
          <w:color w:val="000000"/>
        </w:rPr>
        <w:t xml:space="preserve"> unless otherwise stated</w:t>
      </w:r>
      <w:r w:rsidRPr="00483448">
        <w:rPr>
          <w:rFonts w:ascii="Book Antiqua" w:hAnsi="Book Antiqua"/>
          <w:color w:val="000000"/>
        </w:rPr>
        <w:t xml:space="preserve">. </w:t>
      </w:r>
      <w:r w:rsidR="00790ECD" w:rsidRPr="00483448">
        <w:rPr>
          <w:rFonts w:ascii="Book Antiqua" w:hAnsi="Book Antiqua"/>
          <w:color w:val="000000"/>
        </w:rPr>
        <w:t xml:space="preserve">Comparison between </w:t>
      </w:r>
      <w:r w:rsidR="00F2456E" w:rsidRPr="00483448">
        <w:rPr>
          <w:rFonts w:ascii="Book Antiqua" w:hAnsi="Book Antiqua"/>
          <w:color w:val="000000"/>
        </w:rPr>
        <w:t xml:space="preserve">values at diagnosis </w:t>
      </w:r>
      <w:r w:rsidR="00790ECD" w:rsidRPr="00483448">
        <w:rPr>
          <w:rFonts w:ascii="Book Antiqua" w:hAnsi="Book Antiqua"/>
          <w:color w:val="000000"/>
        </w:rPr>
        <w:t>and post</w:t>
      </w:r>
      <w:r w:rsidR="002A6617" w:rsidRPr="00483448">
        <w:rPr>
          <w:rFonts w:ascii="Book Antiqua" w:hAnsi="Book Antiqua"/>
          <w:color w:val="000000"/>
        </w:rPr>
        <w:t xml:space="preserve"> neo-adjuvant </w:t>
      </w:r>
      <w:r w:rsidR="00790ECD" w:rsidRPr="00483448">
        <w:rPr>
          <w:rFonts w:ascii="Book Antiqua" w:hAnsi="Book Antiqua"/>
          <w:color w:val="000000"/>
        </w:rPr>
        <w:t xml:space="preserve">chemotherapy were calculated using the </w:t>
      </w:r>
      <w:r w:rsidR="002A6617" w:rsidRPr="00483448">
        <w:rPr>
          <w:rFonts w:ascii="Book Antiqua" w:hAnsi="Book Antiqua"/>
          <w:color w:val="000000"/>
        </w:rPr>
        <w:t xml:space="preserve">paired </w:t>
      </w:r>
      <w:r w:rsidR="00790ECD" w:rsidRPr="00483448">
        <w:rPr>
          <w:rFonts w:ascii="Book Antiqua" w:hAnsi="Book Antiqua"/>
          <w:i/>
          <w:iCs/>
          <w:color w:val="000000"/>
        </w:rPr>
        <w:t>t</w:t>
      </w:r>
      <w:r w:rsidR="005B72C0" w:rsidRPr="00483448">
        <w:rPr>
          <w:rFonts w:ascii="Book Antiqua" w:hAnsi="Book Antiqua"/>
          <w:color w:val="000000"/>
        </w:rPr>
        <w:t xml:space="preserve">-test </w:t>
      </w:r>
      <w:r w:rsidR="002A6617" w:rsidRPr="00483448">
        <w:rPr>
          <w:rFonts w:ascii="Book Antiqua" w:hAnsi="Book Antiqua"/>
          <w:color w:val="000000"/>
        </w:rPr>
        <w:t xml:space="preserve">or </w:t>
      </w:r>
      <w:r w:rsidR="006D40D0" w:rsidRPr="00483448">
        <w:rPr>
          <w:rFonts w:ascii="Book Antiqua" w:hAnsi="Book Antiqua"/>
          <w:color w:val="000000"/>
        </w:rPr>
        <w:t>McNemar’s</w:t>
      </w:r>
      <w:r w:rsidR="005B72C0" w:rsidRPr="00483448">
        <w:rPr>
          <w:rFonts w:ascii="Book Antiqua" w:hAnsi="Book Antiqua"/>
          <w:color w:val="000000"/>
        </w:rPr>
        <w:t xml:space="preserve"> test.</w:t>
      </w:r>
      <w:r w:rsidR="00637869" w:rsidRPr="00483448">
        <w:rPr>
          <w:rFonts w:ascii="Book Antiqua" w:hAnsi="Book Antiqua"/>
          <w:color w:val="000000"/>
        </w:rPr>
        <w:t xml:space="preserve"> A </w:t>
      </w:r>
      <w:r w:rsidR="00637869" w:rsidRPr="00483448">
        <w:rPr>
          <w:rFonts w:ascii="Book Antiqua" w:hAnsi="Book Antiqua"/>
          <w:i/>
          <w:iCs/>
          <w:caps/>
          <w:color w:val="000000"/>
        </w:rPr>
        <w:t>p</w:t>
      </w:r>
      <w:r w:rsidR="00637869" w:rsidRPr="00483448">
        <w:rPr>
          <w:rFonts w:ascii="Book Antiqua" w:hAnsi="Book Antiqua"/>
          <w:color w:val="000000"/>
        </w:rPr>
        <w:t>-value less than 0.05 was considered</w:t>
      </w:r>
      <w:r w:rsidR="00590B41" w:rsidRPr="00483448">
        <w:rPr>
          <w:rFonts w:ascii="Book Antiqua" w:hAnsi="Book Antiqua"/>
          <w:color w:val="000000"/>
        </w:rPr>
        <w:t xml:space="preserve"> to be</w:t>
      </w:r>
      <w:r w:rsidR="00637869" w:rsidRPr="00483448">
        <w:rPr>
          <w:rFonts w:ascii="Book Antiqua" w:hAnsi="Book Antiqua"/>
          <w:color w:val="000000"/>
        </w:rPr>
        <w:t xml:space="preserve"> statistically significant.</w:t>
      </w:r>
      <w:r w:rsidR="002A6617" w:rsidRPr="00483448">
        <w:rPr>
          <w:rFonts w:ascii="Book Antiqua" w:hAnsi="Book Antiqua"/>
          <w:color w:val="000000"/>
        </w:rPr>
        <w:t xml:space="preserve"> Statistical analysis was done using SPSS 15.0 statistical package (SPSS Inc.).</w:t>
      </w:r>
    </w:p>
    <w:p w:rsidR="0048216D" w:rsidRPr="00483448" w:rsidRDefault="0048216D" w:rsidP="004C5FED">
      <w:pPr>
        <w:pStyle w:val="1-2"/>
        <w:snapToGrid w:val="0"/>
        <w:spacing w:line="360" w:lineRule="auto"/>
        <w:jc w:val="both"/>
        <w:rPr>
          <w:rFonts w:ascii="Book Antiqua" w:hAnsi="Book Antiqua"/>
          <w:color w:val="000000"/>
        </w:rPr>
      </w:pPr>
    </w:p>
    <w:p w:rsidR="00F214FE" w:rsidRPr="00483448" w:rsidRDefault="0048216D" w:rsidP="004C5FED">
      <w:pPr>
        <w:pStyle w:val="1-2"/>
        <w:snapToGrid w:val="0"/>
        <w:spacing w:line="360" w:lineRule="auto"/>
        <w:jc w:val="both"/>
        <w:rPr>
          <w:rFonts w:ascii="Book Antiqua" w:hAnsi="Book Antiqua"/>
          <w:color w:val="000000"/>
        </w:rPr>
      </w:pPr>
      <w:r w:rsidRPr="00483448">
        <w:rPr>
          <w:rFonts w:ascii="Book Antiqua" w:hAnsi="Book Antiqua"/>
          <w:b/>
          <w:color w:val="000000"/>
        </w:rPr>
        <w:t>RESULTS</w:t>
      </w:r>
    </w:p>
    <w:p w:rsidR="00386011" w:rsidRPr="00483448" w:rsidRDefault="00DB293C" w:rsidP="004C5FED">
      <w:pPr>
        <w:pStyle w:val="1-2"/>
        <w:snapToGrid w:val="0"/>
        <w:spacing w:line="360" w:lineRule="auto"/>
        <w:jc w:val="both"/>
        <w:rPr>
          <w:rFonts w:ascii="Book Antiqua" w:hAnsi="Book Antiqua"/>
          <w:color w:val="000000"/>
        </w:rPr>
      </w:pPr>
      <w:r w:rsidRPr="00483448">
        <w:rPr>
          <w:rFonts w:ascii="Book Antiqua" w:hAnsi="Book Antiqua"/>
          <w:color w:val="000000"/>
        </w:rPr>
        <w:t xml:space="preserve">During the study period, 15 patients underwent regular jejunostomy feeding during neo-adjuvant chemotherapy prior to surgery. Demographic data of the 15 patients </w:t>
      </w:r>
      <w:r w:rsidRPr="00483448">
        <w:rPr>
          <w:rFonts w:ascii="Book Antiqua" w:hAnsi="Book Antiqua"/>
          <w:color w:val="000000"/>
        </w:rPr>
        <w:lastRenderedPageBreak/>
        <w:t>are shown in Table 1.</w:t>
      </w:r>
      <w:r w:rsidR="00B4340D" w:rsidRPr="00483448">
        <w:rPr>
          <w:rFonts w:ascii="Book Antiqua" w:hAnsi="Book Antiqua"/>
          <w:color w:val="000000"/>
        </w:rPr>
        <w:t xml:space="preserve"> </w:t>
      </w:r>
      <w:r w:rsidR="00E20A71" w:rsidRPr="00483448">
        <w:rPr>
          <w:rFonts w:ascii="Book Antiqua" w:hAnsi="Book Antiqua"/>
          <w:color w:val="000000"/>
        </w:rPr>
        <w:t xml:space="preserve">The mean age was 61.3 </w:t>
      </w:r>
      <w:r w:rsidR="00E20A71" w:rsidRPr="00483448">
        <w:rPr>
          <w:rFonts w:ascii="Book Antiqua" w:hAnsi="Book Antiqua"/>
          <w:color w:val="000000"/>
        </w:rPr>
        <w:sym w:font="Symbol" w:char="F0B1"/>
      </w:r>
      <w:r w:rsidR="00E20A71" w:rsidRPr="00483448">
        <w:rPr>
          <w:rFonts w:ascii="Book Antiqua" w:hAnsi="Book Antiqua"/>
          <w:color w:val="000000"/>
        </w:rPr>
        <w:t xml:space="preserve"> 12.8 years</w:t>
      </w:r>
      <w:r w:rsidR="003D070D" w:rsidRPr="00483448">
        <w:rPr>
          <w:rFonts w:ascii="Book Antiqua" w:hAnsi="Book Antiqua"/>
          <w:color w:val="000000"/>
        </w:rPr>
        <w:t>, and</w:t>
      </w:r>
      <w:r w:rsidR="00E20A71" w:rsidRPr="00483448">
        <w:rPr>
          <w:rFonts w:ascii="Book Antiqua" w:hAnsi="Book Antiqua"/>
          <w:color w:val="000000"/>
        </w:rPr>
        <w:t xml:space="preserve"> 73% of patients were male.</w:t>
      </w:r>
    </w:p>
    <w:p w:rsidR="002523DB" w:rsidRPr="00483448" w:rsidRDefault="00F23699"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The time interval between start of chemotherapy and surgery was 107 ± 21.6 d. During this period, there</w:t>
      </w:r>
      <w:r w:rsidR="008C5632" w:rsidRPr="00483448">
        <w:rPr>
          <w:rFonts w:ascii="Book Antiqua" w:hAnsi="Book Antiqua"/>
          <w:color w:val="000000"/>
        </w:rPr>
        <w:t xml:space="preserve"> was</w:t>
      </w:r>
      <w:r w:rsidRPr="00483448">
        <w:rPr>
          <w:rFonts w:ascii="Book Antiqua" w:hAnsi="Book Antiqua"/>
          <w:color w:val="000000"/>
        </w:rPr>
        <w:t xml:space="preserve"> </w:t>
      </w:r>
      <w:r w:rsidR="00905B71" w:rsidRPr="00483448">
        <w:rPr>
          <w:rFonts w:ascii="Book Antiqua" w:hAnsi="Book Antiqua"/>
          <w:color w:val="000000"/>
        </w:rPr>
        <w:t>no change</w:t>
      </w:r>
      <w:r w:rsidRPr="00483448">
        <w:rPr>
          <w:rFonts w:ascii="Book Antiqua" w:hAnsi="Book Antiqua"/>
          <w:color w:val="000000"/>
        </w:rPr>
        <w:t xml:space="preserve"> in weight and BMI (Table 2). However, body composition analysis reveal</w:t>
      </w:r>
      <w:r w:rsidR="00A45979" w:rsidRPr="00483448">
        <w:rPr>
          <w:rFonts w:ascii="Book Antiqua" w:hAnsi="Book Antiqua"/>
          <w:color w:val="000000"/>
        </w:rPr>
        <w:t>ed</w:t>
      </w:r>
      <w:r w:rsidRPr="00483448">
        <w:rPr>
          <w:rFonts w:ascii="Book Antiqua" w:hAnsi="Book Antiqua"/>
          <w:color w:val="000000"/>
        </w:rPr>
        <w:t xml:space="preserve"> a </w:t>
      </w:r>
      <w:r w:rsidR="00905B71" w:rsidRPr="00483448">
        <w:rPr>
          <w:rFonts w:ascii="Book Antiqua" w:hAnsi="Book Antiqua"/>
          <w:color w:val="000000"/>
        </w:rPr>
        <w:t xml:space="preserve">statistically </w:t>
      </w:r>
      <w:r w:rsidRPr="00483448">
        <w:rPr>
          <w:rFonts w:ascii="Book Antiqua" w:hAnsi="Book Antiqua"/>
          <w:color w:val="000000"/>
        </w:rPr>
        <w:t xml:space="preserve">significant loss of skeletal muscle despite regular feeding during neo-adjuvant chemotherapy. </w:t>
      </w:r>
      <w:r w:rsidR="00D62388" w:rsidRPr="00483448">
        <w:rPr>
          <w:rFonts w:ascii="Book Antiqua" w:hAnsi="Book Antiqua"/>
          <w:color w:val="000000"/>
        </w:rPr>
        <w:t>Lumbar s</w:t>
      </w:r>
      <w:r w:rsidRPr="00483448">
        <w:rPr>
          <w:rFonts w:ascii="Book Antiqua" w:hAnsi="Book Antiqua"/>
          <w:color w:val="000000"/>
        </w:rPr>
        <w:t xml:space="preserve">keletal muscle index decreased from 45.8 ± 8.0 </w:t>
      </w:r>
      <w:r w:rsidR="00DB5429" w:rsidRPr="00483448">
        <w:rPr>
          <w:rFonts w:ascii="Book Antiqua" w:hAnsi="Book Antiqua"/>
          <w:color w:val="000000"/>
        </w:rPr>
        <w:t>cm</w:t>
      </w:r>
      <w:r w:rsidR="00DB5429" w:rsidRPr="00483448">
        <w:rPr>
          <w:rFonts w:ascii="Book Antiqua" w:hAnsi="Book Antiqua"/>
          <w:color w:val="000000"/>
          <w:vertAlign w:val="superscript"/>
        </w:rPr>
        <w:t>2</w:t>
      </w:r>
      <w:r w:rsidR="00DB5429" w:rsidRPr="00483448">
        <w:rPr>
          <w:rFonts w:ascii="Book Antiqua" w:hAnsi="Book Antiqua"/>
          <w:color w:val="000000"/>
        </w:rPr>
        <w:t>/m</w:t>
      </w:r>
      <w:r w:rsidR="00DB5429" w:rsidRPr="00483448">
        <w:rPr>
          <w:rFonts w:ascii="Book Antiqua" w:hAnsi="Book Antiqua"/>
          <w:color w:val="000000"/>
          <w:vertAlign w:val="superscript"/>
        </w:rPr>
        <w:t xml:space="preserve">2 </w:t>
      </w:r>
      <w:r w:rsidRPr="00483448">
        <w:rPr>
          <w:rFonts w:ascii="Book Antiqua" w:hAnsi="Book Antiqua"/>
          <w:color w:val="000000"/>
        </w:rPr>
        <w:t>to 43.5 ± 7.3 cm</w:t>
      </w:r>
      <w:r w:rsidRPr="00483448">
        <w:rPr>
          <w:rFonts w:ascii="Book Antiqua" w:hAnsi="Book Antiqua"/>
          <w:color w:val="000000"/>
          <w:vertAlign w:val="superscript"/>
        </w:rPr>
        <w:t>2</w:t>
      </w:r>
      <w:r w:rsidRPr="00483448">
        <w:rPr>
          <w:rFonts w:ascii="Book Antiqua" w:hAnsi="Book Antiqua"/>
          <w:color w:val="000000"/>
        </w:rPr>
        <w:t>/m</w:t>
      </w:r>
      <w:r w:rsidRPr="00483448">
        <w:rPr>
          <w:rFonts w:ascii="Book Antiqua" w:hAnsi="Book Antiqua"/>
          <w:color w:val="000000"/>
          <w:vertAlign w:val="superscript"/>
        </w:rPr>
        <w:t>2</w:t>
      </w:r>
      <w:r w:rsidR="00E20A71" w:rsidRPr="00483448">
        <w:rPr>
          <w:rFonts w:ascii="Book Antiqua" w:hAnsi="Book Antiqua"/>
          <w:color w:val="000000"/>
          <w:vertAlign w:val="superscript"/>
        </w:rPr>
        <w:t xml:space="preserve"> </w:t>
      </w:r>
      <w:r w:rsidR="00E20A71" w:rsidRPr="00483448">
        <w:rPr>
          <w:rFonts w:ascii="Book Antiqua" w:hAnsi="Book Antiqua"/>
          <w:color w:val="000000"/>
        </w:rPr>
        <w:t>(</w:t>
      </w:r>
      <w:r w:rsidR="00E20A71" w:rsidRPr="00483448">
        <w:rPr>
          <w:rFonts w:ascii="Book Antiqua" w:hAnsi="Book Antiqua"/>
          <w:i/>
          <w:iCs/>
          <w:caps/>
          <w:color w:val="000000"/>
        </w:rPr>
        <w:t>p</w:t>
      </w:r>
      <w:r w:rsidR="00DB5429" w:rsidRPr="00483448">
        <w:rPr>
          <w:rFonts w:ascii="Book Antiqua" w:hAnsi="Book Antiqua"/>
          <w:color w:val="000000"/>
        </w:rPr>
        <w:t xml:space="preserve"> </w:t>
      </w:r>
      <w:r w:rsidR="00E20A71" w:rsidRPr="00483448">
        <w:rPr>
          <w:rFonts w:ascii="Book Antiqua" w:hAnsi="Book Antiqua"/>
          <w:color w:val="000000"/>
        </w:rPr>
        <w:t>=</w:t>
      </w:r>
      <w:r w:rsidR="00DB5429" w:rsidRPr="00483448">
        <w:rPr>
          <w:rFonts w:ascii="Book Antiqua" w:hAnsi="Book Antiqua"/>
          <w:color w:val="000000"/>
        </w:rPr>
        <w:t xml:space="preserve"> </w:t>
      </w:r>
      <w:r w:rsidR="00E20A71" w:rsidRPr="00483448">
        <w:rPr>
          <w:rFonts w:ascii="Book Antiqua" w:hAnsi="Book Antiqua"/>
          <w:color w:val="000000"/>
        </w:rPr>
        <w:t>0.045)</w:t>
      </w:r>
      <w:r w:rsidRPr="00483448">
        <w:rPr>
          <w:rFonts w:ascii="Book Antiqua" w:hAnsi="Book Antiqua"/>
          <w:color w:val="000000"/>
        </w:rPr>
        <w:t>. Adipose tissue index remain</w:t>
      </w:r>
      <w:r w:rsidR="00A45979" w:rsidRPr="00483448">
        <w:rPr>
          <w:rFonts w:ascii="Book Antiqua" w:hAnsi="Book Antiqua"/>
          <w:color w:val="000000"/>
        </w:rPr>
        <w:t>ed</w:t>
      </w:r>
      <w:r w:rsidRPr="00483448">
        <w:rPr>
          <w:rFonts w:ascii="Book Antiqua" w:hAnsi="Book Antiqua"/>
          <w:color w:val="000000"/>
        </w:rPr>
        <w:t xml:space="preserve"> largely unchanged (Figure </w:t>
      </w:r>
      <w:r w:rsidR="008862AE" w:rsidRPr="00483448">
        <w:rPr>
          <w:rFonts w:ascii="Book Antiqua" w:hAnsi="Book Antiqua"/>
          <w:color w:val="000000"/>
        </w:rPr>
        <w:t>2</w:t>
      </w:r>
      <w:r w:rsidRPr="00483448">
        <w:rPr>
          <w:rFonts w:ascii="Book Antiqua" w:hAnsi="Book Antiqua"/>
          <w:color w:val="000000"/>
        </w:rPr>
        <w:t xml:space="preserve">). The number of sarcopenic patients increased from </w:t>
      </w:r>
      <w:r w:rsidR="00A45979" w:rsidRPr="00483448">
        <w:rPr>
          <w:rFonts w:ascii="Book Antiqua" w:hAnsi="Book Antiqua"/>
          <w:color w:val="000000"/>
        </w:rPr>
        <w:t xml:space="preserve">five </w:t>
      </w:r>
      <w:r w:rsidRPr="00483448">
        <w:rPr>
          <w:rFonts w:ascii="Book Antiqua" w:hAnsi="Book Antiqua"/>
          <w:color w:val="000000"/>
        </w:rPr>
        <w:t xml:space="preserve">(33.3%) at diagnosis to </w:t>
      </w:r>
      <w:r w:rsidR="00A45979" w:rsidRPr="00483448">
        <w:rPr>
          <w:rFonts w:ascii="Book Antiqua" w:hAnsi="Book Antiqua"/>
          <w:color w:val="000000"/>
        </w:rPr>
        <w:t xml:space="preserve">nine </w:t>
      </w:r>
      <w:r w:rsidRPr="00483448">
        <w:rPr>
          <w:rFonts w:ascii="Book Antiqua" w:hAnsi="Book Antiqua"/>
          <w:color w:val="000000"/>
        </w:rPr>
        <w:t>(60%) after completion of neo-adjuvant chemotherapy. There was no change in the number of myosteatotic patients before and after neo-adjuvant chemotherapy (Table 2).</w:t>
      </w:r>
      <w:r w:rsidR="002523DB" w:rsidRPr="00483448">
        <w:rPr>
          <w:rFonts w:ascii="Book Antiqua" w:hAnsi="Book Antiqua"/>
          <w:color w:val="000000"/>
        </w:rPr>
        <w:t xml:space="preserve"> </w:t>
      </w:r>
    </w:p>
    <w:p w:rsidR="00F23699" w:rsidRPr="00483448" w:rsidRDefault="002523DB" w:rsidP="004C5FED">
      <w:pPr>
        <w:pStyle w:val="1-2"/>
        <w:snapToGrid w:val="0"/>
        <w:spacing w:line="360" w:lineRule="auto"/>
        <w:ind w:firstLine="720"/>
        <w:jc w:val="both"/>
        <w:rPr>
          <w:rFonts w:ascii="Book Antiqua" w:hAnsi="Book Antiqua" w:cs="Arial"/>
          <w:color w:val="000000"/>
        </w:rPr>
      </w:pPr>
      <w:r w:rsidRPr="00483448">
        <w:rPr>
          <w:rFonts w:ascii="Book Antiqua" w:hAnsi="Book Antiqua"/>
          <w:color w:val="000000"/>
        </w:rPr>
        <w:t xml:space="preserve">Table 3 and Figure </w:t>
      </w:r>
      <w:r w:rsidR="0015549F" w:rsidRPr="00483448">
        <w:rPr>
          <w:rFonts w:ascii="Book Antiqua" w:hAnsi="Book Antiqua"/>
          <w:color w:val="000000"/>
        </w:rPr>
        <w:t>3</w:t>
      </w:r>
      <w:r w:rsidRPr="00483448">
        <w:rPr>
          <w:rFonts w:ascii="Book Antiqua" w:hAnsi="Book Antiqua"/>
          <w:color w:val="000000"/>
        </w:rPr>
        <w:t xml:space="preserve"> show the </w:t>
      </w:r>
      <w:r w:rsidRPr="00483448">
        <w:rPr>
          <w:rFonts w:ascii="Book Antiqua" w:hAnsi="Book Antiqua" w:cs="Arial"/>
          <w:color w:val="000000"/>
        </w:rPr>
        <w:t>individual values for changes in lumbar skeletal muscle index (cm</w:t>
      </w:r>
      <w:r w:rsidRPr="00483448">
        <w:rPr>
          <w:rFonts w:ascii="Book Antiqua" w:hAnsi="Book Antiqua" w:cs="Arial"/>
          <w:color w:val="000000"/>
          <w:vertAlign w:val="superscript"/>
        </w:rPr>
        <w:t>2</w:t>
      </w:r>
      <w:r w:rsidRPr="00483448">
        <w:rPr>
          <w:rFonts w:ascii="Book Antiqua" w:hAnsi="Book Antiqua" w:cs="Arial"/>
          <w:color w:val="000000"/>
        </w:rPr>
        <w:t>/m</w:t>
      </w:r>
      <w:r w:rsidRPr="00483448">
        <w:rPr>
          <w:rFonts w:ascii="Book Antiqua" w:hAnsi="Book Antiqua" w:cs="Arial"/>
          <w:color w:val="000000"/>
          <w:vertAlign w:val="superscript"/>
        </w:rPr>
        <w:t>2</w:t>
      </w:r>
      <w:r w:rsidRPr="00483448">
        <w:rPr>
          <w:rFonts w:ascii="Book Antiqua" w:hAnsi="Book Antiqua" w:cs="Arial"/>
          <w:color w:val="000000"/>
        </w:rPr>
        <w:t xml:space="preserve">) from diagnosis to </w:t>
      </w:r>
      <w:r w:rsidR="00A45979" w:rsidRPr="00483448">
        <w:rPr>
          <w:rFonts w:ascii="Book Antiqua" w:hAnsi="Book Antiqua" w:cs="Arial"/>
          <w:color w:val="000000"/>
        </w:rPr>
        <w:t xml:space="preserve">after </w:t>
      </w:r>
      <w:r w:rsidRPr="00483448">
        <w:rPr>
          <w:rFonts w:ascii="Book Antiqua" w:hAnsi="Book Antiqua" w:cs="Arial"/>
          <w:color w:val="000000"/>
        </w:rPr>
        <w:t xml:space="preserve">neo-adjuvant chemotherapy following regular enteral feeding </w:t>
      </w:r>
      <w:r w:rsidR="00A33C79" w:rsidRPr="00483448">
        <w:rPr>
          <w:rFonts w:ascii="Book Antiqua" w:hAnsi="Book Antiqua" w:cs="Arial"/>
          <w:i/>
          <w:iCs/>
          <w:color w:val="000000"/>
        </w:rPr>
        <w:t>via</w:t>
      </w:r>
      <w:r w:rsidRPr="00483448">
        <w:rPr>
          <w:rFonts w:ascii="Book Antiqua" w:hAnsi="Book Antiqua" w:cs="Arial"/>
          <w:color w:val="000000"/>
        </w:rPr>
        <w:t xml:space="preserve"> jejunostomy. Patient</w:t>
      </w:r>
      <w:r w:rsidR="00A45979" w:rsidRPr="00483448">
        <w:rPr>
          <w:rFonts w:ascii="Book Antiqua" w:hAnsi="Book Antiqua" w:cs="Arial"/>
          <w:color w:val="000000"/>
        </w:rPr>
        <w:t>s</w:t>
      </w:r>
      <w:r w:rsidRPr="00483448">
        <w:rPr>
          <w:rFonts w:ascii="Book Antiqua" w:hAnsi="Book Antiqua" w:cs="Arial"/>
          <w:color w:val="000000"/>
        </w:rPr>
        <w:t xml:space="preserve"> 4 and 8 showed an increase in lumbar skeletal muscle index between diagnosis and </w:t>
      </w:r>
      <w:r w:rsidR="00A45979" w:rsidRPr="00483448">
        <w:rPr>
          <w:rFonts w:ascii="Book Antiqua" w:hAnsi="Book Antiqua" w:cs="Arial"/>
          <w:color w:val="000000"/>
        </w:rPr>
        <w:t xml:space="preserve">after </w:t>
      </w:r>
      <w:r w:rsidRPr="00483448">
        <w:rPr>
          <w:rFonts w:ascii="Book Antiqua" w:hAnsi="Book Antiqua" w:cs="Arial"/>
          <w:color w:val="000000"/>
        </w:rPr>
        <w:t>neo</w:t>
      </w:r>
      <w:r w:rsidR="009C57CB" w:rsidRPr="00483448">
        <w:rPr>
          <w:rFonts w:ascii="Book Antiqua" w:hAnsi="Book Antiqua" w:cs="Arial"/>
          <w:color w:val="000000"/>
        </w:rPr>
        <w:t>-</w:t>
      </w:r>
      <w:r w:rsidRPr="00483448">
        <w:rPr>
          <w:rFonts w:ascii="Book Antiqua" w:hAnsi="Book Antiqua" w:cs="Arial"/>
          <w:color w:val="000000"/>
        </w:rPr>
        <w:t>adjuvant chemotherapy. It is interesting to note that both patients were sarcopenic at diagnosis but</w:t>
      </w:r>
      <w:r w:rsidR="009C57CB" w:rsidRPr="00483448">
        <w:rPr>
          <w:rFonts w:ascii="Book Antiqua" w:hAnsi="Book Antiqua" w:cs="Arial"/>
          <w:color w:val="000000"/>
        </w:rPr>
        <w:t xml:space="preserve"> were no longer sarcopenic </w:t>
      </w:r>
      <w:r w:rsidR="00A45979" w:rsidRPr="00483448">
        <w:rPr>
          <w:rFonts w:ascii="Book Antiqua" w:hAnsi="Book Antiqua" w:cs="Arial"/>
          <w:color w:val="000000"/>
        </w:rPr>
        <w:t xml:space="preserve">after </w:t>
      </w:r>
      <w:r w:rsidRPr="00483448">
        <w:rPr>
          <w:rFonts w:ascii="Book Antiqua" w:hAnsi="Book Antiqua" w:cs="Arial"/>
          <w:color w:val="000000"/>
        </w:rPr>
        <w:t>neo</w:t>
      </w:r>
      <w:r w:rsidR="009C57CB" w:rsidRPr="00483448">
        <w:rPr>
          <w:rFonts w:ascii="Book Antiqua" w:hAnsi="Book Antiqua" w:cs="Arial"/>
          <w:color w:val="000000"/>
        </w:rPr>
        <w:t>-</w:t>
      </w:r>
      <w:r w:rsidRPr="00483448">
        <w:rPr>
          <w:rFonts w:ascii="Book Antiqua" w:hAnsi="Book Antiqua" w:cs="Arial"/>
          <w:color w:val="000000"/>
        </w:rPr>
        <w:t>adjuvant chemotherapy.</w:t>
      </w:r>
    </w:p>
    <w:p w:rsidR="002523DB" w:rsidRPr="00483448" w:rsidRDefault="002523DB" w:rsidP="004C5FED">
      <w:pPr>
        <w:pStyle w:val="1-2"/>
        <w:snapToGrid w:val="0"/>
        <w:spacing w:line="360" w:lineRule="auto"/>
        <w:ind w:firstLine="720"/>
        <w:jc w:val="both"/>
        <w:rPr>
          <w:rFonts w:ascii="Book Antiqua" w:hAnsi="Book Antiqua"/>
          <w:color w:val="000000"/>
        </w:rPr>
      </w:pPr>
      <w:r w:rsidRPr="00483448">
        <w:rPr>
          <w:rFonts w:ascii="Book Antiqua" w:hAnsi="Book Antiqua" w:cs="Arial"/>
          <w:color w:val="000000"/>
        </w:rPr>
        <w:t xml:space="preserve">Table 4 and Figure </w:t>
      </w:r>
      <w:r w:rsidR="0015549F" w:rsidRPr="00483448">
        <w:rPr>
          <w:rFonts w:ascii="Book Antiqua" w:hAnsi="Book Antiqua" w:cs="Arial"/>
          <w:color w:val="000000"/>
        </w:rPr>
        <w:t>4</w:t>
      </w:r>
      <w:r w:rsidRPr="00483448">
        <w:rPr>
          <w:rFonts w:ascii="Book Antiqua" w:hAnsi="Book Antiqua" w:cs="Arial"/>
          <w:color w:val="000000"/>
        </w:rPr>
        <w:t xml:space="preserve"> show individual values for changes in lumbar adipose tissue index (cm</w:t>
      </w:r>
      <w:r w:rsidRPr="00483448">
        <w:rPr>
          <w:rFonts w:ascii="Book Antiqua" w:hAnsi="Book Antiqua" w:cs="Arial"/>
          <w:color w:val="000000"/>
          <w:vertAlign w:val="superscript"/>
        </w:rPr>
        <w:t>2</w:t>
      </w:r>
      <w:r w:rsidRPr="00483448">
        <w:rPr>
          <w:rFonts w:ascii="Book Antiqua" w:hAnsi="Book Antiqua" w:cs="Arial"/>
          <w:color w:val="000000"/>
        </w:rPr>
        <w:t>/m</w:t>
      </w:r>
      <w:r w:rsidRPr="00483448">
        <w:rPr>
          <w:rFonts w:ascii="Book Antiqua" w:hAnsi="Book Antiqua" w:cs="Arial"/>
          <w:color w:val="000000"/>
          <w:vertAlign w:val="superscript"/>
        </w:rPr>
        <w:t>2</w:t>
      </w:r>
      <w:r w:rsidRPr="00483448">
        <w:rPr>
          <w:rFonts w:ascii="Book Antiqua" w:hAnsi="Book Antiqua" w:cs="Arial"/>
          <w:color w:val="000000"/>
        </w:rPr>
        <w:t xml:space="preserve">) from diagnosis to </w:t>
      </w:r>
      <w:r w:rsidR="00A45979" w:rsidRPr="00483448">
        <w:rPr>
          <w:rFonts w:ascii="Book Antiqua" w:hAnsi="Book Antiqua" w:cs="Arial"/>
          <w:color w:val="000000"/>
        </w:rPr>
        <w:t xml:space="preserve">after </w:t>
      </w:r>
      <w:r w:rsidRPr="00483448">
        <w:rPr>
          <w:rFonts w:ascii="Book Antiqua" w:hAnsi="Book Antiqua" w:cs="Arial"/>
          <w:color w:val="000000"/>
        </w:rPr>
        <w:t xml:space="preserve">neo-adjuvant chemotherapy following regular enteral feeding </w:t>
      </w:r>
      <w:r w:rsidR="00A33C79" w:rsidRPr="00483448">
        <w:rPr>
          <w:rFonts w:ascii="Book Antiqua" w:hAnsi="Book Antiqua" w:cs="Arial"/>
          <w:i/>
          <w:iCs/>
          <w:color w:val="000000"/>
        </w:rPr>
        <w:t>via</w:t>
      </w:r>
      <w:r w:rsidRPr="00483448">
        <w:rPr>
          <w:rFonts w:ascii="Book Antiqua" w:hAnsi="Book Antiqua" w:cs="Arial"/>
          <w:color w:val="000000"/>
        </w:rPr>
        <w:t xml:space="preserve"> jejunostomy. Patient</w:t>
      </w:r>
      <w:r w:rsidR="00A45979" w:rsidRPr="00483448">
        <w:rPr>
          <w:rFonts w:ascii="Book Antiqua" w:hAnsi="Book Antiqua" w:cs="Arial"/>
          <w:color w:val="000000"/>
        </w:rPr>
        <w:t>s</w:t>
      </w:r>
      <w:r w:rsidRPr="00483448">
        <w:rPr>
          <w:rFonts w:ascii="Book Antiqua" w:hAnsi="Book Antiqua" w:cs="Arial"/>
          <w:color w:val="000000"/>
        </w:rPr>
        <w:t xml:space="preserve"> 2, 3, 5, 6, 7</w:t>
      </w:r>
      <w:r w:rsidR="00A45979" w:rsidRPr="00483448">
        <w:rPr>
          <w:rFonts w:ascii="Book Antiqua" w:hAnsi="Book Antiqua" w:cs="Arial"/>
          <w:color w:val="000000"/>
        </w:rPr>
        <w:t xml:space="preserve"> and</w:t>
      </w:r>
      <w:r w:rsidRPr="00483448">
        <w:rPr>
          <w:rFonts w:ascii="Book Antiqua" w:hAnsi="Book Antiqua" w:cs="Arial"/>
          <w:color w:val="000000"/>
        </w:rPr>
        <w:t xml:space="preserve"> 9 showed an increase in lumbar adipose tissue index from diagnosis to </w:t>
      </w:r>
      <w:r w:rsidR="00A45979" w:rsidRPr="00483448">
        <w:rPr>
          <w:rFonts w:ascii="Book Antiqua" w:hAnsi="Book Antiqua" w:cs="Arial"/>
          <w:color w:val="000000"/>
        </w:rPr>
        <w:t xml:space="preserve">after </w:t>
      </w:r>
      <w:r w:rsidRPr="00483448">
        <w:rPr>
          <w:rFonts w:ascii="Book Antiqua" w:hAnsi="Book Antiqua" w:cs="Arial"/>
          <w:color w:val="000000"/>
        </w:rPr>
        <w:t>neo</w:t>
      </w:r>
      <w:r w:rsidR="009C57CB" w:rsidRPr="00483448">
        <w:rPr>
          <w:rFonts w:ascii="Book Antiqua" w:hAnsi="Book Antiqua" w:cs="Arial"/>
          <w:color w:val="000000"/>
        </w:rPr>
        <w:t>-</w:t>
      </w:r>
      <w:r w:rsidRPr="00483448">
        <w:rPr>
          <w:rFonts w:ascii="Book Antiqua" w:hAnsi="Book Antiqua" w:cs="Arial"/>
          <w:color w:val="000000"/>
        </w:rPr>
        <w:t>adjuvant chemotherapy. The greatest increases were seen in patient</w:t>
      </w:r>
      <w:r w:rsidR="00A45979" w:rsidRPr="00483448">
        <w:rPr>
          <w:rFonts w:ascii="Book Antiqua" w:hAnsi="Book Antiqua" w:cs="Arial"/>
          <w:color w:val="000000"/>
        </w:rPr>
        <w:t>s</w:t>
      </w:r>
      <w:r w:rsidRPr="00483448">
        <w:rPr>
          <w:rFonts w:ascii="Book Antiqua" w:hAnsi="Book Antiqua" w:cs="Arial"/>
          <w:color w:val="000000"/>
        </w:rPr>
        <w:t xml:space="preserve"> 2 and 9. None of these patients were sarcopenic at diagnosis, however patient</w:t>
      </w:r>
      <w:r w:rsidR="002719FB" w:rsidRPr="00483448">
        <w:rPr>
          <w:rFonts w:ascii="Book Antiqua" w:hAnsi="Book Antiqua" w:cs="Arial"/>
          <w:color w:val="000000"/>
        </w:rPr>
        <w:t>s</w:t>
      </w:r>
      <w:r w:rsidRPr="00483448">
        <w:rPr>
          <w:rFonts w:ascii="Book Antiqua" w:hAnsi="Book Antiqua" w:cs="Arial"/>
          <w:color w:val="000000"/>
        </w:rPr>
        <w:t xml:space="preserve"> 2, 3,</w:t>
      </w:r>
      <w:r w:rsidR="009C57CB" w:rsidRPr="00483448">
        <w:rPr>
          <w:rFonts w:ascii="Book Antiqua" w:hAnsi="Book Antiqua" w:cs="Arial"/>
          <w:color w:val="000000"/>
        </w:rPr>
        <w:t xml:space="preserve"> 6 and 7 became sarcopenic </w:t>
      </w:r>
      <w:r w:rsidR="002719FB" w:rsidRPr="00483448">
        <w:rPr>
          <w:rFonts w:ascii="Book Antiqua" w:hAnsi="Book Antiqua" w:cs="Arial"/>
          <w:color w:val="000000"/>
        </w:rPr>
        <w:t>after</w:t>
      </w:r>
      <w:r w:rsidR="009C57CB" w:rsidRPr="00483448">
        <w:rPr>
          <w:rFonts w:ascii="Book Antiqua" w:hAnsi="Book Antiqua" w:cs="Arial"/>
          <w:color w:val="000000"/>
        </w:rPr>
        <w:t xml:space="preserve"> </w:t>
      </w:r>
      <w:r w:rsidRPr="00483448">
        <w:rPr>
          <w:rFonts w:ascii="Book Antiqua" w:hAnsi="Book Antiqua" w:cs="Arial"/>
          <w:color w:val="000000"/>
        </w:rPr>
        <w:t>neo</w:t>
      </w:r>
      <w:r w:rsidR="009C57CB" w:rsidRPr="00483448">
        <w:rPr>
          <w:rFonts w:ascii="Book Antiqua" w:hAnsi="Book Antiqua" w:cs="Arial"/>
          <w:color w:val="000000"/>
        </w:rPr>
        <w:t>-</w:t>
      </w:r>
      <w:r w:rsidRPr="00483448">
        <w:rPr>
          <w:rFonts w:ascii="Book Antiqua" w:hAnsi="Book Antiqua" w:cs="Arial"/>
          <w:color w:val="000000"/>
        </w:rPr>
        <w:t>adjuvant chemotherapy.</w:t>
      </w:r>
    </w:p>
    <w:p w:rsidR="00F23699" w:rsidRPr="00483448" w:rsidRDefault="00F23699"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Six patients (40%) experienced </w:t>
      </w:r>
      <w:r w:rsidR="002719FB" w:rsidRPr="00483448">
        <w:rPr>
          <w:rFonts w:ascii="Book Antiqua" w:hAnsi="Book Antiqua"/>
          <w:color w:val="000000"/>
        </w:rPr>
        <w:t>DLT</w:t>
      </w:r>
      <w:r w:rsidR="00905B71" w:rsidRPr="00483448">
        <w:rPr>
          <w:rFonts w:ascii="Book Antiqua" w:hAnsi="Book Antiqua"/>
          <w:color w:val="000000"/>
        </w:rPr>
        <w:t xml:space="preserve"> </w:t>
      </w:r>
      <w:r w:rsidRPr="00483448">
        <w:rPr>
          <w:rFonts w:ascii="Book Antiqua" w:hAnsi="Book Antiqua"/>
          <w:color w:val="000000"/>
        </w:rPr>
        <w:t>during chemotherapy</w:t>
      </w:r>
      <w:r w:rsidR="00905B71" w:rsidRPr="00483448">
        <w:rPr>
          <w:rFonts w:ascii="Book Antiqua" w:hAnsi="Book Antiqua"/>
          <w:color w:val="000000"/>
        </w:rPr>
        <w:t>.</w:t>
      </w:r>
      <w:r w:rsidRPr="00483448">
        <w:rPr>
          <w:rFonts w:ascii="Book Antiqua" w:hAnsi="Book Antiqua"/>
          <w:color w:val="000000"/>
        </w:rPr>
        <w:t xml:space="preserve"> </w:t>
      </w:r>
      <w:r w:rsidR="002719FB" w:rsidRPr="00483448">
        <w:rPr>
          <w:rFonts w:ascii="Book Antiqua" w:hAnsi="Book Antiqua"/>
          <w:color w:val="000000"/>
        </w:rPr>
        <w:t>Three</w:t>
      </w:r>
      <w:r w:rsidRPr="00483448">
        <w:rPr>
          <w:rFonts w:ascii="Book Antiqua" w:hAnsi="Book Antiqua"/>
          <w:color w:val="000000"/>
        </w:rPr>
        <w:t xml:space="preserve"> patients</w:t>
      </w:r>
      <w:r w:rsidR="00905B71" w:rsidRPr="00483448">
        <w:rPr>
          <w:rFonts w:ascii="Book Antiqua" w:hAnsi="Book Antiqua"/>
          <w:color w:val="000000"/>
        </w:rPr>
        <w:t xml:space="preserve"> required</w:t>
      </w:r>
      <w:r w:rsidRPr="00483448">
        <w:rPr>
          <w:rFonts w:ascii="Book Antiqua" w:hAnsi="Book Antiqua"/>
          <w:color w:val="000000"/>
        </w:rPr>
        <w:t xml:space="preserve"> a dos</w:t>
      </w:r>
      <w:r w:rsidR="00905B71" w:rsidRPr="00483448">
        <w:rPr>
          <w:rFonts w:ascii="Book Antiqua" w:hAnsi="Book Antiqua"/>
          <w:color w:val="000000"/>
        </w:rPr>
        <w:t xml:space="preserve">e reduction, </w:t>
      </w:r>
      <w:r w:rsidR="002719FB" w:rsidRPr="00483448">
        <w:rPr>
          <w:rFonts w:ascii="Book Antiqua" w:hAnsi="Book Antiqua"/>
          <w:color w:val="000000"/>
        </w:rPr>
        <w:t>two</w:t>
      </w:r>
      <w:r w:rsidR="00905B71" w:rsidRPr="00483448">
        <w:rPr>
          <w:rFonts w:ascii="Book Antiqua" w:hAnsi="Book Antiqua"/>
          <w:color w:val="000000"/>
        </w:rPr>
        <w:t xml:space="preserve"> patients stopped</w:t>
      </w:r>
      <w:r w:rsidRPr="00483448">
        <w:rPr>
          <w:rFonts w:ascii="Book Antiqua" w:hAnsi="Book Antiqua"/>
          <w:color w:val="000000"/>
        </w:rPr>
        <w:t xml:space="preserve"> chemotherapy </w:t>
      </w:r>
      <w:r w:rsidR="00905B71" w:rsidRPr="00483448">
        <w:rPr>
          <w:rFonts w:ascii="Book Antiqua" w:hAnsi="Book Antiqua"/>
          <w:color w:val="000000"/>
        </w:rPr>
        <w:t xml:space="preserve">early and </w:t>
      </w:r>
      <w:r w:rsidR="002719FB" w:rsidRPr="00483448">
        <w:rPr>
          <w:rFonts w:ascii="Book Antiqua" w:hAnsi="Book Antiqua"/>
          <w:color w:val="000000"/>
        </w:rPr>
        <w:t>one</w:t>
      </w:r>
      <w:r w:rsidR="00905B71" w:rsidRPr="00483448">
        <w:rPr>
          <w:rFonts w:ascii="Book Antiqua" w:hAnsi="Book Antiqua"/>
          <w:color w:val="000000"/>
        </w:rPr>
        <w:t xml:space="preserve"> patient experienced</w:t>
      </w:r>
      <w:r w:rsidRPr="00483448">
        <w:rPr>
          <w:rFonts w:ascii="Book Antiqua" w:hAnsi="Book Antiqua"/>
          <w:color w:val="000000"/>
        </w:rPr>
        <w:t xml:space="preserve"> a delay in treatment. </w:t>
      </w:r>
    </w:p>
    <w:p w:rsidR="00FE1728" w:rsidRPr="00483448" w:rsidRDefault="00FE1728" w:rsidP="004C5FED">
      <w:pPr>
        <w:pStyle w:val="1-2"/>
        <w:snapToGrid w:val="0"/>
        <w:spacing w:line="360" w:lineRule="auto"/>
        <w:jc w:val="both"/>
        <w:rPr>
          <w:rFonts w:ascii="Book Antiqua" w:hAnsi="Book Antiqua"/>
          <w:b/>
          <w:bCs/>
          <w:color w:val="000000"/>
        </w:rPr>
      </w:pPr>
    </w:p>
    <w:p w:rsidR="00FE1728" w:rsidRPr="00483448" w:rsidRDefault="0048216D" w:rsidP="004C5FED">
      <w:pPr>
        <w:pStyle w:val="1-2"/>
        <w:snapToGrid w:val="0"/>
        <w:spacing w:line="360" w:lineRule="auto"/>
        <w:jc w:val="both"/>
        <w:rPr>
          <w:rFonts w:ascii="Book Antiqua" w:hAnsi="Book Antiqua"/>
          <w:b/>
          <w:bCs/>
          <w:color w:val="000000"/>
          <w:lang w:eastAsia="zh-CN"/>
        </w:rPr>
      </w:pPr>
      <w:r w:rsidRPr="00483448">
        <w:rPr>
          <w:rFonts w:ascii="Book Antiqua" w:hAnsi="Book Antiqua"/>
          <w:b/>
          <w:bCs/>
          <w:color w:val="000000"/>
          <w:lang w:eastAsia="zh-CN"/>
        </w:rPr>
        <w:t>DISCUSSION</w:t>
      </w:r>
    </w:p>
    <w:p w:rsidR="00E81BA1" w:rsidRPr="00483448" w:rsidRDefault="00E81BA1" w:rsidP="004C5FED">
      <w:pPr>
        <w:pStyle w:val="1-2"/>
        <w:snapToGrid w:val="0"/>
        <w:spacing w:line="360" w:lineRule="auto"/>
        <w:jc w:val="both"/>
        <w:rPr>
          <w:rFonts w:ascii="Book Antiqua" w:hAnsi="Book Antiqua"/>
          <w:color w:val="000000"/>
        </w:rPr>
      </w:pPr>
      <w:r w:rsidRPr="00483448">
        <w:rPr>
          <w:rFonts w:ascii="Book Antiqua" w:hAnsi="Book Antiqua"/>
          <w:color w:val="000000"/>
        </w:rPr>
        <w:t>This observational study of 15 patients undergoing neo</w:t>
      </w:r>
      <w:r w:rsidR="009C57CB" w:rsidRPr="00483448">
        <w:rPr>
          <w:rFonts w:ascii="Book Antiqua" w:hAnsi="Book Antiqua"/>
          <w:color w:val="000000"/>
        </w:rPr>
        <w:t>-</w:t>
      </w:r>
      <w:r w:rsidRPr="00483448">
        <w:rPr>
          <w:rFonts w:ascii="Book Antiqua" w:hAnsi="Book Antiqua"/>
          <w:color w:val="000000"/>
        </w:rPr>
        <w:t>adjuvant chemotherapy prior to oesophagectomy confirm</w:t>
      </w:r>
      <w:r w:rsidR="002719FB" w:rsidRPr="00483448">
        <w:rPr>
          <w:rFonts w:ascii="Book Antiqua" w:hAnsi="Book Antiqua"/>
          <w:color w:val="000000"/>
        </w:rPr>
        <w:t>ed</w:t>
      </w:r>
      <w:r w:rsidRPr="00483448">
        <w:rPr>
          <w:rFonts w:ascii="Book Antiqua" w:hAnsi="Book Antiqua"/>
          <w:color w:val="000000"/>
        </w:rPr>
        <w:t xml:space="preserve"> that formal nutritional intervention provided </w:t>
      </w:r>
      <w:r w:rsidRPr="00483448">
        <w:rPr>
          <w:rFonts w:ascii="Book Antiqua" w:hAnsi="Book Antiqua"/>
          <w:color w:val="000000"/>
        </w:rPr>
        <w:lastRenderedPageBreak/>
        <w:t>through the use of feeding jejunostomy ha</w:t>
      </w:r>
      <w:r w:rsidR="002719FB" w:rsidRPr="00483448">
        <w:rPr>
          <w:rFonts w:ascii="Book Antiqua" w:hAnsi="Book Antiqua"/>
          <w:color w:val="000000"/>
        </w:rPr>
        <w:t>d</w:t>
      </w:r>
      <w:r w:rsidRPr="00483448">
        <w:rPr>
          <w:rFonts w:ascii="Book Antiqua" w:hAnsi="Book Antiqua"/>
          <w:color w:val="000000"/>
        </w:rPr>
        <w:t xml:space="preserve"> a positive effect on </w:t>
      </w:r>
      <w:r w:rsidR="00D641C3" w:rsidRPr="00483448">
        <w:rPr>
          <w:rFonts w:ascii="Book Antiqua" w:hAnsi="Book Antiqua"/>
          <w:color w:val="000000"/>
        </w:rPr>
        <w:t>maintaining</w:t>
      </w:r>
      <w:r w:rsidRPr="00483448">
        <w:rPr>
          <w:rFonts w:ascii="Book Antiqua" w:hAnsi="Book Antiqua"/>
          <w:color w:val="000000"/>
        </w:rPr>
        <w:t xml:space="preserve"> mean overall weight and BMI. </w:t>
      </w:r>
    </w:p>
    <w:p w:rsidR="00967F9A" w:rsidRPr="00483448" w:rsidRDefault="00967F9A"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In concordance with previous studies, this study revealed a small amount of weight gain (0.35 ± 3.0 kg) after regular jejunostomy feeding</w:t>
      </w:r>
      <w:r w:rsidR="00D641C3" w:rsidRPr="00483448">
        <w:rPr>
          <w:rFonts w:ascii="Book Antiqua" w:hAnsi="Book Antiqua"/>
          <w:color w:val="000000"/>
        </w:rPr>
        <w:t>, though this was negligible in the current study</w:t>
      </w:r>
      <w:r w:rsidRPr="00483448">
        <w:rPr>
          <w:rFonts w:ascii="Book Antiqua" w:hAnsi="Book Antiqua"/>
          <w:color w:val="000000"/>
        </w:rPr>
        <w:t xml:space="preserve">. Interestingly, adipose tissue </w:t>
      </w:r>
      <w:r w:rsidR="002719FB" w:rsidRPr="00483448">
        <w:rPr>
          <w:rFonts w:ascii="Book Antiqua" w:hAnsi="Book Antiqua"/>
          <w:color w:val="000000"/>
        </w:rPr>
        <w:t>wa</w:t>
      </w:r>
      <w:r w:rsidRPr="00483448">
        <w:rPr>
          <w:rFonts w:ascii="Book Antiqua" w:hAnsi="Book Antiqua"/>
          <w:color w:val="000000"/>
        </w:rPr>
        <w:t xml:space="preserve">s maintained but a significant loss in muscle mass </w:t>
      </w:r>
      <w:r w:rsidR="002719FB" w:rsidRPr="00483448">
        <w:rPr>
          <w:rFonts w:ascii="Book Antiqua" w:hAnsi="Book Antiqua"/>
          <w:color w:val="000000"/>
        </w:rPr>
        <w:t>remained. T</w:t>
      </w:r>
      <w:r w:rsidRPr="00483448">
        <w:rPr>
          <w:rFonts w:ascii="Book Antiqua" w:hAnsi="Book Antiqua"/>
          <w:color w:val="000000"/>
        </w:rPr>
        <w:t xml:space="preserve">he incidence of sarcopenia increased from </w:t>
      </w:r>
      <w:r w:rsidR="002719FB" w:rsidRPr="00483448">
        <w:rPr>
          <w:rFonts w:ascii="Book Antiqua" w:hAnsi="Book Antiqua"/>
          <w:color w:val="000000"/>
        </w:rPr>
        <w:t>33%</w:t>
      </w:r>
      <w:r w:rsidRPr="00483448">
        <w:rPr>
          <w:rFonts w:ascii="Book Antiqua" w:hAnsi="Book Antiqua"/>
          <w:color w:val="000000"/>
        </w:rPr>
        <w:t xml:space="preserve"> of patients to 60% of patients after completion of neo-adjuvant chemotherapy. </w:t>
      </w:r>
    </w:p>
    <w:p w:rsidR="00967F9A" w:rsidRPr="00483448" w:rsidRDefault="00967F9A"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The percentage of patients (40%) experiencing </w:t>
      </w:r>
      <w:r w:rsidR="008465F3" w:rsidRPr="00483448">
        <w:rPr>
          <w:rFonts w:ascii="Book Antiqua" w:hAnsi="Book Antiqua"/>
          <w:color w:val="000000"/>
        </w:rPr>
        <w:t>DLT</w:t>
      </w:r>
      <w:r w:rsidRPr="00483448">
        <w:rPr>
          <w:rFonts w:ascii="Book Antiqua" w:hAnsi="Book Antiqua"/>
          <w:color w:val="000000"/>
        </w:rPr>
        <w:t xml:space="preserve"> whilst undergoing neo-adjuvant chemotherapy </w:t>
      </w:r>
      <w:r w:rsidR="002719FB" w:rsidRPr="00483448">
        <w:rPr>
          <w:rFonts w:ascii="Book Antiqua" w:hAnsi="Book Antiqua"/>
          <w:color w:val="000000"/>
        </w:rPr>
        <w:t>wa</w:t>
      </w:r>
      <w:r w:rsidRPr="00483448">
        <w:rPr>
          <w:rFonts w:ascii="Book Antiqua" w:hAnsi="Book Antiqua"/>
          <w:color w:val="000000"/>
        </w:rPr>
        <w:t>s similar to a previous study despite regular jejunostomy feeding</w:t>
      </w:r>
      <w:r w:rsidR="008D6F71"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{"citationItems":[{"id":"ITEM-1","itemData":{"DOI":"10.1016/j.ejso.2014.11.040","ISSN":"1532-2157","PMID":"25498359","abstract":"BACKGROUND Patients with potentially curative oesophago-gastric cancer typically undergo neo-adjuvant chemotherapy prior to surgery. The majority of anti-cancer drugs have a narrow therapeutic index. The aim of this study was to determine if features of body composition, assessed using computed tomography (CT) scans, may be predictive of dose-limiting toxicity (DLT) in patients undergoing neo-adjuvant chemotherapy for oesophago-gastric cancer. The influence of sarcopenia and DLT on overall survival was also evaluated. METHODS 89 Patients having potentially curative oesophago-gastric cancer surgery were studied. Patients studied had histologically confirmed oesophago-gastric cancer with no evidence of distant metastasis on pre-operative staging. CT scan was performed in all cases at diagnosis. DLT was defined as toxicity leading to postponement of treatment, a drug dose reduction or definitive interruption of drug administration. RESULTS DLT occurred in 37 out of 89 patients (41.6%) undergoing chemotherapy. Sarcopenia (odds ratio, 2.95; 95% confidence interval, 1.23-7.09; p = 0.015) was associated with DLT on multivariate analysis. Median overall survival for patients who were sarcopenic was 569 days (IQ range: 357-1230 days) vs. 1013 days (IQ range: 496-1318 days) for patients who were not sarcopenic (p = 0.04). There was no significant difference in overall survival in patients who experienced DLT compared with those that did not (p = 0.665). CONCLUSIONS Sarcopenia is a significant predictor of DLT in oesophago-gastric cancer patients undergoing neo-adjuvant chemotherapy. These results raise the potential for use of assessment of skeletal muscle mass using CT scans to predict toxicity and individualize chemotherapy dosing.","author":[{"dropping-particle":"","family":"Tan","given":"B H L","non-dropping-particle":"","parse-names":false,"suffix":""},{"dropping-particle":"","family":"Brammer","given":"K","non-dropping-particle":"","parse-names":false,"suffix":""},{"dropping-particle":"","family":"Randhawa","given":"N","non-dropping-particle":"","parse-names":false,"suffix":""},{"dropping-particle":"","family":"Welch","given":"N T","non-dropping-particle":"","parse-names":false,"suffix":""},{"dropping-particle":"","family":"Parsons","given":"S L","non-dropping-particle":"","parse-names":false,"suffix":""},{"dropping-particle":"","family":"James","given":"E J","non-dropping-particle":"","parse-names":false,"suffix":""},{"dropping-particle":"","family":"Catton","given":"J A","non-dropping-particle":"","parse-names":false,"suffix":""}],"container-title":"European journal of surgical oncology : the journal of the European Society of Surgical Oncology and the British Association of Surgical Oncology","id":"ITEM-1","issue":"3","issued":{"date-parts":[["2015","3"]]},"page":"333-8","title":"Sarcopenia is associated with toxicity in patients undergoing neo-adjuvant chemotherapy for oesophago-gastric cancer.","type":"article-journal","volume":"41"},"uris":["http://www.mendeley.com/documents/?uuid=01507e6b-7453-3e3e-b73e-0144da799bae"]}],"mendeley":{"formattedCitation":"&lt;sup&gt;[5]&lt;/sup&gt;","plainTextFormattedCitation":"[5]","previouslyFormattedCitation":"(5)"},"properties":{"noteIndex":0},"schema":"https://github.com/citation-style-language/schema/raw/master/csl-citation.json"}</w:instrText>
      </w:r>
      <w:r w:rsidR="008D6F71" w:rsidRPr="00483448">
        <w:rPr>
          <w:rFonts w:ascii="Book Antiqua" w:hAnsi="Book Antiqua"/>
          <w:b/>
          <w:color w:val="000000"/>
        </w:rPr>
        <w:fldChar w:fldCharType="separate"/>
      </w:r>
      <w:r w:rsidR="007D2F73" w:rsidRPr="00483448">
        <w:rPr>
          <w:rFonts w:ascii="Book Antiqua" w:hAnsi="Book Antiqua"/>
          <w:color w:val="000000"/>
          <w:vertAlign w:val="superscript"/>
        </w:rPr>
        <w:t>[5]</w:t>
      </w:r>
      <w:r w:rsidR="008D6F71" w:rsidRPr="00483448">
        <w:rPr>
          <w:rFonts w:ascii="Book Antiqua" w:hAnsi="Book Antiqua"/>
          <w:b/>
          <w:color w:val="000000"/>
        </w:rPr>
        <w:fldChar w:fldCharType="end"/>
      </w:r>
      <w:r w:rsidRPr="00483448">
        <w:rPr>
          <w:rFonts w:ascii="Book Antiqua" w:hAnsi="Book Antiqua"/>
          <w:color w:val="000000"/>
        </w:rPr>
        <w:t>. This can perhaps be explained by the high prevalence of sarcopenia in oesophageal cancer patients despite regular feeding. Whilst the mechanism that links sarcopenia with increased chemotherapy toxicity in patients is unknown, this association</w:t>
      </w:r>
      <w:r w:rsidR="008D6F71" w:rsidRPr="00483448">
        <w:rPr>
          <w:rFonts w:ascii="Book Antiqua" w:hAnsi="Book Antiqua"/>
          <w:color w:val="000000"/>
        </w:rPr>
        <w:t xml:space="preserve"> is described in the literature</w:t>
      </w:r>
      <w:r w:rsidR="00C669D2"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{"citationItems":[{"id":"ITEM-1","itemData":{"DOI":"10.1007/s00520-017-3993-0","ISSN":"0941-4355","author":[{"dropping-particle":"","family":"Guinan","given":"Emer M.","non-dropping-particle":"","parse-names":false,"suffix":""},{"dropping-particle":"","family":"Doyle","given":"S. L.","non-dropping-particle":"","parse-names":false,"suffix":""},{"dropping-particle":"","family":"Bennett","given":"A. E.","non-dropping-particle":"","parse-names":false,"suffix":""},{"dropping-particle":"","family":"O’Neill","given":"L.","non-dropping-particle":"","parse-names":false,"suffix":""},{"dropping-particle":"","family":"Gannon","given":"J.","non-dropping-particle":"","parse-names":false,"suffix":""},{"dropping-particle":"","family":"Elliott","given":"J. A.","non-dropping-particle":"","parse-names":false,"suffix":""},{"dropping-particle":"","family":"O’Sullivan","given":"J.","non-dropping-particle":"","parse-names":false,"suffix":""},{"dropping-particle":"V.","family":"Reynolds","given":"J.","non-dropping-particle":"","parse-names":false,"suffix":""},{"dropping-particle":"","family":"Hussey","given":"J.","non-dropping-particle":"","parse-names":false,"suffix":""}],"container-title":"Supportive Care in Cancer","id":"ITEM-1","issue":"5","issued":{"date-parts":[["2017","12","2"]]},"page":"1569-1576","publisher":"Springer Berlin Heidelberg","title":"Sarcopenia during neoadjuvant therapy for oesophageal cancer: characterising the impact on muscle strength and physical performance","type":"article-journal","volume":"26"},"uris":["http://www.mendeley.com/documents/?uuid=a6483836-22c4-3547-9850-be5b0a52843b"]},{"id":"ITEM-2","itemData":{"DOI":"10.1634/theoncologist.2016-0066","ISSN":"1083-7159","PMID":"27412391","abstract":": In several diseases, low muscle mass has been revealed as an unfavorable prognostic factor for outcome. Whether this holds true in patients with solid malignancies as well has increasingly been explored recently. However, this research field is severely hampered by a lack of consensus on how to determine muscle mass in cancer patients and on the definition of low muscle mass. Consequently, the prevalence of low muscle mass varies widely across several studies. Nevertheless, most studies show that, in patients with solid malignancies, low muscle mass is associated with a poor outcome. In the future, more research is needed to get better insight into the best method to determine muscle mass, the exact prognostic value of low muscle mass in diverse tumor types and stages, pathophysiology of low muscle mass in patients with cancer, and ways to intervene and improve muscle mass in patients. This review addresses the current literature on the importance of muscle mass in cancer patients and the methods of muscle measurement. IMPLICATIONS FOR PRACTICE An increasing number of studies underline the clinical value of low muscle mass as a prognostic factor for adverse outcomes in cancer patients. However, studies show large heterogeneity because of the lack of a standardized approach to measure muscle mass and the lack of reference populations. As a result, the interpretation of data and further progress are severely hampered, hindering the implementation of muscle measurement in oncological care. This review summarizes the methods of diagnosing low muscle mass in cancer patients, the difference between underlying syndromes such as sarcopenia and cachexia, and the association with clinical outcomes described so far.","author":[{"dropping-particle":"","family":"Rier","given":"Hánah N.","non-dropping-particle":"","parse-names":false,"suffix":""},{"dropping-particle":"","family":"Jager","given":"Agnes","non-dropping-particle":"","parse-names":false,"suffix":""},{"dropping-particle":"","family":"Sleijfer","given":"Stefan","non-dropping-particle":"","parse-names":false,"suffix":""},{"dropping-particle":"","family":"Maier","given":"Andrea B.","non-dropping-particle":"","parse-names":false,"suffix":""},{"dropping-particle":"","family":"Levin","given":"Mark-David","non-dropping-particle":"","parse-names":false,"suffix":""}],"container-title":"The Oncologist","id":"ITEM-2","issue":"11","issued":{"date-parts":[["2016","11"]]},"page":"1396-1409","title":"The Prevalence and Prognostic Value of Low Muscle Mass in Cancer Patients: A Review of the Literature","type":"article-journal","volume":"21"},"uris":["http://www.mendeley.com/documents/?uuid=57b93493-2858-364c-a98f-04666abf5c58"]},{"id":"ITEM-3","itemData":{"DOI":"10.1016/j.clnu.2011.08.008","ISSN":"1532-1983","PMID":"21875767","abstract":"BACKGROUND &amp; AIMS Patients with sarcopenia [reduced fat free mass (FFM)] have a higher incidence of chemotherapy-related toxicity and decreased survival. As there are no such data in patients with oesophagogastric cancer (OGC), this study investigated changes in body composition in OGC patients receiving neoadjuvant chemotherapy (NAC). METHODS OGC patients who had CT scans before and after NAC were studied. CT images at the L3 vertebral level were analysed using SliceOmatic(®) software to derive estimates of FFM and fat mass (FM). Comparisons were made between pre- and post-NAC CT images. Data are reported as mean ± SD. RESULTS Forty-seven patients (34 male) aged 63 ± 12 years were studied and 79% completed their course of NAC. The interval between CT scans was 107 ± 27 days. The proportion of patients with sarcopenia increased from 57% pre-NAC to 79% post-NAC (p = 0.046). During NAC there were significant reductions in estimated FFM and FM (2.9 ± 4.7 kg, p &lt; 0.0001 and 1.3 ± 3.2 kg, p = 0.007, respectively). No association was demonstrated between loss of FFM and non-completion of NAC, increased hospital stay or mortality. CONCLUSIONS In patients with OGC commencing NAC, sarcopenia was present in 57%. NAC was associated with further reductions in FFM and an increase in the proportion of patients becoming sarcopenic.","author":[{"dropping-particle":"","family":"Awad","given":"Sherif","non-dropping-particle":"","parse-names":false,"suffix":""},{"dropping-particle":"","family":"Tan","given":"Benjamin H","non-dropping-particle":"","parse-names":false,"suffix":""},{"dropping-particle":"","family":"Cui","given":"Helen","non-dropping-particle":"","parse-names":false,"suffix":""},{"dropping-particle":"","family":"Bhalla","given":"Ashish","non-dropping-particle":"","parse-names":false,"suffix":""},{"dropping-particle":"","family":"Fearon","given":"Kenneth C H","non-dropping-particle":"","parse-names":false,"suffix":""},{"dropping-particle":"","family":"Parsons","given":"Simon L","non-dropping-particle":"","parse-names":false,"suffix":""},{"dropping-particle":"","family":"Catton","given":"James A","non-dropping-particle":"","parse-names":false,"suffix":""},{"dropping-particle":"","family":"Lobo","given":"Dileep N","non-dropping-particle":"","parse-names":false,"suffix":""}],"container-title":"Clinical nutrition (Edinburgh, Scotland)","id":"ITEM-3","issue":"1","issued":{"date-parts":[["2012","2"]]},"page":"74-7","title":"Marked changes in body composition following neoadjuvant chemotherapy for oesophagogastric cancer.","type":"article-journal","volume":"31"},"uris":["http://www.mendeley.com/documents/?uuid=586eef36-7925-36e5-a12f-7f71fdda98b9"]}],"mendeley":{"formattedCitation":"&lt;sup&gt;[3,6,7]&lt;/sup&gt;","plainTextFormattedCitation":"[3,6,7]","previouslyFormattedCitation":"(3,6,7)"},"properties":{"noteIndex":0},"schema":"https://github.com/citation-style-language/schema/raw/master/csl-citation.json"}</w:instrText>
      </w:r>
      <w:r w:rsidR="00C669D2" w:rsidRPr="00483448">
        <w:rPr>
          <w:rFonts w:ascii="Book Antiqua" w:hAnsi="Book Antiqua"/>
          <w:color w:val="000000"/>
        </w:rPr>
        <w:fldChar w:fldCharType="separate"/>
      </w:r>
      <w:r w:rsidR="007D2F73" w:rsidRPr="00483448">
        <w:rPr>
          <w:rFonts w:ascii="Book Antiqua" w:hAnsi="Book Antiqua"/>
          <w:color w:val="000000"/>
          <w:vertAlign w:val="superscript"/>
        </w:rPr>
        <w:t>[3,6,7]</w:t>
      </w:r>
      <w:r w:rsidR="00C669D2" w:rsidRPr="00483448">
        <w:rPr>
          <w:rFonts w:ascii="Book Antiqua" w:hAnsi="Book Antiqua"/>
          <w:color w:val="000000"/>
        </w:rPr>
        <w:fldChar w:fldCharType="end"/>
      </w:r>
      <w:r w:rsidRPr="00483448">
        <w:rPr>
          <w:rFonts w:ascii="Book Antiqua" w:hAnsi="Book Antiqua"/>
          <w:color w:val="000000"/>
        </w:rPr>
        <w:t xml:space="preserve">. </w:t>
      </w:r>
    </w:p>
    <w:p w:rsidR="00F12017" w:rsidRPr="00483448" w:rsidRDefault="00DC419E"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Sarcopenia is prevalent in patients diagnosed with oesophageal cancer</w:t>
      </w:r>
      <w:r w:rsidR="002719FB" w:rsidRPr="00483448">
        <w:rPr>
          <w:rFonts w:ascii="Book Antiqua" w:hAnsi="Book Antiqua"/>
          <w:color w:val="000000"/>
        </w:rPr>
        <w:t>,</w:t>
      </w:r>
      <w:r w:rsidRPr="00483448">
        <w:rPr>
          <w:rFonts w:ascii="Book Antiqua" w:hAnsi="Book Antiqua"/>
          <w:color w:val="000000"/>
        </w:rPr>
        <w:t xml:space="preserve"> and </w:t>
      </w:r>
      <w:r w:rsidR="00330402" w:rsidRPr="00483448">
        <w:rPr>
          <w:rFonts w:ascii="Book Antiqua" w:hAnsi="Book Antiqua"/>
          <w:color w:val="000000"/>
        </w:rPr>
        <w:t>the</w:t>
      </w:r>
      <w:r w:rsidRPr="00483448">
        <w:rPr>
          <w:rFonts w:ascii="Book Antiqua" w:hAnsi="Book Antiqua"/>
          <w:color w:val="000000"/>
        </w:rPr>
        <w:t xml:space="preserve"> incidence increases</w:t>
      </w:r>
      <w:r w:rsidR="0031644A" w:rsidRPr="00483448">
        <w:rPr>
          <w:rFonts w:ascii="Book Antiqua" w:hAnsi="Book Antiqua"/>
          <w:color w:val="000000"/>
        </w:rPr>
        <w:t xml:space="preserve"> </w:t>
      </w:r>
      <w:r w:rsidRPr="00483448">
        <w:rPr>
          <w:rFonts w:ascii="Book Antiqua" w:hAnsi="Book Antiqua"/>
          <w:color w:val="000000"/>
        </w:rPr>
        <w:t xml:space="preserve">following neo-adjuvant chemotherapy. This is coupled with an overall decrease in body weight, BMI, fat mass and fat-free mass. </w:t>
      </w:r>
      <w:r w:rsidR="00F12017" w:rsidRPr="00483448">
        <w:rPr>
          <w:rFonts w:ascii="Book Antiqua" w:hAnsi="Book Antiqua"/>
          <w:color w:val="000000"/>
        </w:rPr>
        <w:t xml:space="preserve">BMI is often used as an objective marker to assess patients’ nutritional status. However, patients can be acutely malnourished and still have a normal or elevated BMI, especially with the increasing prevalence of obesity. Therefore, assessment of specific changes in body composition is perhaps more important than overall changes in weight or BMI. </w:t>
      </w:r>
    </w:p>
    <w:p w:rsidR="00FE2C2F" w:rsidRPr="00483448" w:rsidRDefault="00F139CA"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One of the strengths of this study </w:t>
      </w:r>
      <w:r w:rsidR="002719FB" w:rsidRPr="00483448">
        <w:rPr>
          <w:rFonts w:ascii="Book Antiqua" w:hAnsi="Book Antiqua"/>
          <w:color w:val="000000"/>
        </w:rPr>
        <w:t>wa</w:t>
      </w:r>
      <w:r w:rsidRPr="00483448">
        <w:rPr>
          <w:rFonts w:ascii="Book Antiqua" w:hAnsi="Book Antiqua"/>
          <w:color w:val="000000"/>
        </w:rPr>
        <w:t>s the use of the standardised technique of using CT imaging to measure muscle mass using the skeletal muscle index at the level of the L3 vert</w:t>
      </w:r>
      <w:r w:rsidR="001C7D1B" w:rsidRPr="00483448">
        <w:rPr>
          <w:rFonts w:ascii="Book Antiqua" w:hAnsi="Book Antiqua"/>
          <w:color w:val="000000"/>
        </w:rPr>
        <w:t>e</w:t>
      </w:r>
      <w:r w:rsidRPr="00483448">
        <w:rPr>
          <w:rFonts w:ascii="Book Antiqua" w:hAnsi="Book Antiqua"/>
          <w:color w:val="000000"/>
        </w:rPr>
        <w:t>bra. This has bee</w:t>
      </w:r>
      <w:r w:rsidR="00EE333F" w:rsidRPr="00483448">
        <w:rPr>
          <w:rFonts w:ascii="Book Antiqua" w:hAnsi="Book Antiqua"/>
          <w:color w:val="000000"/>
        </w:rPr>
        <w:t>n</w:t>
      </w:r>
      <w:r w:rsidRPr="00483448">
        <w:rPr>
          <w:rFonts w:ascii="Book Antiqua" w:hAnsi="Book Antiqua"/>
          <w:color w:val="000000"/>
        </w:rPr>
        <w:t xml:space="preserve"> proven to be a well-established technique for this purpose.</w:t>
      </w:r>
      <w:r w:rsidR="000D172E" w:rsidRPr="00483448">
        <w:rPr>
          <w:rFonts w:ascii="Book Antiqua" w:hAnsi="Book Antiqua"/>
          <w:color w:val="000000"/>
        </w:rPr>
        <w:t xml:space="preserve"> Although magnetic resonance imaging and dual energy x-ray absorptiometry are also considered extremely useful to evaluate body composition in clinical practice, CT is performed in all patients with oesophageal cancer</w:t>
      </w:r>
      <w:r w:rsidR="002719FB" w:rsidRPr="00483448">
        <w:rPr>
          <w:rFonts w:ascii="Book Antiqua" w:hAnsi="Book Antiqua"/>
          <w:color w:val="000000"/>
        </w:rPr>
        <w:t>.</w:t>
      </w:r>
      <w:r w:rsidR="000D172E" w:rsidRPr="00483448">
        <w:rPr>
          <w:rFonts w:ascii="Book Antiqua" w:hAnsi="Book Antiqua"/>
          <w:color w:val="000000"/>
        </w:rPr>
        <w:t xml:space="preserve"> </w:t>
      </w:r>
      <w:r w:rsidR="002719FB" w:rsidRPr="00483448">
        <w:rPr>
          <w:rFonts w:ascii="Book Antiqua" w:hAnsi="Book Antiqua"/>
          <w:color w:val="000000"/>
        </w:rPr>
        <w:t>T</w:t>
      </w:r>
      <w:r w:rsidR="000D172E" w:rsidRPr="00483448">
        <w:rPr>
          <w:rFonts w:ascii="Book Antiqua" w:hAnsi="Book Antiqua"/>
          <w:color w:val="000000"/>
        </w:rPr>
        <w:t>herefore</w:t>
      </w:r>
      <w:r w:rsidR="002719FB" w:rsidRPr="00483448">
        <w:rPr>
          <w:rFonts w:ascii="Book Antiqua" w:hAnsi="Book Antiqua"/>
          <w:color w:val="000000"/>
        </w:rPr>
        <w:t>,</w:t>
      </w:r>
      <w:r w:rsidR="000D172E" w:rsidRPr="00483448">
        <w:rPr>
          <w:rFonts w:ascii="Book Antiqua" w:hAnsi="Book Antiqua"/>
          <w:color w:val="000000"/>
        </w:rPr>
        <w:t xml:space="preserve"> analysis of these images is easily available with no additional cost or patient burden</w:t>
      </w:r>
      <w:r w:rsidR="00330402"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{"citationItems":[{"id":"ITEM-1","itemData":{"DOI":"10.1007/s00330-014-3110-4","ISSN":"1432-1084","PMID":"24535076","abstract":"OBJECTIVES Sarcopenia and changes in body composition following neoadjuvant chemotherapy (NAC) may affect clinical outcome. We assessed the associations between CT body composition changes following NAC and outcomes in oesophageal cancer. METHODS A total of 35 patients who received NAC followed by oesophagectomy, and underwent CT assessment pre- and post-NAC were included. Fat mass (FM), fat-free mass (FFM), subcutaneous fat to muscle ratio (FMR) and visceral to subcutaneous adipose tissue ratio (VA/SA) were derived from CT. Changes in FM, FFM, FMR, VA/SA and sarcopenia were correlated to chemotherapy dose reductions, postoperative complications, length of hospital stay (LOS), circumferential resection margin (CRM), pathological chemotherapy response, disease-free survival (DFS) and overall survival (OS). RESULTS Nine (26 %) patients were sarcopenic before NAC and this increased to 15 (43 %) after NAC. Average weight loss was 3.7 %</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6.4 (SD) in comparison to FM index (-1.2</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4.2), FFM index (-4.6</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6.8), FMR (-1.2</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24.3) and VA/SA (-62.3</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12.7). Changes in FM index (p</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0.022), FMR (p</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0.028), VA/SA (p</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0.024) and weight (p</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0.007) were significant univariable factors for CRM status. There was no significant association between changes in body composition and survival. CONCLUSIONS Loss of FM, differential loss of VA/SA and skeletal muscle were associated with risk of CRM positivity. KEY POINTS • Changes in CT body composition occur after neoadjuvant chemotherapy in oesophageal cancer. • Sarcopenia was more prevalent after neoadjuvant chemotherapy. • Fat mass, fat-free mass and weight decreased after neoadjuvant chemotherapy. • Changes in body composition were associated with CRM positivity. • Changes in body composition did not affect perioperative complications and survival.","author":[{"dropping-particle":"","family":"Yip","given":"Connie","non-dropping-particle":"","parse-names":false,"suffix":""},{"dropping-particle":"","family":"Goh","given":"Vicky","non-dropping-particle":"","parse-names":false,"suffix":""},{"dropping-particle":"","family":"Davies","given":"Andrew","non-dropping-particle":"","parse-names":false,"suffix":""},{"dropping-particle":"","family":"Gossage","given":"James","non-dropping-particle":"","parse-names":false,"suffix":""},{"dropping-particle":"","family":"Mitchell-Hay","given":"Rosalind","non-dropping-particle":"","parse-names":false,"suffix":""},{"dropping-particle":"","family":"Hynes","given":"Orla","non-dropping-particle":"","parse-names":false,"suffix":""},{"dropping-particle":"","family":"Maisey","given":"Nick","non-dropping-particle":"","parse-names":false,"suffix":""},{"dropping-particle":"","family":"Ross","given":"Paul","non-dropping-particle":"","parse-names":false,"suffix":""},{"dropping-particle":"","family":"Gaya","given":"Andrew","non-dropping-particle":"","parse-names":false,"suffix":""},{"dropping-particle":"","family":"Landau","given":"David B","non-dropping-particle":"","parse-names":false,"suffix":""},{"dropping-particle":"","family":"Cook","given":"Gary J","non-dropping-particle":"","parse-names":false,"suffix":""},{"dropping-particle":"","family":"Griffin","given":"Nyree","non-dropping-particle":"","parse-names":false,"suffix":""},{"dropping-particle":"","family":"Mason","given":"Robert","non-dropping-particle":"","parse-names":false,"suffix":""}],"container-title":"European radiology","id":"ITEM-1","issue":"5","issued":{"date-parts":[["2014","5","18"]]},"page":"998-1005","title":"Assessment of sarcopenia and changes in body composition after neoadjuvant chemotherapy and associations with clinical outcomes in oesophageal cancer.","type":"article-journal","volume":"24"},"uris":["http://www.mendeley.com/documents/?uuid=06fb9f46-29d6-3361-af1f-2b69c69a0ae1"]}],"mendeley":{"formattedCitation":"&lt;sup&gt;[9]&lt;/sup&gt;","plainTextFormattedCitation":"[9]","previouslyFormattedCitation":"(9)"},"properties":{"noteIndex":0},"schema":"https://github.com/citation-style-language/schema/raw/master/csl-citation.json"}</w:instrText>
      </w:r>
      <w:r w:rsidR="00330402" w:rsidRPr="00483448">
        <w:rPr>
          <w:rFonts w:ascii="Book Antiqua" w:hAnsi="Book Antiqua"/>
          <w:color w:val="000000"/>
        </w:rPr>
        <w:fldChar w:fldCharType="separate"/>
      </w:r>
      <w:r w:rsidR="007D2F73" w:rsidRPr="00483448">
        <w:rPr>
          <w:rFonts w:ascii="Book Antiqua" w:hAnsi="Book Antiqua"/>
          <w:color w:val="000000"/>
          <w:vertAlign w:val="superscript"/>
        </w:rPr>
        <w:t>[9]</w:t>
      </w:r>
      <w:r w:rsidR="00330402" w:rsidRPr="00483448">
        <w:rPr>
          <w:rFonts w:ascii="Book Antiqua" w:hAnsi="Book Antiqua"/>
          <w:color w:val="000000"/>
        </w:rPr>
        <w:fldChar w:fldCharType="end"/>
      </w:r>
      <w:r w:rsidR="00330402" w:rsidRPr="00483448">
        <w:rPr>
          <w:rFonts w:ascii="Book Antiqua" w:hAnsi="Book Antiqua"/>
          <w:color w:val="000000"/>
        </w:rPr>
        <w:t>.</w:t>
      </w:r>
    </w:p>
    <w:p w:rsidR="00DC419E" w:rsidRPr="00483448" w:rsidRDefault="00DC419E"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Sarcopenia</w:t>
      </w:r>
      <w:r w:rsidR="0022394C" w:rsidRPr="00483448">
        <w:rPr>
          <w:rFonts w:ascii="Book Antiqua" w:hAnsi="Book Antiqua"/>
          <w:color w:val="000000"/>
        </w:rPr>
        <w:t>, myosteatosis</w:t>
      </w:r>
      <w:r w:rsidRPr="00483448">
        <w:rPr>
          <w:rFonts w:ascii="Book Antiqua" w:hAnsi="Book Antiqua"/>
          <w:color w:val="000000"/>
        </w:rPr>
        <w:t xml:space="preserve"> and loss of skeletal muscle during neo</w:t>
      </w:r>
      <w:r w:rsidR="009C57CB" w:rsidRPr="00483448">
        <w:rPr>
          <w:rFonts w:ascii="Book Antiqua" w:hAnsi="Book Antiqua"/>
          <w:color w:val="000000"/>
        </w:rPr>
        <w:t>-</w:t>
      </w:r>
      <w:r w:rsidRPr="00483448">
        <w:rPr>
          <w:rFonts w:ascii="Book Antiqua" w:hAnsi="Book Antiqua"/>
          <w:color w:val="000000"/>
        </w:rPr>
        <w:t>adjuvant treatment ha</w:t>
      </w:r>
      <w:r w:rsidR="00B50D16" w:rsidRPr="00483448">
        <w:rPr>
          <w:rFonts w:ascii="Book Antiqua" w:hAnsi="Book Antiqua"/>
          <w:color w:val="000000"/>
        </w:rPr>
        <w:t>ve</w:t>
      </w:r>
      <w:r w:rsidRPr="00483448">
        <w:rPr>
          <w:rFonts w:ascii="Book Antiqua" w:hAnsi="Book Antiqua"/>
          <w:color w:val="000000"/>
        </w:rPr>
        <w:t xml:space="preserve"> been shown to be associated with worse oncological outcomes in </w:t>
      </w:r>
      <w:r w:rsidRPr="00483448">
        <w:rPr>
          <w:rFonts w:ascii="Book Antiqua" w:hAnsi="Book Antiqua"/>
          <w:color w:val="000000"/>
        </w:rPr>
        <w:lastRenderedPageBreak/>
        <w:t>surgically treated oesophageal cancer patients</w:t>
      </w:r>
      <w:r w:rsidR="00330402" w:rsidRPr="00483448">
        <w:rPr>
          <w:rFonts w:ascii="Book Antiqua" w:hAnsi="Book Antiqua"/>
          <w:color w:val="000000"/>
        </w:rPr>
        <w:fldChar w:fldCharType="begin" w:fldLock="1"/>
      </w:r>
      <w:r w:rsidR="007D2F73" w:rsidRPr="00483448">
        <w:rPr>
          <w:rFonts w:ascii="Book Antiqua" w:hAnsi="Book Antiqua"/>
          <w:color w:val="000000"/>
        </w:rPr>
        <w:instrText>ADDIN CSL_CITATION {"citationItems":[{"id":"ITEM-1","itemData":{"DOI":"10.1007/s00520-017-3993-0","ISSN":"0941-4355","author":[{"dropping-particle":"","family":"Guinan","given":"Emer M.","non-dropping-particle":"","parse-names":false,"suffix":""},{"dropping-particle":"","family":"Doyle","given":"S. L.","non-dropping-particle":"","parse-names":false,"suffix":""},{"dropping-particle":"","family":"Bennett","given":"A. E.","non-dropping-particle":"","parse-names":false,"suffix":""},{"dropping-particle":"","family":"O’Neill","given":"L.","non-dropping-particle":"","parse-names":false,"suffix":""},{"dropping-particle":"","family":"Gannon","given":"J.","non-dropping-particle":"","parse-names":false,"suffix":""},{"dropping-particle":"","family":"Elliott","given":"J. A.","non-dropping-particle":"","parse-names":false,"suffix":""},{"dropping-particle":"","family":"O’Sullivan","given":"J.","non-dropping-particle":"","parse-names":false,"suffix":""},{"dropping-particle":"V.","family":"Reynolds","given":"J.","non-dropping-particle":"","parse-names":false,"suffix":""},{"dropping-particle":"","family":"Hussey","given":"J.","non-dropping-particle":"","parse-names":false,"suffix":""}],"container-title":"Supportive Care in Cancer","id":"ITEM-1","issue":"5","issued":{"date-parts":[["2017","12","2"]]},"page":"1569-1576","publisher":"Springer Berlin Heidelberg","title":"Sarcopenia during neoadjuvant therapy for oesophageal cancer: characterising the impact on muscle strength and physical performance","type":"article-journal","volume":"26"},"uris":["http://www.mendeley.com/documents/?uuid=a6483836-22c4-3547-9850-be5b0a52843b"]},{"id":"ITEM-2","itemData":{"DOI":"10.1016/j.clnu.2011.08.008","ISSN":"1532-1983","PMID":"21875767","abstract":"BACKGROUND &amp; AIMS Patients with sarcopenia [reduced fat free mass (FFM)] have a higher incidence of chemotherapy-related toxicity and decreased survival. As there are no such data in patients with oesophagogastric cancer (OGC), this study investigated changes in body composition in OGC patients receiving neoadjuvant chemotherapy (NAC). METHODS OGC patients who had CT scans before and after NAC were studied. CT images at the L3 vertebral level were analysed using SliceOmatic(®) software to derive estimates of FFM and fat mass (FM). Comparisons were made between pre- and post-NAC CT images. Data are reported as mean ± SD. RESULTS Forty-seven patients (34 male) aged 63 ± 12 years were studied and 79% completed their course of NAC. The interval between CT scans was 107 ± 27 days. The proportion of patients with sarcopenia increased from 57% pre-NAC to 79% post-NAC (p = 0.046). During NAC there were significant reductions in estimated FFM and FM (2.9 ± 4.7 kg, p &lt; 0.0001 and 1.3 ± 3.2 kg, p = 0.007, respectively). No association was demonstrated between loss of FFM and non-completion of NAC, increased hospital stay or mortality. CONCLUSIONS In patients with OGC commencing NAC, sarcopenia was present in 57%. NAC was associated with further reductions in FFM and an increase in the proportion of patients becoming sarcopenic.","author":[{"dropping-particle":"","family":"Awad","given":"Sherif","non-dropping-particle":"","parse-names":false,"suffix":""},{"dropping-particle":"","family":"Tan","given":"Benjamin H","non-dropping-particle":"","parse-names":false,"suffix":""},{"dropping-particle":"","family":"Cui","given":"Helen","non-dropping-particle":"","parse-names":false,"suffix":""},{"dropping-particle":"","family":"Bhalla","given":"Ashish","non-dropping-particle":"","parse-names":false,"suffix":""},{"dropping-particle":"","family":"Fearon","given":"Kenneth C H","non-dropping-particle":"","parse-names":false,"suffix":""},{"dropping-particle":"","family":"Parsons","given":"Simon L","non-dropping-particle":"","parse-names":false,"suffix":""},{"dropping-particle":"","family":"Catton","given":"James A","non-dropping-particle":"","parse-names":false,"suffix":""},{"dropping-particle":"","family":"Lobo","given":"Dileep N","non-dropping-particle":"","parse-names":false,"suffix":""}],"container-title":"Clinical nutrition (Edinburgh, Scotland)","id":"ITEM-2","issue":"1","issued":{"date-parts":[["2012","2"]]},"page":"74-7","title":"Marked changes in body composition following neoadjuvant chemotherapy for oesophagogastric cancer.","type":"article-journal","volume":"31"},"uris":["http://www.mendeley.com/documents/?uuid=586eef36-7925-36e5-a12f-7f71fdda98b9"]},{"id":"ITEM-3","itemData":{"DOI":"10.1007/s00330-014-3110-4","ISSN":"1432-1084","PMID":"24535076","abstract":"OBJECTIVES Sarcopenia and changes in body composition following neoadjuvant chemotherapy (NAC) may affect clinical outcome. We assessed the associations between CT body composition changes following NAC and outcomes in oesophageal cancer. METHODS A total of 35 patients who received NAC followed by oesophagectomy, and underwent CT assessment pre- and post-NAC were included. Fat mass (FM), fat-free mass (FFM), subcutaneous fat to muscle ratio (FMR) and visceral to subcutaneous adipose tissue ratio (VA/SA) were derived from CT. Changes in FM, FFM, FMR, VA/SA and sarcopenia were correlated to chemotherapy dose reductions, postoperative complications, length of hospital stay (LOS), circumferential resection margin (CRM), pathological chemotherapy response, disease-free survival (DFS) and overall survival (OS). RESULTS Nine (26 %) patients were sarcopenic before NAC and this increased to 15 (43 %) after NAC. Average weight loss was 3.7 %</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6.4 (SD) in comparison to FM index (-1.2</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4.2), FFM index (-4.6</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6.8), FMR (-1.2</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24.3) and VA/SA (-62.3</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12.7). Changes in FM index (p</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0.022), FMR (p</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0.028), VA/SA (p</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0.024) and weight (p</w:instrText>
      </w:r>
      <w:r w:rsidR="007D2F73" w:rsidRPr="00483448">
        <w:rPr>
          <w:rFonts w:ascii="Times New Roman" w:hAnsi="Times New Roman"/>
          <w:color w:val="000000"/>
        </w:rPr>
        <w:instrText> </w:instrText>
      </w:r>
      <w:r w:rsidR="007D2F73" w:rsidRPr="00483448">
        <w:rPr>
          <w:rFonts w:ascii="Book Antiqua" w:hAnsi="Book Antiqua"/>
          <w:color w:val="000000"/>
        </w:rPr>
        <w:instrText>=</w:instrText>
      </w:r>
      <w:r w:rsidR="007D2F73" w:rsidRPr="00483448">
        <w:rPr>
          <w:rFonts w:ascii="Times New Roman" w:hAnsi="Times New Roman"/>
          <w:color w:val="000000"/>
        </w:rPr>
        <w:instrText> </w:instrText>
      </w:r>
      <w:r w:rsidR="007D2F73" w:rsidRPr="00483448">
        <w:rPr>
          <w:rFonts w:ascii="Book Antiqua" w:hAnsi="Book Antiqua"/>
          <w:color w:val="000000"/>
        </w:rPr>
        <w:instrText>0.007) were significant univariable factors for CRM status. There was no significant association between changes in body composition and survival. CONCLUSIONS Loss of FM, differential loss of VA/SA and skeletal muscle were associated with risk of CRM positivity. KEY POINTS • Changes in CT body composition occur after neoadjuvant chemotherapy in oesophageal cancer. • Sarcopenia was more prevalent after neoadjuvant chemotherapy. • Fat mass, fat-free mass and weight decreased after neoadjuvant chemotherapy. • Changes in body composition were associated with CRM positivity. • Changes in body composition did not affect perioperative complications and survival.","author":[{"dropping-particle":"","family":"Yip","given":"Connie","non-dropping-particle":"","parse-names":false,"suffix":""},{"dropping-particle":"","family":"Goh","given":"Vicky","non-dropping-particle":"","parse-names":false,"suffix":""},{"dropping-particle":"","family":"Davies","given":"Andrew","non-dropping-particle":"","parse-names":false,"suffix":""},{"dropping-particle":"","family":"Gossage","given":"James","non-dropping-particle":"","parse-names":false,"suffix":""},{"dropping-particle":"","family":"Mitchell-Hay","given":"Rosalind","non-dropping-particle":"","parse-names":false,"suffix":""},{"dropping-particle":"","family":"Hynes","given":"Orla","non-dropping-particle":"","parse-names":false,"suffix":""},{"dropping-particle":"","family":"Maisey","given":"Nick","non-dropping-particle":"","parse-names":false,"suffix":""},{"dropping-particle":"","family":"Ross","given":"Paul","non-dropping-particle":"","parse-names":false,"suffix":""},{"dropping-particle":"","family":"Gaya","given":"Andrew","non-dropping-particle":"","parse-names":false,"suffix":""},{"dropping-particle":"","family":"Landau","given":"David B","non-dropping-particle":"","parse-names":false,"suffix":""},{"dropping-particle":"","family":"Cook","given":"Gary J","non-dropping-particle":"","parse-names":false,"suffix":""},{"dropping-particle":"","family":"Griffin","given":"Nyree","non-dropping-particle":"","parse-names":false,"suffix":""},{"dropping-particle":"","family":"Mason","given":"Robert","non-dropping-particle":"","parse-names":false,"suffix":""}],"container-title":"European radiology","id":"ITEM-3","issue":"5","issued":{"date-parts":[["2014","5","18"]]},"page":"998-1005","title":"Assessment of sarcopenia and changes in body composition after neoadjuvant chemotherapy and associations with clinical outcomes in oesophageal cancer.","type":"article-journal","volume":"24"},"uris":["http://www.mendeley.com/documents/?uuid=06fb9f46-29d6-3361-af1f-2b69c69a0ae1"]}],"mendeley":{"formattedCitation":"&lt;sup&gt;[3,7,9]&lt;/sup&gt;","plainTextFormattedCitation":"[3,7,9]","previouslyFormattedCitation":"(3,7,9)"},"properties":{"noteIndex":0},"schema":"https://github.com/citation-style-language/schema/raw/master/csl-citation.json"}</w:instrText>
      </w:r>
      <w:r w:rsidR="00330402" w:rsidRPr="00483448">
        <w:rPr>
          <w:rFonts w:ascii="Book Antiqua" w:hAnsi="Book Antiqua"/>
          <w:color w:val="000000"/>
        </w:rPr>
        <w:fldChar w:fldCharType="separate"/>
      </w:r>
      <w:r w:rsidR="007D2F73" w:rsidRPr="00483448">
        <w:rPr>
          <w:rFonts w:ascii="Book Antiqua" w:hAnsi="Book Antiqua"/>
          <w:color w:val="000000"/>
          <w:vertAlign w:val="superscript"/>
        </w:rPr>
        <w:t>[3,7,9]</w:t>
      </w:r>
      <w:r w:rsidR="00330402" w:rsidRPr="00483448">
        <w:rPr>
          <w:rFonts w:ascii="Book Antiqua" w:hAnsi="Book Antiqua"/>
          <w:color w:val="000000"/>
        </w:rPr>
        <w:fldChar w:fldCharType="end"/>
      </w:r>
      <w:r w:rsidRPr="00483448">
        <w:rPr>
          <w:rFonts w:ascii="Book Antiqua" w:hAnsi="Book Antiqua"/>
          <w:color w:val="000000"/>
        </w:rPr>
        <w:t xml:space="preserve">. </w:t>
      </w:r>
      <w:r w:rsidR="00B50D16" w:rsidRPr="00483448">
        <w:rPr>
          <w:rFonts w:ascii="Book Antiqua" w:hAnsi="Book Antiqua"/>
          <w:color w:val="000000"/>
        </w:rPr>
        <w:t>In sarcopenic patients, the doses of neo</w:t>
      </w:r>
      <w:r w:rsidR="009C57CB" w:rsidRPr="00483448">
        <w:rPr>
          <w:rFonts w:ascii="Book Antiqua" w:hAnsi="Book Antiqua"/>
          <w:color w:val="000000"/>
        </w:rPr>
        <w:t>-</w:t>
      </w:r>
      <w:r w:rsidR="00B50D16" w:rsidRPr="00483448">
        <w:rPr>
          <w:rFonts w:ascii="Book Antiqua" w:hAnsi="Book Antiqua"/>
          <w:color w:val="000000"/>
        </w:rPr>
        <w:t xml:space="preserve">adjuvant therapy may have to be adjusted and even reduced in order to compensate for toxicity associated complications. If the development of sarcopenia can be </w:t>
      </w:r>
      <w:r w:rsidR="009B6578" w:rsidRPr="00483448">
        <w:rPr>
          <w:rFonts w:ascii="Book Antiqua" w:hAnsi="Book Antiqua"/>
          <w:color w:val="000000"/>
        </w:rPr>
        <w:t>minimised</w:t>
      </w:r>
      <w:r w:rsidR="00B50D16" w:rsidRPr="00483448">
        <w:rPr>
          <w:rFonts w:ascii="Book Antiqua" w:hAnsi="Book Antiqua"/>
          <w:color w:val="000000"/>
        </w:rPr>
        <w:t>, patients may benefit not only from longer courses of neo</w:t>
      </w:r>
      <w:r w:rsidR="009C57CB" w:rsidRPr="00483448">
        <w:rPr>
          <w:rFonts w:ascii="Book Antiqua" w:hAnsi="Book Antiqua"/>
          <w:color w:val="000000"/>
        </w:rPr>
        <w:t>-</w:t>
      </w:r>
      <w:r w:rsidR="00B50D16" w:rsidRPr="00483448">
        <w:rPr>
          <w:rFonts w:ascii="Book Antiqua" w:hAnsi="Book Antiqua"/>
          <w:color w:val="000000"/>
        </w:rPr>
        <w:t xml:space="preserve">adjuvant therapy, but the documented poorer outcomes may </w:t>
      </w:r>
      <w:r w:rsidR="00967F9A" w:rsidRPr="00483448">
        <w:rPr>
          <w:rFonts w:ascii="Book Antiqua" w:hAnsi="Book Antiqua"/>
          <w:color w:val="000000"/>
        </w:rPr>
        <w:t xml:space="preserve">also </w:t>
      </w:r>
      <w:r w:rsidR="00B50D16" w:rsidRPr="00483448">
        <w:rPr>
          <w:rFonts w:ascii="Book Antiqua" w:hAnsi="Book Antiqua"/>
          <w:color w:val="000000"/>
        </w:rPr>
        <w:t xml:space="preserve">be averted. </w:t>
      </w:r>
      <w:r w:rsidRPr="00483448">
        <w:rPr>
          <w:rFonts w:ascii="Book Antiqua" w:hAnsi="Book Antiqua"/>
          <w:color w:val="000000"/>
        </w:rPr>
        <w:t>It would therefore seem logical to attempt to maintain or improve skeletal mass during neo</w:t>
      </w:r>
      <w:r w:rsidR="009C57CB" w:rsidRPr="00483448">
        <w:rPr>
          <w:rFonts w:ascii="Book Antiqua" w:hAnsi="Book Antiqua"/>
          <w:color w:val="000000"/>
        </w:rPr>
        <w:t>-</w:t>
      </w:r>
      <w:r w:rsidRPr="00483448">
        <w:rPr>
          <w:rFonts w:ascii="Book Antiqua" w:hAnsi="Book Antiqua"/>
          <w:color w:val="000000"/>
        </w:rPr>
        <w:t xml:space="preserve">adjuvant chemotherapy.  </w:t>
      </w:r>
    </w:p>
    <w:p w:rsidR="009B6578" w:rsidRPr="00483448" w:rsidRDefault="00C335BE"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The use of feeding jejunostomy tubes in this cohort of patients has been shown to be safe.</w:t>
      </w:r>
      <w:r w:rsidR="001C1796" w:rsidRPr="00483448">
        <w:rPr>
          <w:rFonts w:ascii="Book Antiqua" w:hAnsi="Book Antiqua"/>
          <w:color w:val="000000"/>
        </w:rPr>
        <w:t xml:space="preserve"> </w:t>
      </w:r>
      <w:r w:rsidR="008B7F10" w:rsidRPr="00483448">
        <w:rPr>
          <w:rFonts w:ascii="Book Antiqua" w:hAnsi="Book Antiqua"/>
          <w:color w:val="000000"/>
        </w:rPr>
        <w:t>Although the current study did not specifically examine patient tolerance of feeding jejunostomy or complications associated with insertion, a</w:t>
      </w:r>
      <w:r w:rsidR="001C1796" w:rsidRPr="00483448">
        <w:rPr>
          <w:rFonts w:ascii="Book Antiqua" w:hAnsi="Book Antiqua"/>
          <w:color w:val="000000"/>
        </w:rPr>
        <w:t xml:space="preserve"> systematic review examining nutritional optimisation in these patients report</w:t>
      </w:r>
      <w:r w:rsidR="004768BA" w:rsidRPr="00483448">
        <w:rPr>
          <w:rFonts w:ascii="Book Antiqua" w:hAnsi="Book Antiqua"/>
          <w:color w:val="000000"/>
        </w:rPr>
        <w:t>ed</w:t>
      </w:r>
      <w:r w:rsidR="001C1796" w:rsidRPr="00483448">
        <w:rPr>
          <w:rFonts w:ascii="Book Antiqua" w:hAnsi="Book Antiqua"/>
          <w:color w:val="000000"/>
        </w:rPr>
        <w:t xml:space="preserve"> no 30-d postprocedural complication</w:t>
      </w:r>
      <w:r w:rsidR="004768BA" w:rsidRPr="00483448">
        <w:rPr>
          <w:rFonts w:ascii="Book Antiqua" w:hAnsi="Book Antiqua"/>
          <w:color w:val="000000"/>
        </w:rPr>
        <w:t>s</w:t>
      </w:r>
      <w:r w:rsidR="001C1796" w:rsidRPr="00483448">
        <w:rPr>
          <w:rFonts w:ascii="Book Antiqua" w:hAnsi="Book Antiqua"/>
          <w:color w:val="000000"/>
        </w:rPr>
        <w:t xml:space="preserve"> in patients undergoing laparoscopically inserted feeding jejunostomy tubes. All such patients showed an increase in overall weight</w:t>
      </w:r>
      <w:r w:rsidR="004768BA" w:rsidRPr="00483448">
        <w:rPr>
          <w:rFonts w:ascii="Book Antiqua" w:hAnsi="Book Antiqua"/>
          <w:color w:val="000000"/>
        </w:rPr>
        <w:t>,</w:t>
      </w:r>
      <w:r w:rsidR="001C1796" w:rsidRPr="00483448">
        <w:rPr>
          <w:rFonts w:ascii="Book Antiqua" w:hAnsi="Book Antiqua"/>
          <w:color w:val="000000"/>
        </w:rPr>
        <w:t xml:space="preserve"> and </w:t>
      </w:r>
      <w:r w:rsidR="0040715A" w:rsidRPr="00483448">
        <w:rPr>
          <w:rFonts w:ascii="Book Antiqua" w:hAnsi="Book Antiqua"/>
          <w:color w:val="000000"/>
        </w:rPr>
        <w:t>available evidence suggest</w:t>
      </w:r>
      <w:r w:rsidR="0011607B" w:rsidRPr="00483448">
        <w:rPr>
          <w:rFonts w:ascii="Book Antiqua" w:hAnsi="Book Antiqua"/>
          <w:color w:val="000000"/>
        </w:rPr>
        <w:t>s</w:t>
      </w:r>
      <w:r w:rsidR="0040715A" w:rsidRPr="00483448">
        <w:rPr>
          <w:rFonts w:ascii="Book Antiqua" w:hAnsi="Book Antiqua"/>
          <w:color w:val="000000"/>
        </w:rPr>
        <w:t xml:space="preserve"> </w:t>
      </w:r>
      <w:r w:rsidR="00387D74" w:rsidRPr="00483448">
        <w:rPr>
          <w:rFonts w:ascii="Book Antiqua" w:hAnsi="Book Antiqua"/>
          <w:color w:val="000000"/>
        </w:rPr>
        <w:t xml:space="preserve">that greater than </w:t>
      </w:r>
      <w:r w:rsidR="0040715A" w:rsidRPr="00483448">
        <w:rPr>
          <w:rFonts w:ascii="Book Antiqua" w:hAnsi="Book Antiqua"/>
          <w:color w:val="000000"/>
        </w:rPr>
        <w:t>90% of patients completed their neo</w:t>
      </w:r>
      <w:r w:rsidR="009C57CB" w:rsidRPr="00483448">
        <w:rPr>
          <w:rFonts w:ascii="Book Antiqua" w:hAnsi="Book Antiqua"/>
          <w:color w:val="000000"/>
        </w:rPr>
        <w:t>-</w:t>
      </w:r>
      <w:r w:rsidR="0040715A" w:rsidRPr="00483448">
        <w:rPr>
          <w:rFonts w:ascii="Book Antiqua" w:hAnsi="Book Antiqua"/>
          <w:color w:val="000000"/>
        </w:rPr>
        <w:t>adjuvant treatment</w:t>
      </w:r>
      <w:r w:rsidR="00330402"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{"citationItems":[{"id":"ITEM-1","itemData":{"DOI":"10.1093/dote/dox110","ISSN":"1442-2050","PMID":"29024949","abstract":"This narrative review aims to evaluate the evidence for the different nutritional approaches employed during neoadjuvant therapy in patients with locoregional esophageal cancer. Patients with esophageal cancer are often malnourished and difficult to optimize nutritionally. While evidence suggests that neoadjuvant therapy can offer a survival advantage, associated toxicity can exacerbate poor nutritional status. There is currently no accepted standard of care regarding optimal nutritional approach. A systematic literature search was undertaken. Studies describing the utilization of an additional nutritional intervention in patients with esophageal cancer receiving neoadjuvant therapy prior to esophagectomy were included. Primary outcome measure was 30-day postoperative mortality after esophagectomy. Secondary outcome measures were loss of weight during neoadjuvant therapy, completion rate of intended neoadjuvant therapy, complications from nutritional intervention, 30-day postoperative morbidity after esophagectomy and quality of life during neoadjuvant treatment. Given the heterogeneity of retrieved articles results was presented as a narrative review. Twenty-five studies were included of which 16 evaluated esophageal stenting, four feeding jejunostomy, three gastrostomy, one nasogastric feeding, and one comparative study of esophageal stenting to feeding jejunostomy. 30-day postoperative mortality was only reported in two of the 26 included studies limiting comparison between nutritional strategies. All studies of esophageal stents reported improvements in dysphagia with reported weight change ranging from -5.4 to +6 kg and one study reported 30-day postoperative mortality after esophagectomy (10%). In patients undergoing esophageal stenting for their neoadjuvant treatment overall migration rate was 29.9%. Studies of laparoscopically inserted jejunostomy were all retrospective reviews that demonstrated an increase in weight ranging from 0.4 to 11.8 kg and similarly no study reported 30-day postoperative mortality. Only one comparative study was included that compared esophageal stents to jejunostomy. This study reported no significant difference between the two groups in respect to complication rates (stents 22% vs. jejunostomy 4%, P = 0.11) or increase in weight (stents 4.4 kg vs. jejunostomy 4.2 kg, P = 0.59). Quality of life was also poorly reported. This review demonstrates the uncertainty on the optimal nutritional approach for patients with resec…","author":[{"dropping-particle":"","family":"Huddy","given":"J R","non-dropping-particle":"","parse-names":false,"suffix":""},{"dropping-particle":"","family":"Huddy","given":"F M S","non-dropping-particle":"","parse-names":false,"suffix":""},{"dropping-particle":"","family":"Markar","given":"S R","non-dropping-particle":"","parse-names":false,"suffix":""},{"dropping-particle":"","family":"Tucker","given":"O","non-dropping-particle":"","parse-names":false,"suffix":""}],"container-title":"Diseases of the esophagus : official journal of the International Society for Diseases of the Esophagus","id":"ITEM-1","issue":"1","issued":{"date-parts":[["2018","1","1"]]},"page":"1-11","title":"Nutritional optimization during neoadjuvant therapy prior to surgical resection of esophageal cancer-a narrative review.","type":"article-journal","volume":"31"},"uris":["http://www.mendeley.com/documents/?uuid=b1e7e73f-43f0-3607-9db1-ec8d2946d0f3"]}],"mendeley":{"formattedCitation":"&lt;sup&gt;[2]&lt;/sup&gt;","plainTextFormattedCitation":"[2]","previouslyFormattedCitation":"(2)"},"properties":{"noteIndex":0},"schema":"https://github.com/citation-style-language/schema/raw/master/csl-citation.json"}</w:instrText>
      </w:r>
      <w:r w:rsidR="00330402" w:rsidRPr="00483448">
        <w:rPr>
          <w:rFonts w:ascii="Book Antiqua" w:hAnsi="Book Antiqua"/>
          <w:b/>
          <w:color w:val="000000"/>
        </w:rPr>
        <w:fldChar w:fldCharType="separate"/>
      </w:r>
      <w:r w:rsidR="007D2F73" w:rsidRPr="00483448">
        <w:rPr>
          <w:rFonts w:ascii="Book Antiqua" w:hAnsi="Book Antiqua"/>
          <w:color w:val="000000"/>
          <w:vertAlign w:val="superscript"/>
        </w:rPr>
        <w:t>[2]</w:t>
      </w:r>
      <w:r w:rsidR="00330402" w:rsidRPr="00483448">
        <w:rPr>
          <w:rFonts w:ascii="Book Antiqua" w:hAnsi="Book Antiqua"/>
          <w:b/>
          <w:color w:val="000000"/>
        </w:rPr>
        <w:fldChar w:fldCharType="end"/>
      </w:r>
      <w:r w:rsidR="00330402" w:rsidRPr="00483448">
        <w:rPr>
          <w:rFonts w:ascii="Book Antiqua" w:hAnsi="Book Antiqua"/>
          <w:color w:val="000000"/>
        </w:rPr>
        <w:t>.</w:t>
      </w:r>
      <w:r w:rsidR="00B17806" w:rsidRPr="00483448">
        <w:rPr>
          <w:rFonts w:ascii="Book Antiqua" w:hAnsi="Book Antiqua"/>
          <w:color w:val="000000"/>
        </w:rPr>
        <w:t xml:space="preserve"> In light of the relatively few and minor complications associated with jejunostomy, it would make sense to employ this as a feeding technique over nasogastric tubes</w:t>
      </w:r>
      <w:r w:rsidR="004768BA" w:rsidRPr="00483448">
        <w:rPr>
          <w:rFonts w:ascii="Book Antiqua" w:hAnsi="Book Antiqua"/>
          <w:color w:val="000000"/>
        </w:rPr>
        <w:t>,</w:t>
      </w:r>
      <w:r w:rsidR="00B17806" w:rsidRPr="00483448">
        <w:rPr>
          <w:rFonts w:ascii="Book Antiqua" w:hAnsi="Book Antiqua"/>
          <w:color w:val="000000"/>
        </w:rPr>
        <w:t xml:space="preserve"> which are prone to easily dislodge. The question of whether placement of jejunostomy would increase difficulty of the oesophagectomy is valid. However, with laparoscopic insertion of jejunostomy tubes, intra-abdominal adhesions should be kept to a minimum</w:t>
      </w:r>
      <w:r w:rsidR="004768BA" w:rsidRPr="00483448">
        <w:rPr>
          <w:rFonts w:ascii="Book Antiqua" w:hAnsi="Book Antiqua"/>
          <w:color w:val="000000"/>
        </w:rPr>
        <w:t>,</w:t>
      </w:r>
      <w:r w:rsidR="00B17806" w:rsidRPr="00483448">
        <w:rPr>
          <w:rFonts w:ascii="Book Antiqua" w:hAnsi="Book Antiqua"/>
          <w:color w:val="000000"/>
        </w:rPr>
        <w:t xml:space="preserve"> and the benefit of the tube to the patient would lend further support to placement of these tubes.</w:t>
      </w:r>
      <w:r w:rsidR="00A425F3" w:rsidRPr="00483448">
        <w:rPr>
          <w:rFonts w:ascii="Book Antiqua" w:hAnsi="Book Antiqua"/>
          <w:color w:val="000000"/>
        </w:rPr>
        <w:t xml:space="preserve"> Indeed, the jejunostomy tube may aid with early nutrition post-oesophagectomy.</w:t>
      </w:r>
    </w:p>
    <w:p w:rsidR="00DC419E" w:rsidRPr="00483448" w:rsidRDefault="00DC419E"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A </w:t>
      </w:r>
      <w:r w:rsidR="009B6578" w:rsidRPr="00483448">
        <w:rPr>
          <w:rFonts w:ascii="Book Antiqua" w:hAnsi="Book Antiqua"/>
          <w:color w:val="000000"/>
        </w:rPr>
        <w:t xml:space="preserve">randomised study </w:t>
      </w:r>
      <w:r w:rsidRPr="00483448">
        <w:rPr>
          <w:rFonts w:ascii="Book Antiqua" w:hAnsi="Book Antiqua"/>
          <w:color w:val="000000"/>
        </w:rPr>
        <w:t xml:space="preserve">has suggested that enteral feed enriched with </w:t>
      </w:r>
      <w:r w:rsidR="00DB5429" w:rsidRPr="00483448">
        <w:rPr>
          <w:rFonts w:ascii="Book Antiqua" w:hAnsi="Book Antiqua"/>
          <w:color w:val="000000"/>
        </w:rPr>
        <w:t>eic</w:t>
      </w:r>
      <w:r w:rsidRPr="00483448">
        <w:rPr>
          <w:rFonts w:ascii="Book Antiqua" w:hAnsi="Book Antiqua"/>
          <w:color w:val="000000"/>
        </w:rPr>
        <w:t>osapentaenoic acid, a compound that modulates the immune system and reduces catabolism in advanced cancer, may contribute to maintaining fat-free mass</w:t>
      </w:r>
      <w:r w:rsidR="00F21127"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{"citationItems":[{"id":"ITEM-1","itemData":{"DOI":"10.1097/SLA.0b013e31819a4789","ISSN":"1528-1140","PMID":"19247018","abstract":"BACKGROUND Esophagectomy represents an exemplar of controlled major trauma, with marked metabolic, immunologic, and physiologic changes as well as an associated high incidence of complications. Eicosapentaenoic acid (EPA) enriched enteral nutrition (EN) modulates immune function and limits catabolism in patients with advanced cancer, but its impact in the peri-operative period is unclear. OBJECTIVES To examine the effects of perioperative EPA enriched EN on the metabolic, nutritional, and immuno-inflammatory response to esophagectomy, and on postoperative complications. METHODS In a double-blind design, patients were randomized to a standard EN formula or a formula enriched with 2.2 g EPA/d for 5 days preoperatively (orally) and 21 days postoperatively (jejunostomy). Segmental bioelectrical impedance analysis was performed preoperatively and on POD 21. Postoperative complications were monitored, as well as the acute phase response, coagulation markers, and serum cytokines. RESULTS Fifty-three patients (28 EPA, 25 standard) completed the study, and both groups were well matched. Serum and peripheral blood mononuclear cell (PBMC) membrane EPA levels were significantly increased in the EPA group. There was no difference in the incidence of major complications. The EPA group maintained all aspects of body composition postoperatively, whereas patients in the standard EN group lost significant amounts of fat-free mass (1.9 kg, P = 0.030) compared with the EPA group [leg (0.3 kg, P = 0.05), arm (0.17 kg, P = 0.01), and trunk (1.44 kg, P = 0.03)]. The EPA group had a significantly (P &lt; 0.05) attenuated stress response for TNFalpha, IL-10, and IL-8 compared with the standard group. CONCLUSIONS EPA supplemented early EN is associated with preservation of lean body mass post esophagectomy compared with a standard EN. These properties may merit longer-term study to address its impact on recovery of function and quality of life in models of complex surgery or multimodal cancer treatment regimens.","author":[{"dropping-particle":"","family":"Ryan","given":"Aoife M","non-dropping-particle":"","parse-names":false,"suffix":""},{"dropping-particle":"V","family":"Reynolds","given":"John","non-dropping-particle":"","parse-names":false,"suffix":""},{"dropping-particle":"","family":"Healy","given":"Laura","non-dropping-particle":"","parse-names":false,"suffix":""},{"dropping-particle":"","family":"Byrne","given":"Miriam","non-dropping-particle":"","parse-names":false,"suffix":""},{"dropping-particle":"","family":"Moore","given":"Jennifer","non-dropping-particle":"","parse-names":false,"suffix":""},{"dropping-particle":"","family":"Brannelly","given":"Niamh","non-dropping-particle":"","parse-names":false,"suffix":""},{"dropping-particle":"","family":"McHugh","given":"Aisling","non-dropping-particle":"","parse-names":false,"suffix":""},{"dropping-particle":"","family":"McCormack","given":"Deirdre","non-dropping-particle":"","parse-names":false,"suffix":""},{"dropping-particle":"","family":"Flood","given":"Philomena","non-dropping-particle":"","parse-names":false,"suffix":""}],"container-title":"Annals of surgery","id":"ITEM-1","issue":"3","issued":{"date-parts":[["2009","3"]]},"page":"355-63","title":"Enteral nutrition enriched with eicosapentaenoic acid (EPA) preserves lean body mass following esophageal cancer surgery: results of a double-blinded randomized controlled trial.","type":"article-journal","volume":"249"},"uris":["http://www.mendeley.com/documents/?uuid=b1fb75d9-09c2-3116-918e-ff3d9eb346ad"]}],"mendeley":{"formattedCitation":"&lt;sup&gt;[19]&lt;/sup&gt;","plainTextFormattedCitation":"[19]","previouslyFormattedCitation":"(19)"},"properties":{"noteIndex":0},"schema":"https://github.com/citation-style-language/schema/raw/master/csl-citation.json"}</w:instrText>
      </w:r>
      <w:r w:rsidR="00F21127" w:rsidRPr="00483448">
        <w:rPr>
          <w:rFonts w:ascii="Book Antiqua" w:hAnsi="Book Antiqua"/>
          <w:b/>
          <w:color w:val="000000"/>
        </w:rPr>
        <w:fldChar w:fldCharType="separate"/>
      </w:r>
      <w:r w:rsidR="007D2F73" w:rsidRPr="00483448">
        <w:rPr>
          <w:rFonts w:ascii="Book Antiqua" w:hAnsi="Book Antiqua"/>
          <w:color w:val="000000"/>
          <w:vertAlign w:val="superscript"/>
        </w:rPr>
        <w:t>[19]</w:t>
      </w:r>
      <w:r w:rsidR="00F21127" w:rsidRPr="00483448">
        <w:rPr>
          <w:rFonts w:ascii="Book Antiqua" w:hAnsi="Book Antiqua"/>
          <w:b/>
          <w:color w:val="000000"/>
        </w:rPr>
        <w:fldChar w:fldCharType="end"/>
      </w:r>
      <w:r w:rsidRPr="00483448">
        <w:rPr>
          <w:rFonts w:ascii="Book Antiqua" w:hAnsi="Book Antiqua"/>
          <w:color w:val="000000"/>
        </w:rPr>
        <w:t>. However, further research is required to determine the effect of such immuno-enhanced nutrition on overall clinical outcomes in patients with oesophageal cancer.</w:t>
      </w:r>
    </w:p>
    <w:p w:rsidR="0022394C" w:rsidRPr="00483448" w:rsidRDefault="00DC419E"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Ther</w:t>
      </w:r>
      <w:r w:rsidR="009B6578" w:rsidRPr="00483448">
        <w:rPr>
          <w:rFonts w:ascii="Book Antiqua" w:hAnsi="Book Antiqua"/>
          <w:color w:val="000000"/>
        </w:rPr>
        <w:t>e are several limitations in the current</w:t>
      </w:r>
      <w:r w:rsidRPr="00483448">
        <w:rPr>
          <w:rFonts w:ascii="Book Antiqua" w:hAnsi="Book Antiqua"/>
          <w:color w:val="000000"/>
        </w:rPr>
        <w:t xml:space="preserve"> study. One being the relatively small sample size. There is also heterogeneity in the type of chemotherapy used</w:t>
      </w:r>
      <w:r w:rsidR="004768BA" w:rsidRPr="00483448">
        <w:rPr>
          <w:rFonts w:ascii="Book Antiqua" w:hAnsi="Book Antiqua"/>
          <w:color w:val="000000"/>
        </w:rPr>
        <w:t>,</w:t>
      </w:r>
      <w:r w:rsidRPr="00483448">
        <w:rPr>
          <w:rFonts w:ascii="Book Antiqua" w:hAnsi="Book Antiqua"/>
          <w:color w:val="000000"/>
        </w:rPr>
        <w:t xml:space="preserve"> which may be a contributory factor towards the changes in body composition. </w:t>
      </w:r>
      <w:r w:rsidR="004967E1" w:rsidRPr="00483448">
        <w:rPr>
          <w:rFonts w:ascii="Book Antiqua" w:hAnsi="Book Antiqua"/>
          <w:color w:val="000000"/>
        </w:rPr>
        <w:t xml:space="preserve">Other factors that may affect changes in weight such as hypoalbuminaemia, oedema and </w:t>
      </w:r>
      <w:r w:rsidR="004967E1" w:rsidRPr="00483448">
        <w:rPr>
          <w:rFonts w:ascii="Book Antiqua" w:hAnsi="Book Antiqua"/>
          <w:color w:val="000000"/>
        </w:rPr>
        <w:lastRenderedPageBreak/>
        <w:t xml:space="preserve">other comorbidities were not specifically examined in this study population. However, </w:t>
      </w:r>
      <w:r w:rsidR="00276170" w:rsidRPr="00483448">
        <w:rPr>
          <w:rFonts w:ascii="Book Antiqua" w:hAnsi="Book Antiqua"/>
          <w:color w:val="000000"/>
        </w:rPr>
        <w:t>by the time of diagnosis, patients with oesophageal cancer are often already suffering from malnutrition and involuntary weight loss</w:t>
      </w:r>
      <w:r w:rsidR="006D7E2B" w:rsidRPr="00483448">
        <w:rPr>
          <w:rFonts w:ascii="Book Antiqua" w:hAnsi="Book Antiqua"/>
          <w:color w:val="000000"/>
        </w:rPr>
        <w:t xml:space="preserve"> with sarcopenia </w:t>
      </w:r>
      <w:r w:rsidR="00D6536B" w:rsidRPr="00483448">
        <w:rPr>
          <w:rFonts w:ascii="Book Antiqua" w:hAnsi="Book Antiqua"/>
          <w:color w:val="000000"/>
        </w:rPr>
        <w:t>being</w:t>
      </w:r>
      <w:r w:rsidR="00F21127" w:rsidRPr="00483448">
        <w:rPr>
          <w:rFonts w:ascii="Book Antiqua" w:hAnsi="Book Antiqua"/>
          <w:color w:val="000000"/>
        </w:rPr>
        <w:t xml:space="preserve"> </w:t>
      </w:r>
      <w:r w:rsidR="006D7E2B" w:rsidRPr="00483448">
        <w:rPr>
          <w:rFonts w:ascii="Book Antiqua" w:hAnsi="Book Antiqua"/>
          <w:color w:val="000000"/>
        </w:rPr>
        <w:t xml:space="preserve">a major marker of frailty. Thus, addressing malnutrition pre-operatively is </w:t>
      </w:r>
      <w:r w:rsidR="003F0FCF" w:rsidRPr="00483448">
        <w:rPr>
          <w:rFonts w:ascii="Book Antiqua" w:hAnsi="Book Antiqua"/>
          <w:color w:val="000000"/>
        </w:rPr>
        <w:t>a major area to target for pre-optimisation before surgery</w:t>
      </w:r>
      <w:r w:rsidR="00F21127"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{"citationItems":[{"id":"ITEM-1","itemData":{"DOI":"10.1080/17474124.2017.1325320","ISSN":"1747-4124","PMID":"28454509","abstract":"INTRODUCTION Nutritional status and dietary intake are increasingly recognized as essential areas in esophageal cancer management. Nutritional management of esophageal cancer is a continuously evolving field and comprises an interesting area for scientific research. Areas covered: This review encompasses the current literature on nutrition in the pre-operative, peri-operative, and post-operative phases of esophageal cancer. Both established interventions and potential novel targets for nutritional management are discussed. Expert commentary: To ensure an optimal pre-operative status and to reduce peri-operative complications, it is key to assess nutritional status in all pre-operative esophageal cancer patients and to apply nutritional interventions accordingly. Since esophagectomy results in a permanent anatomical change, a special focus on nutritional strategies is needed in the post-operative phase, including early initiation of enteral feeding, nutritional interventions for post-operative complications, and attention to long-term nutritional intake and status. Nutritional aspects of pre-optimization and peri-operative management should be incorporated in novel Enhanced Recovery After Surgery programs for esophageal cancer.","author":[{"dropping-particle":"","family":"Steenhagen","given":"Elles","non-dropping-particle":"","parse-names":false,"suffix":""},{"dropping-particle":"","family":"Vulpen","given":"Jonna K.","non-dropping-particle":"van","parse-names":false,"suffix":""},{"dropping-particle":"","family":"Hillegersberg","given":"Richard","non-dropping-particle":"van","parse-names":false,"suffix":""},{"dropping-particle":"","family":"May","given":"Anne M.","non-dropping-particle":"","parse-names":false,"suffix":""},{"dropping-particle":"","family":"Siersema","given":"Peter D.","non-dropping-particle":"","parse-names":false,"suffix":""}],"container-title":"Expert Review of Gastroenterology &amp; Hepatology","id":"ITEM-1","issue":"7","issued":{"date-parts":[["2017","7","3"]]},"page":"663-672","title":"Nutrition in peri-operative esophageal cancer management","type":"article-journal","volume":"11"},"uris":["http://www.mendeley.com/documents/?uuid=9319d39a-59f5-3c13-bd0b-a72d2abe5239"]}],"mendeley":{"formattedCitation":"&lt;sup&gt;[4]&lt;/sup&gt;","plainTextFormattedCitation":"[4]","previouslyFormattedCitation":"(4)"},"properties":{"noteIndex":0},"schema":"https://github.com/citation-style-language/schema/raw/master/csl-citation.json"}</w:instrText>
      </w:r>
      <w:r w:rsidR="00F21127" w:rsidRPr="00483448">
        <w:rPr>
          <w:rFonts w:ascii="Book Antiqua" w:hAnsi="Book Antiqua"/>
          <w:b/>
          <w:color w:val="000000"/>
        </w:rPr>
        <w:fldChar w:fldCharType="separate"/>
      </w:r>
      <w:r w:rsidR="007D2F73" w:rsidRPr="00483448">
        <w:rPr>
          <w:rFonts w:ascii="Book Antiqua" w:hAnsi="Book Antiqua"/>
          <w:color w:val="000000"/>
          <w:vertAlign w:val="superscript"/>
        </w:rPr>
        <w:t>[4]</w:t>
      </w:r>
      <w:r w:rsidR="00F21127" w:rsidRPr="00483448">
        <w:rPr>
          <w:rFonts w:ascii="Book Antiqua" w:hAnsi="Book Antiqua"/>
          <w:b/>
          <w:color w:val="000000"/>
        </w:rPr>
        <w:fldChar w:fldCharType="end"/>
      </w:r>
      <w:r w:rsidR="00F21127" w:rsidRPr="00483448">
        <w:rPr>
          <w:rFonts w:ascii="Book Antiqua" w:hAnsi="Book Antiqua"/>
          <w:color w:val="000000"/>
        </w:rPr>
        <w:t>.</w:t>
      </w:r>
    </w:p>
    <w:p w:rsidR="00461639" w:rsidRPr="00483448" w:rsidRDefault="0022394C"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It would </w:t>
      </w:r>
      <w:r w:rsidR="004967E1" w:rsidRPr="00483448">
        <w:rPr>
          <w:rFonts w:ascii="Book Antiqua" w:hAnsi="Book Antiqua"/>
          <w:color w:val="000000"/>
        </w:rPr>
        <w:t xml:space="preserve">also </w:t>
      </w:r>
      <w:r w:rsidRPr="00483448">
        <w:rPr>
          <w:rFonts w:ascii="Book Antiqua" w:hAnsi="Book Antiqua"/>
          <w:color w:val="000000"/>
        </w:rPr>
        <w:t xml:space="preserve">be useful to examine data on patients who did not receive feeding </w:t>
      </w:r>
      <w:r w:rsidR="00A33C79" w:rsidRPr="00483448">
        <w:rPr>
          <w:rFonts w:ascii="Book Antiqua" w:hAnsi="Book Antiqua"/>
          <w:i/>
          <w:iCs/>
          <w:color w:val="000000"/>
        </w:rPr>
        <w:t>via</w:t>
      </w:r>
      <w:r w:rsidRPr="00483448">
        <w:rPr>
          <w:rFonts w:ascii="Book Antiqua" w:hAnsi="Book Antiqua"/>
          <w:color w:val="000000"/>
        </w:rPr>
        <w:t xml:space="preserve"> feeding jejunostomy</w:t>
      </w:r>
      <w:r w:rsidR="008B7F10" w:rsidRPr="00483448">
        <w:rPr>
          <w:rFonts w:ascii="Book Antiqua" w:hAnsi="Book Antiqua"/>
          <w:color w:val="000000"/>
        </w:rPr>
        <w:t xml:space="preserve"> and especially those who were maintained on </w:t>
      </w:r>
      <w:r w:rsidR="001A4892" w:rsidRPr="00483448">
        <w:rPr>
          <w:rFonts w:ascii="Book Antiqua" w:hAnsi="Book Antiqua"/>
          <w:color w:val="000000"/>
        </w:rPr>
        <w:t xml:space="preserve">an </w:t>
      </w:r>
      <w:r w:rsidR="008B7F10" w:rsidRPr="00483448">
        <w:rPr>
          <w:rFonts w:ascii="Book Antiqua" w:hAnsi="Book Antiqua"/>
          <w:color w:val="000000"/>
        </w:rPr>
        <w:t>oral diet</w:t>
      </w:r>
      <w:r w:rsidR="00424716" w:rsidRPr="00483448">
        <w:rPr>
          <w:rFonts w:ascii="Book Antiqua" w:hAnsi="Book Antiqua"/>
          <w:color w:val="000000"/>
        </w:rPr>
        <w:t xml:space="preserve">. </w:t>
      </w:r>
      <w:r w:rsidR="00713EC6" w:rsidRPr="00483448">
        <w:rPr>
          <w:rFonts w:ascii="Book Antiqua" w:hAnsi="Book Antiqua"/>
          <w:color w:val="000000"/>
        </w:rPr>
        <w:t>This would allow comparison with the current study group in order to measure any differences in outcome between the two groups and therefore would contribute to more detailed assessment of the effect of feeding in this group of patients.</w:t>
      </w:r>
      <w:r w:rsidR="001A4892" w:rsidRPr="00483448">
        <w:rPr>
          <w:rFonts w:ascii="Book Antiqua" w:hAnsi="Book Antiqua"/>
          <w:color w:val="000000"/>
        </w:rPr>
        <w:t xml:space="preserve"> </w:t>
      </w:r>
      <w:r w:rsidR="00DC419E" w:rsidRPr="00483448">
        <w:rPr>
          <w:rFonts w:ascii="Book Antiqua" w:hAnsi="Book Antiqua"/>
          <w:color w:val="000000"/>
        </w:rPr>
        <w:t>Nevertheless, this study has shown that regular jejunostomy feeding during neo</w:t>
      </w:r>
      <w:r w:rsidR="009C57CB" w:rsidRPr="00483448">
        <w:rPr>
          <w:rFonts w:ascii="Book Antiqua" w:hAnsi="Book Antiqua"/>
          <w:color w:val="000000"/>
        </w:rPr>
        <w:t>-</w:t>
      </w:r>
      <w:r w:rsidR="00DC419E" w:rsidRPr="00483448">
        <w:rPr>
          <w:rFonts w:ascii="Book Antiqua" w:hAnsi="Book Antiqua"/>
          <w:color w:val="000000"/>
        </w:rPr>
        <w:t xml:space="preserve">adjuvant chemotherapy can attenuate the previously shown loss in </w:t>
      </w:r>
      <w:r w:rsidR="004C6E32" w:rsidRPr="00483448">
        <w:rPr>
          <w:rFonts w:ascii="Book Antiqua" w:hAnsi="Book Antiqua"/>
          <w:color w:val="000000"/>
        </w:rPr>
        <w:t xml:space="preserve">overall </w:t>
      </w:r>
      <w:r w:rsidR="00DC419E" w:rsidRPr="00483448">
        <w:rPr>
          <w:rFonts w:ascii="Book Antiqua" w:hAnsi="Book Antiqua"/>
          <w:color w:val="000000"/>
        </w:rPr>
        <w:t>weight and adipose tissue. It is clear, however, that feeding alone is not sufficient to maintain muscle mass in this group of patients. Further insight into the underlying processes causing reduced muscle mass in cancer patients may help to provide targeted interventions.</w:t>
      </w:r>
    </w:p>
    <w:p w:rsidR="00461639" w:rsidRPr="00483448" w:rsidRDefault="00DC419E"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In the meantime, there is evidence that physical exercise and resistance training has proven efficacy in catabolic conditions including sarcopenia and is advocated as a nonpharmacological intervention in cancer-related skeletal muscle wasting. Interestingly, resistance training during adjuvant breast cancer treatment has been reported to reverse sarcopenic status and lead to higher chemotherapy completion rates</w:t>
      </w:r>
      <w:r w:rsidR="00F21127" w:rsidRPr="00483448">
        <w:rPr>
          <w:rFonts w:ascii="Book Antiqua" w:hAnsi="Book Antiqua"/>
          <w:b/>
          <w:color w:val="000000"/>
        </w:rPr>
        <w:fldChar w:fldCharType="begin" w:fldLock="1"/>
      </w:r>
      <w:r w:rsidR="007D2F73" w:rsidRPr="00483448">
        <w:rPr>
          <w:rFonts w:ascii="Book Antiqua" w:hAnsi="Book Antiqua"/>
          <w:b/>
          <w:color w:val="000000"/>
        </w:rPr>
        <w:instrText>ADDIN CSL_CITATION {"citationItems":[{"id":"ITEM-1","itemData":{"DOI":"10.1200/JCO.2017.75.7526","ISSN":"0732-183X","PMID":"29356607","abstract":"Purpose Metabolic syndrome is associated with an increased risk of cardiovascular disease, type 2 diabetes, and breast cancer recurrence in survivors of breast cancer. This randomized controlled trial assessed the effects of a 16-week combined aerobic and resistance exercise intervention on metabolic syndrome, sarcopenic obesity, and serum biomarkers among ethnically diverse, sedentary, overweight, or obese survivors of breast cancer. Methods Eligible survivors of breast cancer (N = 100) were randomly assigned to exercise (n = 50) or usual care (n = 50). The exercise group participated in supervised moderate-to-vigorous-65% to 85% of heart rate maximum-aerobic and resistance exercise three times per week for 16 weeks. Metabolic syndrome z-score (primary outcome), sarcopenic obesity, and serum biomarkers were measured at baseline, postintervention (4 months), and 3-month follow-up (exercise only). Results Participants were age 53 ± 10.4 years, 46% were obese, and 74% were ethnic minorities. Adherence to the intervention was 95%, and postintervention assessments were available in 91% of participants. Postintervention metabolic syndrome z-score was significantly improved in exercise versus usual care (between-group difference, -4.4; 95% CI, -5.9 to -2.7; P &lt; .001). Sarcopenic obesity (appendicular skeletal mass index, P = .001; body mass index, P = .001) and circulating biomarkers, including insulin ( P = .002), IGF-1 ( P = .001), leptin ( P = .001), and adiponectin ( P = .001), were significantly improved postintervention compared with usual care. At 3-month follow-up, all metabolic syndrome variables remained significantly improved compared with baseline in the exercise group ( P &lt; .01). Conclusion Combined resistance and aerobic exercise effectively attenuated metabolic syndrome, sarcopenic obesity, and relevant biomarkers in an ethnically diverse sample of sedentary, overweight, or obese survivors of breast cancer. Our findings suggest a targeted exercise prescription for improving metabolic syndrome in survivors of breast cancer and support the incorporation of supervised clinical exercise programs into breast cancer treatment and survivorship care plans.","author":[{"dropping-particle":"","family":"Dieli-Conwright","given":"Christina M.","non-dropping-particle":"","parse-names":false,"suffix":""},{"dropping-particle":"","family":"Courneya","given":"Kerry S.","non-dropping-particle":"","parse-names":false,"suffix":""},{"dropping-particle":"","family":"Demark-Wahnefried","given":"Wendy","non-dropping-particle":"","parse-names":false,"suffix":""},{"dropping-particle":"","family":"Sami","given":"Nathalie","non-dropping-particle":"","parse-names":false,"suffix":""},{"dropping-particle":"","family":"Lee","given":"Kyuwan","non-dropping-particle":"","parse-names":false,"suffix":""},{"dropping-particle":"","family":"Buchanan","given":"Thomas A.","non-dropping-particle":"","parse-names":false,"suffix":""},{"dropping-particle":"V.","family":"Spicer","given":"Darcy","non-dropping-particle":"","parse-names":false,"suffix":""},{"dropping-particle":"","family":"Tripathy","given":"Debu","non-dropping-particle":"","parse-names":false,"suffix":""},{"dropping-particle":"","family":"Bernstein","given":"Leslie","non-dropping-particle":"","parse-names":false,"suffix":""},{"dropping-particle":"","family":"Mortimer","given":"Joanne E.","non-dropping-particle":"","parse-names":false,"suffix":""}],"container-title":"Journal of Clinical Oncology","id":"ITEM-1","issue":"9","issued":{"date-parts":[["2018","3","20"]]},"page":"875-883","title":"Effects of Aerobic and Resistance Exercise on Metabolic Syndrome, Sarcopenic Obesity, and Circulating Biomarkers in Overweight or Obese Survivors of Breast Cancer: A Randomized Controlled Trial","type":"article-journal","volume":"36"},"uris":["http://www.mendeley.com/documents/?uuid=7d9b329f-d88e-3d98-a7c7-e56f16f9e3c1"]},{"id":"ITEM-2","itemData":{"DOI":"10.1007/s10549-016-3900-2","ISSN":"1573-7217","PMID":"27394134","abstract":"The purpose of this study was to conduct an exploratory analysis of the START examining the effects of resistance exercise training (RET) and aerobic exercise training (AET) on sarcopenia, dynapenia, and associated quality of life (QoL) changes in breast cancer (BC) patients receiving adjuvant chemotherapy. Participants were randomized to usual care (UC) (n = 70), AET (n = 64), or RET (n = 66) for the duration of chemotherapy. Measures of sarcopenia [skeletal muscle index (SMI)] and dynapenia [upper extremity (UE) and lower extremity (LE) muscle dysfunction (MD)] were normalized relative to age-/sex-based clinical cut-points. QoL was assessed by the Functional Assessment of Cancer Therapy-Anemia (FACT-An) scales. At baseline, 25.5 % of BC patients were sarcopenic and 54.5 % were dynapenic with both conditions associated with poorer QoL. ANCOVAs showed significant differences favoring RET over UC for SMI (0.32 kg/m(2); p = 0.017), UE-MD (0.12 kg/kg; p &lt; 0.001), and LE-MD (0.27 kg/kg; p &lt; 0.001). Chi-square analyses revealed significant effects of RET, compared to UC/AET combined, on reversing sarcopenia (p = 0.039) and dynapenia (p = 0.019). The reversal of sarcopenia was associated with clinically relevant improvements in the FACT-An (11.7 points [95 % confidence interval (CI) -4.2 to 27.6]), the Trial Outcome Index-Anemia (10.0 points [95 % CI -4.0 to 24.1]), and fatigue (5.3 points [95 % CI -1.5 to 12.1]). Early-stage BC patients initiating adjuvant chemotherapy have higher than expected rates of sarcopenia and dynapenia which are associated with poorer QoL. RET during adjuvant chemotherapy resulted in the reversal of both sarcopenia and dynapenia; however, only the reversal of sarcopenia was associated with clinically meaningful improvements in QoL.","author":[{"dropping-particle":"","family":"Adams","given":"Scott C","non-dropping-particle":"","parse-names":false,"suffix":""},{"dropping-particle":"","family":"Segal","given":"Roanne J","non-dropping-particle":"","parse-names":false,"suffix":""},{"dropping-particle":"","family":"McKenzie","given":"Donald C","non-dropping-particle":"","parse-names":false,"suffix":""},{"dropping-particle":"","family":"Vallerand","given":"James R","non-dropping-particle":"","parse-names":false,"suffix":""},{"dropping-particle":"","family":"Morielli","given":"Andria R","non-dropping-particle":"","parse-names":false,"suffix":""},{"dropping-particle":"","family":"Mackey","given":"John R","non-dropping-particle":"","parse-names":false,"suffix":""},{"dropping-particle":"","family":"Gelmon","given":"Karen","non-dropping-particle":"","parse-names":false,"suffix":""},{"dropping-particle":"","family":"Friedenreich","given":"Christine M","non-dropping-particle":"","parse-names":false,"suffix":""},{"dropping-particle":"","family":"Reid","given":"Robert D","non-dropping-particle":"","parse-names":false,"suffix":""},{"dropping-particle":"","family":"Courneya","given":"Kerry S","non-dropping-particle":"","parse-names":false,"suffix":""}],"container-title":"Breast cancer research and treatment","id":"ITEM-2","issue":"3","issued":{"date-parts":[["2016","8","9"]]},"page":"497-507","title":"Impact of resistance and aerobic exercise on sarcopenia and dynapenia in breast cancer patients receiving adjuvant chemotherapy: a multicenter randomized controlled trial.","type":"article-journal","volume":"158"},"uris":["http://www.mendeley.com/documents/?uuid=393ee425-ddf0-31e3-9a74-c137191ac335"]}],"mendeley":{"formattedCitation":"&lt;sup&gt;[20,21]&lt;/sup&gt;","plainTextFormattedCitation":"[20,21]","previouslyFormattedCitation":"(20,21)"},"properties":{"noteIndex":0},"schema":"https://github.com/citation-style-language/schema/raw/master/csl-citation.json"}</w:instrText>
      </w:r>
      <w:r w:rsidR="00F21127" w:rsidRPr="00483448">
        <w:rPr>
          <w:rFonts w:ascii="Book Antiqua" w:hAnsi="Book Antiqua"/>
          <w:b/>
          <w:color w:val="000000"/>
        </w:rPr>
        <w:fldChar w:fldCharType="separate"/>
      </w:r>
      <w:r w:rsidR="007D2F73" w:rsidRPr="00483448">
        <w:rPr>
          <w:rFonts w:ascii="Book Antiqua" w:hAnsi="Book Antiqua"/>
          <w:color w:val="000000"/>
          <w:vertAlign w:val="superscript"/>
        </w:rPr>
        <w:t>[20,21]</w:t>
      </w:r>
      <w:r w:rsidR="00F21127" w:rsidRPr="00483448">
        <w:rPr>
          <w:rFonts w:ascii="Book Antiqua" w:hAnsi="Book Antiqua"/>
          <w:b/>
          <w:color w:val="000000"/>
        </w:rPr>
        <w:fldChar w:fldCharType="end"/>
      </w:r>
      <w:r w:rsidR="001A4892" w:rsidRPr="00483448">
        <w:rPr>
          <w:rFonts w:ascii="Book Antiqua" w:hAnsi="Book Antiqua"/>
          <w:color w:val="000000"/>
        </w:rPr>
        <w:t>.</w:t>
      </w:r>
      <w:r w:rsidRPr="00483448">
        <w:rPr>
          <w:rFonts w:ascii="Book Antiqua" w:hAnsi="Book Antiqua"/>
          <w:color w:val="000000"/>
        </w:rPr>
        <w:t xml:space="preserve"> </w:t>
      </w:r>
      <w:r w:rsidR="001A4892" w:rsidRPr="00483448">
        <w:rPr>
          <w:rFonts w:ascii="Book Antiqua" w:hAnsi="Book Antiqua"/>
          <w:color w:val="000000"/>
        </w:rPr>
        <w:t>T</w:t>
      </w:r>
      <w:r w:rsidRPr="00483448">
        <w:rPr>
          <w:rFonts w:ascii="Book Antiqua" w:hAnsi="Book Antiqua"/>
          <w:color w:val="000000"/>
        </w:rPr>
        <w:t>herefore</w:t>
      </w:r>
      <w:r w:rsidR="001A4892" w:rsidRPr="00483448">
        <w:rPr>
          <w:rFonts w:ascii="Book Antiqua" w:hAnsi="Book Antiqua"/>
          <w:color w:val="000000"/>
        </w:rPr>
        <w:t>,</w:t>
      </w:r>
      <w:r w:rsidRPr="00483448">
        <w:rPr>
          <w:rFonts w:ascii="Book Antiqua" w:hAnsi="Book Antiqua"/>
          <w:color w:val="000000"/>
        </w:rPr>
        <w:t xml:space="preserve"> the potential for such interventions to attenuate </w:t>
      </w:r>
      <w:r w:rsidR="008465F3" w:rsidRPr="00483448">
        <w:rPr>
          <w:rFonts w:ascii="Book Antiqua" w:hAnsi="Book Antiqua"/>
          <w:color w:val="000000"/>
        </w:rPr>
        <w:t>DLT</w:t>
      </w:r>
      <w:r w:rsidRPr="00483448">
        <w:rPr>
          <w:rFonts w:ascii="Book Antiqua" w:hAnsi="Book Antiqua"/>
          <w:color w:val="000000"/>
        </w:rPr>
        <w:t xml:space="preserve"> in oesophageal cancer warrants further investigation. </w:t>
      </w:r>
    </w:p>
    <w:p w:rsidR="00FD6C3A" w:rsidRPr="00483448" w:rsidRDefault="009B6578" w:rsidP="004C5FED">
      <w:pPr>
        <w:pStyle w:val="1-2"/>
        <w:snapToGrid w:val="0"/>
        <w:spacing w:line="360" w:lineRule="auto"/>
        <w:ind w:firstLine="720"/>
        <w:jc w:val="both"/>
        <w:rPr>
          <w:rFonts w:ascii="Book Antiqua" w:hAnsi="Book Antiqua"/>
          <w:color w:val="000000"/>
        </w:rPr>
      </w:pPr>
      <w:r w:rsidRPr="00483448">
        <w:rPr>
          <w:rFonts w:ascii="Book Antiqua" w:hAnsi="Book Antiqua"/>
          <w:color w:val="000000"/>
        </w:rPr>
        <w:t xml:space="preserve">This study has shown that nutritional supplementation does </w:t>
      </w:r>
      <w:r w:rsidR="00E33F31" w:rsidRPr="00483448">
        <w:rPr>
          <w:rFonts w:ascii="Book Antiqua" w:hAnsi="Book Antiqua"/>
          <w:color w:val="000000"/>
        </w:rPr>
        <w:t>serve to maintain</w:t>
      </w:r>
      <w:r w:rsidRPr="00483448">
        <w:rPr>
          <w:rFonts w:ascii="Book Antiqua" w:hAnsi="Book Antiqua"/>
          <w:color w:val="000000"/>
        </w:rPr>
        <w:t xml:space="preserve"> overall weight and BMI. Looking more specifically at body composition, skeletal muscle mass decreased despite this nutritional support, and the proportion of sarcopenic patients increased.</w:t>
      </w:r>
      <w:r w:rsidR="001A4892" w:rsidRPr="00483448">
        <w:rPr>
          <w:rFonts w:ascii="Book Antiqua" w:hAnsi="Book Antiqua"/>
          <w:color w:val="000000"/>
        </w:rPr>
        <w:t xml:space="preserve"> </w:t>
      </w:r>
      <w:r w:rsidR="00DC419E" w:rsidRPr="00483448">
        <w:rPr>
          <w:rFonts w:ascii="Book Antiqua" w:hAnsi="Book Antiqua"/>
          <w:color w:val="000000"/>
        </w:rPr>
        <w:t xml:space="preserve">It is the authors’ opinion that multimodal intervention incorporating a combination of regular nutritional support and exercise during the period of neo-adjuvant chemotherapy may lead to improvement in treatment tolerance and optimising surgical candidacy in patients with oesophageal </w:t>
      </w:r>
      <w:r w:rsidR="00DC419E" w:rsidRPr="00483448">
        <w:rPr>
          <w:rFonts w:ascii="Book Antiqua" w:hAnsi="Book Antiqua"/>
          <w:color w:val="000000"/>
        </w:rPr>
        <w:lastRenderedPageBreak/>
        <w:t xml:space="preserve">cancer. This would be best investigated by means of a </w:t>
      </w:r>
      <w:r w:rsidRPr="00483448">
        <w:rPr>
          <w:rFonts w:ascii="Book Antiqua" w:hAnsi="Book Antiqua"/>
          <w:color w:val="000000"/>
        </w:rPr>
        <w:t xml:space="preserve">prospective multi-centre, </w:t>
      </w:r>
      <w:r w:rsidR="00DC419E" w:rsidRPr="00483448">
        <w:rPr>
          <w:rFonts w:ascii="Book Antiqua" w:hAnsi="Book Antiqua"/>
          <w:color w:val="000000"/>
        </w:rPr>
        <w:t>multi-arm randomised controlled trial.</w:t>
      </w:r>
    </w:p>
    <w:p w:rsidR="00F63BDD" w:rsidRPr="00483448" w:rsidRDefault="00F63BDD" w:rsidP="004C5FED">
      <w:pPr>
        <w:pStyle w:val="1-2"/>
        <w:snapToGrid w:val="0"/>
        <w:spacing w:line="360" w:lineRule="auto"/>
        <w:jc w:val="both"/>
        <w:rPr>
          <w:rFonts w:ascii="Book Antiqua" w:hAnsi="Book Antiqua"/>
          <w:color w:val="000000"/>
        </w:rPr>
      </w:pPr>
    </w:p>
    <w:p w:rsidR="0091263E" w:rsidRPr="00483448" w:rsidRDefault="00F56BC8" w:rsidP="004C5FED">
      <w:pPr>
        <w:snapToGrid w:val="0"/>
        <w:spacing w:line="360" w:lineRule="auto"/>
        <w:jc w:val="both"/>
        <w:rPr>
          <w:rFonts w:ascii="Book Antiqua" w:hAnsi="Book Antiqua"/>
          <w:b/>
          <w:color w:val="000000"/>
        </w:rPr>
      </w:pPr>
      <w:bookmarkStart w:id="143" w:name="_Hlk10708737"/>
      <w:r w:rsidRPr="00483448">
        <w:rPr>
          <w:rFonts w:ascii="Book Antiqua" w:hAnsi="Book Antiqua"/>
          <w:b/>
          <w:color w:val="000000"/>
        </w:rPr>
        <w:t>ARTICLE HIGHLIGHTS</w:t>
      </w:r>
    </w:p>
    <w:p w:rsidR="006A7D22" w:rsidRPr="00483448" w:rsidRDefault="006A7D22" w:rsidP="004C5FED">
      <w:pPr>
        <w:snapToGrid w:val="0"/>
        <w:spacing w:line="360" w:lineRule="auto"/>
        <w:jc w:val="both"/>
        <w:rPr>
          <w:rFonts w:ascii="Book Antiqua" w:hAnsi="Book Antiqua"/>
          <w:b/>
          <w:i/>
          <w:iCs/>
          <w:color w:val="000000"/>
        </w:rPr>
      </w:pPr>
      <w:r w:rsidRPr="00483448">
        <w:rPr>
          <w:rFonts w:ascii="Book Antiqua" w:hAnsi="Book Antiqua"/>
          <w:b/>
          <w:i/>
          <w:iCs/>
          <w:color w:val="000000"/>
        </w:rPr>
        <w:t>Research background</w:t>
      </w:r>
    </w:p>
    <w:p w:rsidR="003064F8" w:rsidRPr="00483448" w:rsidRDefault="003064F8" w:rsidP="004C5FED">
      <w:pPr>
        <w:snapToGrid w:val="0"/>
        <w:spacing w:line="360" w:lineRule="auto"/>
        <w:jc w:val="both"/>
        <w:rPr>
          <w:rFonts w:ascii="Book Antiqua" w:hAnsi="Book Antiqua"/>
          <w:color w:val="000000"/>
        </w:rPr>
      </w:pPr>
      <w:r w:rsidRPr="00483448">
        <w:rPr>
          <w:rFonts w:ascii="Book Antiqua" w:hAnsi="Book Antiqua"/>
          <w:color w:val="000000"/>
        </w:rPr>
        <w:t>Malnourishment and sarcopenia are well documented phenomena in oesophageal cancer. Neo-adjuvant chemotherapy is now the mainstay of treatment prior to oesophagectomy and is associated with improved survival compared to surgery alone. Patients undergoing neo-adjuvant chemotherapy prior to oesophagectomy have complex nutritional needs. The use of multiple strategies to manage disease progression including radiation, chemotherapy and surgical resection present an additional nutritional burden to these patients who are often malnourished at presentation.</w:t>
      </w:r>
    </w:p>
    <w:p w:rsidR="006A7D22" w:rsidRPr="00483448" w:rsidRDefault="006A7D22" w:rsidP="004C5FED">
      <w:pPr>
        <w:snapToGrid w:val="0"/>
        <w:spacing w:line="360" w:lineRule="auto"/>
        <w:jc w:val="both"/>
        <w:rPr>
          <w:rFonts w:ascii="Book Antiqua" w:hAnsi="Book Antiqua"/>
          <w:b/>
          <w:i/>
          <w:iCs/>
          <w:color w:val="000000"/>
        </w:rPr>
      </w:pPr>
    </w:p>
    <w:bookmarkEnd w:id="143"/>
    <w:p w:rsidR="00D777BD" w:rsidRPr="00483448" w:rsidRDefault="006A7D22" w:rsidP="004C5FED">
      <w:pPr>
        <w:pStyle w:val="1-2"/>
        <w:snapToGrid w:val="0"/>
        <w:spacing w:line="360" w:lineRule="auto"/>
        <w:jc w:val="both"/>
        <w:rPr>
          <w:rFonts w:ascii="Book Antiqua" w:hAnsi="Book Antiqua"/>
          <w:b/>
          <w:i/>
          <w:iCs/>
          <w:color w:val="000000"/>
        </w:rPr>
      </w:pPr>
      <w:r w:rsidRPr="00483448">
        <w:rPr>
          <w:rFonts w:ascii="Book Antiqua" w:hAnsi="Book Antiqua"/>
          <w:b/>
          <w:i/>
          <w:iCs/>
          <w:color w:val="000000"/>
        </w:rPr>
        <w:t>Research motivation</w:t>
      </w:r>
    </w:p>
    <w:p w:rsidR="003064F8" w:rsidRPr="00483448" w:rsidRDefault="00E741C9" w:rsidP="004C5FED">
      <w:pPr>
        <w:snapToGrid w:val="0"/>
        <w:spacing w:line="360" w:lineRule="auto"/>
        <w:jc w:val="both"/>
        <w:rPr>
          <w:rFonts w:ascii="Book Antiqua" w:hAnsi="Book Antiqua"/>
          <w:color w:val="000000"/>
        </w:rPr>
      </w:pPr>
      <w:r w:rsidRPr="00483448">
        <w:rPr>
          <w:rFonts w:ascii="Book Antiqua" w:hAnsi="Book Antiqua"/>
          <w:color w:val="000000"/>
        </w:rPr>
        <w:t>There are various indicators of nutritional status that predict an individual’s ability to tolerate neo-adjuvant chemotherapy and surgery for oesophageal cancer. Lower body mass index (BMI), skeletal muscle depletion, sarcopenia and sarcopenic obesity are associated with dose</w:t>
      </w:r>
      <w:r w:rsidR="008465F3" w:rsidRPr="00483448">
        <w:rPr>
          <w:rFonts w:ascii="Book Antiqua" w:hAnsi="Book Antiqua"/>
          <w:color w:val="000000"/>
        </w:rPr>
        <w:t>-</w:t>
      </w:r>
      <w:r w:rsidRPr="00483448">
        <w:rPr>
          <w:rFonts w:ascii="Book Antiqua" w:hAnsi="Book Antiqua"/>
          <w:color w:val="000000"/>
        </w:rPr>
        <w:t>limiting toxicity during treatment with neo-adjuvant chemotherapy</w:t>
      </w:r>
      <w:r w:rsidR="004D723B" w:rsidRPr="00483448">
        <w:rPr>
          <w:rFonts w:ascii="Book Antiqua" w:hAnsi="Book Antiqua"/>
          <w:color w:val="000000"/>
        </w:rPr>
        <w:t>.</w:t>
      </w:r>
      <w:r w:rsidR="007D117A" w:rsidRPr="00483448">
        <w:rPr>
          <w:rFonts w:ascii="Book Antiqua" w:hAnsi="Book Antiqua"/>
          <w:color w:val="000000"/>
        </w:rPr>
        <w:t xml:space="preserve"> </w:t>
      </w:r>
      <w:r w:rsidR="00867C70" w:rsidRPr="00483448">
        <w:rPr>
          <w:rFonts w:ascii="Book Antiqua" w:hAnsi="Book Antiqua"/>
          <w:color w:val="000000"/>
        </w:rPr>
        <w:t xml:space="preserve">The period preceding surgery is the ideal time to ensure patients are in the best possible state for surgery. The use of enteral feeding </w:t>
      </w:r>
      <w:r w:rsidR="00A33C79" w:rsidRPr="00483448">
        <w:rPr>
          <w:rFonts w:ascii="Book Antiqua" w:hAnsi="Book Antiqua"/>
          <w:i/>
          <w:iCs/>
          <w:color w:val="000000"/>
        </w:rPr>
        <w:t>via</w:t>
      </w:r>
      <w:r w:rsidR="00867C70" w:rsidRPr="00483448">
        <w:rPr>
          <w:rFonts w:ascii="Book Antiqua" w:hAnsi="Book Antiqua"/>
          <w:color w:val="000000"/>
        </w:rPr>
        <w:t xml:space="preserve"> jejunostomy, particularly in oesophageal cancer, is a reliable method to optimise nutrition. The associated risks of insertion do not significantly outweigh the conferred benefits.</w:t>
      </w:r>
      <w:r w:rsidR="007D117A" w:rsidRPr="00483448">
        <w:rPr>
          <w:rFonts w:ascii="Book Antiqua" w:hAnsi="Book Antiqua"/>
          <w:color w:val="000000"/>
        </w:rPr>
        <w:t xml:space="preserve"> </w:t>
      </w:r>
      <w:r w:rsidR="00867C70" w:rsidRPr="00483448">
        <w:rPr>
          <w:rFonts w:ascii="Book Antiqua" w:hAnsi="Book Antiqua"/>
          <w:color w:val="000000"/>
        </w:rPr>
        <w:t xml:space="preserve">The present study is the first to our knowledge to examine the changes of body composition from regular enteral feeding </w:t>
      </w:r>
      <w:r w:rsidR="00A33C79" w:rsidRPr="00483448">
        <w:rPr>
          <w:rFonts w:ascii="Book Antiqua" w:hAnsi="Book Antiqua"/>
          <w:i/>
          <w:iCs/>
          <w:color w:val="000000"/>
        </w:rPr>
        <w:t>via</w:t>
      </w:r>
      <w:r w:rsidR="00867C70" w:rsidRPr="00483448">
        <w:rPr>
          <w:rFonts w:ascii="Book Antiqua" w:hAnsi="Book Antiqua"/>
          <w:color w:val="000000"/>
        </w:rPr>
        <w:t xml:space="preserve"> jejunostomy during neo-adjuvant therapy for oesophageal cancer</w:t>
      </w:r>
      <w:r w:rsidR="004D723B" w:rsidRPr="00483448">
        <w:rPr>
          <w:rFonts w:ascii="Book Antiqua" w:hAnsi="Book Antiqua"/>
          <w:color w:val="000000"/>
        </w:rPr>
        <w:t>.</w:t>
      </w:r>
    </w:p>
    <w:p w:rsidR="00867C70" w:rsidRPr="00483448" w:rsidRDefault="00867C70" w:rsidP="004C5FED">
      <w:pPr>
        <w:pStyle w:val="1-2"/>
        <w:snapToGrid w:val="0"/>
        <w:spacing w:line="360" w:lineRule="auto"/>
        <w:ind w:firstLine="720"/>
        <w:jc w:val="both"/>
        <w:rPr>
          <w:rFonts w:ascii="Book Antiqua" w:hAnsi="Book Antiqua"/>
          <w:b/>
          <w:i/>
          <w:iCs/>
          <w:color w:val="000000"/>
        </w:rPr>
      </w:pPr>
    </w:p>
    <w:p w:rsidR="006A7D22" w:rsidRPr="00483448" w:rsidRDefault="006A7D22" w:rsidP="004C5FED">
      <w:pPr>
        <w:pStyle w:val="1-2"/>
        <w:snapToGrid w:val="0"/>
        <w:spacing w:line="360" w:lineRule="auto"/>
        <w:jc w:val="both"/>
        <w:rPr>
          <w:rFonts w:ascii="Book Antiqua" w:hAnsi="Book Antiqua"/>
          <w:b/>
          <w:i/>
          <w:iCs/>
          <w:color w:val="000000"/>
        </w:rPr>
      </w:pPr>
      <w:r w:rsidRPr="00483448">
        <w:rPr>
          <w:rFonts w:ascii="Book Antiqua" w:hAnsi="Book Antiqua"/>
          <w:b/>
          <w:i/>
          <w:iCs/>
          <w:color w:val="000000"/>
        </w:rPr>
        <w:t>Research objectives</w:t>
      </w:r>
    </w:p>
    <w:p w:rsidR="009F6177" w:rsidRPr="00483448" w:rsidRDefault="009F6177" w:rsidP="004C5FED">
      <w:pPr>
        <w:pStyle w:val="1-2"/>
        <w:snapToGrid w:val="0"/>
        <w:spacing w:line="360" w:lineRule="auto"/>
        <w:jc w:val="both"/>
        <w:rPr>
          <w:rFonts w:ascii="Book Antiqua" w:hAnsi="Book Antiqua"/>
          <w:color w:val="000000"/>
        </w:rPr>
      </w:pPr>
      <w:r w:rsidRPr="00483448">
        <w:rPr>
          <w:rFonts w:ascii="Book Antiqua" w:hAnsi="Book Antiqua"/>
          <w:color w:val="000000"/>
        </w:rPr>
        <w:t xml:space="preserve">The aim of this study is to examine the effect of regular enteral feeding </w:t>
      </w:r>
      <w:r w:rsidR="00A33C79" w:rsidRPr="00483448">
        <w:rPr>
          <w:rFonts w:ascii="Book Antiqua" w:hAnsi="Book Antiqua"/>
          <w:i/>
          <w:iCs/>
          <w:color w:val="000000"/>
        </w:rPr>
        <w:t>via</w:t>
      </w:r>
      <w:r w:rsidRPr="00483448">
        <w:rPr>
          <w:rFonts w:ascii="Book Antiqua" w:hAnsi="Book Antiqua"/>
          <w:color w:val="000000"/>
        </w:rPr>
        <w:t xml:space="preserve"> jejunostomy on overall body composition in a cohort of patients with oesophageal cancer undergoing neo-adjuvant chemotherapy prior to oesophagectomy. The effect </w:t>
      </w:r>
      <w:r w:rsidRPr="00483448">
        <w:rPr>
          <w:rFonts w:ascii="Book Antiqua" w:hAnsi="Book Antiqua"/>
          <w:color w:val="000000"/>
        </w:rPr>
        <w:lastRenderedPageBreak/>
        <w:t>of regular jejunostomy feeding on the development of dose-limiting toxicity during neo-adjuvant chemotherapy was also examined</w:t>
      </w:r>
      <w:r w:rsidR="001236E0" w:rsidRPr="00483448">
        <w:rPr>
          <w:rFonts w:ascii="Book Antiqua" w:hAnsi="Book Antiqua"/>
          <w:color w:val="000000"/>
        </w:rPr>
        <w:t>.</w:t>
      </w:r>
    </w:p>
    <w:p w:rsidR="006A7D22" w:rsidRPr="00483448" w:rsidRDefault="006A7D22" w:rsidP="004C5FED">
      <w:pPr>
        <w:pStyle w:val="1-2"/>
        <w:snapToGrid w:val="0"/>
        <w:spacing w:line="360" w:lineRule="auto"/>
        <w:jc w:val="both"/>
        <w:rPr>
          <w:rFonts w:ascii="Book Antiqua" w:hAnsi="Book Antiqua"/>
          <w:b/>
          <w:i/>
          <w:iCs/>
          <w:color w:val="000000"/>
        </w:rPr>
      </w:pPr>
    </w:p>
    <w:p w:rsidR="006A7D22" w:rsidRPr="00483448" w:rsidRDefault="006A7D22" w:rsidP="004C5FED">
      <w:pPr>
        <w:pStyle w:val="1-2"/>
        <w:snapToGrid w:val="0"/>
        <w:spacing w:line="360" w:lineRule="auto"/>
        <w:jc w:val="both"/>
        <w:rPr>
          <w:rFonts w:ascii="Book Antiqua" w:hAnsi="Book Antiqua"/>
          <w:b/>
          <w:i/>
          <w:iCs/>
          <w:color w:val="000000"/>
        </w:rPr>
      </w:pPr>
      <w:r w:rsidRPr="00483448">
        <w:rPr>
          <w:rFonts w:ascii="Book Antiqua" w:hAnsi="Book Antiqua"/>
          <w:b/>
          <w:i/>
          <w:iCs/>
          <w:color w:val="000000"/>
        </w:rPr>
        <w:t>Research methods</w:t>
      </w:r>
    </w:p>
    <w:p w:rsidR="00867C70" w:rsidRPr="00483448" w:rsidRDefault="003C4689" w:rsidP="004C5FED">
      <w:pPr>
        <w:pStyle w:val="1-2"/>
        <w:snapToGrid w:val="0"/>
        <w:spacing w:line="360" w:lineRule="auto"/>
        <w:jc w:val="both"/>
        <w:rPr>
          <w:rFonts w:ascii="Book Antiqua" w:hAnsi="Book Antiqua"/>
          <w:color w:val="000000"/>
        </w:rPr>
      </w:pPr>
      <w:r w:rsidRPr="00483448">
        <w:rPr>
          <w:rFonts w:ascii="Book Antiqua" w:hAnsi="Book Antiqua"/>
          <w:color w:val="000000"/>
        </w:rPr>
        <w:t>Patients having potentially curative, locally advanced oesophageal and oesophago-gastric junctional cancer without evidence of metastasis were considered for this study.</w:t>
      </w:r>
      <w:r w:rsidR="007D117A" w:rsidRPr="00483448">
        <w:rPr>
          <w:rFonts w:ascii="Book Antiqua" w:hAnsi="Book Antiqua"/>
          <w:color w:val="000000"/>
          <w:lang w:eastAsia="zh-CN"/>
        </w:rPr>
        <w:t xml:space="preserve"> </w:t>
      </w:r>
      <w:r w:rsidR="00E741C9" w:rsidRPr="00483448">
        <w:rPr>
          <w:rFonts w:ascii="Book Antiqua" w:hAnsi="Book Antiqua"/>
          <w:color w:val="000000"/>
        </w:rPr>
        <w:t>All patients were routinely staged with a combination of computed tomography (CT), endoscopic ultrasound and laparoscopy according to the International Union Against Cancer system</w:t>
      </w:r>
      <w:r w:rsidR="007D117A" w:rsidRPr="00483448">
        <w:rPr>
          <w:rFonts w:ascii="Book Antiqua" w:hAnsi="Book Antiqua"/>
          <w:color w:val="000000"/>
        </w:rPr>
        <w:t xml:space="preserve">. </w:t>
      </w:r>
      <w:r w:rsidR="00867C70" w:rsidRPr="00483448">
        <w:rPr>
          <w:rFonts w:ascii="Book Antiqua" w:hAnsi="Book Antiqua"/>
          <w:color w:val="000000"/>
        </w:rPr>
        <w:t>All patients were assessed by a dietician prior to starting regular jejunostomy feeding. After assessment by the dietitian, each patient had the feeding regimen tailored to their individual nutritional needs. Weight and height were recorded according to standard methods.</w:t>
      </w:r>
      <w:r w:rsidR="007D117A" w:rsidRPr="00483448">
        <w:rPr>
          <w:rFonts w:ascii="Book Antiqua" w:hAnsi="Book Antiqua"/>
          <w:color w:val="000000"/>
        </w:rPr>
        <w:t xml:space="preserve"> </w:t>
      </w:r>
      <w:r w:rsidR="00867C70" w:rsidRPr="00483448">
        <w:rPr>
          <w:rFonts w:ascii="Book Antiqua" w:hAnsi="Book Antiqua"/>
          <w:color w:val="000000"/>
        </w:rPr>
        <w:t>CT has proven to be accurate for measuring human body compositio</w:t>
      </w:r>
      <w:r w:rsidR="004D723B" w:rsidRPr="00483448">
        <w:rPr>
          <w:rFonts w:ascii="Book Antiqua" w:hAnsi="Book Antiqua"/>
          <w:color w:val="000000"/>
        </w:rPr>
        <w:t>n</w:t>
      </w:r>
      <w:r w:rsidR="00867C70" w:rsidRPr="00483448">
        <w:rPr>
          <w:rFonts w:ascii="Book Antiqua" w:hAnsi="Book Antiqua"/>
          <w:color w:val="000000"/>
        </w:rPr>
        <w:t>. Regional muscle tissue was measured by CT from electronically stored images, which had been done previously for diagnostic purposes. CT scans w</w:t>
      </w:r>
      <w:r w:rsidR="00B72194" w:rsidRPr="00483448">
        <w:rPr>
          <w:rFonts w:ascii="Book Antiqua" w:hAnsi="Book Antiqua"/>
          <w:color w:val="000000"/>
        </w:rPr>
        <w:t>ere</w:t>
      </w:r>
      <w:r w:rsidR="00867C70" w:rsidRPr="00483448">
        <w:rPr>
          <w:rFonts w:ascii="Book Antiqua" w:hAnsi="Book Antiqua"/>
          <w:color w:val="000000"/>
        </w:rPr>
        <w:t xml:space="preserve"> performed at two time points: the first at diagnosis prior to commencement of chemotherapy and the second after completion of neo-adjuvant chemotherapy prior to surgery.</w:t>
      </w:r>
      <w:r w:rsidR="00E741C9" w:rsidRPr="00483448">
        <w:rPr>
          <w:rFonts w:ascii="Book Antiqua" w:hAnsi="Book Antiqua"/>
          <w:color w:val="000000"/>
        </w:rPr>
        <w:t xml:space="preserve"> The third lumbar vertebra was chosen as a landmark, and two consecutive slices were assessed to measure cross-sectional area of muscle and adipose tissue as described. The average value of two images was computed for each patient</w:t>
      </w:r>
      <w:r w:rsidR="001668B9" w:rsidRPr="00483448">
        <w:rPr>
          <w:rFonts w:ascii="Book Antiqua" w:hAnsi="Book Antiqua"/>
          <w:color w:val="000000"/>
        </w:rPr>
        <w:t>.</w:t>
      </w:r>
    </w:p>
    <w:p w:rsidR="00867C70" w:rsidRPr="00483448" w:rsidRDefault="00867C70" w:rsidP="004C5FED">
      <w:pPr>
        <w:pStyle w:val="1-2"/>
        <w:snapToGrid w:val="0"/>
        <w:spacing w:line="360" w:lineRule="auto"/>
        <w:jc w:val="both"/>
        <w:rPr>
          <w:rFonts w:ascii="Book Antiqua" w:hAnsi="Book Antiqua"/>
          <w:b/>
          <w:i/>
          <w:iCs/>
          <w:color w:val="000000"/>
        </w:rPr>
      </w:pPr>
    </w:p>
    <w:p w:rsidR="006A7D22" w:rsidRPr="00483448" w:rsidRDefault="006A7D22" w:rsidP="004C5FED">
      <w:pPr>
        <w:pStyle w:val="1-2"/>
        <w:snapToGrid w:val="0"/>
        <w:spacing w:line="360" w:lineRule="auto"/>
        <w:jc w:val="both"/>
        <w:rPr>
          <w:rFonts w:ascii="Book Antiqua" w:hAnsi="Book Antiqua"/>
          <w:b/>
          <w:i/>
          <w:iCs/>
          <w:color w:val="000000"/>
        </w:rPr>
      </w:pPr>
      <w:r w:rsidRPr="00483448">
        <w:rPr>
          <w:rFonts w:ascii="Book Antiqua" w:hAnsi="Book Antiqua"/>
          <w:b/>
          <w:i/>
          <w:iCs/>
          <w:color w:val="000000"/>
        </w:rPr>
        <w:t>Research results</w:t>
      </w:r>
    </w:p>
    <w:p w:rsidR="00924FBE" w:rsidRPr="00483448" w:rsidRDefault="00924FBE" w:rsidP="004C5FED">
      <w:pPr>
        <w:pStyle w:val="1-2"/>
        <w:snapToGrid w:val="0"/>
        <w:spacing w:line="360" w:lineRule="auto"/>
        <w:jc w:val="both"/>
        <w:rPr>
          <w:rFonts w:ascii="Book Antiqua" w:hAnsi="Book Antiqua"/>
          <w:color w:val="000000"/>
        </w:rPr>
      </w:pPr>
      <w:r w:rsidRPr="00483448">
        <w:rPr>
          <w:rFonts w:ascii="Book Antiqua" w:hAnsi="Book Antiqua"/>
          <w:color w:val="000000"/>
        </w:rPr>
        <w:t>During the study period, 15 patients underwent regular jejunostomy feeding during neo-adjuvant chemotherapy prior to surgery.</w:t>
      </w:r>
      <w:r w:rsidR="007D117A" w:rsidRPr="00483448">
        <w:rPr>
          <w:rFonts w:ascii="Book Antiqua" w:hAnsi="Book Antiqua"/>
          <w:color w:val="000000"/>
        </w:rPr>
        <w:t xml:space="preserve"> </w:t>
      </w:r>
      <w:r w:rsidRPr="00483448">
        <w:rPr>
          <w:rFonts w:ascii="Book Antiqua" w:hAnsi="Book Antiqua"/>
          <w:color w:val="000000"/>
        </w:rPr>
        <w:t>The time interval between</w:t>
      </w:r>
      <w:r w:rsidR="00527374" w:rsidRPr="00483448">
        <w:rPr>
          <w:rFonts w:ascii="Book Antiqua" w:hAnsi="Book Antiqua"/>
          <w:color w:val="000000"/>
        </w:rPr>
        <w:t xml:space="preserve"> the</w:t>
      </w:r>
      <w:r w:rsidRPr="00483448">
        <w:rPr>
          <w:rFonts w:ascii="Book Antiqua" w:hAnsi="Book Antiqua"/>
          <w:color w:val="000000"/>
        </w:rPr>
        <w:t xml:space="preserve"> start of chemotherapy and surgery was 107 ± 21.6 d. During this period, there was no change in weight and BMI. However, body composition analysis reveal</w:t>
      </w:r>
      <w:r w:rsidR="00527374" w:rsidRPr="00483448">
        <w:rPr>
          <w:rFonts w:ascii="Book Antiqua" w:hAnsi="Book Antiqua"/>
          <w:color w:val="000000"/>
        </w:rPr>
        <w:t>ed</w:t>
      </w:r>
      <w:r w:rsidRPr="00483448">
        <w:rPr>
          <w:rFonts w:ascii="Book Antiqua" w:hAnsi="Book Antiqua"/>
          <w:color w:val="000000"/>
        </w:rPr>
        <w:t xml:space="preserve"> a statistically significant loss of skeletal muscle despite regular feeding during neo-adjuvant chemotherapy. Lumbar skeletal muscle index decreased. Adipose tissue index remain</w:t>
      </w:r>
      <w:r w:rsidR="00527374" w:rsidRPr="00483448">
        <w:rPr>
          <w:rFonts w:ascii="Book Antiqua" w:hAnsi="Book Antiqua"/>
          <w:color w:val="000000"/>
        </w:rPr>
        <w:t>ed</w:t>
      </w:r>
      <w:r w:rsidRPr="00483448">
        <w:rPr>
          <w:rFonts w:ascii="Book Antiqua" w:hAnsi="Book Antiqua"/>
          <w:color w:val="000000"/>
        </w:rPr>
        <w:t xml:space="preserve"> largely unchanged.</w:t>
      </w:r>
    </w:p>
    <w:p w:rsidR="00924FBE" w:rsidRPr="00483448" w:rsidRDefault="00924FBE" w:rsidP="004C5FED">
      <w:pPr>
        <w:pStyle w:val="1-2"/>
        <w:snapToGrid w:val="0"/>
        <w:spacing w:line="360" w:lineRule="auto"/>
        <w:jc w:val="both"/>
        <w:rPr>
          <w:rFonts w:ascii="Book Antiqua" w:hAnsi="Book Antiqua"/>
          <w:b/>
          <w:i/>
          <w:iCs/>
          <w:color w:val="000000"/>
        </w:rPr>
      </w:pPr>
    </w:p>
    <w:p w:rsidR="006A7D22" w:rsidRPr="00483448" w:rsidRDefault="006A7D22" w:rsidP="004C5FED">
      <w:pPr>
        <w:snapToGrid w:val="0"/>
        <w:spacing w:line="360" w:lineRule="auto"/>
        <w:jc w:val="both"/>
        <w:rPr>
          <w:rFonts w:ascii="Book Antiqua" w:hAnsi="Book Antiqua"/>
          <w:b/>
          <w:i/>
          <w:iCs/>
          <w:color w:val="000000"/>
        </w:rPr>
      </w:pPr>
      <w:r w:rsidRPr="00483448">
        <w:rPr>
          <w:rFonts w:ascii="Book Antiqua" w:hAnsi="Book Antiqua"/>
          <w:b/>
          <w:i/>
          <w:iCs/>
          <w:color w:val="000000"/>
        </w:rPr>
        <w:t>Research conclusions</w:t>
      </w:r>
    </w:p>
    <w:p w:rsidR="009F6177" w:rsidRPr="00483448" w:rsidRDefault="00924FBE" w:rsidP="004C5FED">
      <w:pPr>
        <w:pStyle w:val="1-2"/>
        <w:snapToGrid w:val="0"/>
        <w:spacing w:line="360" w:lineRule="auto"/>
        <w:jc w:val="both"/>
        <w:rPr>
          <w:rFonts w:ascii="Book Antiqua" w:hAnsi="Book Antiqua"/>
          <w:color w:val="000000"/>
        </w:rPr>
      </w:pPr>
      <w:r w:rsidRPr="00483448">
        <w:rPr>
          <w:rFonts w:ascii="Book Antiqua" w:hAnsi="Book Antiqua"/>
          <w:color w:val="000000"/>
        </w:rPr>
        <w:lastRenderedPageBreak/>
        <w:t>This observational study of 15 patients undergoing neo-adjuvant chemotherapy prior to oesophagectomy confirm</w:t>
      </w:r>
      <w:r w:rsidR="00527374" w:rsidRPr="00483448">
        <w:rPr>
          <w:rFonts w:ascii="Book Antiqua" w:hAnsi="Book Antiqua"/>
          <w:color w:val="000000"/>
        </w:rPr>
        <w:t>ed</w:t>
      </w:r>
      <w:r w:rsidRPr="00483448">
        <w:rPr>
          <w:rFonts w:ascii="Book Antiqua" w:hAnsi="Book Antiqua"/>
          <w:color w:val="000000"/>
        </w:rPr>
        <w:t xml:space="preserve"> that formal nutritional intervention provided through the use of feeding jejunostomy ha</w:t>
      </w:r>
      <w:r w:rsidR="00527374" w:rsidRPr="00483448">
        <w:rPr>
          <w:rFonts w:ascii="Book Antiqua" w:hAnsi="Book Antiqua"/>
          <w:color w:val="000000"/>
        </w:rPr>
        <w:t>d</w:t>
      </w:r>
      <w:r w:rsidRPr="00483448">
        <w:rPr>
          <w:rFonts w:ascii="Book Antiqua" w:hAnsi="Book Antiqua"/>
          <w:color w:val="000000"/>
        </w:rPr>
        <w:t xml:space="preserve"> a positive effect on maintaining mean overall weight and BMI. </w:t>
      </w:r>
    </w:p>
    <w:p w:rsidR="006A7D22" w:rsidRPr="00483448" w:rsidRDefault="006A7D22" w:rsidP="004C5FED">
      <w:pPr>
        <w:snapToGrid w:val="0"/>
        <w:spacing w:line="360" w:lineRule="auto"/>
        <w:jc w:val="both"/>
        <w:rPr>
          <w:rFonts w:ascii="Book Antiqua" w:hAnsi="Book Antiqua" w:cs="Segoe UI"/>
          <w:b/>
          <w:i/>
          <w:iCs/>
          <w:color w:val="000000"/>
          <w:shd w:val="clear" w:color="auto" w:fill="FFFFFF"/>
        </w:rPr>
      </w:pPr>
    </w:p>
    <w:p w:rsidR="006A7D22" w:rsidRPr="00483448" w:rsidRDefault="006A7D22" w:rsidP="004C5FED">
      <w:pPr>
        <w:pStyle w:val="1-2"/>
        <w:snapToGrid w:val="0"/>
        <w:spacing w:line="360" w:lineRule="auto"/>
        <w:jc w:val="both"/>
        <w:rPr>
          <w:rFonts w:ascii="Book Antiqua" w:hAnsi="Book Antiqua" w:cs="Segoe UI"/>
          <w:b/>
          <w:i/>
          <w:iCs/>
          <w:color w:val="000000"/>
          <w:shd w:val="clear" w:color="auto" w:fill="FFFFFF"/>
        </w:rPr>
      </w:pPr>
      <w:r w:rsidRPr="00483448">
        <w:rPr>
          <w:rFonts w:ascii="Book Antiqua" w:hAnsi="Book Antiqua" w:cs="Segoe UI"/>
          <w:b/>
          <w:i/>
          <w:iCs/>
          <w:color w:val="000000"/>
          <w:shd w:val="clear" w:color="auto" w:fill="FFFFFF"/>
        </w:rPr>
        <w:t>Research perspectives</w:t>
      </w:r>
    </w:p>
    <w:p w:rsidR="006A7D22" w:rsidRPr="00483448" w:rsidRDefault="00924FBE" w:rsidP="004C5FED">
      <w:pPr>
        <w:pStyle w:val="1-2"/>
        <w:snapToGrid w:val="0"/>
        <w:spacing w:line="360" w:lineRule="auto"/>
        <w:jc w:val="both"/>
        <w:rPr>
          <w:rFonts w:ascii="Book Antiqua" w:hAnsi="Book Antiqua"/>
          <w:color w:val="000000"/>
        </w:rPr>
      </w:pPr>
      <w:r w:rsidRPr="00483448">
        <w:rPr>
          <w:rFonts w:ascii="Book Antiqua" w:hAnsi="Book Antiqua"/>
          <w:color w:val="000000"/>
        </w:rPr>
        <w:t>This study has shown that nutritional supplementation does serve to maintain overall weight and BMI. Looking more specifically at body composition, skeletal muscle mass decreased despite this nutritional support, and the proportion of sarcopenic patients increased.</w:t>
      </w:r>
      <w:r w:rsidR="007D117A" w:rsidRPr="00483448">
        <w:rPr>
          <w:rFonts w:ascii="Book Antiqua" w:hAnsi="Book Antiqua"/>
          <w:color w:val="000000"/>
        </w:rPr>
        <w:t xml:space="preserve"> </w:t>
      </w:r>
      <w:r w:rsidRPr="00483448">
        <w:rPr>
          <w:rFonts w:ascii="Book Antiqua" w:hAnsi="Book Antiqua"/>
          <w:color w:val="000000"/>
        </w:rPr>
        <w:t>It is the authors’ opinion that multimodal intervention incorporating a combination of regular nutritional support and exercise during the period of neo-adjuvant chemotherapy may lead to improvement in treatment tolerance and optimising surgical candidacy in patients with oesophageal cancer. This would be best investigated by means of a prospective multi-centre, multi-arm randomised controlled trial.</w:t>
      </w:r>
    </w:p>
    <w:p w:rsidR="00924FBE" w:rsidRPr="00483448" w:rsidRDefault="00924FBE" w:rsidP="004C5FED">
      <w:pPr>
        <w:pStyle w:val="1-2"/>
        <w:snapToGrid w:val="0"/>
        <w:spacing w:line="360" w:lineRule="auto"/>
        <w:jc w:val="both"/>
        <w:rPr>
          <w:rFonts w:ascii="Book Antiqua" w:hAnsi="Book Antiqua"/>
          <w:color w:val="000000"/>
          <w:lang w:eastAsia="zh-CN"/>
        </w:rPr>
      </w:pPr>
    </w:p>
    <w:p w:rsidR="00097ABF" w:rsidRPr="00483448" w:rsidRDefault="00527374" w:rsidP="004C5FED">
      <w:pPr>
        <w:pStyle w:val="EndNoteBibliography"/>
        <w:snapToGrid w:val="0"/>
        <w:spacing w:line="360" w:lineRule="auto"/>
        <w:jc w:val="both"/>
        <w:rPr>
          <w:rFonts w:ascii="Book Antiqua" w:hAnsi="Book Antiqua"/>
          <w:b/>
          <w:color w:val="000000"/>
          <w:lang w:val="en-GB"/>
        </w:rPr>
      </w:pPr>
      <w:bookmarkStart w:id="144" w:name="OLE_LINK60"/>
      <w:bookmarkStart w:id="145" w:name="OLE_LINK198"/>
      <w:bookmarkStart w:id="146" w:name="_Hlk10469424"/>
      <w:r w:rsidRPr="00483448">
        <w:rPr>
          <w:rFonts w:ascii="Book Antiqua" w:hAnsi="Book Antiqua"/>
          <w:b/>
          <w:color w:val="000000"/>
          <w:lang w:val="en-GB"/>
        </w:rPr>
        <w:br w:type="page"/>
      </w:r>
      <w:r w:rsidR="00097ABF" w:rsidRPr="00483448">
        <w:rPr>
          <w:rFonts w:ascii="Book Antiqua" w:hAnsi="Book Antiqua"/>
          <w:b/>
          <w:color w:val="000000"/>
          <w:lang w:val="en-GB"/>
        </w:rPr>
        <w:lastRenderedPageBreak/>
        <w:t>REFERENCES</w:t>
      </w:r>
      <w:bookmarkEnd w:id="144"/>
      <w:bookmarkEnd w:id="145"/>
    </w:p>
    <w:bookmarkEnd w:id="146"/>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 </w:t>
      </w:r>
      <w:r w:rsidRPr="00483448">
        <w:rPr>
          <w:rFonts w:ascii="Book Antiqua" w:eastAsia="等线" w:hAnsi="Book Antiqua"/>
          <w:b/>
          <w:bCs/>
          <w:lang w:eastAsia="zh-CN"/>
        </w:rPr>
        <w:t>Cancer Research UK</w:t>
      </w:r>
      <w:r w:rsidRPr="00483448">
        <w:rPr>
          <w:rFonts w:ascii="Book Antiqua" w:eastAsia="等线" w:hAnsi="Book Antiqua"/>
          <w:lang w:eastAsia="zh-CN"/>
        </w:rPr>
        <w:t>. Cancer Research UK. Oesophageal Cancer Statistics 2018 [Internet]. [cited 2019 Jan 12]. Available from: URL: http://www.cancerresearchuk.org/health-professional/cancer-statistics/statistics-by-cancer-type/oesophageal-cancer - heading-Zero</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2 </w:t>
      </w:r>
      <w:r w:rsidRPr="00483448">
        <w:rPr>
          <w:rFonts w:ascii="Book Antiqua" w:eastAsia="等线" w:hAnsi="Book Antiqua"/>
          <w:b/>
          <w:lang w:eastAsia="zh-CN"/>
        </w:rPr>
        <w:t>Huddy JR</w:t>
      </w:r>
      <w:r w:rsidRPr="00483448">
        <w:rPr>
          <w:rFonts w:ascii="Book Antiqua" w:eastAsia="等线" w:hAnsi="Book Antiqua"/>
          <w:lang w:eastAsia="zh-CN"/>
        </w:rPr>
        <w:t xml:space="preserve">, Huddy FMS, Markar SR, Tucker O. Nutritional optimization during neoadjuvant therapy prior to surgical resection of esophageal cancer-a narrative review. </w:t>
      </w:r>
      <w:r w:rsidRPr="00483448">
        <w:rPr>
          <w:rFonts w:ascii="Book Antiqua" w:eastAsia="等线" w:hAnsi="Book Antiqua"/>
          <w:i/>
          <w:lang w:eastAsia="zh-CN"/>
        </w:rPr>
        <w:t>Dis Esophagus</w:t>
      </w:r>
      <w:r w:rsidRPr="00483448">
        <w:rPr>
          <w:rFonts w:ascii="Book Antiqua" w:eastAsia="等线" w:hAnsi="Book Antiqua"/>
          <w:lang w:eastAsia="zh-CN"/>
        </w:rPr>
        <w:t xml:space="preserve"> 2018; </w:t>
      </w:r>
      <w:r w:rsidRPr="00483448">
        <w:rPr>
          <w:rFonts w:ascii="Book Antiqua" w:eastAsia="等线" w:hAnsi="Book Antiqua"/>
          <w:b/>
          <w:lang w:eastAsia="zh-CN"/>
        </w:rPr>
        <w:t>31</w:t>
      </w:r>
      <w:r w:rsidRPr="00483448">
        <w:rPr>
          <w:rFonts w:ascii="Book Antiqua" w:eastAsia="等线" w:hAnsi="Book Antiqua"/>
          <w:lang w:eastAsia="zh-CN"/>
        </w:rPr>
        <w:t>: 1-11 [PMID: 29024949 DOI: 10.1093/dote/dox110]</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3 </w:t>
      </w:r>
      <w:r w:rsidRPr="00483448">
        <w:rPr>
          <w:rFonts w:ascii="Book Antiqua" w:eastAsia="等线" w:hAnsi="Book Antiqua"/>
          <w:b/>
          <w:lang w:eastAsia="zh-CN"/>
        </w:rPr>
        <w:t>Guinan EM</w:t>
      </w:r>
      <w:r w:rsidRPr="00483448">
        <w:rPr>
          <w:rFonts w:ascii="Book Antiqua" w:eastAsia="等线" w:hAnsi="Book Antiqua"/>
          <w:lang w:eastAsia="zh-CN"/>
        </w:rPr>
        <w:t xml:space="preserve">, Doyle SL, Bennett AE, O'Neill L, Gannon J, Elliott JA, O'Sullivan J, Reynolds JV, Hussey J. Sarcopenia during neoadjuvant therapy for oesophageal cancer: characterising the impact on muscle strength and physical performance. </w:t>
      </w:r>
      <w:r w:rsidRPr="00483448">
        <w:rPr>
          <w:rFonts w:ascii="Book Antiqua" w:eastAsia="等线" w:hAnsi="Book Antiqua"/>
          <w:i/>
          <w:lang w:eastAsia="zh-CN"/>
        </w:rPr>
        <w:t>Support Care Cancer</w:t>
      </w:r>
      <w:r w:rsidRPr="00483448">
        <w:rPr>
          <w:rFonts w:ascii="Book Antiqua" w:eastAsia="等线" w:hAnsi="Book Antiqua"/>
          <w:lang w:eastAsia="zh-CN"/>
        </w:rPr>
        <w:t xml:space="preserve"> 2018; </w:t>
      </w:r>
      <w:r w:rsidRPr="00483448">
        <w:rPr>
          <w:rFonts w:ascii="Book Antiqua" w:eastAsia="等线" w:hAnsi="Book Antiqua"/>
          <w:b/>
          <w:lang w:eastAsia="zh-CN"/>
        </w:rPr>
        <w:t>26</w:t>
      </w:r>
      <w:r w:rsidRPr="00483448">
        <w:rPr>
          <w:rFonts w:ascii="Book Antiqua" w:eastAsia="等线" w:hAnsi="Book Antiqua"/>
          <w:lang w:eastAsia="zh-CN"/>
        </w:rPr>
        <w:t>: 1569-1576 [PMID: 29197960 DOI: 10.1007/s00520-017-3993-0]</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4 </w:t>
      </w:r>
      <w:r w:rsidRPr="00483448">
        <w:rPr>
          <w:rFonts w:ascii="Book Antiqua" w:eastAsia="等线" w:hAnsi="Book Antiqua"/>
          <w:b/>
          <w:lang w:eastAsia="zh-CN"/>
        </w:rPr>
        <w:t>Steenhagen E</w:t>
      </w:r>
      <w:r w:rsidRPr="00483448">
        <w:rPr>
          <w:rFonts w:ascii="Book Antiqua" w:eastAsia="等线" w:hAnsi="Book Antiqua"/>
          <w:lang w:eastAsia="zh-CN"/>
        </w:rPr>
        <w:t xml:space="preserve">, van Vulpen JK, van Hillegersberg R, May AM, Siersema PD. Nutrition in peri-operative esophageal cancer management. </w:t>
      </w:r>
      <w:r w:rsidRPr="00483448">
        <w:rPr>
          <w:rFonts w:ascii="Book Antiqua" w:eastAsia="等线" w:hAnsi="Book Antiqua"/>
          <w:i/>
          <w:lang w:eastAsia="zh-CN"/>
        </w:rPr>
        <w:t>Expert Rev Gastroenterol Hepatol</w:t>
      </w:r>
      <w:r w:rsidRPr="00483448">
        <w:rPr>
          <w:rFonts w:ascii="Book Antiqua" w:eastAsia="等线" w:hAnsi="Book Antiqua"/>
          <w:lang w:eastAsia="zh-CN"/>
        </w:rPr>
        <w:t xml:space="preserve"> 2017; </w:t>
      </w:r>
      <w:r w:rsidRPr="00483448">
        <w:rPr>
          <w:rFonts w:ascii="Book Antiqua" w:eastAsia="等线" w:hAnsi="Book Antiqua"/>
          <w:b/>
          <w:lang w:eastAsia="zh-CN"/>
        </w:rPr>
        <w:t>11</w:t>
      </w:r>
      <w:r w:rsidRPr="00483448">
        <w:rPr>
          <w:rFonts w:ascii="Book Antiqua" w:eastAsia="等线" w:hAnsi="Book Antiqua"/>
          <w:lang w:eastAsia="zh-CN"/>
        </w:rPr>
        <w:t>: 663-672 [PMID: 28454509 DOI: 10.1080/17474124.2017.1325320]</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5 </w:t>
      </w:r>
      <w:r w:rsidRPr="00483448">
        <w:rPr>
          <w:rFonts w:ascii="Book Antiqua" w:eastAsia="等线" w:hAnsi="Book Antiqua"/>
          <w:b/>
          <w:lang w:eastAsia="zh-CN"/>
        </w:rPr>
        <w:t>Tan BH</w:t>
      </w:r>
      <w:r w:rsidRPr="00483448">
        <w:rPr>
          <w:rFonts w:ascii="Book Antiqua" w:eastAsia="等线" w:hAnsi="Book Antiqua"/>
          <w:lang w:eastAsia="zh-CN"/>
        </w:rPr>
        <w:t xml:space="preserve">, Brammer K, Randhawa N, Welch NT, Parsons SL, James EJ, Catton JA. Sarcopenia is associated with toxicity in patients undergoing neo-adjuvant chemotherapy for oesophago-gastric cancer. </w:t>
      </w:r>
      <w:r w:rsidRPr="00483448">
        <w:rPr>
          <w:rFonts w:ascii="Book Antiqua" w:eastAsia="等线" w:hAnsi="Book Antiqua"/>
          <w:i/>
          <w:lang w:eastAsia="zh-CN"/>
        </w:rPr>
        <w:t>Eur J Surg Oncol</w:t>
      </w:r>
      <w:r w:rsidRPr="00483448">
        <w:rPr>
          <w:rFonts w:ascii="Book Antiqua" w:eastAsia="等线" w:hAnsi="Book Antiqua"/>
          <w:lang w:eastAsia="zh-CN"/>
        </w:rPr>
        <w:t xml:space="preserve"> 2015; </w:t>
      </w:r>
      <w:r w:rsidRPr="00483448">
        <w:rPr>
          <w:rFonts w:ascii="Book Antiqua" w:eastAsia="等线" w:hAnsi="Book Antiqua"/>
          <w:b/>
          <w:lang w:eastAsia="zh-CN"/>
        </w:rPr>
        <w:t>41</w:t>
      </w:r>
      <w:r w:rsidRPr="00483448">
        <w:rPr>
          <w:rFonts w:ascii="Book Antiqua" w:eastAsia="等线" w:hAnsi="Book Antiqua"/>
          <w:lang w:eastAsia="zh-CN"/>
        </w:rPr>
        <w:t>: 333-338 [PMID: 25498359 DOI: 10.1016/j.ejso.2014.11.040]</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6 </w:t>
      </w:r>
      <w:r w:rsidRPr="00483448">
        <w:rPr>
          <w:rFonts w:ascii="Book Antiqua" w:eastAsia="等线" w:hAnsi="Book Antiqua"/>
          <w:b/>
          <w:lang w:eastAsia="zh-CN"/>
        </w:rPr>
        <w:t>Rier HN</w:t>
      </w:r>
      <w:r w:rsidRPr="00483448">
        <w:rPr>
          <w:rFonts w:ascii="Book Antiqua" w:eastAsia="等线" w:hAnsi="Book Antiqua"/>
          <w:lang w:eastAsia="zh-CN"/>
        </w:rPr>
        <w:t xml:space="preserve">, Jager A, Sleijfer S, Maier AB, Levin MD. The Prevalence and Prognostic Value of Low Muscle Mass in Cancer Patients: A Review of the Literature. </w:t>
      </w:r>
      <w:r w:rsidRPr="00483448">
        <w:rPr>
          <w:rFonts w:ascii="Book Antiqua" w:eastAsia="等线" w:hAnsi="Book Antiqua"/>
          <w:i/>
          <w:lang w:eastAsia="zh-CN"/>
        </w:rPr>
        <w:t>Oncologist</w:t>
      </w:r>
      <w:r w:rsidRPr="00483448">
        <w:rPr>
          <w:rFonts w:ascii="Book Antiqua" w:eastAsia="等线" w:hAnsi="Book Antiqua"/>
          <w:lang w:eastAsia="zh-CN"/>
        </w:rPr>
        <w:t xml:space="preserve"> 2016; </w:t>
      </w:r>
      <w:r w:rsidRPr="00483448">
        <w:rPr>
          <w:rFonts w:ascii="Book Antiqua" w:eastAsia="等线" w:hAnsi="Book Antiqua"/>
          <w:b/>
          <w:lang w:eastAsia="zh-CN"/>
        </w:rPr>
        <w:t>21</w:t>
      </w:r>
      <w:r w:rsidRPr="00483448">
        <w:rPr>
          <w:rFonts w:ascii="Book Antiqua" w:eastAsia="等线" w:hAnsi="Book Antiqua"/>
          <w:lang w:eastAsia="zh-CN"/>
        </w:rPr>
        <w:t>: 1396-1409 [PMID: 27412391 DOI: 10.1634/theoncologist.2016-0066]</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7 </w:t>
      </w:r>
      <w:r w:rsidRPr="00483448">
        <w:rPr>
          <w:rFonts w:ascii="Book Antiqua" w:eastAsia="等线" w:hAnsi="Book Antiqua"/>
          <w:b/>
          <w:lang w:eastAsia="zh-CN"/>
        </w:rPr>
        <w:t>Awad S</w:t>
      </w:r>
      <w:r w:rsidRPr="00483448">
        <w:rPr>
          <w:rFonts w:ascii="Book Antiqua" w:eastAsia="等线" w:hAnsi="Book Antiqua"/>
          <w:lang w:eastAsia="zh-CN"/>
        </w:rPr>
        <w:t xml:space="preserve">, Tan BH, Cui H, Bhalla A, Fearon KC, Parsons SL, Catton JA, Lobo DN. Marked changes in body composition following neoadjuvant chemotherapy for oesophagogastric cancer. </w:t>
      </w:r>
      <w:r w:rsidRPr="00483448">
        <w:rPr>
          <w:rFonts w:ascii="Book Antiqua" w:eastAsia="等线" w:hAnsi="Book Antiqua"/>
          <w:i/>
          <w:lang w:eastAsia="zh-CN"/>
        </w:rPr>
        <w:t>Clin Nutr</w:t>
      </w:r>
      <w:r w:rsidRPr="00483448">
        <w:rPr>
          <w:rFonts w:ascii="Book Antiqua" w:eastAsia="等线" w:hAnsi="Book Antiqua"/>
          <w:lang w:eastAsia="zh-CN"/>
        </w:rPr>
        <w:t xml:space="preserve"> 2012; </w:t>
      </w:r>
      <w:r w:rsidRPr="00483448">
        <w:rPr>
          <w:rFonts w:ascii="Book Antiqua" w:eastAsia="等线" w:hAnsi="Book Antiqua"/>
          <w:b/>
          <w:lang w:eastAsia="zh-CN"/>
        </w:rPr>
        <w:t>31</w:t>
      </w:r>
      <w:r w:rsidRPr="00483448">
        <w:rPr>
          <w:rFonts w:ascii="Book Antiqua" w:eastAsia="等线" w:hAnsi="Book Antiqua"/>
          <w:lang w:eastAsia="zh-CN"/>
        </w:rPr>
        <w:t>: 74-77 [PMID: 21875767 DOI: 10.1016/j.clnu.2011.08.008]</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8 </w:t>
      </w:r>
      <w:r w:rsidRPr="00483448">
        <w:rPr>
          <w:rFonts w:ascii="Book Antiqua" w:eastAsia="等线" w:hAnsi="Book Antiqua"/>
          <w:b/>
          <w:lang w:eastAsia="zh-CN"/>
        </w:rPr>
        <w:t>Tsujimoto H</w:t>
      </w:r>
      <w:r w:rsidRPr="00483448">
        <w:rPr>
          <w:rFonts w:ascii="Book Antiqua" w:eastAsia="等线" w:hAnsi="Book Antiqua"/>
          <w:lang w:eastAsia="zh-CN"/>
        </w:rPr>
        <w:t xml:space="preserve">, Hiraki S, Takahata R, Nomura S, Ito N, Kanematsu K, Horiguchi H, Aosasa S, Yamamoto J, Hase K. Laparoscopic jejunostomy for obstructing upper gastrointestinal malignancies. </w:t>
      </w:r>
      <w:r w:rsidRPr="00483448">
        <w:rPr>
          <w:rFonts w:ascii="Book Antiqua" w:eastAsia="等线" w:hAnsi="Book Antiqua"/>
          <w:i/>
          <w:lang w:eastAsia="zh-CN"/>
        </w:rPr>
        <w:t>Mol Clin Oncol</w:t>
      </w:r>
      <w:r w:rsidRPr="00483448">
        <w:rPr>
          <w:rFonts w:ascii="Book Antiqua" w:eastAsia="等线" w:hAnsi="Book Antiqua"/>
          <w:lang w:eastAsia="zh-CN"/>
        </w:rPr>
        <w:t xml:space="preserve"> 2015; </w:t>
      </w:r>
      <w:r w:rsidRPr="00483448">
        <w:rPr>
          <w:rFonts w:ascii="Book Antiqua" w:eastAsia="等线" w:hAnsi="Book Antiqua"/>
          <w:b/>
          <w:lang w:eastAsia="zh-CN"/>
        </w:rPr>
        <w:t>3</w:t>
      </w:r>
      <w:r w:rsidRPr="00483448">
        <w:rPr>
          <w:rFonts w:ascii="Book Antiqua" w:eastAsia="等线" w:hAnsi="Book Antiqua"/>
          <w:lang w:eastAsia="zh-CN"/>
        </w:rPr>
        <w:t>: 1307-1310 [PMID: 26807238 DOI: 10.3892/mco.2015.612]</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lastRenderedPageBreak/>
        <w:t xml:space="preserve">9 </w:t>
      </w:r>
      <w:r w:rsidRPr="00483448">
        <w:rPr>
          <w:rFonts w:ascii="Book Antiqua" w:eastAsia="等线" w:hAnsi="Book Antiqua"/>
          <w:b/>
          <w:lang w:eastAsia="zh-CN"/>
        </w:rPr>
        <w:t>Yip C</w:t>
      </w:r>
      <w:r w:rsidRPr="00483448">
        <w:rPr>
          <w:rFonts w:ascii="Book Antiqua" w:eastAsia="等线" w:hAnsi="Book Antiqua"/>
          <w:lang w:eastAsia="zh-CN"/>
        </w:rPr>
        <w:t xml:space="preserve">, Goh V, Davies A, Gossage J, Mitchell-Hay R, Hynes O, Maisey N, Ross P, Gaya A, Landau DB, Cook GJ, Griffin N, Mason R. Assessment of sarcopenia and changes in body composition after neoadjuvant chemotherapy and associations with clinical outcomes in oesophageal cancer. </w:t>
      </w:r>
      <w:r w:rsidRPr="00483448">
        <w:rPr>
          <w:rFonts w:ascii="Book Antiqua" w:eastAsia="等线" w:hAnsi="Book Antiqua"/>
          <w:i/>
          <w:lang w:eastAsia="zh-CN"/>
        </w:rPr>
        <w:t>Eur Radiol</w:t>
      </w:r>
      <w:r w:rsidRPr="00483448">
        <w:rPr>
          <w:rFonts w:ascii="Book Antiqua" w:eastAsia="等线" w:hAnsi="Book Antiqua"/>
          <w:lang w:eastAsia="zh-CN"/>
        </w:rPr>
        <w:t xml:space="preserve"> 2014; </w:t>
      </w:r>
      <w:r w:rsidRPr="00483448">
        <w:rPr>
          <w:rFonts w:ascii="Book Antiqua" w:eastAsia="等线" w:hAnsi="Book Antiqua"/>
          <w:b/>
          <w:lang w:eastAsia="zh-CN"/>
        </w:rPr>
        <w:t>24</w:t>
      </w:r>
      <w:r w:rsidRPr="00483448">
        <w:rPr>
          <w:rFonts w:ascii="Book Antiqua" w:eastAsia="等线" w:hAnsi="Book Antiqua"/>
          <w:lang w:eastAsia="zh-CN"/>
        </w:rPr>
        <w:t>: 998-1005 [PMID: 24535076 DOI: 10.1007/s00330-014-3110-4]</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10 </w:t>
      </w:r>
      <w:r w:rsidRPr="00483448">
        <w:rPr>
          <w:rFonts w:ascii="Book Antiqua" w:eastAsia="等线" w:hAnsi="Book Antiqua"/>
          <w:b/>
          <w:lang w:eastAsia="zh-CN"/>
        </w:rPr>
        <w:t>Jenkinson AD</w:t>
      </w:r>
      <w:r w:rsidRPr="00483448">
        <w:rPr>
          <w:rFonts w:ascii="Book Antiqua" w:eastAsia="等线" w:hAnsi="Book Antiqua"/>
          <w:lang w:eastAsia="zh-CN"/>
        </w:rPr>
        <w:t xml:space="preserve">, Lim J, Agrawal N, Menzies D. Laparoscopic feeding jejunostomy in esophagogastric cancer. </w:t>
      </w:r>
      <w:r w:rsidRPr="00483448">
        <w:rPr>
          <w:rFonts w:ascii="Book Antiqua" w:eastAsia="等线" w:hAnsi="Book Antiqua"/>
          <w:i/>
          <w:lang w:eastAsia="zh-CN"/>
        </w:rPr>
        <w:t>Surg Endosc</w:t>
      </w:r>
      <w:r w:rsidRPr="00483448">
        <w:rPr>
          <w:rFonts w:ascii="Book Antiqua" w:eastAsia="等线" w:hAnsi="Book Antiqua"/>
          <w:lang w:eastAsia="zh-CN"/>
        </w:rPr>
        <w:t xml:space="preserve"> 2007; </w:t>
      </w:r>
      <w:r w:rsidRPr="00483448">
        <w:rPr>
          <w:rFonts w:ascii="Book Antiqua" w:eastAsia="等线" w:hAnsi="Book Antiqua"/>
          <w:b/>
          <w:lang w:eastAsia="zh-CN"/>
        </w:rPr>
        <w:t>21</w:t>
      </w:r>
      <w:r w:rsidRPr="00483448">
        <w:rPr>
          <w:rFonts w:ascii="Book Antiqua" w:eastAsia="等线" w:hAnsi="Book Antiqua"/>
          <w:lang w:eastAsia="zh-CN"/>
        </w:rPr>
        <w:t>: 299-302 [PMID: 17122985 DOI: 10.1007/s00464-005-0727-z]</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11 </w:t>
      </w:r>
      <w:r w:rsidRPr="00483448">
        <w:rPr>
          <w:rFonts w:ascii="Book Antiqua" w:eastAsia="等线" w:hAnsi="Book Antiqua"/>
          <w:b/>
          <w:lang w:eastAsia="zh-CN"/>
        </w:rPr>
        <w:t>Ben-David K</w:t>
      </w:r>
      <w:r w:rsidRPr="00483448">
        <w:rPr>
          <w:rFonts w:ascii="Book Antiqua" w:eastAsia="等线" w:hAnsi="Book Antiqua"/>
          <w:lang w:eastAsia="zh-CN"/>
        </w:rPr>
        <w:t xml:space="preserve">, Kim T, Caban AM, Rossidis G, Rodriguez SS, Hochwald SN. Pre-therapy laparoscopic feeding jejunostomy is safe and effective in patients undergoing minimally invasive esophagectomy for cancer. </w:t>
      </w:r>
      <w:r w:rsidRPr="00483448">
        <w:rPr>
          <w:rFonts w:ascii="Book Antiqua" w:eastAsia="等线" w:hAnsi="Book Antiqua"/>
          <w:i/>
          <w:lang w:eastAsia="zh-CN"/>
        </w:rPr>
        <w:t>J Gastrointest Surg</w:t>
      </w:r>
      <w:r w:rsidRPr="00483448">
        <w:rPr>
          <w:rFonts w:ascii="Book Antiqua" w:eastAsia="等线" w:hAnsi="Book Antiqua"/>
          <w:lang w:eastAsia="zh-CN"/>
        </w:rPr>
        <w:t xml:space="preserve"> 2013; </w:t>
      </w:r>
      <w:r w:rsidRPr="00483448">
        <w:rPr>
          <w:rFonts w:ascii="Book Antiqua" w:eastAsia="等线" w:hAnsi="Book Antiqua"/>
          <w:b/>
          <w:lang w:eastAsia="zh-CN"/>
        </w:rPr>
        <w:t>17</w:t>
      </w:r>
      <w:r w:rsidRPr="00483448">
        <w:rPr>
          <w:rFonts w:ascii="Book Antiqua" w:eastAsia="等线" w:hAnsi="Book Antiqua"/>
          <w:lang w:eastAsia="zh-CN"/>
        </w:rPr>
        <w:t>: 1352-1358 [PMID: 23709367 DOI: 10.1007/s11605-013-2231-4]</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12 </w:t>
      </w:r>
      <w:r w:rsidRPr="00483448">
        <w:rPr>
          <w:rFonts w:ascii="Book Antiqua" w:eastAsia="等线" w:hAnsi="Book Antiqua"/>
          <w:b/>
          <w:lang w:eastAsia="zh-CN"/>
        </w:rPr>
        <w:t>Brierley JD,</w:t>
      </w:r>
      <w:r w:rsidRPr="00483448">
        <w:rPr>
          <w:rFonts w:ascii="Book Antiqua" w:eastAsia="等线" w:hAnsi="Book Antiqua"/>
          <w:lang w:eastAsia="zh-CN"/>
        </w:rPr>
        <w:t xml:space="preserve"> Gospodarowicz MK, Wittekind C. TNM classification of malignant tumours, 8th Edition. Wiley-Blackwell, 2016: 272</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13 </w:t>
      </w:r>
      <w:r w:rsidRPr="00483448">
        <w:rPr>
          <w:rFonts w:ascii="Book Antiqua" w:eastAsia="等线" w:hAnsi="Book Antiqua"/>
          <w:b/>
          <w:lang w:eastAsia="zh-CN"/>
        </w:rPr>
        <w:t>Knyrim K</w:t>
      </w:r>
      <w:r w:rsidRPr="00483448">
        <w:rPr>
          <w:rFonts w:ascii="Book Antiqua" w:eastAsia="等线" w:hAnsi="Book Antiqua"/>
          <w:lang w:eastAsia="zh-CN"/>
        </w:rPr>
        <w:t xml:space="preserve">, Wagner HJ, Bethge N, Keymling M, Vakil N. A controlled trial of an expansile metal stent for palliation of esophageal obstruction due to inoperable cancer. </w:t>
      </w:r>
      <w:r w:rsidRPr="00483448">
        <w:rPr>
          <w:rFonts w:ascii="Book Antiqua" w:eastAsia="等线" w:hAnsi="Book Antiqua"/>
          <w:i/>
          <w:lang w:eastAsia="zh-CN"/>
        </w:rPr>
        <w:t>N Engl J Med</w:t>
      </w:r>
      <w:r w:rsidRPr="00483448">
        <w:rPr>
          <w:rFonts w:ascii="Book Antiqua" w:eastAsia="等线" w:hAnsi="Book Antiqua"/>
          <w:lang w:eastAsia="zh-CN"/>
        </w:rPr>
        <w:t xml:space="preserve"> 1993; </w:t>
      </w:r>
      <w:r w:rsidRPr="00483448">
        <w:rPr>
          <w:rFonts w:ascii="Book Antiqua" w:eastAsia="等线" w:hAnsi="Book Antiqua"/>
          <w:b/>
          <w:lang w:eastAsia="zh-CN"/>
        </w:rPr>
        <w:t>329</w:t>
      </w:r>
      <w:r w:rsidRPr="00483448">
        <w:rPr>
          <w:rFonts w:ascii="Book Antiqua" w:eastAsia="等线" w:hAnsi="Book Antiqua"/>
          <w:lang w:eastAsia="zh-CN"/>
        </w:rPr>
        <w:t>: 1302-1307 [PMID: 7692297 DOI: 10.1056/NEJM199310283291803]</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14 </w:t>
      </w:r>
      <w:r w:rsidRPr="00483448">
        <w:rPr>
          <w:rFonts w:ascii="Book Antiqua" w:eastAsia="等线" w:hAnsi="Book Antiqua"/>
          <w:b/>
          <w:lang w:eastAsia="zh-CN"/>
        </w:rPr>
        <w:t>Henry CJ</w:t>
      </w:r>
      <w:r w:rsidRPr="00483448">
        <w:rPr>
          <w:rFonts w:ascii="Book Antiqua" w:eastAsia="等线" w:hAnsi="Book Antiqua"/>
          <w:lang w:eastAsia="zh-CN"/>
        </w:rPr>
        <w:t xml:space="preserve">. Basal metabolic rate studies in humans: measurement and development of new equations. </w:t>
      </w:r>
      <w:r w:rsidRPr="00483448">
        <w:rPr>
          <w:rFonts w:ascii="Book Antiqua" w:eastAsia="等线" w:hAnsi="Book Antiqua"/>
          <w:i/>
          <w:lang w:eastAsia="zh-CN"/>
        </w:rPr>
        <w:t>Public Health Nutr</w:t>
      </w:r>
      <w:r w:rsidRPr="00483448">
        <w:rPr>
          <w:rFonts w:ascii="Book Antiqua" w:eastAsia="等线" w:hAnsi="Book Antiqua"/>
          <w:lang w:eastAsia="zh-CN"/>
        </w:rPr>
        <w:t xml:space="preserve"> 2005; </w:t>
      </w:r>
      <w:r w:rsidRPr="00483448">
        <w:rPr>
          <w:rFonts w:ascii="Book Antiqua" w:eastAsia="等线" w:hAnsi="Book Antiqua"/>
          <w:b/>
          <w:lang w:eastAsia="zh-CN"/>
        </w:rPr>
        <w:t>8</w:t>
      </w:r>
      <w:r w:rsidRPr="00483448">
        <w:rPr>
          <w:rFonts w:ascii="Book Antiqua" w:eastAsia="等线" w:hAnsi="Book Antiqua"/>
          <w:lang w:eastAsia="zh-CN"/>
        </w:rPr>
        <w:t>: 1133-1152 [PMID: 16277825 DOI: 10.1079/PHN2005801]</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15 </w:t>
      </w:r>
      <w:r w:rsidRPr="00483448">
        <w:rPr>
          <w:rFonts w:ascii="Book Antiqua" w:eastAsia="等线" w:hAnsi="Book Antiqua"/>
          <w:b/>
          <w:lang w:eastAsia="zh-CN"/>
        </w:rPr>
        <w:t>Mitsiopoulos N</w:t>
      </w:r>
      <w:r w:rsidRPr="00483448">
        <w:rPr>
          <w:rFonts w:ascii="Book Antiqua" w:eastAsia="等线" w:hAnsi="Book Antiqua"/>
          <w:lang w:eastAsia="zh-CN"/>
        </w:rPr>
        <w:t xml:space="preserve">, Baumgartner RN, Heymsfield SB, Lyons W, Gallagher D, Ross R. Cadaver validation of skeletal muscle measurement by magnetic resonance imaging and computerized tomography. </w:t>
      </w:r>
      <w:r w:rsidRPr="00483448">
        <w:rPr>
          <w:rFonts w:ascii="Book Antiqua" w:eastAsia="等线" w:hAnsi="Book Antiqua"/>
          <w:i/>
          <w:lang w:eastAsia="zh-CN"/>
        </w:rPr>
        <w:t>J Appl Physiol (1985)</w:t>
      </w:r>
      <w:r w:rsidRPr="00483448">
        <w:rPr>
          <w:rFonts w:ascii="Book Antiqua" w:eastAsia="等线" w:hAnsi="Book Antiqua"/>
          <w:lang w:eastAsia="zh-CN"/>
        </w:rPr>
        <w:t xml:space="preserve"> 1998; </w:t>
      </w:r>
      <w:r w:rsidRPr="00483448">
        <w:rPr>
          <w:rFonts w:ascii="Book Antiqua" w:eastAsia="等线" w:hAnsi="Book Antiqua"/>
          <w:b/>
          <w:lang w:eastAsia="zh-CN"/>
        </w:rPr>
        <w:t>85</w:t>
      </w:r>
      <w:r w:rsidRPr="00483448">
        <w:rPr>
          <w:rFonts w:ascii="Book Antiqua" w:eastAsia="等线" w:hAnsi="Book Antiqua"/>
          <w:lang w:eastAsia="zh-CN"/>
        </w:rPr>
        <w:t>: 115-122 [PMID: 9655763 DOI: 10.1152/jappl.1998.85.1.115]</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16 </w:t>
      </w:r>
      <w:r w:rsidRPr="00483448">
        <w:rPr>
          <w:rFonts w:ascii="Book Antiqua" w:eastAsia="等线" w:hAnsi="Book Antiqua"/>
          <w:b/>
          <w:lang w:eastAsia="zh-CN"/>
        </w:rPr>
        <w:t>Heymsfield SB</w:t>
      </w:r>
      <w:r w:rsidRPr="00483448">
        <w:rPr>
          <w:rFonts w:ascii="Book Antiqua" w:eastAsia="等线" w:hAnsi="Book Antiqua"/>
          <w:lang w:eastAsia="zh-CN"/>
        </w:rPr>
        <w:t xml:space="preserve">, Wang Z, Baumgartner RN, Ross R. Human body composition: advances in models and methods. </w:t>
      </w:r>
      <w:r w:rsidRPr="00483448">
        <w:rPr>
          <w:rFonts w:ascii="Book Antiqua" w:eastAsia="等线" w:hAnsi="Book Antiqua"/>
          <w:i/>
          <w:lang w:eastAsia="zh-CN"/>
        </w:rPr>
        <w:t>Annu Rev Nutr</w:t>
      </w:r>
      <w:r w:rsidRPr="00483448">
        <w:rPr>
          <w:rFonts w:ascii="Book Antiqua" w:eastAsia="等线" w:hAnsi="Book Antiqua"/>
          <w:lang w:eastAsia="zh-CN"/>
        </w:rPr>
        <w:t xml:space="preserve"> 1997; </w:t>
      </w:r>
      <w:r w:rsidRPr="00483448">
        <w:rPr>
          <w:rFonts w:ascii="Book Antiqua" w:eastAsia="等线" w:hAnsi="Book Antiqua"/>
          <w:b/>
          <w:lang w:eastAsia="zh-CN"/>
        </w:rPr>
        <w:t>17</w:t>
      </w:r>
      <w:r w:rsidRPr="00483448">
        <w:rPr>
          <w:rFonts w:ascii="Book Antiqua" w:eastAsia="等线" w:hAnsi="Book Antiqua"/>
          <w:lang w:eastAsia="zh-CN"/>
        </w:rPr>
        <w:t>: 527-558 [PMID: 9240939 DOI: 10.1146/annurev.nutr.17.1.527]</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17 </w:t>
      </w:r>
      <w:r w:rsidRPr="00483448">
        <w:rPr>
          <w:rFonts w:ascii="Book Antiqua" w:eastAsia="等线" w:hAnsi="Book Antiqua"/>
          <w:b/>
          <w:lang w:eastAsia="zh-CN"/>
        </w:rPr>
        <w:t>Prado CM</w:t>
      </w:r>
      <w:r w:rsidRPr="00483448">
        <w:rPr>
          <w:rFonts w:ascii="Book Antiqua" w:eastAsia="等线" w:hAnsi="Book Antiqua"/>
          <w:lang w:eastAsia="zh-CN"/>
        </w:rPr>
        <w:t xml:space="preserve">, Heymsfield SB. Lean tissue imaging: a new era for nutritional assessment and intervention. </w:t>
      </w:r>
      <w:r w:rsidRPr="00483448">
        <w:rPr>
          <w:rFonts w:ascii="Book Antiqua" w:eastAsia="等线" w:hAnsi="Book Antiqua"/>
          <w:i/>
          <w:lang w:eastAsia="zh-CN"/>
        </w:rPr>
        <w:t>JPEN J Parenter Enteral Nutr</w:t>
      </w:r>
      <w:r w:rsidRPr="00483448">
        <w:rPr>
          <w:rFonts w:ascii="Book Antiqua" w:eastAsia="等线" w:hAnsi="Book Antiqua"/>
          <w:lang w:eastAsia="zh-CN"/>
        </w:rPr>
        <w:t xml:space="preserve"> 2014; </w:t>
      </w:r>
      <w:r w:rsidRPr="00483448">
        <w:rPr>
          <w:rFonts w:ascii="Book Antiqua" w:eastAsia="等线" w:hAnsi="Book Antiqua"/>
          <w:b/>
          <w:lang w:eastAsia="zh-CN"/>
        </w:rPr>
        <w:t>38</w:t>
      </w:r>
      <w:r w:rsidRPr="00483448">
        <w:rPr>
          <w:rFonts w:ascii="Book Antiqua" w:eastAsia="等线" w:hAnsi="Book Antiqua"/>
          <w:lang w:eastAsia="zh-CN"/>
        </w:rPr>
        <w:t>: 940-953 [PMID: 25239112 DOI: 10.1177/0148607114550189]</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lastRenderedPageBreak/>
        <w:t xml:space="preserve">18 </w:t>
      </w:r>
      <w:r w:rsidRPr="00483448">
        <w:rPr>
          <w:rFonts w:ascii="Book Antiqua" w:eastAsia="等线" w:hAnsi="Book Antiqua"/>
          <w:b/>
          <w:lang w:eastAsia="zh-CN"/>
        </w:rPr>
        <w:t>Martin L</w:t>
      </w:r>
      <w:r w:rsidRPr="00483448">
        <w:rPr>
          <w:rFonts w:ascii="Book Antiqua" w:eastAsia="等线" w:hAnsi="Book Antiqua"/>
          <w:lang w:eastAsia="zh-CN"/>
        </w:rPr>
        <w:t xml:space="preserve">, Birdsell L, Macdonald N, Reiman T, Clandinin MT, McCargar LJ, Murphy R, Ghosh S, Sawyer MB, Baracos VE. Cancer cachexia in the age of obesity: skeletal muscle depletion is a powerful prognostic factor, independent of body mass index. </w:t>
      </w:r>
      <w:r w:rsidRPr="00483448">
        <w:rPr>
          <w:rFonts w:ascii="Book Antiqua" w:eastAsia="等线" w:hAnsi="Book Antiqua"/>
          <w:i/>
          <w:lang w:eastAsia="zh-CN"/>
        </w:rPr>
        <w:t>J Clin Oncol</w:t>
      </w:r>
      <w:r w:rsidRPr="00483448">
        <w:rPr>
          <w:rFonts w:ascii="Book Antiqua" w:eastAsia="等线" w:hAnsi="Book Antiqua"/>
          <w:lang w:eastAsia="zh-CN"/>
        </w:rPr>
        <w:t xml:space="preserve"> 2013; </w:t>
      </w:r>
      <w:r w:rsidRPr="00483448">
        <w:rPr>
          <w:rFonts w:ascii="Book Antiqua" w:eastAsia="等线" w:hAnsi="Book Antiqua"/>
          <w:b/>
          <w:lang w:eastAsia="zh-CN"/>
        </w:rPr>
        <w:t>31</w:t>
      </w:r>
      <w:r w:rsidRPr="00483448">
        <w:rPr>
          <w:rFonts w:ascii="Book Antiqua" w:eastAsia="等线" w:hAnsi="Book Antiqua"/>
          <w:lang w:eastAsia="zh-CN"/>
        </w:rPr>
        <w:t>: 1539-1547 [PMID: 23530101 DOI: 10.1200/JCO.2012.45.2722]</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19 </w:t>
      </w:r>
      <w:r w:rsidRPr="00483448">
        <w:rPr>
          <w:rFonts w:ascii="Book Antiqua" w:eastAsia="等线" w:hAnsi="Book Antiqua"/>
          <w:b/>
          <w:lang w:eastAsia="zh-CN"/>
        </w:rPr>
        <w:t>Ryan AM</w:t>
      </w:r>
      <w:r w:rsidRPr="00483448">
        <w:rPr>
          <w:rFonts w:ascii="Book Antiqua" w:eastAsia="等线" w:hAnsi="Book Antiqua"/>
          <w:lang w:eastAsia="zh-CN"/>
        </w:rPr>
        <w:t xml:space="preserve">, Reynolds JV, Healy L, Byrne M, Moore J, Brannelly N, McHugh A, McCormack D, Flood P. Enteral nutrition enriched with eicosapentaenoic acid (EPA) preserves lean body mass following esophageal cancer surgery: results of a double-blinded randomized controlled trial. </w:t>
      </w:r>
      <w:r w:rsidRPr="00483448">
        <w:rPr>
          <w:rFonts w:ascii="Book Antiqua" w:eastAsia="等线" w:hAnsi="Book Antiqua"/>
          <w:i/>
          <w:lang w:eastAsia="zh-CN"/>
        </w:rPr>
        <w:t>Ann Surg</w:t>
      </w:r>
      <w:r w:rsidRPr="00483448">
        <w:rPr>
          <w:rFonts w:ascii="Book Antiqua" w:eastAsia="等线" w:hAnsi="Book Antiqua"/>
          <w:lang w:eastAsia="zh-CN"/>
        </w:rPr>
        <w:t xml:space="preserve"> 2009; </w:t>
      </w:r>
      <w:r w:rsidRPr="00483448">
        <w:rPr>
          <w:rFonts w:ascii="Book Antiqua" w:eastAsia="等线" w:hAnsi="Book Antiqua"/>
          <w:b/>
          <w:lang w:eastAsia="zh-CN"/>
        </w:rPr>
        <w:t>249</w:t>
      </w:r>
      <w:r w:rsidRPr="00483448">
        <w:rPr>
          <w:rFonts w:ascii="Book Antiqua" w:eastAsia="等线" w:hAnsi="Book Antiqua"/>
          <w:lang w:eastAsia="zh-CN"/>
        </w:rPr>
        <w:t>: 355-363 [PMID: 19247018 DOI: 10.1097/SLA.0b013e31819a4789]</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20 </w:t>
      </w:r>
      <w:r w:rsidRPr="00483448">
        <w:rPr>
          <w:rFonts w:ascii="Book Antiqua" w:eastAsia="等线" w:hAnsi="Book Antiqua"/>
          <w:b/>
          <w:lang w:eastAsia="zh-CN"/>
        </w:rPr>
        <w:t>Dieli-Conwright CM</w:t>
      </w:r>
      <w:r w:rsidRPr="00483448">
        <w:rPr>
          <w:rFonts w:ascii="Book Antiqua" w:eastAsia="等线" w:hAnsi="Book Antiqua"/>
          <w:lang w:eastAsia="zh-CN"/>
        </w:rPr>
        <w:t xml:space="preserve">, Courneya KS, Demark-Wahnefried W, Sami N, Lee K, Buchanan TA, Spicer DV, Tripathy D, Bernstein L, Mortimer JE. Effects of Aerobic and Resistance Exercise on Metabolic Syndrome, Sarcopenic Obesity, and Circulating Biomarkers in Overweight or Obese Survivors of Breast Cancer: A Randomized Controlled Trial. </w:t>
      </w:r>
      <w:r w:rsidRPr="00483448">
        <w:rPr>
          <w:rFonts w:ascii="Book Antiqua" w:eastAsia="等线" w:hAnsi="Book Antiqua"/>
          <w:i/>
          <w:lang w:eastAsia="zh-CN"/>
        </w:rPr>
        <w:t>J Clin Oncol</w:t>
      </w:r>
      <w:r w:rsidRPr="00483448">
        <w:rPr>
          <w:rFonts w:ascii="Book Antiqua" w:eastAsia="等线" w:hAnsi="Book Antiqua"/>
          <w:lang w:eastAsia="zh-CN"/>
        </w:rPr>
        <w:t xml:space="preserve"> 2018; </w:t>
      </w:r>
      <w:r w:rsidRPr="00483448">
        <w:rPr>
          <w:rFonts w:ascii="Book Antiqua" w:eastAsia="等线" w:hAnsi="Book Antiqua"/>
          <w:b/>
          <w:lang w:eastAsia="zh-CN"/>
        </w:rPr>
        <w:t>36</w:t>
      </w:r>
      <w:r w:rsidRPr="00483448">
        <w:rPr>
          <w:rFonts w:ascii="Book Antiqua" w:eastAsia="等线" w:hAnsi="Book Antiqua"/>
          <w:lang w:eastAsia="zh-CN"/>
        </w:rPr>
        <w:t>: 875-883 [PMID: 29356607 DOI: 10.1200/JCO.2017.75.7526]</w:t>
      </w:r>
    </w:p>
    <w:p w:rsidR="00A33C79" w:rsidRPr="00483448" w:rsidRDefault="00A33C79" w:rsidP="004C5FED">
      <w:pPr>
        <w:widowControl w:val="0"/>
        <w:snapToGrid w:val="0"/>
        <w:spacing w:line="360" w:lineRule="auto"/>
        <w:jc w:val="both"/>
        <w:rPr>
          <w:rFonts w:ascii="Book Antiqua" w:eastAsia="等线" w:hAnsi="Book Antiqua"/>
          <w:lang w:eastAsia="zh-CN"/>
        </w:rPr>
      </w:pPr>
      <w:r w:rsidRPr="00483448">
        <w:rPr>
          <w:rFonts w:ascii="Book Antiqua" w:eastAsia="等线" w:hAnsi="Book Antiqua"/>
          <w:lang w:eastAsia="zh-CN"/>
        </w:rPr>
        <w:t xml:space="preserve">21 </w:t>
      </w:r>
      <w:r w:rsidRPr="00483448">
        <w:rPr>
          <w:rFonts w:ascii="Book Antiqua" w:eastAsia="等线" w:hAnsi="Book Antiqua"/>
          <w:b/>
          <w:lang w:eastAsia="zh-CN"/>
        </w:rPr>
        <w:t>Adams SC</w:t>
      </w:r>
      <w:r w:rsidRPr="00483448">
        <w:rPr>
          <w:rFonts w:ascii="Book Antiqua" w:eastAsia="等线" w:hAnsi="Book Antiqua"/>
          <w:lang w:eastAsia="zh-CN"/>
        </w:rPr>
        <w:t xml:space="preserve">, Segal RJ, McKenzie DC, Vallerand JR, Morielli AR, Mackey JR, Gelmon K, Friedenreich CM, Reid RD, Courneya KS. Impact of resistance and aerobic exercise on sarcopenia and dynapenia in breast cancer patients receiving adjuvant chemotherapy: a multicenter randomized controlled trial. </w:t>
      </w:r>
      <w:r w:rsidRPr="00483448">
        <w:rPr>
          <w:rFonts w:ascii="Book Antiqua" w:eastAsia="等线" w:hAnsi="Book Antiqua"/>
          <w:i/>
          <w:lang w:eastAsia="zh-CN"/>
        </w:rPr>
        <w:t>Breast Cancer Res Treat</w:t>
      </w:r>
      <w:r w:rsidRPr="00483448">
        <w:rPr>
          <w:rFonts w:ascii="Book Antiqua" w:eastAsia="等线" w:hAnsi="Book Antiqua"/>
          <w:lang w:eastAsia="zh-CN"/>
        </w:rPr>
        <w:t xml:space="preserve"> 2016; </w:t>
      </w:r>
      <w:r w:rsidRPr="00483448">
        <w:rPr>
          <w:rFonts w:ascii="Book Antiqua" w:eastAsia="等线" w:hAnsi="Book Antiqua"/>
          <w:b/>
          <w:lang w:eastAsia="zh-CN"/>
        </w:rPr>
        <w:t>158</w:t>
      </w:r>
      <w:r w:rsidRPr="00483448">
        <w:rPr>
          <w:rFonts w:ascii="Book Antiqua" w:eastAsia="等线" w:hAnsi="Book Antiqua"/>
          <w:lang w:eastAsia="zh-CN"/>
        </w:rPr>
        <w:t>: 497-507 [PMID: 27394134 DOI: 10.1007/s10549-016-3900-2]</w:t>
      </w:r>
    </w:p>
    <w:p w:rsidR="00527374" w:rsidRPr="00483448" w:rsidRDefault="00527374" w:rsidP="004C5FED">
      <w:pPr>
        <w:suppressAutoHyphens/>
        <w:snapToGrid w:val="0"/>
        <w:spacing w:line="360" w:lineRule="auto"/>
        <w:jc w:val="both"/>
        <w:rPr>
          <w:rFonts w:ascii="Book Antiqua" w:eastAsia="Lucida Sans Unicode" w:hAnsi="Book Antiqua" w:cs="Arial"/>
          <w:b/>
          <w:lang w:eastAsia="hi-IN" w:bidi="hi-IN"/>
        </w:rPr>
      </w:pPr>
      <w:bookmarkStart w:id="147" w:name="OLE_LINK502"/>
      <w:bookmarkStart w:id="148" w:name="OLE_LINK480"/>
      <w:bookmarkStart w:id="149" w:name="OLE_LINK2090"/>
      <w:bookmarkStart w:id="150" w:name="OLE_LINK2200"/>
      <w:bookmarkStart w:id="151" w:name="OLE_LINK2199"/>
      <w:bookmarkStart w:id="152" w:name="OLE_LINK2198"/>
      <w:bookmarkStart w:id="153" w:name="OLE_LINK2162"/>
      <w:bookmarkStart w:id="154" w:name="OLE_LINK1963"/>
      <w:bookmarkStart w:id="155" w:name="OLE_LINK1962"/>
      <w:bookmarkStart w:id="156" w:name="OLE_LINK1812"/>
      <w:bookmarkStart w:id="157" w:name="OLE_LINK1811"/>
      <w:bookmarkStart w:id="158" w:name="OLE_LINK1807"/>
      <w:bookmarkStart w:id="159" w:name="OLE_LINK1806"/>
      <w:bookmarkStart w:id="160" w:name="OLE_LINK1636"/>
      <w:bookmarkStart w:id="161" w:name="OLE_LINK1845"/>
      <w:bookmarkStart w:id="162" w:name="OLE_LINK1844"/>
      <w:bookmarkStart w:id="163" w:name="OLE_LINK1843"/>
      <w:bookmarkStart w:id="164" w:name="OLE_LINK1803"/>
      <w:bookmarkStart w:id="165" w:name="OLE_LINK1802"/>
      <w:bookmarkStart w:id="166" w:name="OLE_LINK1801"/>
      <w:bookmarkStart w:id="167" w:name="OLE_LINK1800"/>
      <w:bookmarkStart w:id="168" w:name="OLE_LINK1282"/>
      <w:bookmarkStart w:id="169" w:name="OLE_LINK1266"/>
      <w:bookmarkStart w:id="170" w:name="OLE_LINK1264"/>
      <w:bookmarkStart w:id="171" w:name="OLE_LINK1261"/>
      <w:bookmarkStart w:id="172" w:name="OLE_LINK1260"/>
      <w:bookmarkStart w:id="173" w:name="OLE_LINK1044"/>
      <w:bookmarkStart w:id="174" w:name="OLE_LINK1043"/>
      <w:bookmarkStart w:id="175" w:name="OLE_LINK1039"/>
      <w:bookmarkStart w:id="176" w:name="OLE_LINK1038"/>
      <w:bookmarkStart w:id="177" w:name="OLE_LINK1036"/>
      <w:bookmarkStart w:id="178" w:name="OLE_LINK1035"/>
      <w:bookmarkStart w:id="179" w:name="OLE_LINK987"/>
      <w:bookmarkStart w:id="180" w:name="OLE_LINK947"/>
      <w:bookmarkStart w:id="181" w:name="OLE_LINK946"/>
      <w:bookmarkStart w:id="182" w:name="OLE_LINK945"/>
      <w:bookmarkStart w:id="183" w:name="OLE_LINK1127"/>
      <w:bookmarkStart w:id="184" w:name="OLE_LINK962"/>
      <w:bookmarkStart w:id="185" w:name="OLE_LINK959"/>
      <w:bookmarkStart w:id="186" w:name="OLE_LINK1185"/>
      <w:bookmarkStart w:id="187" w:name="OLE_LINK1159"/>
      <w:bookmarkStart w:id="188" w:name="OLE_LINK1158"/>
      <w:bookmarkStart w:id="189" w:name="OLE_LINK1157"/>
      <w:bookmarkStart w:id="190" w:name="OLE_LINK1156"/>
      <w:bookmarkStart w:id="191" w:name="OLE_LINK1065"/>
      <w:bookmarkStart w:id="192" w:name="OLE_LINK1064"/>
      <w:bookmarkStart w:id="193" w:name="OLE_LINK1023"/>
      <w:bookmarkStart w:id="194" w:name="OLE_LINK1022"/>
      <w:bookmarkStart w:id="195" w:name="OLE_LINK1021"/>
      <w:bookmarkStart w:id="196" w:name="_Hlk17901632"/>
    </w:p>
    <w:p w:rsidR="0055232E" w:rsidRPr="00483448" w:rsidRDefault="009662DE" w:rsidP="004C5FED">
      <w:pPr>
        <w:suppressAutoHyphens/>
        <w:snapToGrid w:val="0"/>
        <w:spacing w:line="360" w:lineRule="auto"/>
        <w:jc w:val="right"/>
        <w:rPr>
          <w:rFonts w:ascii="Book Antiqua" w:eastAsia="Lucida Sans Unicode" w:hAnsi="Book Antiqua" w:cs="Mangal"/>
          <w:b/>
          <w:bCs/>
          <w:lang w:eastAsia="hi-IN" w:bidi="hi-IN"/>
        </w:rPr>
      </w:pPr>
      <w:r w:rsidRPr="00483448">
        <w:rPr>
          <w:rFonts w:ascii="Book Antiqua" w:eastAsia="Lucida Sans Unicode" w:hAnsi="Book Antiqua" w:cs="Arial"/>
          <w:b/>
          <w:lang w:eastAsia="hi-IN" w:bidi="hi-IN"/>
        </w:rPr>
        <w:t>P-Reviewer</w:t>
      </w:r>
      <w:r w:rsidRPr="00483448">
        <w:rPr>
          <w:rFonts w:ascii="Book Antiqua" w:hAnsi="Book Antiqua" w:cs="Arial"/>
          <w:b/>
          <w:lang w:bidi="hi-IN"/>
        </w:rPr>
        <w:t>:</w:t>
      </w:r>
      <w:r w:rsidRPr="00483448">
        <w:rPr>
          <w:rFonts w:ascii="Book Antiqua" w:hAnsi="Book Antiqua"/>
        </w:rPr>
        <w:t xml:space="preserve"> </w:t>
      </w:r>
      <w:r w:rsidR="003010BB" w:rsidRPr="00483448">
        <w:rPr>
          <w:rFonts w:ascii="Book Antiqua" w:hAnsi="Book Antiqua"/>
        </w:rPr>
        <w:t>Aykan</w:t>
      </w:r>
      <w:r w:rsidR="003010BB" w:rsidRPr="00483448">
        <w:rPr>
          <w:rFonts w:ascii="Book Antiqua" w:eastAsia="宋体" w:hAnsi="Book Antiqua"/>
          <w:lang w:eastAsia="zh-CN"/>
        </w:rPr>
        <w:t xml:space="preserve"> NF, </w:t>
      </w:r>
      <w:r w:rsidR="003010BB" w:rsidRPr="00483448">
        <w:rPr>
          <w:rFonts w:ascii="Book Antiqua" w:hAnsi="Book Antiqua"/>
        </w:rPr>
        <w:t>Merrett</w:t>
      </w:r>
      <w:r w:rsidR="003010BB" w:rsidRPr="00483448">
        <w:rPr>
          <w:rFonts w:ascii="Book Antiqua" w:eastAsia="宋体" w:hAnsi="Book Antiqua"/>
          <w:lang w:eastAsia="zh-CN"/>
        </w:rPr>
        <w:t xml:space="preserve"> ND, Shi H </w:t>
      </w:r>
      <w:r w:rsidRPr="00483448">
        <w:rPr>
          <w:rFonts w:ascii="Book Antiqua" w:eastAsia="Lucida Sans Unicode" w:hAnsi="Book Antiqua" w:cs="Mangal"/>
          <w:b/>
          <w:bCs/>
          <w:lang w:eastAsia="hi-IN" w:bidi="hi-IN"/>
        </w:rPr>
        <w:t>S-Editor</w:t>
      </w:r>
      <w:r w:rsidRPr="00483448">
        <w:rPr>
          <w:rFonts w:ascii="Book Antiqua" w:hAnsi="Book Antiqua" w:cs="Mangal"/>
          <w:b/>
          <w:bCs/>
          <w:lang w:bidi="hi-IN"/>
        </w:rPr>
        <w:t>:</w:t>
      </w:r>
      <w:r w:rsidRPr="00483448">
        <w:rPr>
          <w:rFonts w:ascii="Book Antiqua" w:eastAsia="Lucida Sans Unicode" w:hAnsi="Book Antiqua" w:cs="Mangal"/>
          <w:bCs/>
          <w:lang w:eastAsia="hi-IN" w:bidi="hi-IN"/>
        </w:rPr>
        <w:t xml:space="preserve"> </w:t>
      </w:r>
      <w:r w:rsidRPr="00483448">
        <w:rPr>
          <w:rFonts w:ascii="Book Antiqua" w:hAnsi="Book Antiqua" w:cs="Mangal"/>
          <w:bCs/>
          <w:lang w:bidi="hi-IN"/>
        </w:rPr>
        <w:t>Ma YJ</w:t>
      </w:r>
      <w:r w:rsidRPr="00483448">
        <w:rPr>
          <w:rFonts w:ascii="Book Antiqua" w:eastAsia="Lucida Sans Unicode" w:hAnsi="Book Antiqua" w:cs="Mangal"/>
          <w:b/>
          <w:bCs/>
          <w:lang w:eastAsia="hi-IN" w:bidi="hi-IN"/>
        </w:rPr>
        <w:t xml:space="preserve"> </w:t>
      </w:r>
    </w:p>
    <w:p w:rsidR="009662DE" w:rsidRPr="00483448" w:rsidRDefault="009662DE" w:rsidP="004C5FED">
      <w:pPr>
        <w:suppressAutoHyphens/>
        <w:snapToGrid w:val="0"/>
        <w:spacing w:line="360" w:lineRule="auto"/>
        <w:jc w:val="right"/>
        <w:rPr>
          <w:rFonts w:ascii="Book Antiqua" w:hAnsi="Book Antiqua" w:cs="Mangal"/>
          <w:b/>
          <w:bCs/>
          <w:lang w:bidi="hi-IN"/>
        </w:rPr>
      </w:pPr>
      <w:r w:rsidRPr="00483448">
        <w:rPr>
          <w:rFonts w:ascii="Book Antiqua" w:eastAsia="Lucida Sans Unicode" w:hAnsi="Book Antiqua" w:cs="Mangal"/>
          <w:b/>
          <w:bCs/>
          <w:lang w:eastAsia="hi-IN" w:bidi="hi-IN"/>
        </w:rPr>
        <w:t>L-Editor</w:t>
      </w:r>
      <w:r w:rsidRPr="00483448">
        <w:rPr>
          <w:rFonts w:ascii="Book Antiqua" w:hAnsi="Book Antiqua" w:cs="Mangal"/>
          <w:b/>
          <w:bCs/>
          <w:lang w:bidi="hi-IN"/>
        </w:rPr>
        <w:t xml:space="preserve">: </w:t>
      </w:r>
      <w:r w:rsidR="003C0AE5" w:rsidRPr="00483448">
        <w:rPr>
          <w:rFonts w:ascii="Book Antiqua" w:hAnsi="Book Antiqua" w:cs="Mangal"/>
          <w:bCs/>
          <w:lang w:bidi="hi-IN"/>
        </w:rPr>
        <w:t>Filipodia</w:t>
      </w:r>
      <w:r w:rsidRPr="00483448">
        <w:rPr>
          <w:rFonts w:ascii="Book Antiqua" w:eastAsia="Lucida Sans Unicode" w:hAnsi="Book Antiqua" w:cs="Mangal"/>
          <w:b/>
          <w:bCs/>
          <w:lang w:eastAsia="hi-IN" w:bidi="hi-IN"/>
        </w:rPr>
        <w:t xml:space="preserve"> E-Editor</w:t>
      </w:r>
      <w:r w:rsidRPr="00483448">
        <w:rPr>
          <w:rFonts w:ascii="Book Antiqua" w:hAnsi="Book Antiqua" w:cs="Mangal"/>
          <w:b/>
          <w:bCs/>
          <w:lang w:bidi="hi-IN"/>
        </w:rPr>
        <w:t>:</w:t>
      </w:r>
      <w:r w:rsidRPr="00483448">
        <w:rPr>
          <w:rFonts w:ascii="Book Antiqua" w:hAnsi="Book Antiqua"/>
        </w:rPr>
        <w:t xml:space="preserve"> </w:t>
      </w:r>
      <w:r w:rsidR="00E93138" w:rsidRPr="00483448">
        <w:rPr>
          <w:rFonts w:ascii="Book Antiqua" w:hAnsi="Book Antiqua" w:hint="eastAsia"/>
        </w:rPr>
        <w:t>Qi LL</w:t>
      </w:r>
    </w:p>
    <w:p w:rsidR="009662DE" w:rsidRPr="00483448" w:rsidRDefault="009662DE" w:rsidP="004C5FED">
      <w:pPr>
        <w:shd w:val="clear" w:color="auto" w:fill="FFFFFF"/>
        <w:snapToGrid w:val="0"/>
        <w:spacing w:line="360" w:lineRule="auto"/>
        <w:jc w:val="both"/>
        <w:rPr>
          <w:rFonts w:ascii="Book Antiqua" w:hAnsi="Book Antiqua" w:cs="Helvetica"/>
          <w:b/>
        </w:rPr>
      </w:pPr>
      <w:r w:rsidRPr="00483448">
        <w:rPr>
          <w:rFonts w:ascii="Book Antiqua" w:hAnsi="Book Antiqua" w:cs="Helvetica"/>
          <w:b/>
        </w:rPr>
        <w:t xml:space="preserve">Specialty type: </w:t>
      </w:r>
      <w:r w:rsidR="008252FA" w:rsidRPr="00483448">
        <w:rPr>
          <w:rFonts w:ascii="Book Antiqua" w:eastAsia="微软雅黑" w:hAnsi="Book Antiqua" w:cs="宋体"/>
        </w:rPr>
        <w:t>Oncology</w:t>
      </w:r>
    </w:p>
    <w:p w:rsidR="009662DE" w:rsidRPr="00483448" w:rsidRDefault="009662DE" w:rsidP="004C5FED">
      <w:pPr>
        <w:shd w:val="clear" w:color="auto" w:fill="FFFFFF"/>
        <w:snapToGrid w:val="0"/>
        <w:spacing w:line="360" w:lineRule="auto"/>
        <w:jc w:val="both"/>
        <w:rPr>
          <w:rFonts w:ascii="Book Antiqua" w:hAnsi="Book Antiqua" w:cs="Helvetica"/>
          <w:b/>
        </w:rPr>
      </w:pPr>
      <w:r w:rsidRPr="00483448">
        <w:rPr>
          <w:rFonts w:ascii="Book Antiqua" w:hAnsi="Book Antiqua" w:cs="Helvetica"/>
          <w:b/>
        </w:rPr>
        <w:t xml:space="preserve">Country of origin: </w:t>
      </w:r>
      <w:r w:rsidR="003F588C" w:rsidRPr="00483448">
        <w:rPr>
          <w:rFonts w:ascii="Book Antiqua" w:hAnsi="Book Antiqua" w:cs="Helvetica"/>
        </w:rPr>
        <w:t>United Kingdom</w:t>
      </w:r>
    </w:p>
    <w:p w:rsidR="009662DE" w:rsidRPr="00483448" w:rsidRDefault="009662DE" w:rsidP="004C5FED">
      <w:pPr>
        <w:shd w:val="clear" w:color="auto" w:fill="FFFFFF"/>
        <w:snapToGrid w:val="0"/>
        <w:spacing w:line="360" w:lineRule="auto"/>
        <w:jc w:val="both"/>
        <w:rPr>
          <w:rFonts w:ascii="Book Antiqua" w:hAnsi="Book Antiqua" w:cs="Helvetica"/>
          <w:b/>
        </w:rPr>
      </w:pPr>
      <w:r w:rsidRPr="00483448">
        <w:rPr>
          <w:rFonts w:ascii="Book Antiqua" w:hAnsi="Book Antiqua" w:cs="Helvetica"/>
          <w:b/>
        </w:rPr>
        <w:t>Peer-review report classification</w:t>
      </w:r>
    </w:p>
    <w:p w:rsidR="009662DE" w:rsidRPr="00483448" w:rsidRDefault="009662DE" w:rsidP="004C5FED">
      <w:pPr>
        <w:shd w:val="clear" w:color="auto" w:fill="FFFFFF"/>
        <w:snapToGrid w:val="0"/>
        <w:spacing w:line="360" w:lineRule="auto"/>
        <w:jc w:val="both"/>
        <w:rPr>
          <w:rFonts w:ascii="Book Antiqua" w:hAnsi="Book Antiqua" w:cs="Helvetica"/>
        </w:rPr>
      </w:pPr>
      <w:r w:rsidRPr="00483448">
        <w:rPr>
          <w:rFonts w:ascii="Book Antiqua" w:hAnsi="Book Antiqua" w:cs="Helvetica"/>
        </w:rPr>
        <w:t xml:space="preserve">Grade A (Excellent): </w:t>
      </w:r>
      <w:r w:rsidR="00521D44" w:rsidRPr="00483448">
        <w:rPr>
          <w:rFonts w:ascii="Book Antiqua" w:hAnsi="Book Antiqua" w:cs="Helvetica"/>
        </w:rPr>
        <w:t>0</w:t>
      </w:r>
    </w:p>
    <w:p w:rsidR="009662DE" w:rsidRPr="00483448" w:rsidRDefault="009662DE" w:rsidP="004C5FED">
      <w:pPr>
        <w:shd w:val="clear" w:color="auto" w:fill="FFFFFF"/>
        <w:snapToGrid w:val="0"/>
        <w:spacing w:line="360" w:lineRule="auto"/>
        <w:jc w:val="both"/>
        <w:rPr>
          <w:rFonts w:ascii="Book Antiqua" w:hAnsi="Book Antiqua" w:cs="Helvetica"/>
        </w:rPr>
      </w:pPr>
      <w:r w:rsidRPr="00483448">
        <w:rPr>
          <w:rFonts w:ascii="Book Antiqua" w:hAnsi="Book Antiqua" w:cs="Helvetica"/>
        </w:rPr>
        <w:t>Grade B (Very good): B</w:t>
      </w:r>
    </w:p>
    <w:p w:rsidR="009662DE" w:rsidRPr="00483448" w:rsidRDefault="009662DE" w:rsidP="004C5FED">
      <w:pPr>
        <w:shd w:val="clear" w:color="auto" w:fill="FFFFFF"/>
        <w:snapToGrid w:val="0"/>
        <w:spacing w:line="360" w:lineRule="auto"/>
        <w:jc w:val="both"/>
        <w:rPr>
          <w:rFonts w:ascii="Book Antiqua" w:hAnsi="Book Antiqua" w:cs="Helvetica"/>
        </w:rPr>
      </w:pPr>
      <w:r w:rsidRPr="00483448">
        <w:rPr>
          <w:rFonts w:ascii="Book Antiqua" w:hAnsi="Book Antiqua" w:cs="Helvetica"/>
        </w:rPr>
        <w:t xml:space="preserve">Grade C (Good): </w:t>
      </w:r>
      <w:r w:rsidR="00521D44" w:rsidRPr="00483448">
        <w:rPr>
          <w:rFonts w:ascii="Book Antiqua" w:hAnsi="Book Antiqua" w:cs="Helvetica"/>
        </w:rPr>
        <w:t>C, C</w:t>
      </w:r>
    </w:p>
    <w:p w:rsidR="009662DE" w:rsidRPr="00483448" w:rsidRDefault="009662DE" w:rsidP="004C5FED">
      <w:pPr>
        <w:shd w:val="clear" w:color="auto" w:fill="FFFFFF"/>
        <w:snapToGrid w:val="0"/>
        <w:spacing w:line="360" w:lineRule="auto"/>
        <w:jc w:val="both"/>
        <w:rPr>
          <w:rFonts w:ascii="Book Antiqua" w:hAnsi="Book Antiqua" w:cs="Helvetica"/>
        </w:rPr>
      </w:pPr>
      <w:r w:rsidRPr="00483448">
        <w:rPr>
          <w:rFonts w:ascii="Book Antiqua" w:hAnsi="Book Antiqua" w:cs="Helvetica"/>
        </w:rPr>
        <w:t xml:space="preserve">Grade D (Fair): </w:t>
      </w:r>
      <w:bookmarkEnd w:id="147"/>
      <w:bookmarkEnd w:id="148"/>
      <w:r w:rsidRPr="00483448">
        <w:rPr>
          <w:rFonts w:ascii="Book Antiqua" w:hAnsi="Book Antiqua" w:cs="Helvetica"/>
        </w:rPr>
        <w:t>0</w:t>
      </w:r>
    </w:p>
    <w:p w:rsidR="00711024" w:rsidRPr="00483448" w:rsidRDefault="009662DE" w:rsidP="004C5FED">
      <w:pPr>
        <w:widowControl w:val="0"/>
        <w:autoSpaceDE w:val="0"/>
        <w:autoSpaceDN w:val="0"/>
        <w:adjustRightInd w:val="0"/>
        <w:snapToGrid w:val="0"/>
        <w:spacing w:line="360" w:lineRule="auto"/>
        <w:jc w:val="both"/>
        <w:rPr>
          <w:rFonts w:ascii="Book Antiqua" w:hAnsi="Book Antiqua"/>
          <w:color w:val="000000"/>
        </w:rPr>
      </w:pPr>
      <w:r w:rsidRPr="00483448">
        <w:rPr>
          <w:rFonts w:ascii="Book Antiqua" w:hAnsi="Book Antiqua" w:cs="Helvetica"/>
        </w:rPr>
        <w:lastRenderedPageBreak/>
        <w:t xml:space="preserve">Grade E (Poor):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83448">
        <w:rPr>
          <w:rFonts w:ascii="Book Antiqua" w:hAnsi="Book Antiqua" w:cs="Helvetica"/>
        </w:rPr>
        <w:t>0</w:t>
      </w:r>
      <w:bookmarkEnd w:id="196"/>
    </w:p>
    <w:p w:rsidR="00711024" w:rsidRPr="00483448" w:rsidRDefault="00711024" w:rsidP="004C5FED">
      <w:pPr>
        <w:widowControl w:val="0"/>
        <w:autoSpaceDE w:val="0"/>
        <w:autoSpaceDN w:val="0"/>
        <w:adjustRightInd w:val="0"/>
        <w:snapToGrid w:val="0"/>
        <w:spacing w:line="360" w:lineRule="auto"/>
        <w:ind w:hanging="640"/>
        <w:jc w:val="both"/>
        <w:rPr>
          <w:rFonts w:ascii="Book Antiqua" w:hAnsi="Book Antiqua"/>
          <w:color w:val="000000"/>
        </w:rPr>
      </w:pPr>
    </w:p>
    <w:p w:rsidR="00711024" w:rsidRPr="00483448" w:rsidRDefault="00711024" w:rsidP="004C5FED">
      <w:pPr>
        <w:widowControl w:val="0"/>
        <w:autoSpaceDE w:val="0"/>
        <w:autoSpaceDN w:val="0"/>
        <w:adjustRightInd w:val="0"/>
        <w:snapToGrid w:val="0"/>
        <w:spacing w:line="360" w:lineRule="auto"/>
        <w:ind w:hanging="640"/>
        <w:jc w:val="both"/>
        <w:rPr>
          <w:rFonts w:ascii="Book Antiqua" w:hAnsi="Book Antiqua"/>
          <w:color w:val="000000"/>
        </w:rPr>
      </w:pPr>
    </w:p>
    <w:p w:rsidR="00711024" w:rsidRPr="00483448" w:rsidRDefault="00982016" w:rsidP="004C5FED">
      <w:pPr>
        <w:widowControl w:val="0"/>
        <w:autoSpaceDE w:val="0"/>
        <w:autoSpaceDN w:val="0"/>
        <w:adjustRightInd w:val="0"/>
        <w:snapToGrid w:val="0"/>
        <w:spacing w:line="360" w:lineRule="auto"/>
        <w:ind w:hanging="640"/>
        <w:jc w:val="both"/>
        <w:rPr>
          <w:rFonts w:ascii="Book Antiqua" w:hAnsi="Book Antiqua"/>
          <w:color w:val="000000"/>
        </w:rPr>
      </w:pPr>
      <w:r w:rsidRPr="00483448">
        <w:rPr>
          <w:rFonts w:ascii="Book Antiqua" w:hAnsi="Book Antiqua"/>
          <w:color w:val="000000"/>
        </w:rPr>
        <w:br w:type="page"/>
      </w:r>
    </w:p>
    <w:p w:rsidR="00B5073B" w:rsidRPr="00483448" w:rsidRDefault="003721EC" w:rsidP="004C5FED">
      <w:pPr>
        <w:widowControl w:val="0"/>
        <w:autoSpaceDE w:val="0"/>
        <w:autoSpaceDN w:val="0"/>
        <w:adjustRightInd w:val="0"/>
        <w:snapToGrid w:val="0"/>
        <w:spacing w:line="360" w:lineRule="auto"/>
        <w:ind w:hanging="640"/>
        <w:jc w:val="both"/>
        <w:rPr>
          <w:rFonts w:ascii="Book Antiqua" w:hAnsi="Book Antiqua"/>
          <w:color w:val="000000"/>
        </w:rPr>
      </w:pPr>
      <w:r>
        <w:rPr>
          <w:rFonts w:ascii="Book Antiqua" w:hAnsi="Book Antiqua"/>
          <w:noProof/>
          <w:color w:val="000000"/>
          <w:lang w:val="en-US" w:eastAsia="zh-CN"/>
        </w:rPr>
        <w:drawing>
          <wp:inline distT="0" distB="0" distL="0" distR="0">
            <wp:extent cx="5729605" cy="1893570"/>
            <wp:effectExtent l="0" t="0" r="444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17664" b="23576"/>
                    <a:stretch>
                      <a:fillRect/>
                    </a:stretch>
                  </pic:blipFill>
                  <pic:spPr bwMode="auto">
                    <a:xfrm>
                      <a:off x="0" y="0"/>
                      <a:ext cx="5729605" cy="1893570"/>
                    </a:xfrm>
                    <a:prstGeom prst="rect">
                      <a:avLst/>
                    </a:prstGeom>
                    <a:noFill/>
                    <a:ln>
                      <a:noFill/>
                    </a:ln>
                  </pic:spPr>
                </pic:pic>
              </a:graphicData>
            </a:graphic>
          </wp:inline>
        </w:drawing>
      </w:r>
    </w:p>
    <w:p w:rsidR="00982016" w:rsidRPr="00483448" w:rsidRDefault="00982016" w:rsidP="004C5FED">
      <w:pPr>
        <w:widowControl w:val="0"/>
        <w:autoSpaceDE w:val="0"/>
        <w:autoSpaceDN w:val="0"/>
        <w:adjustRightInd w:val="0"/>
        <w:snapToGrid w:val="0"/>
        <w:spacing w:line="360" w:lineRule="auto"/>
        <w:jc w:val="both"/>
        <w:rPr>
          <w:rFonts w:ascii="Book Antiqua" w:eastAsia="等线" w:hAnsi="Book Antiqua"/>
          <w:color w:val="000000"/>
          <w:lang w:eastAsia="zh-CN"/>
        </w:rPr>
      </w:pPr>
      <w:r w:rsidRPr="00483448">
        <w:rPr>
          <w:rFonts w:ascii="Book Antiqua" w:eastAsia="等线" w:hAnsi="Book Antiqua"/>
          <w:color w:val="000000"/>
          <w:lang w:eastAsia="zh-CN"/>
        </w:rPr>
        <w:t xml:space="preserve">A                                                                       </w:t>
      </w:r>
      <w:r w:rsidRPr="00483448">
        <w:rPr>
          <w:rFonts w:ascii="Book Antiqua" w:eastAsia="等线" w:hAnsi="Book Antiqua"/>
          <w:caps/>
          <w:color w:val="000000"/>
          <w:lang w:eastAsia="zh-CN"/>
        </w:rPr>
        <w:t>b</w:t>
      </w:r>
    </w:p>
    <w:p w:rsidR="00711024" w:rsidRPr="00483448" w:rsidRDefault="00982016" w:rsidP="004C5FED">
      <w:pPr>
        <w:widowControl w:val="0"/>
        <w:autoSpaceDE w:val="0"/>
        <w:autoSpaceDN w:val="0"/>
        <w:adjustRightInd w:val="0"/>
        <w:snapToGrid w:val="0"/>
        <w:spacing w:line="360" w:lineRule="auto"/>
        <w:jc w:val="both"/>
        <w:rPr>
          <w:rFonts w:ascii="Book Antiqua" w:hAnsi="Book Antiqua"/>
          <w:b/>
          <w:bCs/>
          <w:color w:val="000000"/>
        </w:rPr>
      </w:pPr>
      <w:r w:rsidRPr="00483448">
        <w:rPr>
          <w:rFonts w:ascii="Book Antiqua" w:hAnsi="Book Antiqua"/>
          <w:b/>
          <w:bCs/>
          <w:color w:val="000000"/>
        </w:rPr>
        <w:t>Figure 1 Radiologic image showing a comparison of body composition at diagnosis (</w:t>
      </w:r>
      <w:r w:rsidRPr="00483448">
        <w:rPr>
          <w:rFonts w:ascii="Book Antiqua" w:hAnsi="Book Antiqua"/>
          <w:b/>
          <w:bCs/>
          <w:caps/>
          <w:color w:val="000000"/>
        </w:rPr>
        <w:t>a</w:t>
      </w:r>
      <w:r w:rsidRPr="00483448">
        <w:rPr>
          <w:rFonts w:ascii="Book Antiqua" w:hAnsi="Book Antiqua"/>
          <w:b/>
          <w:bCs/>
          <w:color w:val="000000"/>
        </w:rPr>
        <w:t>) and post neo-adjuvant (</w:t>
      </w:r>
      <w:r w:rsidRPr="00483448">
        <w:rPr>
          <w:rFonts w:ascii="Book Antiqua" w:hAnsi="Book Antiqua"/>
          <w:b/>
          <w:bCs/>
          <w:caps/>
          <w:color w:val="000000"/>
        </w:rPr>
        <w:t>b</w:t>
      </w:r>
      <w:r w:rsidRPr="00483448">
        <w:rPr>
          <w:rFonts w:ascii="Book Antiqua" w:hAnsi="Book Antiqua"/>
          <w:b/>
          <w:bCs/>
          <w:color w:val="000000"/>
        </w:rPr>
        <w:t xml:space="preserve">) chemotherapy (two </w:t>
      </w:r>
      <w:r w:rsidR="008D6426" w:rsidRPr="00483448">
        <w:rPr>
          <w:rFonts w:ascii="Book Antiqua" w:hAnsi="Book Antiqua"/>
          <w:b/>
          <w:bCs/>
          <w:color w:val="000000"/>
        </w:rPr>
        <w:t>computed tomography</w:t>
      </w:r>
      <w:r w:rsidRPr="00483448">
        <w:rPr>
          <w:rFonts w:ascii="Book Antiqua" w:hAnsi="Book Antiqua"/>
          <w:b/>
          <w:bCs/>
          <w:color w:val="000000"/>
        </w:rPr>
        <w:t xml:space="preserve"> scans of </w:t>
      </w:r>
      <w:r w:rsidR="008D6426" w:rsidRPr="00483448">
        <w:rPr>
          <w:rFonts w:ascii="Book Antiqua" w:hAnsi="Book Antiqua"/>
          <w:b/>
          <w:bCs/>
          <w:color w:val="000000"/>
        </w:rPr>
        <w:t>the third lumbar vertebra</w:t>
      </w:r>
      <w:r w:rsidRPr="00483448">
        <w:rPr>
          <w:rFonts w:ascii="Book Antiqua" w:hAnsi="Book Antiqua"/>
          <w:b/>
          <w:bCs/>
          <w:color w:val="000000"/>
        </w:rPr>
        <w:t xml:space="preserve"> skeletal mass) for the same patient.</w:t>
      </w:r>
      <w:r w:rsidRPr="00483448">
        <w:rPr>
          <w:rFonts w:ascii="Book Antiqua" w:eastAsia="等线" w:hAnsi="Book Antiqua"/>
          <w:b/>
          <w:bCs/>
          <w:color w:val="000000"/>
          <w:lang w:eastAsia="zh-CN"/>
        </w:rPr>
        <w:t xml:space="preserve"> </w:t>
      </w:r>
      <w:r w:rsidR="00711024" w:rsidRPr="00483448">
        <w:rPr>
          <w:rFonts w:ascii="Book Antiqua" w:hAnsi="Book Antiqua" w:cs="Calibri"/>
          <w:color w:val="000000"/>
        </w:rPr>
        <w:t xml:space="preserve">Red: </w:t>
      </w:r>
      <w:r w:rsidR="00711024" w:rsidRPr="00483448">
        <w:rPr>
          <w:rFonts w:ascii="Book Antiqua" w:hAnsi="Book Antiqua" w:cs="Calibri"/>
          <w:caps/>
          <w:color w:val="000000"/>
        </w:rPr>
        <w:t>m</w:t>
      </w:r>
      <w:r w:rsidR="00711024" w:rsidRPr="00483448">
        <w:rPr>
          <w:rFonts w:ascii="Book Antiqua" w:hAnsi="Book Antiqua" w:cs="Calibri"/>
          <w:color w:val="000000"/>
        </w:rPr>
        <w:t xml:space="preserve">uscle; Yellow: </w:t>
      </w:r>
      <w:r w:rsidR="00711024" w:rsidRPr="00483448">
        <w:rPr>
          <w:rFonts w:ascii="Book Antiqua" w:hAnsi="Book Antiqua" w:cs="Calibri"/>
          <w:caps/>
          <w:color w:val="000000"/>
        </w:rPr>
        <w:t>v</w:t>
      </w:r>
      <w:r w:rsidR="00711024" w:rsidRPr="00483448">
        <w:rPr>
          <w:rFonts w:ascii="Book Antiqua" w:hAnsi="Book Antiqua" w:cs="Calibri"/>
          <w:color w:val="000000"/>
        </w:rPr>
        <w:t xml:space="preserve">isceral fat; Blue: </w:t>
      </w:r>
      <w:r w:rsidR="00711024" w:rsidRPr="00483448">
        <w:rPr>
          <w:rFonts w:ascii="Book Antiqua" w:hAnsi="Book Antiqua" w:cs="Calibri"/>
          <w:caps/>
          <w:color w:val="000000"/>
        </w:rPr>
        <w:t>s</w:t>
      </w:r>
      <w:r w:rsidR="00711024" w:rsidRPr="00483448">
        <w:rPr>
          <w:rFonts w:ascii="Book Antiqua" w:hAnsi="Book Antiqua" w:cs="Calibri"/>
          <w:color w:val="000000"/>
        </w:rPr>
        <w:t>ubcutaneous fat</w:t>
      </w:r>
      <w:r w:rsidRPr="00483448">
        <w:rPr>
          <w:rFonts w:ascii="Book Antiqua" w:hAnsi="Book Antiqua" w:cs="Calibri"/>
          <w:color w:val="000000"/>
        </w:rPr>
        <w:t>.</w:t>
      </w:r>
    </w:p>
    <w:p w:rsidR="00711024" w:rsidRPr="00483448" w:rsidRDefault="00711024" w:rsidP="004C5FED">
      <w:pPr>
        <w:snapToGrid w:val="0"/>
        <w:spacing w:line="360" w:lineRule="auto"/>
        <w:jc w:val="both"/>
        <w:rPr>
          <w:rFonts w:ascii="Book Antiqua" w:hAnsi="Book Antiqua"/>
          <w:color w:val="000000"/>
        </w:rPr>
      </w:pPr>
    </w:p>
    <w:p w:rsidR="004B5781" w:rsidRPr="00483448" w:rsidRDefault="00982016" w:rsidP="004C5FED">
      <w:pPr>
        <w:snapToGrid w:val="0"/>
        <w:spacing w:line="360" w:lineRule="auto"/>
        <w:jc w:val="both"/>
        <w:rPr>
          <w:rFonts w:ascii="Book Antiqua" w:hAnsi="Book Antiqua" w:cs="Arial"/>
          <w:color w:val="000000"/>
        </w:rPr>
      </w:pPr>
      <w:r w:rsidRPr="00483448">
        <w:rPr>
          <w:rFonts w:ascii="Book Antiqua" w:hAnsi="Book Antiqua"/>
          <w:color w:val="000000"/>
        </w:rPr>
        <w:br w:type="page"/>
      </w:r>
      <w:r w:rsidR="003721EC">
        <w:rPr>
          <w:rFonts w:ascii="Book Antiqua" w:hAnsi="Book Antiqua"/>
          <w:noProof/>
          <w:lang w:val="en-US" w:eastAsia="zh-CN"/>
        </w:rPr>
        <w:lastRenderedPageBreak/>
        <w:drawing>
          <wp:inline distT="0" distB="0" distL="0" distR="0">
            <wp:extent cx="5729605" cy="2310765"/>
            <wp:effectExtent l="0" t="0" r="444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9605" cy="2310765"/>
                    </a:xfrm>
                    <a:prstGeom prst="rect">
                      <a:avLst/>
                    </a:prstGeom>
                    <a:noFill/>
                    <a:ln>
                      <a:noFill/>
                    </a:ln>
                  </pic:spPr>
                </pic:pic>
              </a:graphicData>
            </a:graphic>
          </wp:inline>
        </w:drawing>
      </w:r>
    </w:p>
    <w:p w:rsidR="004B5781" w:rsidRPr="00483448" w:rsidRDefault="004B5781" w:rsidP="004C5FED">
      <w:pPr>
        <w:snapToGrid w:val="0"/>
        <w:spacing w:line="360" w:lineRule="auto"/>
        <w:jc w:val="both"/>
        <w:rPr>
          <w:rFonts w:ascii="Book Antiqua" w:eastAsia="等线" w:hAnsi="Book Antiqua" w:cs="Arial"/>
          <w:color w:val="000000"/>
          <w:lang w:eastAsia="zh-CN"/>
        </w:rPr>
      </w:pPr>
      <w:r w:rsidRPr="00483448">
        <w:rPr>
          <w:rFonts w:ascii="Book Antiqua" w:eastAsia="等线" w:hAnsi="Book Antiqua" w:cs="Arial"/>
          <w:color w:val="000000"/>
          <w:lang w:eastAsia="zh-CN"/>
        </w:rPr>
        <w:t>A                                                                                   B</w:t>
      </w:r>
    </w:p>
    <w:p w:rsidR="004B5781" w:rsidRPr="00483448" w:rsidRDefault="004B5781" w:rsidP="004C5FED">
      <w:pPr>
        <w:snapToGrid w:val="0"/>
        <w:spacing w:line="360" w:lineRule="auto"/>
        <w:jc w:val="both"/>
        <w:rPr>
          <w:rFonts w:ascii="Book Antiqua" w:hAnsi="Book Antiqua" w:cs="Arial"/>
          <w:b/>
          <w:color w:val="000000"/>
        </w:rPr>
      </w:pPr>
      <w:r w:rsidRPr="00483448">
        <w:rPr>
          <w:rFonts w:ascii="Book Antiqua" w:hAnsi="Book Antiqua" w:cs="Arial"/>
          <w:b/>
          <w:color w:val="000000"/>
        </w:rPr>
        <w:t xml:space="preserve">Figure 2 Overall change in body composition from diagnosis to after neo-adjuvant chemotherapy. </w:t>
      </w:r>
      <w:r w:rsidRPr="00483448">
        <w:rPr>
          <w:rFonts w:ascii="Book Antiqua" w:hAnsi="Book Antiqua" w:cs="Arial"/>
          <w:bCs/>
          <w:color w:val="000000"/>
        </w:rPr>
        <w:t xml:space="preserve">A: </w:t>
      </w:r>
      <w:r w:rsidRPr="00483448">
        <w:rPr>
          <w:rFonts w:ascii="Book Antiqua" w:hAnsi="Book Antiqua" w:cs="Arial"/>
          <w:color w:val="000000"/>
        </w:rPr>
        <w:t>Skeletal muscle index; B: Adipose tissue index.</w:t>
      </w:r>
    </w:p>
    <w:p w:rsidR="004B5781" w:rsidRPr="00483448" w:rsidRDefault="004B5781" w:rsidP="004C5FED">
      <w:pPr>
        <w:snapToGrid w:val="0"/>
        <w:spacing w:line="360" w:lineRule="auto"/>
        <w:jc w:val="both"/>
        <w:rPr>
          <w:rFonts w:ascii="Book Antiqua" w:hAnsi="Book Antiqua" w:cs="Arial"/>
          <w:color w:val="000000"/>
        </w:rPr>
      </w:pPr>
      <w:r w:rsidRPr="00483448">
        <w:rPr>
          <w:rFonts w:ascii="Book Antiqua" w:hAnsi="Book Antiqua" w:cs="Arial"/>
          <w:b/>
          <w:color w:val="000000"/>
        </w:rPr>
        <w:br w:type="page"/>
      </w:r>
      <w:r w:rsidR="003721EC">
        <w:rPr>
          <w:rFonts w:ascii="Book Antiqua" w:hAnsi="Book Antiqua"/>
          <w:noProof/>
          <w:color w:val="000000"/>
          <w:lang w:val="en-US" w:eastAsia="zh-CN"/>
        </w:rPr>
        <w:lastRenderedPageBreak/>
        <w:drawing>
          <wp:inline distT="0" distB="0" distL="0" distR="0">
            <wp:extent cx="4572000" cy="27432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4B5781" w:rsidRPr="00483448" w:rsidRDefault="004B5781" w:rsidP="004C5FED">
      <w:pPr>
        <w:snapToGrid w:val="0"/>
        <w:spacing w:line="360" w:lineRule="auto"/>
        <w:jc w:val="both"/>
        <w:rPr>
          <w:rFonts w:ascii="Book Antiqua" w:hAnsi="Book Antiqua" w:cs="Arial"/>
          <w:color w:val="000000"/>
        </w:rPr>
      </w:pPr>
      <w:r w:rsidRPr="00483448">
        <w:rPr>
          <w:rFonts w:ascii="Book Antiqua" w:hAnsi="Book Antiqua" w:cs="Arial"/>
          <w:b/>
          <w:color w:val="000000"/>
        </w:rPr>
        <w:t xml:space="preserve">Figure 3 </w:t>
      </w:r>
      <w:r w:rsidRPr="00483448">
        <w:rPr>
          <w:rFonts w:ascii="Book Antiqua" w:hAnsi="Book Antiqua" w:cs="Arial"/>
          <w:b/>
          <w:bCs/>
          <w:color w:val="000000"/>
        </w:rPr>
        <w:t>Individual changes in lumbar skeletal muscle index (cm</w:t>
      </w:r>
      <w:r w:rsidRPr="00483448">
        <w:rPr>
          <w:rFonts w:ascii="Book Antiqua" w:hAnsi="Book Antiqua" w:cs="Arial"/>
          <w:b/>
          <w:bCs/>
          <w:color w:val="000000"/>
          <w:vertAlign w:val="superscript"/>
        </w:rPr>
        <w:t>2</w:t>
      </w:r>
      <w:r w:rsidRPr="00483448">
        <w:rPr>
          <w:rFonts w:ascii="Book Antiqua" w:hAnsi="Book Antiqua" w:cs="Arial"/>
          <w:b/>
          <w:bCs/>
          <w:color w:val="000000"/>
        </w:rPr>
        <w:t>/m</w:t>
      </w:r>
      <w:r w:rsidRPr="00483448">
        <w:rPr>
          <w:rFonts w:ascii="Book Antiqua" w:hAnsi="Book Antiqua" w:cs="Arial"/>
          <w:b/>
          <w:bCs/>
          <w:color w:val="000000"/>
          <w:vertAlign w:val="superscript"/>
        </w:rPr>
        <w:t>2</w:t>
      </w:r>
      <w:r w:rsidRPr="00483448">
        <w:rPr>
          <w:rFonts w:ascii="Book Antiqua" w:hAnsi="Book Antiqua" w:cs="Arial"/>
          <w:b/>
          <w:bCs/>
          <w:color w:val="000000"/>
        </w:rPr>
        <w:t xml:space="preserve">) from diagnosis to after neo-adjuvant chemotherapy following regular enteral feeding </w:t>
      </w:r>
      <w:r w:rsidRPr="00483448">
        <w:rPr>
          <w:rFonts w:ascii="Book Antiqua" w:hAnsi="Book Antiqua" w:cs="Arial"/>
          <w:b/>
          <w:bCs/>
          <w:i/>
          <w:iCs/>
          <w:color w:val="000000"/>
        </w:rPr>
        <w:t>via</w:t>
      </w:r>
      <w:r w:rsidRPr="00483448">
        <w:rPr>
          <w:rFonts w:ascii="Book Antiqua" w:hAnsi="Book Antiqua" w:cs="Arial"/>
          <w:b/>
          <w:bCs/>
          <w:color w:val="000000"/>
        </w:rPr>
        <w:t xml:space="preserve"> jejunostomy.</w:t>
      </w:r>
    </w:p>
    <w:p w:rsidR="004B5781" w:rsidRPr="00483448" w:rsidRDefault="004B5781" w:rsidP="004C5FED">
      <w:pPr>
        <w:pStyle w:val="1-2"/>
        <w:snapToGrid w:val="0"/>
        <w:spacing w:line="360" w:lineRule="auto"/>
        <w:jc w:val="both"/>
        <w:rPr>
          <w:rFonts w:ascii="Book Antiqua" w:hAnsi="Book Antiqua"/>
          <w:color w:val="000000"/>
        </w:rPr>
      </w:pPr>
      <w:r w:rsidRPr="00483448">
        <w:rPr>
          <w:rFonts w:ascii="Book Antiqua" w:hAnsi="Book Antiqua" w:cs="Arial"/>
          <w:b/>
          <w:color w:val="000000"/>
        </w:rPr>
        <w:br w:type="page"/>
      </w:r>
      <w:r w:rsidR="003721EC">
        <w:rPr>
          <w:rFonts w:ascii="Book Antiqua" w:hAnsi="Book Antiqua"/>
          <w:noProof/>
          <w:color w:val="000000"/>
          <w:lang w:val="en-US" w:eastAsia="zh-CN"/>
        </w:rPr>
        <w:lastRenderedPageBreak/>
        <w:drawing>
          <wp:inline distT="0" distB="0" distL="0" distR="0">
            <wp:extent cx="5064125" cy="3110865"/>
            <wp:effectExtent l="0" t="0" r="3175" b="0"/>
            <wp:docPr id="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4125" cy="3110865"/>
                    </a:xfrm>
                    <a:prstGeom prst="rect">
                      <a:avLst/>
                    </a:prstGeom>
                    <a:noFill/>
                    <a:ln>
                      <a:noFill/>
                    </a:ln>
                  </pic:spPr>
                </pic:pic>
              </a:graphicData>
            </a:graphic>
          </wp:inline>
        </w:drawing>
      </w:r>
    </w:p>
    <w:p w:rsidR="004B5781" w:rsidRPr="00483448" w:rsidRDefault="004B5781" w:rsidP="004C5FED">
      <w:pPr>
        <w:snapToGrid w:val="0"/>
        <w:spacing w:line="360" w:lineRule="auto"/>
        <w:jc w:val="both"/>
        <w:rPr>
          <w:rFonts w:ascii="Book Antiqua" w:hAnsi="Book Antiqua" w:cs="Arial"/>
          <w:color w:val="000000"/>
        </w:rPr>
      </w:pPr>
      <w:r w:rsidRPr="00483448">
        <w:rPr>
          <w:rFonts w:ascii="Book Antiqua" w:hAnsi="Book Antiqua" w:cs="Arial"/>
          <w:b/>
          <w:color w:val="000000"/>
        </w:rPr>
        <w:t xml:space="preserve">Figure 4 </w:t>
      </w:r>
      <w:r w:rsidRPr="00483448">
        <w:rPr>
          <w:rFonts w:ascii="Book Antiqua" w:hAnsi="Book Antiqua" w:cs="Arial"/>
          <w:b/>
          <w:bCs/>
          <w:color w:val="000000"/>
        </w:rPr>
        <w:t>Individual changes in lumbar adipose tissue index (cm</w:t>
      </w:r>
      <w:r w:rsidRPr="00483448">
        <w:rPr>
          <w:rFonts w:ascii="Book Antiqua" w:hAnsi="Book Antiqua" w:cs="Arial"/>
          <w:b/>
          <w:bCs/>
          <w:color w:val="000000"/>
          <w:vertAlign w:val="superscript"/>
        </w:rPr>
        <w:t>2</w:t>
      </w:r>
      <w:r w:rsidRPr="00483448">
        <w:rPr>
          <w:rFonts w:ascii="Book Antiqua" w:hAnsi="Book Antiqua" w:cs="Arial"/>
          <w:b/>
          <w:bCs/>
          <w:color w:val="000000"/>
        </w:rPr>
        <w:t>/m</w:t>
      </w:r>
      <w:r w:rsidRPr="00483448">
        <w:rPr>
          <w:rFonts w:ascii="Book Antiqua" w:hAnsi="Book Antiqua" w:cs="Arial"/>
          <w:b/>
          <w:bCs/>
          <w:color w:val="000000"/>
          <w:vertAlign w:val="superscript"/>
        </w:rPr>
        <w:t>2</w:t>
      </w:r>
      <w:r w:rsidRPr="00483448">
        <w:rPr>
          <w:rFonts w:ascii="Book Antiqua" w:hAnsi="Book Antiqua" w:cs="Arial"/>
          <w:b/>
          <w:bCs/>
          <w:color w:val="000000"/>
        </w:rPr>
        <w:t xml:space="preserve">) from diagnosis to </w:t>
      </w:r>
      <w:r w:rsidR="00D704C6" w:rsidRPr="00483448">
        <w:rPr>
          <w:rFonts w:ascii="Book Antiqua" w:hAnsi="Book Antiqua" w:cs="Arial"/>
          <w:b/>
          <w:bCs/>
          <w:color w:val="000000"/>
        </w:rPr>
        <w:t xml:space="preserve">after </w:t>
      </w:r>
      <w:r w:rsidRPr="00483448">
        <w:rPr>
          <w:rFonts w:ascii="Book Antiqua" w:hAnsi="Book Antiqua" w:cs="Arial"/>
          <w:b/>
          <w:bCs/>
          <w:color w:val="000000"/>
        </w:rPr>
        <w:t xml:space="preserve">neo-adjuvant chemotherapy following regular enteral feeding </w:t>
      </w:r>
      <w:r w:rsidRPr="00483448">
        <w:rPr>
          <w:rFonts w:ascii="Book Antiqua" w:hAnsi="Book Antiqua" w:cs="Arial"/>
          <w:b/>
          <w:bCs/>
          <w:i/>
          <w:iCs/>
          <w:color w:val="000000"/>
        </w:rPr>
        <w:t>via</w:t>
      </w:r>
      <w:r w:rsidRPr="00483448">
        <w:rPr>
          <w:rFonts w:ascii="Book Antiqua" w:hAnsi="Book Antiqua" w:cs="Arial"/>
          <w:b/>
          <w:bCs/>
          <w:color w:val="000000"/>
        </w:rPr>
        <w:t xml:space="preserve"> jejunostomy.</w:t>
      </w:r>
    </w:p>
    <w:p w:rsidR="00736EE0" w:rsidRPr="00483448" w:rsidRDefault="004B5781" w:rsidP="004C5FED">
      <w:pPr>
        <w:widowControl w:val="0"/>
        <w:autoSpaceDE w:val="0"/>
        <w:autoSpaceDN w:val="0"/>
        <w:adjustRightInd w:val="0"/>
        <w:snapToGrid w:val="0"/>
        <w:spacing w:line="360" w:lineRule="auto"/>
        <w:jc w:val="both"/>
        <w:rPr>
          <w:rFonts w:ascii="Book Antiqua" w:hAnsi="Book Antiqua"/>
          <w:color w:val="000000"/>
        </w:rPr>
      </w:pPr>
      <w:r w:rsidRPr="00483448">
        <w:rPr>
          <w:rFonts w:ascii="Book Antiqua" w:hAnsi="Book Antiqua" w:cs="Arial"/>
          <w:b/>
          <w:color w:val="000000"/>
        </w:rPr>
        <w:br w:type="page"/>
      </w:r>
      <w:r w:rsidR="00736EE0" w:rsidRPr="00483448">
        <w:rPr>
          <w:rFonts w:ascii="Book Antiqua" w:hAnsi="Book Antiqua" w:cs="Arial"/>
          <w:b/>
          <w:color w:val="000000"/>
        </w:rPr>
        <w:lastRenderedPageBreak/>
        <w:t>Table 1</w:t>
      </w:r>
      <w:r w:rsidR="00982016" w:rsidRPr="00483448">
        <w:rPr>
          <w:rFonts w:ascii="Book Antiqua" w:hAnsi="Book Antiqua" w:cs="Arial"/>
          <w:b/>
          <w:color w:val="000000"/>
        </w:rPr>
        <w:t xml:space="preserve"> </w:t>
      </w:r>
      <w:r w:rsidR="00736EE0" w:rsidRPr="00483448">
        <w:rPr>
          <w:rFonts w:ascii="Book Antiqua" w:hAnsi="Book Antiqua" w:cs="Arial"/>
          <w:b/>
          <w:bCs/>
          <w:color w:val="000000"/>
        </w:rPr>
        <w:t>Patient demographics</w:t>
      </w:r>
    </w:p>
    <w:tbl>
      <w:tblPr>
        <w:tblW w:w="0" w:type="auto"/>
        <w:tblBorders>
          <w:top w:val="single" w:sz="4" w:space="0" w:color="auto"/>
          <w:bottom w:val="single" w:sz="4" w:space="0" w:color="auto"/>
        </w:tblBorders>
        <w:tblLook w:val="04A0" w:firstRow="1" w:lastRow="0" w:firstColumn="1" w:lastColumn="0" w:noHBand="0" w:noVBand="1"/>
      </w:tblPr>
      <w:tblGrid>
        <w:gridCol w:w="6059"/>
        <w:gridCol w:w="2967"/>
      </w:tblGrid>
      <w:tr w:rsidR="00982016" w:rsidRPr="00483448" w:rsidTr="00982016">
        <w:tc>
          <w:tcPr>
            <w:tcW w:w="6059" w:type="dxa"/>
            <w:tcBorders>
              <w:top w:val="single" w:sz="4" w:space="0" w:color="auto"/>
              <w:bottom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b/>
                <w:bCs/>
                <w:color w:val="000000"/>
              </w:rPr>
            </w:pPr>
          </w:p>
        </w:tc>
        <w:tc>
          <w:tcPr>
            <w:tcW w:w="2967" w:type="dxa"/>
            <w:tcBorders>
              <w:top w:val="single" w:sz="4" w:space="0" w:color="auto"/>
              <w:bottom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b/>
                <w:color w:val="000000"/>
              </w:rPr>
            </w:pPr>
            <w:r w:rsidRPr="00483448">
              <w:rPr>
                <w:rFonts w:ascii="Book Antiqua" w:hAnsi="Book Antiqua" w:cs="Arial"/>
                <w:b/>
                <w:color w:val="000000"/>
              </w:rPr>
              <w:t>No. of patients</w:t>
            </w:r>
            <w:r w:rsidR="00235577" w:rsidRPr="00483448">
              <w:rPr>
                <w:rFonts w:ascii="Book Antiqua" w:hAnsi="Book Antiqua" w:cs="Arial"/>
                <w:b/>
                <w:color w:val="000000"/>
              </w:rPr>
              <w:t>,</w:t>
            </w:r>
          </w:p>
          <w:p w:rsidR="00736EE0" w:rsidRPr="00483448" w:rsidRDefault="00736EE0" w:rsidP="004C5FED">
            <w:pPr>
              <w:snapToGrid w:val="0"/>
              <w:spacing w:line="360" w:lineRule="auto"/>
              <w:jc w:val="both"/>
              <w:rPr>
                <w:rFonts w:ascii="Book Antiqua" w:hAnsi="Book Antiqua" w:cs="Arial"/>
                <w:b/>
                <w:color w:val="000000"/>
              </w:rPr>
            </w:pPr>
            <w:r w:rsidRPr="00483448">
              <w:rPr>
                <w:rFonts w:ascii="Book Antiqua" w:hAnsi="Book Antiqua" w:cs="Arial"/>
                <w:b/>
                <w:i/>
                <w:iCs/>
                <w:color w:val="000000"/>
              </w:rPr>
              <w:t>n</w:t>
            </w:r>
            <w:r w:rsidR="00982016" w:rsidRPr="00483448">
              <w:rPr>
                <w:rFonts w:ascii="Book Antiqua" w:hAnsi="Book Antiqua" w:cs="Arial"/>
                <w:b/>
                <w:color w:val="000000"/>
              </w:rPr>
              <w:t xml:space="preserve"> </w:t>
            </w:r>
            <w:r w:rsidRPr="00483448">
              <w:rPr>
                <w:rFonts w:ascii="Book Antiqua" w:hAnsi="Book Antiqua" w:cs="Arial"/>
                <w:b/>
                <w:color w:val="000000"/>
              </w:rPr>
              <w:t>=</w:t>
            </w:r>
            <w:r w:rsidR="00982016" w:rsidRPr="00483448">
              <w:rPr>
                <w:rFonts w:ascii="Book Antiqua" w:hAnsi="Book Antiqua" w:cs="Arial"/>
                <w:b/>
                <w:color w:val="000000"/>
              </w:rPr>
              <w:t xml:space="preserve"> </w:t>
            </w:r>
            <w:r w:rsidRPr="00483448">
              <w:rPr>
                <w:rFonts w:ascii="Book Antiqua" w:hAnsi="Book Antiqua" w:cs="Arial"/>
                <w:b/>
                <w:color w:val="000000"/>
              </w:rPr>
              <w:t>15</w:t>
            </w:r>
          </w:p>
        </w:tc>
      </w:tr>
      <w:tr w:rsidR="00982016" w:rsidRPr="00483448" w:rsidTr="00982016">
        <w:tc>
          <w:tcPr>
            <w:tcW w:w="6059" w:type="dxa"/>
            <w:tcBorders>
              <w:top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Age</w:t>
            </w:r>
            <w:r w:rsidR="00235577" w:rsidRPr="00483448">
              <w:rPr>
                <w:rFonts w:ascii="Book Antiqua" w:hAnsi="Book Antiqua" w:cs="Arial"/>
                <w:bCs/>
                <w:color w:val="000000"/>
              </w:rPr>
              <w:t xml:space="preserve"> in yr,</w:t>
            </w:r>
            <w:r w:rsidRPr="00483448">
              <w:rPr>
                <w:rFonts w:ascii="Book Antiqua" w:hAnsi="Book Antiqua" w:cs="Arial"/>
                <w:bCs/>
                <w:color w:val="000000"/>
              </w:rPr>
              <w:t xml:space="preserve"> </w:t>
            </w:r>
            <w:r w:rsidR="00982016" w:rsidRPr="00483448">
              <w:rPr>
                <w:rFonts w:ascii="Book Antiqua" w:hAnsi="Book Antiqua" w:cs="Arial"/>
                <w:bCs/>
                <w:color w:val="000000"/>
              </w:rPr>
              <w:t>mean ± SD</w:t>
            </w:r>
          </w:p>
        </w:tc>
        <w:tc>
          <w:tcPr>
            <w:tcW w:w="2967" w:type="dxa"/>
            <w:tcBorders>
              <w:top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61.3 ± 12.8</w:t>
            </w:r>
          </w:p>
        </w:tc>
      </w:tr>
      <w:tr w:rsidR="00982016" w:rsidRPr="00483448" w:rsidTr="00982016">
        <w:tc>
          <w:tcPr>
            <w:tcW w:w="6059"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Sex</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M</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11 (73.3)</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F</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4 (26.7)</w:t>
            </w:r>
          </w:p>
        </w:tc>
      </w:tr>
      <w:tr w:rsidR="00982016" w:rsidRPr="00483448" w:rsidTr="00982016">
        <w:tc>
          <w:tcPr>
            <w:tcW w:w="6059"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Tumour site</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Mid oesophagus</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 (6.6)</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Lower oesophagus</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 xml:space="preserve">4 (26.7) </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Oesophageal-gastric junction</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10 (66.7)</w:t>
            </w:r>
          </w:p>
        </w:tc>
      </w:tr>
      <w:tr w:rsidR="00982016" w:rsidRPr="00483448" w:rsidTr="00982016">
        <w:tc>
          <w:tcPr>
            <w:tcW w:w="6059"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Histology</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Adenocarcinoma</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11</w:t>
            </w:r>
            <w:r w:rsidR="00235577" w:rsidRPr="00483448">
              <w:rPr>
                <w:rFonts w:ascii="Book Antiqua" w:hAnsi="Book Antiqua" w:cs="Arial"/>
                <w:color w:val="000000"/>
              </w:rPr>
              <w:t xml:space="preserve"> </w:t>
            </w:r>
            <w:r w:rsidRPr="00483448">
              <w:rPr>
                <w:rFonts w:ascii="Book Antiqua" w:hAnsi="Book Antiqua" w:cs="Arial"/>
                <w:color w:val="000000"/>
              </w:rPr>
              <w:t>(73.3)</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Squamous cell cancer</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3</w:t>
            </w:r>
            <w:r w:rsidR="00235577" w:rsidRPr="00483448">
              <w:rPr>
                <w:rFonts w:ascii="Book Antiqua" w:hAnsi="Book Antiqua" w:cs="Arial"/>
                <w:color w:val="000000"/>
              </w:rPr>
              <w:t xml:space="preserve"> </w:t>
            </w:r>
            <w:r w:rsidRPr="00483448">
              <w:rPr>
                <w:rFonts w:ascii="Book Antiqua" w:hAnsi="Book Antiqua" w:cs="Arial"/>
                <w:color w:val="000000"/>
              </w:rPr>
              <w:t>(20.0)</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Other</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w:t>
            </w:r>
            <w:r w:rsidR="00235577" w:rsidRPr="00483448">
              <w:rPr>
                <w:rFonts w:ascii="Book Antiqua" w:hAnsi="Book Antiqua" w:cs="Arial"/>
                <w:color w:val="000000"/>
              </w:rPr>
              <w:t xml:space="preserve"> </w:t>
            </w:r>
            <w:r w:rsidRPr="00483448">
              <w:rPr>
                <w:rFonts w:ascii="Book Antiqua" w:hAnsi="Book Antiqua" w:cs="Arial"/>
                <w:color w:val="000000"/>
              </w:rPr>
              <w:t>(6.7)</w:t>
            </w:r>
          </w:p>
        </w:tc>
      </w:tr>
      <w:tr w:rsidR="00982016" w:rsidRPr="00483448" w:rsidTr="00982016">
        <w:tc>
          <w:tcPr>
            <w:tcW w:w="6059"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Stage</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I</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 (6.6)</w:t>
            </w:r>
          </w:p>
        </w:tc>
      </w:tr>
      <w:tr w:rsidR="00982016" w:rsidRPr="00483448" w:rsidTr="00982016">
        <w:trPr>
          <w:trHeight w:val="70"/>
        </w:trPr>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II</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4 (26.7)</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III</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10 (66.7)</w:t>
            </w:r>
          </w:p>
        </w:tc>
      </w:tr>
      <w:tr w:rsidR="00982016" w:rsidRPr="00483448" w:rsidTr="00982016">
        <w:tc>
          <w:tcPr>
            <w:tcW w:w="6059"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Neo-adjuvant chemotherapy protocol</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ECX</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7</w:t>
            </w:r>
            <w:r w:rsidR="00235577" w:rsidRPr="00483448">
              <w:rPr>
                <w:rFonts w:ascii="Book Antiqua" w:hAnsi="Book Antiqua" w:cs="Arial"/>
                <w:color w:val="000000"/>
              </w:rPr>
              <w:t xml:space="preserve"> </w:t>
            </w:r>
            <w:r w:rsidRPr="00483448">
              <w:rPr>
                <w:rFonts w:ascii="Book Antiqua" w:hAnsi="Book Antiqua" w:cs="Arial"/>
                <w:color w:val="000000"/>
              </w:rPr>
              <w:t>(46.7)</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ECF</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3</w:t>
            </w:r>
            <w:r w:rsidR="00235577" w:rsidRPr="00483448">
              <w:rPr>
                <w:rFonts w:ascii="Book Antiqua" w:hAnsi="Book Antiqua" w:cs="Arial"/>
                <w:color w:val="000000"/>
              </w:rPr>
              <w:t xml:space="preserve">  </w:t>
            </w:r>
            <w:r w:rsidRPr="00483448">
              <w:rPr>
                <w:rFonts w:ascii="Book Antiqua" w:hAnsi="Book Antiqua" w:cs="Arial"/>
                <w:color w:val="000000"/>
              </w:rPr>
              <w:t>(20)</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EOX</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w:t>
            </w:r>
            <w:r w:rsidR="00235577" w:rsidRPr="00483448">
              <w:rPr>
                <w:rFonts w:ascii="Book Antiqua" w:hAnsi="Book Antiqua" w:cs="Arial"/>
                <w:color w:val="000000"/>
              </w:rPr>
              <w:t xml:space="preserve"> </w:t>
            </w:r>
            <w:r w:rsidRPr="00483448">
              <w:rPr>
                <w:rFonts w:ascii="Book Antiqua" w:hAnsi="Book Antiqua" w:cs="Arial"/>
                <w:color w:val="000000"/>
              </w:rPr>
              <w:t>(6.6)</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CX</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2</w:t>
            </w:r>
            <w:r w:rsidR="00235577" w:rsidRPr="00483448">
              <w:rPr>
                <w:rFonts w:ascii="Book Antiqua" w:hAnsi="Book Antiqua" w:cs="Arial"/>
                <w:color w:val="000000"/>
              </w:rPr>
              <w:t xml:space="preserve"> </w:t>
            </w:r>
            <w:r w:rsidRPr="00483448">
              <w:rPr>
                <w:rFonts w:ascii="Book Antiqua" w:hAnsi="Book Antiqua" w:cs="Arial"/>
                <w:color w:val="000000"/>
              </w:rPr>
              <w:t>(13.3)</w:t>
            </w:r>
          </w:p>
        </w:tc>
      </w:tr>
      <w:tr w:rsidR="00982016" w:rsidRPr="00483448" w:rsidTr="00982016">
        <w:tc>
          <w:tcPr>
            <w:tcW w:w="6059" w:type="dxa"/>
            <w:shd w:val="clear" w:color="auto" w:fill="auto"/>
          </w:tcPr>
          <w:p w:rsidR="00736EE0" w:rsidRPr="00483448" w:rsidRDefault="00736EE0" w:rsidP="004C5FED">
            <w:pPr>
              <w:snapToGrid w:val="0"/>
              <w:spacing w:line="360" w:lineRule="auto"/>
              <w:ind w:firstLine="284"/>
              <w:jc w:val="both"/>
              <w:rPr>
                <w:rFonts w:ascii="Book Antiqua" w:hAnsi="Book Antiqua" w:cs="Arial"/>
                <w:bCs/>
                <w:color w:val="000000"/>
              </w:rPr>
            </w:pPr>
            <w:r w:rsidRPr="00483448">
              <w:rPr>
                <w:rFonts w:ascii="Book Antiqua" w:hAnsi="Book Antiqua" w:cs="Arial"/>
                <w:bCs/>
                <w:color w:val="000000"/>
              </w:rPr>
              <w:t>CF</w:t>
            </w:r>
          </w:p>
        </w:tc>
        <w:tc>
          <w:tcPr>
            <w:tcW w:w="296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2</w:t>
            </w:r>
            <w:r w:rsidR="00235577" w:rsidRPr="00483448">
              <w:rPr>
                <w:rFonts w:ascii="Book Antiqua" w:hAnsi="Book Antiqua" w:cs="Arial"/>
                <w:color w:val="000000"/>
              </w:rPr>
              <w:t xml:space="preserve"> </w:t>
            </w:r>
            <w:r w:rsidRPr="00483448">
              <w:rPr>
                <w:rFonts w:ascii="Book Antiqua" w:hAnsi="Book Antiqua" w:cs="Arial"/>
                <w:color w:val="000000"/>
              </w:rPr>
              <w:t>(13.3)</w:t>
            </w:r>
          </w:p>
        </w:tc>
      </w:tr>
    </w:tbl>
    <w:p w:rsidR="00736EE0" w:rsidRPr="00483448" w:rsidRDefault="00736EE0" w:rsidP="004C5FED">
      <w:pPr>
        <w:autoSpaceDE w:val="0"/>
        <w:autoSpaceDN w:val="0"/>
        <w:adjustRightInd w:val="0"/>
        <w:snapToGrid w:val="0"/>
        <w:spacing w:line="360" w:lineRule="auto"/>
        <w:jc w:val="both"/>
        <w:rPr>
          <w:rFonts w:ascii="Book Antiqua" w:hAnsi="Book Antiqua" w:cs="Arial"/>
          <w:color w:val="000000"/>
        </w:rPr>
      </w:pPr>
      <w:r w:rsidRPr="00483448">
        <w:rPr>
          <w:rFonts w:ascii="Book Antiqua" w:hAnsi="Book Antiqua" w:cs="Arial"/>
          <w:color w:val="000000"/>
        </w:rPr>
        <w:t>Values are number of patients with percentages in parentheses unless indicated otherwise</w:t>
      </w:r>
      <w:r w:rsidR="00982016" w:rsidRPr="00483448">
        <w:rPr>
          <w:rFonts w:ascii="Book Antiqua" w:hAnsi="Book Antiqua" w:cs="Arial"/>
          <w:color w:val="000000"/>
        </w:rPr>
        <w:t>.</w:t>
      </w:r>
      <w:r w:rsidRPr="00483448">
        <w:rPr>
          <w:rFonts w:ascii="Book Antiqua" w:hAnsi="Book Antiqua" w:cs="Arial"/>
          <w:color w:val="000000"/>
        </w:rPr>
        <w:t xml:space="preserve"> </w:t>
      </w:r>
      <w:r w:rsidR="00B6282C" w:rsidRPr="00483448">
        <w:rPr>
          <w:rFonts w:ascii="Book Antiqua" w:hAnsi="Book Antiqua" w:cs="Arial"/>
          <w:color w:val="000000"/>
        </w:rPr>
        <w:t xml:space="preserve">SD: Standard deviation; M: Male; F: Female; </w:t>
      </w:r>
      <w:r w:rsidRPr="00483448">
        <w:rPr>
          <w:rFonts w:ascii="Book Antiqua" w:hAnsi="Book Antiqua" w:cs="Arial"/>
          <w:color w:val="000000"/>
        </w:rPr>
        <w:t>ECX</w:t>
      </w:r>
      <w:r w:rsidR="00982016" w:rsidRPr="00483448">
        <w:rPr>
          <w:rFonts w:ascii="Book Antiqua" w:hAnsi="Book Antiqua" w:cs="Arial"/>
          <w:color w:val="000000"/>
        </w:rPr>
        <w:t>:</w:t>
      </w:r>
      <w:r w:rsidRPr="00483448">
        <w:rPr>
          <w:rFonts w:ascii="Book Antiqua" w:hAnsi="Book Antiqua" w:cs="Arial"/>
          <w:color w:val="000000"/>
        </w:rPr>
        <w:t xml:space="preserve"> </w:t>
      </w:r>
      <w:r w:rsidRPr="00483448">
        <w:rPr>
          <w:rFonts w:ascii="Book Antiqua" w:hAnsi="Book Antiqua" w:cs="Arial"/>
          <w:caps/>
          <w:color w:val="000000"/>
        </w:rPr>
        <w:t>e</w:t>
      </w:r>
      <w:r w:rsidRPr="00483448">
        <w:rPr>
          <w:rFonts w:ascii="Book Antiqua" w:hAnsi="Book Antiqua" w:cs="Arial"/>
          <w:color w:val="000000"/>
        </w:rPr>
        <w:t>pirubicin/cisplatin/capecitabine</w:t>
      </w:r>
      <w:r w:rsidR="00982016" w:rsidRPr="00483448">
        <w:rPr>
          <w:rFonts w:ascii="Book Antiqua" w:hAnsi="Book Antiqua" w:cs="Arial"/>
          <w:color w:val="000000"/>
        </w:rPr>
        <w:t>;</w:t>
      </w:r>
      <w:r w:rsidRPr="00483448">
        <w:rPr>
          <w:rFonts w:ascii="Book Antiqua" w:hAnsi="Book Antiqua" w:cs="Arial"/>
          <w:color w:val="000000"/>
        </w:rPr>
        <w:t xml:space="preserve"> ECF</w:t>
      </w:r>
      <w:r w:rsidR="00982016" w:rsidRPr="00483448">
        <w:rPr>
          <w:rFonts w:ascii="Book Antiqua" w:hAnsi="Book Antiqua" w:cs="Arial"/>
          <w:color w:val="000000"/>
        </w:rPr>
        <w:t xml:space="preserve">: </w:t>
      </w:r>
      <w:r w:rsidRPr="00483448">
        <w:rPr>
          <w:rFonts w:ascii="Book Antiqua" w:hAnsi="Book Antiqua" w:cs="Arial"/>
          <w:caps/>
          <w:color w:val="000000"/>
        </w:rPr>
        <w:t>e</w:t>
      </w:r>
      <w:r w:rsidRPr="00483448">
        <w:rPr>
          <w:rFonts w:ascii="Book Antiqua" w:hAnsi="Book Antiqua" w:cs="Arial"/>
          <w:color w:val="000000"/>
        </w:rPr>
        <w:t>pirubicin/cisplatin/5-fluorouracil</w:t>
      </w:r>
      <w:r w:rsidR="00982016" w:rsidRPr="00483448">
        <w:rPr>
          <w:rFonts w:ascii="Book Antiqua" w:hAnsi="Book Antiqua" w:cs="Arial"/>
          <w:color w:val="000000"/>
        </w:rPr>
        <w:t>;</w:t>
      </w:r>
      <w:r w:rsidRPr="00483448">
        <w:rPr>
          <w:rFonts w:ascii="Book Antiqua" w:hAnsi="Book Antiqua" w:cs="Arial"/>
          <w:color w:val="000000"/>
        </w:rPr>
        <w:t xml:space="preserve"> EOX</w:t>
      </w:r>
      <w:r w:rsidR="00982016" w:rsidRPr="00483448">
        <w:rPr>
          <w:rFonts w:ascii="Book Antiqua" w:hAnsi="Book Antiqua" w:cs="Arial"/>
          <w:color w:val="000000"/>
        </w:rPr>
        <w:t>:</w:t>
      </w:r>
      <w:r w:rsidRPr="00483448">
        <w:rPr>
          <w:rFonts w:ascii="Book Antiqua" w:hAnsi="Book Antiqua" w:cs="Arial"/>
          <w:color w:val="000000"/>
        </w:rPr>
        <w:t xml:space="preserve"> </w:t>
      </w:r>
      <w:r w:rsidRPr="00483448">
        <w:rPr>
          <w:rFonts w:ascii="Book Antiqua" w:hAnsi="Book Antiqua" w:cs="Arial"/>
          <w:caps/>
          <w:color w:val="000000"/>
        </w:rPr>
        <w:t>e</w:t>
      </w:r>
      <w:r w:rsidRPr="00483448">
        <w:rPr>
          <w:rFonts w:ascii="Book Antiqua" w:hAnsi="Book Antiqua" w:cs="Arial"/>
          <w:color w:val="000000"/>
        </w:rPr>
        <w:t>pirubicin/oxaliplatin/capecitabine</w:t>
      </w:r>
      <w:r w:rsidR="00982016" w:rsidRPr="00483448">
        <w:rPr>
          <w:rFonts w:ascii="Book Antiqua" w:hAnsi="Book Antiqua" w:cs="Arial"/>
          <w:color w:val="000000"/>
        </w:rPr>
        <w:t>;</w:t>
      </w:r>
      <w:r w:rsidRPr="00483448">
        <w:rPr>
          <w:rFonts w:ascii="Book Antiqua" w:hAnsi="Book Antiqua" w:cs="Arial"/>
          <w:color w:val="000000"/>
        </w:rPr>
        <w:t xml:space="preserve"> CX</w:t>
      </w:r>
      <w:r w:rsidR="00982016" w:rsidRPr="00483448">
        <w:rPr>
          <w:rFonts w:ascii="Book Antiqua" w:hAnsi="Book Antiqua" w:cs="Arial"/>
          <w:color w:val="000000"/>
        </w:rPr>
        <w:t>:</w:t>
      </w:r>
      <w:r w:rsidRPr="00483448">
        <w:rPr>
          <w:rFonts w:ascii="Book Antiqua" w:hAnsi="Book Antiqua" w:cs="Arial"/>
          <w:color w:val="000000"/>
        </w:rPr>
        <w:t xml:space="preserve"> </w:t>
      </w:r>
      <w:r w:rsidRPr="00483448">
        <w:rPr>
          <w:rFonts w:ascii="Book Antiqua" w:hAnsi="Book Antiqua" w:cs="Arial"/>
          <w:caps/>
          <w:color w:val="000000"/>
        </w:rPr>
        <w:t>c</w:t>
      </w:r>
      <w:r w:rsidRPr="00483448">
        <w:rPr>
          <w:rFonts w:ascii="Book Antiqua" w:hAnsi="Book Antiqua" w:cs="Arial"/>
          <w:color w:val="000000"/>
        </w:rPr>
        <w:t>isplatin/capecitabine</w:t>
      </w:r>
      <w:r w:rsidR="00982016" w:rsidRPr="00483448">
        <w:rPr>
          <w:rFonts w:ascii="Book Antiqua" w:hAnsi="Book Antiqua" w:cs="Arial"/>
          <w:color w:val="000000"/>
        </w:rPr>
        <w:t>;</w:t>
      </w:r>
      <w:r w:rsidRPr="00483448">
        <w:rPr>
          <w:rFonts w:ascii="Book Antiqua" w:hAnsi="Book Antiqua" w:cs="Arial"/>
          <w:color w:val="000000"/>
        </w:rPr>
        <w:t xml:space="preserve"> CF</w:t>
      </w:r>
      <w:r w:rsidR="00982016" w:rsidRPr="00483448">
        <w:rPr>
          <w:rFonts w:ascii="Book Antiqua" w:hAnsi="Book Antiqua" w:cs="Arial"/>
          <w:color w:val="000000"/>
        </w:rPr>
        <w:t>:</w:t>
      </w:r>
      <w:r w:rsidRPr="00483448">
        <w:rPr>
          <w:rFonts w:ascii="Book Antiqua" w:hAnsi="Book Antiqua" w:cs="Arial"/>
          <w:color w:val="000000"/>
        </w:rPr>
        <w:t xml:space="preserve"> </w:t>
      </w:r>
      <w:r w:rsidRPr="00483448">
        <w:rPr>
          <w:rFonts w:ascii="Book Antiqua" w:hAnsi="Book Antiqua" w:cs="Arial"/>
          <w:caps/>
          <w:color w:val="000000"/>
        </w:rPr>
        <w:t>c</w:t>
      </w:r>
      <w:r w:rsidRPr="00483448">
        <w:rPr>
          <w:rFonts w:ascii="Book Antiqua" w:hAnsi="Book Antiqua" w:cs="Arial"/>
          <w:color w:val="000000"/>
        </w:rPr>
        <w:t>isplatin/5-fluorouracil</w:t>
      </w:r>
      <w:r w:rsidR="00982016" w:rsidRPr="00483448">
        <w:rPr>
          <w:rFonts w:ascii="Book Antiqua" w:hAnsi="Book Antiqua" w:cs="Arial"/>
          <w:color w:val="000000"/>
        </w:rPr>
        <w:t>.</w:t>
      </w:r>
    </w:p>
    <w:p w:rsidR="00982016" w:rsidRPr="00483448" w:rsidRDefault="00982016" w:rsidP="004C5FED">
      <w:pPr>
        <w:autoSpaceDE w:val="0"/>
        <w:autoSpaceDN w:val="0"/>
        <w:adjustRightInd w:val="0"/>
        <w:snapToGrid w:val="0"/>
        <w:spacing w:line="360" w:lineRule="auto"/>
        <w:jc w:val="both"/>
        <w:rPr>
          <w:rFonts w:ascii="Book Antiqua" w:hAnsi="Book Antiqua" w:cs="Arial"/>
          <w:color w:val="000000"/>
        </w:rPr>
      </w:pPr>
    </w:p>
    <w:p w:rsidR="00982016" w:rsidRPr="00483448" w:rsidRDefault="00982016" w:rsidP="004C5FED">
      <w:pPr>
        <w:autoSpaceDE w:val="0"/>
        <w:autoSpaceDN w:val="0"/>
        <w:adjustRightInd w:val="0"/>
        <w:snapToGrid w:val="0"/>
        <w:spacing w:line="360" w:lineRule="auto"/>
        <w:jc w:val="both"/>
        <w:rPr>
          <w:rFonts w:ascii="Book Antiqua" w:hAnsi="Book Antiqua" w:cs="Arial"/>
          <w:color w:val="000000"/>
        </w:rPr>
      </w:pPr>
    </w:p>
    <w:p w:rsidR="00736EE0" w:rsidRPr="00483448" w:rsidRDefault="00982016" w:rsidP="004C5FED">
      <w:pPr>
        <w:autoSpaceDE w:val="0"/>
        <w:autoSpaceDN w:val="0"/>
        <w:adjustRightInd w:val="0"/>
        <w:snapToGrid w:val="0"/>
        <w:spacing w:line="360" w:lineRule="auto"/>
        <w:jc w:val="both"/>
        <w:rPr>
          <w:rFonts w:ascii="Book Antiqua" w:hAnsi="Book Antiqua" w:cs="Arial"/>
          <w:b/>
          <w:bCs/>
          <w:color w:val="000000"/>
        </w:rPr>
      </w:pPr>
      <w:r w:rsidRPr="00483448">
        <w:rPr>
          <w:rFonts w:ascii="Book Antiqua" w:hAnsi="Book Antiqua" w:cs="Arial"/>
          <w:b/>
          <w:bCs/>
          <w:color w:val="000000"/>
        </w:rPr>
        <w:t xml:space="preserve">Table 2 Change in body composition from diagnosis to post neo-adjuvant chemotherapy following regular enteral feeding </w:t>
      </w:r>
      <w:r w:rsidRPr="00483448">
        <w:rPr>
          <w:rFonts w:ascii="Book Antiqua" w:hAnsi="Book Antiqua" w:cs="Arial"/>
          <w:b/>
          <w:bCs/>
          <w:i/>
          <w:iCs/>
          <w:color w:val="000000"/>
        </w:rPr>
        <w:t>via</w:t>
      </w:r>
      <w:r w:rsidRPr="00483448">
        <w:rPr>
          <w:rFonts w:ascii="Book Antiqua" w:hAnsi="Book Antiqua" w:cs="Arial"/>
          <w:b/>
          <w:bCs/>
          <w:color w:val="000000"/>
        </w:rPr>
        <w:t xml:space="preserve"> jejunostomy</w:t>
      </w:r>
      <w:r w:rsidR="00235577" w:rsidRPr="00483448">
        <w:rPr>
          <w:rFonts w:ascii="Book Antiqua" w:hAnsi="Book Antiqua" w:cs="Arial"/>
          <w:b/>
          <w:bCs/>
          <w:color w:val="000000"/>
        </w:rPr>
        <w:t>,</w:t>
      </w:r>
      <w:r w:rsidRPr="00483448">
        <w:rPr>
          <w:rFonts w:ascii="Book Antiqua" w:hAnsi="Book Antiqua" w:cs="Arial"/>
          <w:b/>
          <w:bCs/>
          <w:color w:val="000000"/>
        </w:rPr>
        <w:t xml:space="preserve"> </w:t>
      </w:r>
      <w:r w:rsidRPr="00483448">
        <w:rPr>
          <w:rFonts w:ascii="Book Antiqua" w:hAnsi="Book Antiqua" w:cs="Arial"/>
          <w:b/>
          <w:bCs/>
          <w:i/>
          <w:iCs/>
          <w:color w:val="000000"/>
        </w:rPr>
        <w:t>n</w:t>
      </w:r>
      <w:r w:rsidRPr="00483448">
        <w:rPr>
          <w:rFonts w:ascii="Book Antiqua" w:hAnsi="Book Antiqua" w:cs="Arial"/>
          <w:b/>
          <w:bCs/>
          <w:color w:val="000000"/>
        </w:rPr>
        <w:t xml:space="preserve"> = 15</w:t>
      </w:r>
    </w:p>
    <w:tbl>
      <w:tblPr>
        <w:tblW w:w="9765" w:type="dxa"/>
        <w:tblBorders>
          <w:top w:val="single" w:sz="4" w:space="0" w:color="auto"/>
          <w:bottom w:val="single" w:sz="4" w:space="0" w:color="auto"/>
        </w:tblBorders>
        <w:tblLayout w:type="fixed"/>
        <w:tblLook w:val="04A0" w:firstRow="1" w:lastRow="0" w:firstColumn="1" w:lastColumn="0" w:noHBand="0" w:noVBand="1"/>
      </w:tblPr>
      <w:tblGrid>
        <w:gridCol w:w="4687"/>
        <w:gridCol w:w="1846"/>
        <w:gridCol w:w="1955"/>
        <w:gridCol w:w="1277"/>
      </w:tblGrid>
      <w:tr w:rsidR="00982016" w:rsidRPr="00483448" w:rsidTr="00982016">
        <w:trPr>
          <w:trHeight w:val="573"/>
        </w:trPr>
        <w:tc>
          <w:tcPr>
            <w:tcW w:w="4687" w:type="dxa"/>
            <w:tcBorders>
              <w:top w:val="single" w:sz="4" w:space="0" w:color="auto"/>
              <w:bottom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b/>
                <w:color w:val="000000"/>
              </w:rPr>
            </w:pPr>
          </w:p>
        </w:tc>
        <w:tc>
          <w:tcPr>
            <w:tcW w:w="1846" w:type="dxa"/>
            <w:tcBorders>
              <w:top w:val="single" w:sz="4" w:space="0" w:color="auto"/>
              <w:bottom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b/>
                <w:color w:val="000000"/>
              </w:rPr>
            </w:pPr>
            <w:r w:rsidRPr="00483448">
              <w:rPr>
                <w:rFonts w:ascii="Book Antiqua" w:hAnsi="Book Antiqua" w:cs="Arial"/>
                <w:b/>
                <w:color w:val="000000"/>
              </w:rPr>
              <w:t>Diagnosis</w:t>
            </w:r>
          </w:p>
        </w:tc>
        <w:tc>
          <w:tcPr>
            <w:tcW w:w="1955" w:type="dxa"/>
            <w:tcBorders>
              <w:top w:val="single" w:sz="4" w:space="0" w:color="auto"/>
              <w:bottom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b/>
                <w:color w:val="000000"/>
              </w:rPr>
            </w:pPr>
            <w:r w:rsidRPr="00483448">
              <w:rPr>
                <w:rFonts w:ascii="Book Antiqua" w:hAnsi="Book Antiqua" w:cs="Arial"/>
                <w:b/>
                <w:color w:val="000000"/>
              </w:rPr>
              <w:t>Post-chemotherapy</w:t>
            </w:r>
          </w:p>
        </w:tc>
        <w:tc>
          <w:tcPr>
            <w:tcW w:w="1277" w:type="dxa"/>
            <w:tcBorders>
              <w:top w:val="single" w:sz="4" w:space="0" w:color="auto"/>
              <w:bottom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b/>
                <w:i/>
                <w:color w:val="000000"/>
              </w:rPr>
            </w:pPr>
            <w:r w:rsidRPr="00483448">
              <w:rPr>
                <w:rFonts w:ascii="Book Antiqua" w:hAnsi="Book Antiqua" w:cs="Arial"/>
                <w:b/>
                <w:i/>
                <w:color w:val="000000"/>
              </w:rPr>
              <w:t>P</w:t>
            </w:r>
            <w:r w:rsidR="00152AC7" w:rsidRPr="00483448">
              <w:rPr>
                <w:rFonts w:ascii="Book Antiqua" w:hAnsi="Book Antiqua" w:cs="Arial"/>
                <w:b/>
                <w:i/>
                <w:color w:val="000000"/>
              </w:rPr>
              <w:t xml:space="preserve"> </w:t>
            </w:r>
            <w:r w:rsidR="00982016" w:rsidRPr="00483448">
              <w:rPr>
                <w:rFonts w:ascii="Book Antiqua" w:hAnsi="Book Antiqua" w:cs="Arial"/>
                <w:b/>
                <w:iCs/>
                <w:color w:val="000000"/>
              </w:rPr>
              <w:t>value</w:t>
            </w:r>
          </w:p>
        </w:tc>
      </w:tr>
      <w:tr w:rsidR="00982016" w:rsidRPr="00483448" w:rsidTr="00982016">
        <w:trPr>
          <w:trHeight w:val="291"/>
        </w:trPr>
        <w:tc>
          <w:tcPr>
            <w:tcW w:w="4687" w:type="dxa"/>
            <w:tcBorders>
              <w:top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Weight</w:t>
            </w:r>
            <w:r w:rsidR="00235577" w:rsidRPr="00483448">
              <w:rPr>
                <w:rFonts w:ascii="Book Antiqua" w:hAnsi="Book Antiqua" w:cs="Arial"/>
                <w:bCs/>
                <w:color w:val="000000"/>
              </w:rPr>
              <w:t>,</w:t>
            </w:r>
            <w:r w:rsidRPr="00483448">
              <w:rPr>
                <w:rFonts w:ascii="Book Antiqua" w:hAnsi="Book Antiqua" w:cs="Arial"/>
                <w:bCs/>
                <w:color w:val="000000"/>
              </w:rPr>
              <w:t xml:space="preserve"> </w:t>
            </w:r>
            <w:r w:rsidR="00982016" w:rsidRPr="00483448">
              <w:rPr>
                <w:rFonts w:ascii="Book Antiqua" w:hAnsi="Book Antiqua" w:cs="Arial"/>
                <w:bCs/>
                <w:color w:val="000000"/>
              </w:rPr>
              <w:t xml:space="preserve">mean ± SD, </w:t>
            </w:r>
            <w:r w:rsidRPr="00483448">
              <w:rPr>
                <w:rFonts w:ascii="Book Antiqua" w:hAnsi="Book Antiqua" w:cs="Arial"/>
                <w:bCs/>
                <w:color w:val="000000"/>
              </w:rPr>
              <w:t>kg</w:t>
            </w:r>
          </w:p>
        </w:tc>
        <w:tc>
          <w:tcPr>
            <w:tcW w:w="1846" w:type="dxa"/>
            <w:tcBorders>
              <w:top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74.5 ± 14.1</w:t>
            </w:r>
          </w:p>
        </w:tc>
        <w:tc>
          <w:tcPr>
            <w:tcW w:w="1955" w:type="dxa"/>
            <w:tcBorders>
              <w:top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74.8 ± 13.1</w:t>
            </w:r>
          </w:p>
        </w:tc>
        <w:tc>
          <w:tcPr>
            <w:tcW w:w="1277" w:type="dxa"/>
            <w:tcBorders>
              <w:top w:val="single" w:sz="4" w:space="0" w:color="auto"/>
            </w:tcBorders>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0.659</w:t>
            </w:r>
            <w:r w:rsidR="00982016" w:rsidRPr="00483448">
              <w:rPr>
                <w:rFonts w:ascii="Book Antiqua" w:hAnsi="Book Antiqua" w:cs="Arial"/>
                <w:color w:val="000000"/>
                <w:vertAlign w:val="superscript"/>
              </w:rPr>
              <w:t>1</w:t>
            </w:r>
          </w:p>
        </w:tc>
      </w:tr>
      <w:tr w:rsidR="00982016" w:rsidRPr="00483448" w:rsidTr="00982016">
        <w:trPr>
          <w:trHeight w:val="281"/>
        </w:trPr>
        <w:tc>
          <w:tcPr>
            <w:tcW w:w="4687"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BMI</w:t>
            </w:r>
            <w:r w:rsidR="00235577" w:rsidRPr="00483448">
              <w:rPr>
                <w:rFonts w:ascii="Book Antiqua" w:hAnsi="Book Antiqua" w:cs="Arial"/>
                <w:bCs/>
                <w:color w:val="000000"/>
              </w:rPr>
              <w:t>,</w:t>
            </w:r>
            <w:r w:rsidRPr="00483448">
              <w:rPr>
                <w:rFonts w:ascii="Book Antiqua" w:hAnsi="Book Antiqua" w:cs="Arial"/>
                <w:bCs/>
                <w:color w:val="000000"/>
              </w:rPr>
              <w:t xml:space="preserve"> </w:t>
            </w:r>
            <w:r w:rsidR="00982016" w:rsidRPr="00483448">
              <w:rPr>
                <w:rFonts w:ascii="Book Antiqua" w:hAnsi="Book Antiqua" w:cs="Arial"/>
                <w:bCs/>
                <w:color w:val="000000"/>
              </w:rPr>
              <w:t xml:space="preserve">mean ± SD, </w:t>
            </w:r>
            <w:r w:rsidRPr="00483448">
              <w:rPr>
                <w:rFonts w:ascii="Book Antiqua" w:hAnsi="Book Antiqua" w:cs="Arial"/>
                <w:bCs/>
                <w:color w:val="000000"/>
              </w:rPr>
              <w:t>kg/m</w:t>
            </w:r>
            <w:r w:rsidRPr="00483448">
              <w:rPr>
                <w:rFonts w:ascii="Book Antiqua" w:hAnsi="Book Antiqua" w:cs="Arial"/>
                <w:bCs/>
                <w:color w:val="000000"/>
                <w:vertAlign w:val="superscript"/>
              </w:rPr>
              <w:t>2</w:t>
            </w:r>
            <w:r w:rsidRPr="00483448">
              <w:rPr>
                <w:rFonts w:ascii="Book Antiqua" w:hAnsi="Book Antiqua" w:cs="Arial"/>
                <w:bCs/>
                <w:color w:val="000000"/>
              </w:rPr>
              <w:t>)</w:t>
            </w:r>
          </w:p>
        </w:tc>
        <w:tc>
          <w:tcPr>
            <w:tcW w:w="1846"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26.0 ± 3.8</w:t>
            </w:r>
          </w:p>
        </w:tc>
        <w:tc>
          <w:tcPr>
            <w:tcW w:w="1955"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26.1 ± 3.4</w:t>
            </w:r>
          </w:p>
        </w:tc>
        <w:tc>
          <w:tcPr>
            <w:tcW w:w="127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0.623</w:t>
            </w:r>
            <w:r w:rsidR="00982016" w:rsidRPr="00483448">
              <w:rPr>
                <w:rFonts w:ascii="Book Antiqua" w:hAnsi="Book Antiqua" w:cs="Arial"/>
                <w:color w:val="000000"/>
                <w:vertAlign w:val="superscript"/>
              </w:rPr>
              <w:t>1</w:t>
            </w:r>
          </w:p>
        </w:tc>
      </w:tr>
      <w:tr w:rsidR="00982016" w:rsidRPr="00483448" w:rsidTr="00982016">
        <w:trPr>
          <w:trHeight w:val="291"/>
        </w:trPr>
        <w:tc>
          <w:tcPr>
            <w:tcW w:w="4687"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Lumbar skeletal muscle index</w:t>
            </w:r>
            <w:r w:rsidR="00235577" w:rsidRPr="00483448">
              <w:rPr>
                <w:rFonts w:ascii="Book Antiqua" w:hAnsi="Book Antiqua" w:cs="Arial"/>
                <w:bCs/>
                <w:color w:val="000000"/>
              </w:rPr>
              <w:t xml:space="preserve"> as cm</w:t>
            </w:r>
            <w:r w:rsidR="00235577" w:rsidRPr="00483448">
              <w:rPr>
                <w:rFonts w:ascii="Book Antiqua" w:hAnsi="Book Antiqua" w:cs="Arial"/>
                <w:bCs/>
                <w:color w:val="000000"/>
                <w:vertAlign w:val="superscript"/>
              </w:rPr>
              <w:t>2</w:t>
            </w:r>
            <w:r w:rsidR="00235577" w:rsidRPr="00483448">
              <w:rPr>
                <w:rFonts w:ascii="Book Antiqua" w:hAnsi="Book Antiqua" w:cs="Arial"/>
                <w:bCs/>
                <w:color w:val="000000"/>
              </w:rPr>
              <w:t>/m</w:t>
            </w:r>
            <w:r w:rsidR="00235577" w:rsidRPr="00483448">
              <w:rPr>
                <w:rFonts w:ascii="Book Antiqua" w:hAnsi="Book Antiqua" w:cs="Arial"/>
                <w:bCs/>
                <w:color w:val="000000"/>
                <w:vertAlign w:val="superscript"/>
              </w:rPr>
              <w:t>2</w:t>
            </w:r>
            <w:r w:rsidR="00235577" w:rsidRPr="00483448">
              <w:rPr>
                <w:rFonts w:ascii="Book Antiqua" w:hAnsi="Book Antiqua" w:cs="Arial"/>
                <w:bCs/>
                <w:color w:val="000000"/>
              </w:rPr>
              <w:t>,</w:t>
            </w:r>
            <w:r w:rsidRPr="00483448">
              <w:rPr>
                <w:rFonts w:ascii="Book Antiqua" w:hAnsi="Book Antiqua" w:cs="Arial"/>
                <w:bCs/>
                <w:color w:val="000000"/>
              </w:rPr>
              <w:t xml:space="preserve"> </w:t>
            </w:r>
            <w:r w:rsidR="00982016" w:rsidRPr="00483448">
              <w:rPr>
                <w:rFonts w:ascii="Book Antiqua" w:hAnsi="Book Antiqua" w:cs="Arial"/>
                <w:bCs/>
                <w:color w:val="000000"/>
              </w:rPr>
              <w:t>mean ± SD</w:t>
            </w:r>
          </w:p>
        </w:tc>
        <w:tc>
          <w:tcPr>
            <w:tcW w:w="1846"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45.8 ± 8.0</w:t>
            </w:r>
          </w:p>
        </w:tc>
        <w:tc>
          <w:tcPr>
            <w:tcW w:w="1955"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43.5 ± 7.3</w:t>
            </w:r>
          </w:p>
        </w:tc>
        <w:tc>
          <w:tcPr>
            <w:tcW w:w="127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0.048</w:t>
            </w:r>
            <w:r w:rsidR="00982016" w:rsidRPr="00483448">
              <w:rPr>
                <w:rFonts w:ascii="Book Antiqua" w:hAnsi="Book Antiqua" w:cs="Arial"/>
                <w:color w:val="000000"/>
                <w:vertAlign w:val="superscript"/>
              </w:rPr>
              <w:t>1</w:t>
            </w:r>
          </w:p>
        </w:tc>
      </w:tr>
      <w:tr w:rsidR="00982016" w:rsidRPr="00483448" w:rsidTr="00982016">
        <w:trPr>
          <w:trHeight w:val="291"/>
        </w:trPr>
        <w:tc>
          <w:tcPr>
            <w:tcW w:w="4687"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Lumbar adipose tissue index</w:t>
            </w:r>
            <w:r w:rsidR="00235577" w:rsidRPr="00483448">
              <w:rPr>
                <w:rFonts w:ascii="Book Antiqua" w:hAnsi="Book Antiqua" w:cs="Arial"/>
                <w:bCs/>
                <w:color w:val="000000"/>
              </w:rPr>
              <w:t xml:space="preserve"> as</w:t>
            </w:r>
            <w:r w:rsidRPr="00483448">
              <w:rPr>
                <w:rFonts w:ascii="Book Antiqua" w:hAnsi="Book Antiqua" w:cs="Arial"/>
                <w:bCs/>
                <w:color w:val="000000"/>
              </w:rPr>
              <w:t xml:space="preserve"> </w:t>
            </w:r>
            <w:r w:rsidR="00235577" w:rsidRPr="00483448">
              <w:rPr>
                <w:rFonts w:ascii="Book Antiqua" w:hAnsi="Book Antiqua" w:cs="Arial"/>
                <w:bCs/>
                <w:color w:val="000000"/>
              </w:rPr>
              <w:t>cm</w:t>
            </w:r>
            <w:r w:rsidR="00235577" w:rsidRPr="00483448">
              <w:rPr>
                <w:rFonts w:ascii="Book Antiqua" w:hAnsi="Book Antiqua" w:cs="Arial"/>
                <w:bCs/>
                <w:color w:val="000000"/>
                <w:vertAlign w:val="superscript"/>
              </w:rPr>
              <w:t>2</w:t>
            </w:r>
            <w:r w:rsidR="00235577" w:rsidRPr="00483448">
              <w:rPr>
                <w:rFonts w:ascii="Book Antiqua" w:hAnsi="Book Antiqua" w:cs="Arial"/>
                <w:bCs/>
                <w:color w:val="000000"/>
              </w:rPr>
              <w:t>/m</w:t>
            </w:r>
            <w:r w:rsidR="00235577" w:rsidRPr="00483448">
              <w:rPr>
                <w:rFonts w:ascii="Book Antiqua" w:hAnsi="Book Antiqua" w:cs="Arial"/>
                <w:bCs/>
                <w:color w:val="000000"/>
                <w:vertAlign w:val="superscript"/>
              </w:rPr>
              <w:t>2</w:t>
            </w:r>
            <w:r w:rsidR="00235577" w:rsidRPr="00483448">
              <w:rPr>
                <w:rFonts w:ascii="Book Antiqua" w:hAnsi="Book Antiqua" w:cs="Arial"/>
                <w:bCs/>
                <w:color w:val="000000"/>
              </w:rPr>
              <w:t xml:space="preserve">, </w:t>
            </w:r>
            <w:r w:rsidR="00192095" w:rsidRPr="00483448">
              <w:rPr>
                <w:rFonts w:ascii="Book Antiqua" w:hAnsi="Book Antiqua" w:cs="Arial"/>
                <w:bCs/>
                <w:color w:val="000000"/>
              </w:rPr>
              <w:t>mean ± SD,</w:t>
            </w:r>
          </w:p>
        </w:tc>
        <w:tc>
          <w:tcPr>
            <w:tcW w:w="1846"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124.0 ± 53.7</w:t>
            </w:r>
          </w:p>
        </w:tc>
        <w:tc>
          <w:tcPr>
            <w:tcW w:w="1955"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124.6 ± 47.9</w:t>
            </w:r>
          </w:p>
        </w:tc>
        <w:tc>
          <w:tcPr>
            <w:tcW w:w="127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0.878</w:t>
            </w:r>
            <w:r w:rsidR="00982016" w:rsidRPr="00483448">
              <w:rPr>
                <w:rFonts w:ascii="Book Antiqua" w:hAnsi="Book Antiqua" w:cs="Arial"/>
                <w:color w:val="000000"/>
                <w:vertAlign w:val="superscript"/>
              </w:rPr>
              <w:t>1</w:t>
            </w:r>
          </w:p>
        </w:tc>
      </w:tr>
      <w:tr w:rsidR="00982016" w:rsidRPr="00483448" w:rsidTr="00982016">
        <w:trPr>
          <w:trHeight w:val="333"/>
        </w:trPr>
        <w:tc>
          <w:tcPr>
            <w:tcW w:w="4687"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Sarcopenic</w:t>
            </w:r>
          </w:p>
        </w:tc>
        <w:tc>
          <w:tcPr>
            <w:tcW w:w="1846"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5 (33.3)</w:t>
            </w:r>
          </w:p>
        </w:tc>
        <w:tc>
          <w:tcPr>
            <w:tcW w:w="1955"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9 (60.0)</w:t>
            </w:r>
          </w:p>
        </w:tc>
        <w:tc>
          <w:tcPr>
            <w:tcW w:w="127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0.219</w:t>
            </w:r>
            <w:r w:rsidR="00982016" w:rsidRPr="00483448">
              <w:rPr>
                <w:rFonts w:ascii="Book Antiqua" w:hAnsi="Book Antiqua" w:cs="Arial"/>
                <w:color w:val="000000"/>
                <w:vertAlign w:val="superscript"/>
              </w:rPr>
              <w:t>2</w:t>
            </w:r>
          </w:p>
        </w:tc>
      </w:tr>
      <w:tr w:rsidR="00982016" w:rsidRPr="00483448" w:rsidTr="00982016">
        <w:trPr>
          <w:trHeight w:val="323"/>
        </w:trPr>
        <w:tc>
          <w:tcPr>
            <w:tcW w:w="4687" w:type="dxa"/>
            <w:shd w:val="clear" w:color="auto" w:fill="auto"/>
          </w:tcPr>
          <w:p w:rsidR="00736EE0" w:rsidRPr="00483448" w:rsidRDefault="00736EE0" w:rsidP="004C5FED">
            <w:pPr>
              <w:snapToGrid w:val="0"/>
              <w:spacing w:line="360" w:lineRule="auto"/>
              <w:jc w:val="both"/>
              <w:rPr>
                <w:rFonts w:ascii="Book Antiqua" w:hAnsi="Book Antiqua" w:cs="Arial"/>
                <w:bCs/>
                <w:color w:val="000000"/>
              </w:rPr>
            </w:pPr>
            <w:r w:rsidRPr="00483448">
              <w:rPr>
                <w:rFonts w:ascii="Book Antiqua" w:hAnsi="Book Antiqua" w:cs="Arial"/>
                <w:bCs/>
                <w:color w:val="000000"/>
              </w:rPr>
              <w:t>Myosteatotic</w:t>
            </w:r>
          </w:p>
        </w:tc>
        <w:tc>
          <w:tcPr>
            <w:tcW w:w="1846"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8 (53.3)</w:t>
            </w:r>
          </w:p>
        </w:tc>
        <w:tc>
          <w:tcPr>
            <w:tcW w:w="1955"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8 (53.3)</w:t>
            </w:r>
          </w:p>
        </w:tc>
        <w:tc>
          <w:tcPr>
            <w:tcW w:w="1277" w:type="dxa"/>
            <w:shd w:val="clear" w:color="auto" w:fill="auto"/>
          </w:tcPr>
          <w:p w:rsidR="00736EE0" w:rsidRPr="00483448" w:rsidRDefault="00736EE0" w:rsidP="004C5FED">
            <w:pPr>
              <w:snapToGrid w:val="0"/>
              <w:spacing w:line="360" w:lineRule="auto"/>
              <w:jc w:val="both"/>
              <w:rPr>
                <w:rFonts w:ascii="Book Antiqua" w:hAnsi="Book Antiqua" w:cs="Arial"/>
                <w:color w:val="000000"/>
              </w:rPr>
            </w:pPr>
            <w:r w:rsidRPr="00483448">
              <w:rPr>
                <w:rFonts w:ascii="Book Antiqua" w:hAnsi="Book Antiqua" w:cs="Arial"/>
                <w:color w:val="000000"/>
              </w:rPr>
              <w:t>1.000</w:t>
            </w:r>
            <w:r w:rsidR="00982016" w:rsidRPr="00483448">
              <w:rPr>
                <w:rFonts w:ascii="Book Antiqua" w:hAnsi="Book Antiqua" w:cs="Arial"/>
                <w:color w:val="000000"/>
                <w:vertAlign w:val="superscript"/>
              </w:rPr>
              <w:t>2</w:t>
            </w:r>
          </w:p>
        </w:tc>
      </w:tr>
    </w:tbl>
    <w:p w:rsidR="00736EE0" w:rsidRPr="00483448" w:rsidRDefault="00982016" w:rsidP="004C5FED">
      <w:pPr>
        <w:pStyle w:val="1-1"/>
        <w:snapToGrid w:val="0"/>
        <w:spacing w:line="360" w:lineRule="auto"/>
        <w:jc w:val="both"/>
        <w:rPr>
          <w:rFonts w:ascii="Book Antiqua" w:hAnsi="Book Antiqua" w:cs="Arial"/>
          <w:color w:val="000000"/>
          <w:sz w:val="24"/>
          <w:szCs w:val="24"/>
          <w:vertAlign w:val="superscript"/>
        </w:rPr>
      </w:pPr>
      <w:r w:rsidRPr="00483448">
        <w:rPr>
          <w:rFonts w:ascii="Book Antiqua" w:hAnsi="Book Antiqua" w:cs="Arial"/>
          <w:color w:val="000000"/>
          <w:sz w:val="24"/>
          <w:szCs w:val="24"/>
          <w:vertAlign w:val="superscript"/>
        </w:rPr>
        <w:t>1</w:t>
      </w:r>
      <w:r w:rsidRPr="00483448">
        <w:rPr>
          <w:rFonts w:ascii="Book Antiqua" w:hAnsi="Book Antiqua" w:cs="Arial"/>
          <w:caps/>
          <w:color w:val="000000"/>
          <w:sz w:val="24"/>
          <w:szCs w:val="24"/>
        </w:rPr>
        <w:t>p</w:t>
      </w:r>
      <w:r w:rsidRPr="00483448">
        <w:rPr>
          <w:rFonts w:ascii="Book Antiqua" w:hAnsi="Book Antiqua" w:cs="Arial"/>
          <w:color w:val="000000"/>
          <w:sz w:val="24"/>
          <w:szCs w:val="24"/>
        </w:rPr>
        <w:t xml:space="preserve">aired </w:t>
      </w:r>
      <w:r w:rsidRPr="00483448">
        <w:rPr>
          <w:rFonts w:ascii="Book Antiqua" w:hAnsi="Book Antiqua" w:cs="Arial"/>
          <w:i/>
          <w:iCs/>
          <w:color w:val="000000"/>
          <w:sz w:val="24"/>
          <w:szCs w:val="24"/>
        </w:rPr>
        <w:t>t</w:t>
      </w:r>
      <w:r w:rsidRPr="00483448">
        <w:rPr>
          <w:rFonts w:ascii="Book Antiqua" w:hAnsi="Book Antiqua" w:cs="Arial"/>
          <w:color w:val="000000"/>
          <w:sz w:val="24"/>
          <w:szCs w:val="24"/>
        </w:rPr>
        <w:t xml:space="preserve">-test; </w:t>
      </w:r>
      <w:r w:rsidRPr="00483448">
        <w:rPr>
          <w:rFonts w:ascii="Book Antiqua" w:hAnsi="Book Antiqua" w:cs="Arial"/>
          <w:color w:val="000000"/>
          <w:sz w:val="24"/>
          <w:szCs w:val="24"/>
          <w:vertAlign w:val="superscript"/>
        </w:rPr>
        <w:t>2</w:t>
      </w:r>
      <w:r w:rsidRPr="00483448">
        <w:rPr>
          <w:rFonts w:ascii="Book Antiqua" w:hAnsi="Book Antiqua" w:cs="Arial"/>
          <w:color w:val="000000"/>
          <w:sz w:val="24"/>
          <w:szCs w:val="24"/>
        </w:rPr>
        <w:t xml:space="preserve">McNemar’s test. </w:t>
      </w:r>
      <w:r w:rsidR="00736EE0" w:rsidRPr="00483448">
        <w:rPr>
          <w:rFonts w:ascii="Book Antiqua" w:hAnsi="Book Antiqua" w:cs="Arial"/>
          <w:color w:val="000000"/>
          <w:sz w:val="24"/>
          <w:szCs w:val="24"/>
        </w:rPr>
        <w:t>Values are number of patients with percentages in round parentheses unless indicated otherwise</w:t>
      </w:r>
      <w:r w:rsidRPr="00483448">
        <w:rPr>
          <w:rFonts w:ascii="Book Antiqua" w:hAnsi="Book Antiqua" w:cs="Arial"/>
          <w:color w:val="000000"/>
          <w:sz w:val="24"/>
          <w:szCs w:val="24"/>
        </w:rPr>
        <w:t>.</w:t>
      </w:r>
      <w:r w:rsidR="004B5781" w:rsidRPr="00483448">
        <w:rPr>
          <w:rFonts w:ascii="Book Antiqua" w:hAnsi="Book Antiqua" w:cs="Arial"/>
          <w:color w:val="000000"/>
          <w:sz w:val="24"/>
          <w:szCs w:val="24"/>
        </w:rPr>
        <w:t xml:space="preserve"> SD: Standard deviation; BMI: Body mass index.</w:t>
      </w:r>
    </w:p>
    <w:p w:rsidR="00736EE0" w:rsidRPr="00483448" w:rsidRDefault="00192095" w:rsidP="004C5FED">
      <w:pPr>
        <w:pStyle w:val="1-2"/>
        <w:snapToGrid w:val="0"/>
        <w:spacing w:line="360" w:lineRule="auto"/>
        <w:jc w:val="both"/>
        <w:rPr>
          <w:rFonts w:ascii="Book Antiqua" w:hAnsi="Book Antiqua"/>
          <w:color w:val="000000"/>
        </w:rPr>
      </w:pPr>
      <w:r w:rsidRPr="00483448">
        <w:rPr>
          <w:rFonts w:ascii="Book Antiqua" w:hAnsi="Book Antiqua"/>
          <w:color w:val="000000"/>
        </w:rPr>
        <w:br w:type="page"/>
      </w:r>
      <w:r w:rsidR="00736EE0" w:rsidRPr="00483448">
        <w:rPr>
          <w:rFonts w:ascii="Book Antiqua" w:hAnsi="Book Antiqua" w:cs="Arial"/>
          <w:b/>
          <w:color w:val="000000"/>
        </w:rPr>
        <w:lastRenderedPageBreak/>
        <w:t>Table 3</w:t>
      </w:r>
      <w:r w:rsidRPr="00483448">
        <w:rPr>
          <w:rFonts w:ascii="Book Antiqua" w:hAnsi="Book Antiqua" w:cs="Arial"/>
          <w:b/>
          <w:color w:val="000000"/>
        </w:rPr>
        <w:t xml:space="preserve"> </w:t>
      </w:r>
      <w:r w:rsidR="00736EE0" w:rsidRPr="00483448">
        <w:rPr>
          <w:rFonts w:ascii="Book Antiqua" w:hAnsi="Book Antiqua" w:cs="Arial"/>
          <w:b/>
          <w:bCs/>
          <w:color w:val="000000"/>
        </w:rPr>
        <w:t>Individual values for changes in lumbar skeletal muscle index (cm</w:t>
      </w:r>
      <w:r w:rsidR="00736EE0" w:rsidRPr="00483448">
        <w:rPr>
          <w:rFonts w:ascii="Book Antiqua" w:hAnsi="Book Antiqua" w:cs="Arial"/>
          <w:b/>
          <w:bCs/>
          <w:color w:val="000000"/>
          <w:vertAlign w:val="superscript"/>
        </w:rPr>
        <w:t>2</w:t>
      </w:r>
      <w:r w:rsidR="00736EE0" w:rsidRPr="00483448">
        <w:rPr>
          <w:rFonts w:ascii="Book Antiqua" w:hAnsi="Book Antiqua" w:cs="Arial"/>
          <w:b/>
          <w:bCs/>
          <w:color w:val="000000"/>
        </w:rPr>
        <w:t>/m</w:t>
      </w:r>
      <w:r w:rsidR="00736EE0" w:rsidRPr="00483448">
        <w:rPr>
          <w:rFonts w:ascii="Book Antiqua" w:hAnsi="Book Antiqua" w:cs="Arial"/>
          <w:b/>
          <w:bCs/>
          <w:color w:val="000000"/>
          <w:vertAlign w:val="superscript"/>
        </w:rPr>
        <w:t>2</w:t>
      </w:r>
      <w:r w:rsidR="00736EE0" w:rsidRPr="00483448">
        <w:rPr>
          <w:rFonts w:ascii="Book Antiqua" w:hAnsi="Book Antiqua" w:cs="Arial"/>
          <w:b/>
          <w:bCs/>
          <w:color w:val="000000"/>
        </w:rPr>
        <w:t xml:space="preserve">) from diagnosis to post neo-adjuvant chemotherapy following regular enteral feeding </w:t>
      </w:r>
      <w:r w:rsidR="00A33C79" w:rsidRPr="00483448">
        <w:rPr>
          <w:rFonts w:ascii="Book Antiqua" w:hAnsi="Book Antiqua" w:cs="Arial"/>
          <w:b/>
          <w:bCs/>
          <w:i/>
          <w:iCs/>
          <w:color w:val="000000"/>
        </w:rPr>
        <w:t>via</w:t>
      </w:r>
      <w:r w:rsidR="00736EE0" w:rsidRPr="00483448">
        <w:rPr>
          <w:rFonts w:ascii="Book Antiqua" w:hAnsi="Book Antiqua" w:cs="Arial"/>
          <w:b/>
          <w:bCs/>
          <w:color w:val="000000"/>
        </w:rPr>
        <w:t xml:space="preserve"> jejunostomy</w:t>
      </w:r>
    </w:p>
    <w:tbl>
      <w:tblPr>
        <w:tblW w:w="4880" w:type="dxa"/>
        <w:tblInd w:w="108" w:type="dxa"/>
        <w:tblBorders>
          <w:top w:val="single" w:sz="4" w:space="0" w:color="auto"/>
          <w:bottom w:val="single" w:sz="4" w:space="0" w:color="auto"/>
        </w:tblBorders>
        <w:tblLook w:val="04A0" w:firstRow="1" w:lastRow="0" w:firstColumn="1" w:lastColumn="0" w:noHBand="0" w:noVBand="1"/>
      </w:tblPr>
      <w:tblGrid>
        <w:gridCol w:w="1340"/>
        <w:gridCol w:w="1323"/>
        <w:gridCol w:w="2260"/>
      </w:tblGrid>
      <w:tr w:rsidR="00192095" w:rsidRPr="00483448" w:rsidTr="00192095">
        <w:trPr>
          <w:trHeight w:val="300"/>
        </w:trPr>
        <w:tc>
          <w:tcPr>
            <w:tcW w:w="1340" w:type="dxa"/>
            <w:tcBorders>
              <w:top w:val="single" w:sz="4" w:space="0" w:color="auto"/>
              <w:bottom w:val="single" w:sz="4" w:space="0" w:color="auto"/>
            </w:tcBorders>
            <w:shd w:val="clear" w:color="auto" w:fill="auto"/>
            <w:noWrap/>
            <w:vAlign w:val="bottom"/>
            <w:hideMark/>
          </w:tcPr>
          <w:p w:rsidR="00736EE0" w:rsidRPr="00483448" w:rsidRDefault="00736EE0" w:rsidP="004C5FED">
            <w:pPr>
              <w:snapToGrid w:val="0"/>
              <w:spacing w:line="360" w:lineRule="auto"/>
              <w:rPr>
                <w:rFonts w:ascii="Book Antiqua" w:hAnsi="Book Antiqua" w:cs="Calibri"/>
                <w:b/>
                <w:bCs/>
                <w:color w:val="000000"/>
              </w:rPr>
            </w:pPr>
            <w:r w:rsidRPr="00483448">
              <w:rPr>
                <w:rFonts w:ascii="Book Antiqua" w:hAnsi="Book Antiqua" w:cs="Calibri"/>
                <w:b/>
                <w:bCs/>
                <w:color w:val="000000"/>
              </w:rPr>
              <w:t>Patient ID</w:t>
            </w:r>
          </w:p>
        </w:tc>
        <w:tc>
          <w:tcPr>
            <w:tcW w:w="1280" w:type="dxa"/>
            <w:tcBorders>
              <w:top w:val="single" w:sz="4" w:space="0" w:color="auto"/>
              <w:bottom w:val="single" w:sz="4" w:space="0" w:color="auto"/>
            </w:tcBorders>
            <w:shd w:val="clear" w:color="auto" w:fill="auto"/>
            <w:noWrap/>
            <w:vAlign w:val="bottom"/>
            <w:hideMark/>
          </w:tcPr>
          <w:p w:rsidR="00736EE0" w:rsidRPr="00483448" w:rsidRDefault="00736EE0" w:rsidP="004C5FED">
            <w:pPr>
              <w:snapToGrid w:val="0"/>
              <w:spacing w:line="360" w:lineRule="auto"/>
              <w:rPr>
                <w:rFonts w:ascii="Book Antiqua" w:hAnsi="Book Antiqua" w:cs="Calibri"/>
                <w:b/>
                <w:bCs/>
                <w:color w:val="000000"/>
              </w:rPr>
            </w:pPr>
            <w:r w:rsidRPr="00483448">
              <w:rPr>
                <w:rFonts w:ascii="Book Antiqua" w:hAnsi="Book Antiqua" w:cs="Calibri"/>
                <w:b/>
                <w:bCs/>
                <w:color w:val="000000"/>
              </w:rPr>
              <w:t>Diagnosis</w:t>
            </w:r>
          </w:p>
        </w:tc>
        <w:tc>
          <w:tcPr>
            <w:tcW w:w="2260" w:type="dxa"/>
            <w:tcBorders>
              <w:top w:val="single" w:sz="4" w:space="0" w:color="auto"/>
              <w:bottom w:val="single" w:sz="4" w:space="0" w:color="auto"/>
            </w:tcBorders>
            <w:shd w:val="clear" w:color="auto" w:fill="auto"/>
            <w:noWrap/>
            <w:vAlign w:val="bottom"/>
            <w:hideMark/>
          </w:tcPr>
          <w:p w:rsidR="00736EE0" w:rsidRPr="00483448" w:rsidRDefault="004B5781" w:rsidP="004C5FED">
            <w:pPr>
              <w:snapToGrid w:val="0"/>
              <w:spacing w:line="360" w:lineRule="auto"/>
              <w:rPr>
                <w:rFonts w:ascii="Book Antiqua" w:hAnsi="Book Antiqua" w:cs="Calibri"/>
                <w:b/>
                <w:bCs/>
                <w:color w:val="000000"/>
              </w:rPr>
            </w:pPr>
            <w:r w:rsidRPr="00483448">
              <w:rPr>
                <w:rFonts w:ascii="Book Antiqua" w:hAnsi="Book Antiqua" w:cs="Calibri"/>
                <w:b/>
                <w:bCs/>
                <w:color w:val="000000"/>
              </w:rPr>
              <w:t>After</w:t>
            </w:r>
            <w:r w:rsidR="009C57CB" w:rsidRPr="00483448">
              <w:rPr>
                <w:rFonts w:ascii="Book Antiqua" w:hAnsi="Book Antiqua" w:cs="Calibri"/>
                <w:b/>
                <w:bCs/>
                <w:color w:val="000000"/>
              </w:rPr>
              <w:t xml:space="preserve"> </w:t>
            </w:r>
            <w:r w:rsidR="00736EE0" w:rsidRPr="00483448">
              <w:rPr>
                <w:rFonts w:ascii="Book Antiqua" w:hAnsi="Book Antiqua" w:cs="Calibri"/>
                <w:b/>
                <w:bCs/>
                <w:color w:val="000000"/>
              </w:rPr>
              <w:t>neo</w:t>
            </w:r>
            <w:r w:rsidR="009C57CB" w:rsidRPr="00483448">
              <w:rPr>
                <w:rFonts w:ascii="Book Antiqua" w:hAnsi="Book Antiqua" w:cs="Calibri"/>
                <w:b/>
                <w:bCs/>
                <w:color w:val="000000"/>
              </w:rPr>
              <w:t>-</w:t>
            </w:r>
            <w:r w:rsidR="00736EE0" w:rsidRPr="00483448">
              <w:rPr>
                <w:rFonts w:ascii="Book Antiqua" w:hAnsi="Book Antiqua" w:cs="Calibri"/>
                <w:b/>
                <w:bCs/>
                <w:color w:val="000000"/>
              </w:rPr>
              <w:t xml:space="preserve">adjuvant </w:t>
            </w:r>
            <w:r w:rsidR="00192095" w:rsidRPr="00483448">
              <w:rPr>
                <w:rFonts w:ascii="Book Antiqua" w:hAnsi="Book Antiqua" w:cs="Calibri"/>
                <w:b/>
                <w:bCs/>
                <w:color w:val="000000"/>
              </w:rPr>
              <w:t>c</w:t>
            </w:r>
            <w:r w:rsidR="00736EE0" w:rsidRPr="00483448">
              <w:rPr>
                <w:rFonts w:ascii="Book Antiqua" w:hAnsi="Book Antiqua" w:cs="Calibri"/>
                <w:b/>
                <w:bCs/>
                <w:color w:val="000000"/>
              </w:rPr>
              <w:t>hemotherapy</w:t>
            </w:r>
          </w:p>
        </w:tc>
      </w:tr>
      <w:tr w:rsidR="00192095" w:rsidRPr="00483448" w:rsidTr="00192095">
        <w:trPr>
          <w:trHeight w:val="300"/>
        </w:trPr>
        <w:tc>
          <w:tcPr>
            <w:tcW w:w="1340" w:type="dxa"/>
            <w:tcBorders>
              <w:top w:val="single" w:sz="4" w:space="0" w:color="auto"/>
            </w:tcBorders>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1</w:t>
            </w:r>
          </w:p>
        </w:tc>
        <w:tc>
          <w:tcPr>
            <w:tcW w:w="1280" w:type="dxa"/>
            <w:tcBorders>
              <w:top w:val="single" w:sz="4" w:space="0" w:color="auto"/>
            </w:tcBorders>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45.86</w:t>
            </w:r>
          </w:p>
        </w:tc>
        <w:tc>
          <w:tcPr>
            <w:tcW w:w="2260" w:type="dxa"/>
            <w:tcBorders>
              <w:top w:val="single" w:sz="4" w:space="0" w:color="auto"/>
            </w:tcBorders>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43.20</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2</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46.27</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42.87</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3</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44.44</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40.65</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4</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24.25</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27.50</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5</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47.97</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43.77</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6</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54.85</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53.80</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7</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41.05</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35.91</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8</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43.79</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53.48</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9</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47.00</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45.39</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10</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54.47</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50.53</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11</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40.50</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39.20</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12</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39.15</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36.71</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13</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52.26</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44.59</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14</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56.74</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53.76</w:t>
            </w:r>
          </w:p>
        </w:tc>
      </w:tr>
      <w:tr w:rsidR="00192095" w:rsidRPr="00483448" w:rsidTr="00192095">
        <w:trPr>
          <w:trHeight w:val="300"/>
        </w:trPr>
        <w:tc>
          <w:tcPr>
            <w:tcW w:w="134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Patient 15</w:t>
            </w:r>
          </w:p>
        </w:tc>
        <w:tc>
          <w:tcPr>
            <w:tcW w:w="128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48.84</w:t>
            </w:r>
          </w:p>
        </w:tc>
        <w:tc>
          <w:tcPr>
            <w:tcW w:w="2260" w:type="dxa"/>
            <w:shd w:val="clear" w:color="auto" w:fill="auto"/>
            <w:noWrap/>
            <w:vAlign w:val="bottom"/>
            <w:hideMark/>
          </w:tcPr>
          <w:p w:rsidR="00736EE0" w:rsidRPr="00483448" w:rsidRDefault="00736EE0" w:rsidP="004C5FED">
            <w:pPr>
              <w:snapToGrid w:val="0"/>
              <w:spacing w:line="360" w:lineRule="auto"/>
              <w:rPr>
                <w:rFonts w:ascii="Book Antiqua" w:hAnsi="Book Antiqua" w:cs="Calibri"/>
                <w:color w:val="000000"/>
              </w:rPr>
            </w:pPr>
            <w:r w:rsidRPr="00483448">
              <w:rPr>
                <w:rFonts w:ascii="Book Antiqua" w:hAnsi="Book Antiqua" w:cs="Calibri"/>
                <w:color w:val="000000"/>
              </w:rPr>
              <w:t>42.05</w:t>
            </w:r>
          </w:p>
        </w:tc>
      </w:tr>
    </w:tbl>
    <w:p w:rsidR="004B5781" w:rsidRPr="00483448" w:rsidRDefault="004B5781" w:rsidP="004C5FED">
      <w:pPr>
        <w:snapToGrid w:val="0"/>
        <w:spacing w:line="360" w:lineRule="auto"/>
        <w:jc w:val="both"/>
        <w:rPr>
          <w:rFonts w:ascii="Book Antiqua" w:hAnsi="Book Antiqua" w:cs="Arial"/>
          <w:b/>
          <w:color w:val="000000"/>
        </w:rPr>
      </w:pPr>
    </w:p>
    <w:p w:rsidR="00736EE0" w:rsidRPr="00483448" w:rsidRDefault="004B5781" w:rsidP="004C5FED">
      <w:pPr>
        <w:snapToGrid w:val="0"/>
        <w:spacing w:line="360" w:lineRule="auto"/>
        <w:jc w:val="both"/>
        <w:rPr>
          <w:rFonts w:ascii="Book Antiqua" w:hAnsi="Book Antiqua" w:cs="Arial"/>
          <w:color w:val="000000"/>
        </w:rPr>
      </w:pPr>
      <w:r w:rsidRPr="00483448">
        <w:rPr>
          <w:rFonts w:ascii="Book Antiqua" w:hAnsi="Book Antiqua" w:cs="Arial"/>
          <w:b/>
          <w:color w:val="000000"/>
        </w:rPr>
        <w:br w:type="page"/>
      </w:r>
      <w:r w:rsidR="00736EE0" w:rsidRPr="00483448">
        <w:rPr>
          <w:rFonts w:ascii="Book Antiqua" w:hAnsi="Book Antiqua" w:cs="Arial"/>
          <w:b/>
          <w:color w:val="000000"/>
        </w:rPr>
        <w:lastRenderedPageBreak/>
        <w:t>Table 4</w:t>
      </w:r>
      <w:r w:rsidR="00192095" w:rsidRPr="00483448">
        <w:rPr>
          <w:rFonts w:ascii="Book Antiqua" w:hAnsi="Book Antiqua" w:cs="Arial"/>
          <w:b/>
          <w:color w:val="000000"/>
        </w:rPr>
        <w:t xml:space="preserve"> </w:t>
      </w:r>
      <w:r w:rsidR="00736EE0" w:rsidRPr="00483448">
        <w:rPr>
          <w:rFonts w:ascii="Book Antiqua" w:hAnsi="Book Antiqua" w:cs="Arial"/>
          <w:b/>
          <w:bCs/>
          <w:color w:val="000000"/>
        </w:rPr>
        <w:t>Individual values for changes in lumbar adipose tissue index (cm</w:t>
      </w:r>
      <w:r w:rsidR="00736EE0" w:rsidRPr="00483448">
        <w:rPr>
          <w:rFonts w:ascii="Book Antiqua" w:hAnsi="Book Antiqua" w:cs="Arial"/>
          <w:b/>
          <w:bCs/>
          <w:color w:val="000000"/>
          <w:vertAlign w:val="superscript"/>
        </w:rPr>
        <w:t>2</w:t>
      </w:r>
      <w:r w:rsidR="00736EE0" w:rsidRPr="00483448">
        <w:rPr>
          <w:rFonts w:ascii="Book Antiqua" w:hAnsi="Book Antiqua" w:cs="Arial"/>
          <w:b/>
          <w:bCs/>
          <w:color w:val="000000"/>
        </w:rPr>
        <w:t>/m</w:t>
      </w:r>
      <w:r w:rsidR="00736EE0" w:rsidRPr="00483448">
        <w:rPr>
          <w:rFonts w:ascii="Book Antiqua" w:hAnsi="Book Antiqua" w:cs="Arial"/>
          <w:b/>
          <w:bCs/>
          <w:color w:val="000000"/>
          <w:vertAlign w:val="superscript"/>
        </w:rPr>
        <w:t>2</w:t>
      </w:r>
      <w:r w:rsidR="00736EE0" w:rsidRPr="00483448">
        <w:rPr>
          <w:rFonts w:ascii="Book Antiqua" w:hAnsi="Book Antiqua" w:cs="Arial"/>
          <w:b/>
          <w:bCs/>
          <w:color w:val="000000"/>
        </w:rPr>
        <w:t xml:space="preserve">) from diagnosis to </w:t>
      </w:r>
      <w:r w:rsidRPr="00483448">
        <w:rPr>
          <w:rFonts w:ascii="Book Antiqua" w:hAnsi="Book Antiqua" w:cs="Arial"/>
          <w:b/>
          <w:bCs/>
          <w:color w:val="000000"/>
        </w:rPr>
        <w:t xml:space="preserve">after </w:t>
      </w:r>
      <w:r w:rsidR="00736EE0" w:rsidRPr="00483448">
        <w:rPr>
          <w:rFonts w:ascii="Book Antiqua" w:hAnsi="Book Antiqua" w:cs="Arial"/>
          <w:b/>
          <w:bCs/>
          <w:color w:val="000000"/>
        </w:rPr>
        <w:t xml:space="preserve">neo-adjuvant chemotherapy following regular enteral feeding </w:t>
      </w:r>
      <w:r w:rsidR="00A33C79" w:rsidRPr="00483448">
        <w:rPr>
          <w:rFonts w:ascii="Book Antiqua" w:hAnsi="Book Antiqua" w:cs="Arial"/>
          <w:b/>
          <w:bCs/>
          <w:i/>
          <w:iCs/>
          <w:color w:val="000000"/>
        </w:rPr>
        <w:t>via</w:t>
      </w:r>
      <w:r w:rsidR="00736EE0" w:rsidRPr="00483448">
        <w:rPr>
          <w:rFonts w:ascii="Book Antiqua" w:hAnsi="Book Antiqua" w:cs="Arial"/>
          <w:b/>
          <w:bCs/>
          <w:color w:val="000000"/>
        </w:rPr>
        <w:t xml:space="preserve"> jejunostomy</w:t>
      </w:r>
    </w:p>
    <w:tbl>
      <w:tblPr>
        <w:tblW w:w="4536" w:type="dxa"/>
        <w:tblBorders>
          <w:top w:val="single" w:sz="4" w:space="0" w:color="auto"/>
          <w:bottom w:val="single" w:sz="4" w:space="0" w:color="auto"/>
        </w:tblBorders>
        <w:tblLook w:val="04A0" w:firstRow="1" w:lastRow="0" w:firstColumn="1" w:lastColumn="0" w:noHBand="0" w:noVBand="1"/>
      </w:tblPr>
      <w:tblGrid>
        <w:gridCol w:w="1340"/>
        <w:gridCol w:w="1323"/>
        <w:gridCol w:w="1916"/>
      </w:tblGrid>
      <w:tr w:rsidR="00192095" w:rsidRPr="00483448" w:rsidTr="004C5FED">
        <w:trPr>
          <w:trHeight w:val="300"/>
        </w:trPr>
        <w:tc>
          <w:tcPr>
            <w:tcW w:w="1340" w:type="dxa"/>
            <w:tcBorders>
              <w:top w:val="single" w:sz="4" w:space="0" w:color="auto"/>
              <w:bottom w:val="single" w:sz="4" w:space="0" w:color="auto"/>
            </w:tcBorders>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b/>
                <w:bCs/>
                <w:color w:val="000000"/>
              </w:rPr>
            </w:pPr>
            <w:r w:rsidRPr="00483448">
              <w:rPr>
                <w:rFonts w:ascii="Book Antiqua" w:hAnsi="Book Antiqua" w:cs="Calibri"/>
                <w:b/>
                <w:bCs/>
                <w:color w:val="000000"/>
              </w:rPr>
              <w:t>Patient ID</w:t>
            </w:r>
          </w:p>
        </w:tc>
        <w:tc>
          <w:tcPr>
            <w:tcW w:w="1280" w:type="dxa"/>
            <w:tcBorders>
              <w:top w:val="single" w:sz="4" w:space="0" w:color="auto"/>
              <w:bottom w:val="single" w:sz="4" w:space="0" w:color="auto"/>
            </w:tcBorders>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b/>
                <w:bCs/>
                <w:color w:val="000000"/>
              </w:rPr>
            </w:pPr>
            <w:r w:rsidRPr="00483448">
              <w:rPr>
                <w:rFonts w:ascii="Book Antiqua" w:hAnsi="Book Antiqua" w:cs="Calibri"/>
                <w:b/>
                <w:bCs/>
                <w:color w:val="000000"/>
              </w:rPr>
              <w:t>Diagnosis</w:t>
            </w:r>
          </w:p>
        </w:tc>
        <w:tc>
          <w:tcPr>
            <w:tcW w:w="1916" w:type="dxa"/>
            <w:tcBorders>
              <w:top w:val="single" w:sz="4" w:space="0" w:color="auto"/>
              <w:bottom w:val="single" w:sz="4" w:space="0" w:color="auto"/>
            </w:tcBorders>
            <w:shd w:val="clear" w:color="auto" w:fill="auto"/>
            <w:noWrap/>
            <w:vAlign w:val="bottom"/>
            <w:hideMark/>
          </w:tcPr>
          <w:p w:rsidR="00736EE0" w:rsidRPr="00483448" w:rsidRDefault="004B5781" w:rsidP="004C5FED">
            <w:pPr>
              <w:snapToGrid w:val="0"/>
              <w:spacing w:line="360" w:lineRule="auto"/>
              <w:rPr>
                <w:rFonts w:ascii="Book Antiqua" w:hAnsi="Book Antiqua" w:cs="Calibri"/>
                <w:b/>
                <w:bCs/>
                <w:color w:val="000000"/>
              </w:rPr>
            </w:pPr>
            <w:r w:rsidRPr="00483448">
              <w:rPr>
                <w:rFonts w:ascii="Book Antiqua" w:hAnsi="Book Antiqua" w:cs="Calibri"/>
                <w:b/>
                <w:bCs/>
                <w:color w:val="000000"/>
              </w:rPr>
              <w:t>After</w:t>
            </w:r>
            <w:r w:rsidR="00736EE0" w:rsidRPr="00483448">
              <w:rPr>
                <w:rFonts w:ascii="Book Antiqua" w:hAnsi="Book Antiqua" w:cs="Calibri"/>
                <w:b/>
                <w:bCs/>
                <w:color w:val="000000"/>
              </w:rPr>
              <w:t xml:space="preserve"> neo-adjuvant chemotherapy</w:t>
            </w:r>
          </w:p>
        </w:tc>
      </w:tr>
      <w:tr w:rsidR="00192095" w:rsidRPr="00483448" w:rsidTr="004C5FED">
        <w:trPr>
          <w:trHeight w:val="300"/>
        </w:trPr>
        <w:tc>
          <w:tcPr>
            <w:tcW w:w="1340" w:type="dxa"/>
            <w:tcBorders>
              <w:top w:val="single" w:sz="4" w:space="0" w:color="auto"/>
            </w:tcBorders>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1</w:t>
            </w:r>
          </w:p>
        </w:tc>
        <w:tc>
          <w:tcPr>
            <w:tcW w:w="1280" w:type="dxa"/>
            <w:tcBorders>
              <w:top w:val="single" w:sz="4" w:space="0" w:color="auto"/>
            </w:tcBorders>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166.10</w:t>
            </w:r>
          </w:p>
        </w:tc>
        <w:tc>
          <w:tcPr>
            <w:tcW w:w="1916" w:type="dxa"/>
            <w:tcBorders>
              <w:top w:val="single" w:sz="4" w:space="0" w:color="auto"/>
            </w:tcBorders>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160.91</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2</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82.71</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131.25</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3</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102.27</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112.29</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4</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187.18</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177.17</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5</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62.08</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64.25</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6</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192.85</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202.49</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7</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80.79</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88.04</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8</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102.87</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93.52</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9</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10.03</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26.22</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10</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159.49</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146.65</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11</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157.76</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148.82</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12</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197.29</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186.82</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13</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101.62</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93.82</w:t>
            </w:r>
          </w:p>
        </w:tc>
      </w:tr>
      <w:tr w:rsidR="00192095" w:rsidRPr="00483448"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14</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118.47</w:t>
            </w:r>
          </w:p>
        </w:tc>
        <w:tc>
          <w:tcPr>
            <w:tcW w:w="1916"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110.45</w:t>
            </w:r>
          </w:p>
        </w:tc>
      </w:tr>
      <w:tr w:rsidR="00192095" w:rsidRPr="004C5FED" w:rsidTr="004C5FED">
        <w:trPr>
          <w:trHeight w:val="300"/>
        </w:trPr>
        <w:tc>
          <w:tcPr>
            <w:tcW w:w="134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Patient 15</w:t>
            </w:r>
          </w:p>
        </w:tc>
        <w:tc>
          <w:tcPr>
            <w:tcW w:w="1280" w:type="dxa"/>
            <w:shd w:val="clear" w:color="auto" w:fill="auto"/>
            <w:noWrap/>
            <w:vAlign w:val="bottom"/>
            <w:hideMark/>
          </w:tcPr>
          <w:p w:rsidR="00736EE0" w:rsidRPr="00483448"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137.98</w:t>
            </w:r>
          </w:p>
        </w:tc>
        <w:tc>
          <w:tcPr>
            <w:tcW w:w="1916" w:type="dxa"/>
            <w:shd w:val="clear" w:color="auto" w:fill="auto"/>
            <w:noWrap/>
            <w:vAlign w:val="bottom"/>
            <w:hideMark/>
          </w:tcPr>
          <w:p w:rsidR="00736EE0" w:rsidRPr="004C5FED" w:rsidRDefault="00736EE0" w:rsidP="004C5FED">
            <w:pPr>
              <w:snapToGrid w:val="0"/>
              <w:spacing w:line="360" w:lineRule="auto"/>
              <w:jc w:val="both"/>
              <w:rPr>
                <w:rFonts w:ascii="Book Antiqua" w:hAnsi="Book Antiqua" w:cs="Calibri"/>
                <w:color w:val="000000"/>
              </w:rPr>
            </w:pPr>
            <w:r w:rsidRPr="00483448">
              <w:rPr>
                <w:rFonts w:ascii="Book Antiqua" w:hAnsi="Book Antiqua" w:cs="Calibri"/>
                <w:color w:val="000000"/>
              </w:rPr>
              <w:t>126.63</w:t>
            </w:r>
          </w:p>
        </w:tc>
      </w:tr>
    </w:tbl>
    <w:p w:rsidR="00736EE0" w:rsidRPr="004C5FED" w:rsidRDefault="00736EE0" w:rsidP="004C5FED">
      <w:pPr>
        <w:snapToGrid w:val="0"/>
        <w:spacing w:line="360" w:lineRule="auto"/>
        <w:jc w:val="both"/>
        <w:rPr>
          <w:rFonts w:ascii="Book Antiqua" w:hAnsi="Book Antiqua" w:cs="Arial"/>
          <w:color w:val="000000"/>
        </w:rPr>
      </w:pPr>
    </w:p>
    <w:p w:rsidR="00CB4941" w:rsidRPr="004C5FED" w:rsidRDefault="00CB4941" w:rsidP="004C5FED">
      <w:pPr>
        <w:pStyle w:val="1-2"/>
        <w:snapToGrid w:val="0"/>
        <w:spacing w:line="360" w:lineRule="auto"/>
        <w:jc w:val="both"/>
        <w:rPr>
          <w:rFonts w:ascii="Book Antiqua" w:hAnsi="Book Antiqua" w:cs="Arial"/>
          <w:color w:val="000000"/>
        </w:rPr>
      </w:pPr>
    </w:p>
    <w:sectPr w:rsidR="00CB4941" w:rsidRPr="004C5FED" w:rsidSect="00C51411">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02" w:rsidRDefault="00077302" w:rsidP="003D5275">
      <w:r>
        <w:separator/>
      </w:r>
    </w:p>
  </w:endnote>
  <w:endnote w:type="continuationSeparator" w:id="0">
    <w:p w:rsidR="00077302" w:rsidRDefault="00077302" w:rsidP="003D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ongti SC Bold"/>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000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altName w:val="Songti SC Bold"/>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75" w:rsidRDefault="003D5275" w:rsidP="000301C6">
    <w:pPr>
      <w:pStyle w:val="ab"/>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D5275" w:rsidRDefault="003D52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75" w:rsidRPr="004C5FED" w:rsidRDefault="003D5275" w:rsidP="000301C6">
    <w:pPr>
      <w:pStyle w:val="ab"/>
      <w:framePr w:wrap="none" w:vAnchor="text" w:hAnchor="margin" w:xAlign="center" w:y="1"/>
      <w:rPr>
        <w:rStyle w:val="ac"/>
        <w:rFonts w:ascii="Book Antiqua" w:hAnsi="Book Antiqua"/>
      </w:rPr>
    </w:pPr>
    <w:r w:rsidRPr="004C5FED">
      <w:rPr>
        <w:rStyle w:val="ac"/>
        <w:rFonts w:ascii="Book Antiqua" w:hAnsi="Book Antiqua"/>
      </w:rPr>
      <w:fldChar w:fldCharType="begin"/>
    </w:r>
    <w:r w:rsidRPr="004C5FED">
      <w:rPr>
        <w:rStyle w:val="ac"/>
        <w:rFonts w:ascii="Book Antiqua" w:hAnsi="Book Antiqua"/>
      </w:rPr>
      <w:instrText xml:space="preserve">PAGE  </w:instrText>
    </w:r>
    <w:r w:rsidRPr="004C5FED">
      <w:rPr>
        <w:rStyle w:val="ac"/>
        <w:rFonts w:ascii="Book Antiqua" w:hAnsi="Book Antiqua"/>
      </w:rPr>
      <w:fldChar w:fldCharType="separate"/>
    </w:r>
    <w:r w:rsidR="003721EC">
      <w:rPr>
        <w:rStyle w:val="ac"/>
        <w:rFonts w:ascii="Book Antiqua" w:hAnsi="Book Antiqua"/>
        <w:noProof/>
      </w:rPr>
      <w:t>1</w:t>
    </w:r>
    <w:r w:rsidRPr="004C5FED">
      <w:rPr>
        <w:rStyle w:val="ac"/>
        <w:rFonts w:ascii="Book Antiqua" w:hAnsi="Book Antiqua"/>
      </w:rPr>
      <w:fldChar w:fldCharType="end"/>
    </w:r>
  </w:p>
  <w:p w:rsidR="003D5275" w:rsidRDefault="003D52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02" w:rsidRDefault="00077302" w:rsidP="003D5275">
      <w:r>
        <w:separator/>
      </w:r>
    </w:p>
  </w:footnote>
  <w:footnote w:type="continuationSeparator" w:id="0">
    <w:p w:rsidR="00077302" w:rsidRDefault="00077302" w:rsidP="003D5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D81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17180F"/>
    <w:multiLevelType w:val="hybridMultilevel"/>
    <w:tmpl w:val="C340FC38"/>
    <w:lvl w:ilvl="0" w:tplc="9D64B6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1AA5405"/>
    <w:multiLevelType w:val="hybridMultilevel"/>
    <w:tmpl w:val="4750148A"/>
    <w:lvl w:ilvl="0" w:tplc="46BAB48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721CF"/>
    <w:rsid w:val="00004A49"/>
    <w:rsid w:val="0000573A"/>
    <w:rsid w:val="00006041"/>
    <w:rsid w:val="00011069"/>
    <w:rsid w:val="00011AA9"/>
    <w:rsid w:val="0001575E"/>
    <w:rsid w:val="00015E68"/>
    <w:rsid w:val="00017B3E"/>
    <w:rsid w:val="00017CA5"/>
    <w:rsid w:val="00020F86"/>
    <w:rsid w:val="00022ACF"/>
    <w:rsid w:val="00023B5B"/>
    <w:rsid w:val="00024D75"/>
    <w:rsid w:val="000301C6"/>
    <w:rsid w:val="0003134E"/>
    <w:rsid w:val="00034DD9"/>
    <w:rsid w:val="000360FF"/>
    <w:rsid w:val="000362B6"/>
    <w:rsid w:val="00036BDB"/>
    <w:rsid w:val="00045602"/>
    <w:rsid w:val="00046F7D"/>
    <w:rsid w:val="000548D3"/>
    <w:rsid w:val="00055B9B"/>
    <w:rsid w:val="00061143"/>
    <w:rsid w:val="00061B86"/>
    <w:rsid w:val="0006515D"/>
    <w:rsid w:val="000654F9"/>
    <w:rsid w:val="0007300E"/>
    <w:rsid w:val="000748C5"/>
    <w:rsid w:val="00074CD5"/>
    <w:rsid w:val="0007711B"/>
    <w:rsid w:val="0007729C"/>
    <w:rsid w:val="00077302"/>
    <w:rsid w:val="00090966"/>
    <w:rsid w:val="00097ABF"/>
    <w:rsid w:val="000A29E8"/>
    <w:rsid w:val="000A33DA"/>
    <w:rsid w:val="000A48F4"/>
    <w:rsid w:val="000A71AE"/>
    <w:rsid w:val="000A7843"/>
    <w:rsid w:val="000B18C9"/>
    <w:rsid w:val="000B5448"/>
    <w:rsid w:val="000C3C67"/>
    <w:rsid w:val="000D172E"/>
    <w:rsid w:val="000D3BA3"/>
    <w:rsid w:val="000D5AA0"/>
    <w:rsid w:val="000E09CC"/>
    <w:rsid w:val="000E0FB0"/>
    <w:rsid w:val="000E18D5"/>
    <w:rsid w:val="000E415A"/>
    <w:rsid w:val="000E5DDA"/>
    <w:rsid w:val="000F1BE9"/>
    <w:rsid w:val="000F528C"/>
    <w:rsid w:val="001024B7"/>
    <w:rsid w:val="00102E29"/>
    <w:rsid w:val="00104012"/>
    <w:rsid w:val="00104D04"/>
    <w:rsid w:val="00107415"/>
    <w:rsid w:val="00107690"/>
    <w:rsid w:val="00110C6D"/>
    <w:rsid w:val="00112046"/>
    <w:rsid w:val="00114902"/>
    <w:rsid w:val="00114DB1"/>
    <w:rsid w:val="0011607B"/>
    <w:rsid w:val="001208E8"/>
    <w:rsid w:val="00122260"/>
    <w:rsid w:val="001236E0"/>
    <w:rsid w:val="00127A38"/>
    <w:rsid w:val="00130202"/>
    <w:rsid w:val="001347AB"/>
    <w:rsid w:val="001363BC"/>
    <w:rsid w:val="00137803"/>
    <w:rsid w:val="00137E4D"/>
    <w:rsid w:val="00142AB9"/>
    <w:rsid w:val="00143DD1"/>
    <w:rsid w:val="00152AC7"/>
    <w:rsid w:val="0015549F"/>
    <w:rsid w:val="00156465"/>
    <w:rsid w:val="00161543"/>
    <w:rsid w:val="0016475D"/>
    <w:rsid w:val="001668B9"/>
    <w:rsid w:val="00170685"/>
    <w:rsid w:val="00177A60"/>
    <w:rsid w:val="001825FC"/>
    <w:rsid w:val="00182E40"/>
    <w:rsid w:val="00187243"/>
    <w:rsid w:val="00192095"/>
    <w:rsid w:val="00196965"/>
    <w:rsid w:val="001A2B16"/>
    <w:rsid w:val="001A2F7B"/>
    <w:rsid w:val="001A3BC4"/>
    <w:rsid w:val="001A4892"/>
    <w:rsid w:val="001C0E11"/>
    <w:rsid w:val="001C1796"/>
    <w:rsid w:val="001C2A00"/>
    <w:rsid w:val="001C3EBF"/>
    <w:rsid w:val="001C48B0"/>
    <w:rsid w:val="001C4EA2"/>
    <w:rsid w:val="001C7D1B"/>
    <w:rsid w:val="001D117F"/>
    <w:rsid w:val="001D35FF"/>
    <w:rsid w:val="001D4341"/>
    <w:rsid w:val="001D5918"/>
    <w:rsid w:val="001D5C64"/>
    <w:rsid w:val="001E1AA4"/>
    <w:rsid w:val="001E2927"/>
    <w:rsid w:val="001E3FE5"/>
    <w:rsid w:val="001F1C7C"/>
    <w:rsid w:val="001F20AB"/>
    <w:rsid w:val="001F76C0"/>
    <w:rsid w:val="00201885"/>
    <w:rsid w:val="002054B2"/>
    <w:rsid w:val="0020711E"/>
    <w:rsid w:val="0021113A"/>
    <w:rsid w:val="002119B5"/>
    <w:rsid w:val="00212167"/>
    <w:rsid w:val="00214AF4"/>
    <w:rsid w:val="00216DCA"/>
    <w:rsid w:val="00220849"/>
    <w:rsid w:val="0022204A"/>
    <w:rsid w:val="0022394C"/>
    <w:rsid w:val="002272B7"/>
    <w:rsid w:val="00231645"/>
    <w:rsid w:val="002321D2"/>
    <w:rsid w:val="002336D6"/>
    <w:rsid w:val="00235577"/>
    <w:rsid w:val="00237325"/>
    <w:rsid w:val="00237D0C"/>
    <w:rsid w:val="002523DB"/>
    <w:rsid w:val="00252921"/>
    <w:rsid w:val="00261513"/>
    <w:rsid w:val="00264113"/>
    <w:rsid w:val="00264A81"/>
    <w:rsid w:val="002658F4"/>
    <w:rsid w:val="002662D1"/>
    <w:rsid w:val="00266A75"/>
    <w:rsid w:val="00267052"/>
    <w:rsid w:val="0027030C"/>
    <w:rsid w:val="00271793"/>
    <w:rsid w:val="002719FB"/>
    <w:rsid w:val="0027278A"/>
    <w:rsid w:val="0027310E"/>
    <w:rsid w:val="00273322"/>
    <w:rsid w:val="00276170"/>
    <w:rsid w:val="002772C6"/>
    <w:rsid w:val="002808CB"/>
    <w:rsid w:val="002A0BF7"/>
    <w:rsid w:val="002A5E36"/>
    <w:rsid w:val="002A6617"/>
    <w:rsid w:val="002B0B6E"/>
    <w:rsid w:val="002B42A4"/>
    <w:rsid w:val="002B6CDB"/>
    <w:rsid w:val="002C3339"/>
    <w:rsid w:val="002D2C8A"/>
    <w:rsid w:val="002D63B6"/>
    <w:rsid w:val="002D6C9D"/>
    <w:rsid w:val="002E1DE2"/>
    <w:rsid w:val="002E43B1"/>
    <w:rsid w:val="002E51EE"/>
    <w:rsid w:val="002E5F3C"/>
    <w:rsid w:val="002F1CAF"/>
    <w:rsid w:val="002F3ACA"/>
    <w:rsid w:val="002F5E19"/>
    <w:rsid w:val="003010BB"/>
    <w:rsid w:val="00301BFF"/>
    <w:rsid w:val="003064F8"/>
    <w:rsid w:val="00311CF6"/>
    <w:rsid w:val="0031644A"/>
    <w:rsid w:val="00325402"/>
    <w:rsid w:val="003277FB"/>
    <w:rsid w:val="00330402"/>
    <w:rsid w:val="003426ED"/>
    <w:rsid w:val="00346054"/>
    <w:rsid w:val="0034672F"/>
    <w:rsid w:val="00352305"/>
    <w:rsid w:val="00353670"/>
    <w:rsid w:val="00353AF8"/>
    <w:rsid w:val="00357492"/>
    <w:rsid w:val="003578B3"/>
    <w:rsid w:val="00361578"/>
    <w:rsid w:val="00364644"/>
    <w:rsid w:val="003649E0"/>
    <w:rsid w:val="00364F62"/>
    <w:rsid w:val="0036513E"/>
    <w:rsid w:val="003721EC"/>
    <w:rsid w:val="00373D19"/>
    <w:rsid w:val="00375BC7"/>
    <w:rsid w:val="00376971"/>
    <w:rsid w:val="00377CFF"/>
    <w:rsid w:val="0038161D"/>
    <w:rsid w:val="00382492"/>
    <w:rsid w:val="00385390"/>
    <w:rsid w:val="00386011"/>
    <w:rsid w:val="00387D74"/>
    <w:rsid w:val="0039482C"/>
    <w:rsid w:val="00396C98"/>
    <w:rsid w:val="00396EF5"/>
    <w:rsid w:val="003A1797"/>
    <w:rsid w:val="003A1B5B"/>
    <w:rsid w:val="003A2921"/>
    <w:rsid w:val="003A452A"/>
    <w:rsid w:val="003A4CA3"/>
    <w:rsid w:val="003A626B"/>
    <w:rsid w:val="003B00C3"/>
    <w:rsid w:val="003B0A4F"/>
    <w:rsid w:val="003B22AF"/>
    <w:rsid w:val="003B4BA5"/>
    <w:rsid w:val="003B5889"/>
    <w:rsid w:val="003B6173"/>
    <w:rsid w:val="003C0AE5"/>
    <w:rsid w:val="003C0FD4"/>
    <w:rsid w:val="003C4689"/>
    <w:rsid w:val="003C54B2"/>
    <w:rsid w:val="003C5AF1"/>
    <w:rsid w:val="003D070D"/>
    <w:rsid w:val="003D5275"/>
    <w:rsid w:val="003D56A9"/>
    <w:rsid w:val="003D77F7"/>
    <w:rsid w:val="003E0340"/>
    <w:rsid w:val="003E1039"/>
    <w:rsid w:val="003E1CFB"/>
    <w:rsid w:val="003E57A7"/>
    <w:rsid w:val="003E6D8B"/>
    <w:rsid w:val="003E717B"/>
    <w:rsid w:val="003F0427"/>
    <w:rsid w:val="003F0FCF"/>
    <w:rsid w:val="003F3610"/>
    <w:rsid w:val="003F588C"/>
    <w:rsid w:val="003F670D"/>
    <w:rsid w:val="003F6D8C"/>
    <w:rsid w:val="00400160"/>
    <w:rsid w:val="00403C26"/>
    <w:rsid w:val="0040414B"/>
    <w:rsid w:val="0040715A"/>
    <w:rsid w:val="00407691"/>
    <w:rsid w:val="0041065C"/>
    <w:rsid w:val="004115A9"/>
    <w:rsid w:val="00413239"/>
    <w:rsid w:val="00416F1E"/>
    <w:rsid w:val="00416FF2"/>
    <w:rsid w:val="00417EE7"/>
    <w:rsid w:val="0042187C"/>
    <w:rsid w:val="00423F1A"/>
    <w:rsid w:val="00424716"/>
    <w:rsid w:val="00425229"/>
    <w:rsid w:val="00426F60"/>
    <w:rsid w:val="004423FE"/>
    <w:rsid w:val="00447147"/>
    <w:rsid w:val="00453CAF"/>
    <w:rsid w:val="00456D4E"/>
    <w:rsid w:val="004613C1"/>
    <w:rsid w:val="00461639"/>
    <w:rsid w:val="00462548"/>
    <w:rsid w:val="004628D3"/>
    <w:rsid w:val="004653D6"/>
    <w:rsid w:val="00466BE7"/>
    <w:rsid w:val="00471466"/>
    <w:rsid w:val="00472166"/>
    <w:rsid w:val="004750AF"/>
    <w:rsid w:val="004759D2"/>
    <w:rsid w:val="004768BA"/>
    <w:rsid w:val="0047709A"/>
    <w:rsid w:val="004770BB"/>
    <w:rsid w:val="0048216D"/>
    <w:rsid w:val="00483448"/>
    <w:rsid w:val="004947ED"/>
    <w:rsid w:val="004967E1"/>
    <w:rsid w:val="004A5AEE"/>
    <w:rsid w:val="004B344D"/>
    <w:rsid w:val="004B5781"/>
    <w:rsid w:val="004B6472"/>
    <w:rsid w:val="004C133C"/>
    <w:rsid w:val="004C5FED"/>
    <w:rsid w:val="004C6E32"/>
    <w:rsid w:val="004D30E7"/>
    <w:rsid w:val="004D3BA9"/>
    <w:rsid w:val="004D49C1"/>
    <w:rsid w:val="004D723B"/>
    <w:rsid w:val="004E0035"/>
    <w:rsid w:val="004E28CC"/>
    <w:rsid w:val="004F460E"/>
    <w:rsid w:val="004F528C"/>
    <w:rsid w:val="004F7BFF"/>
    <w:rsid w:val="0050098C"/>
    <w:rsid w:val="00502327"/>
    <w:rsid w:val="00506495"/>
    <w:rsid w:val="00506BD7"/>
    <w:rsid w:val="005103DC"/>
    <w:rsid w:val="00510405"/>
    <w:rsid w:val="00513E3E"/>
    <w:rsid w:val="00517593"/>
    <w:rsid w:val="005205FA"/>
    <w:rsid w:val="00520DA8"/>
    <w:rsid w:val="00521D44"/>
    <w:rsid w:val="00522318"/>
    <w:rsid w:val="00522365"/>
    <w:rsid w:val="00522524"/>
    <w:rsid w:val="00522A5E"/>
    <w:rsid w:val="00527374"/>
    <w:rsid w:val="00540DC6"/>
    <w:rsid w:val="00542330"/>
    <w:rsid w:val="00543655"/>
    <w:rsid w:val="00544108"/>
    <w:rsid w:val="00545A4E"/>
    <w:rsid w:val="0054734D"/>
    <w:rsid w:val="00551591"/>
    <w:rsid w:val="0055232E"/>
    <w:rsid w:val="0055239B"/>
    <w:rsid w:val="005542E5"/>
    <w:rsid w:val="00554368"/>
    <w:rsid w:val="00557E96"/>
    <w:rsid w:val="005645BA"/>
    <w:rsid w:val="00565584"/>
    <w:rsid w:val="0056590A"/>
    <w:rsid w:val="00567557"/>
    <w:rsid w:val="00571E74"/>
    <w:rsid w:val="0057337C"/>
    <w:rsid w:val="00573ABD"/>
    <w:rsid w:val="00574FA4"/>
    <w:rsid w:val="00576C6F"/>
    <w:rsid w:val="0057719D"/>
    <w:rsid w:val="00577233"/>
    <w:rsid w:val="005804B8"/>
    <w:rsid w:val="005835F2"/>
    <w:rsid w:val="00584B61"/>
    <w:rsid w:val="00584CDD"/>
    <w:rsid w:val="00590B41"/>
    <w:rsid w:val="00596703"/>
    <w:rsid w:val="005A2069"/>
    <w:rsid w:val="005A5290"/>
    <w:rsid w:val="005A5AC9"/>
    <w:rsid w:val="005B2811"/>
    <w:rsid w:val="005B4700"/>
    <w:rsid w:val="005B62DB"/>
    <w:rsid w:val="005B672A"/>
    <w:rsid w:val="005B72C0"/>
    <w:rsid w:val="005C5AEF"/>
    <w:rsid w:val="005C5EE0"/>
    <w:rsid w:val="005D0870"/>
    <w:rsid w:val="005D0D40"/>
    <w:rsid w:val="005D7A30"/>
    <w:rsid w:val="005E2899"/>
    <w:rsid w:val="005E3485"/>
    <w:rsid w:val="005E4D97"/>
    <w:rsid w:val="005E51A5"/>
    <w:rsid w:val="005E6270"/>
    <w:rsid w:val="005F216D"/>
    <w:rsid w:val="005F369E"/>
    <w:rsid w:val="00601B03"/>
    <w:rsid w:val="00601B9E"/>
    <w:rsid w:val="006043E8"/>
    <w:rsid w:val="00604E88"/>
    <w:rsid w:val="00605FEE"/>
    <w:rsid w:val="00614340"/>
    <w:rsid w:val="00615C54"/>
    <w:rsid w:val="00616BAA"/>
    <w:rsid w:val="00617FA6"/>
    <w:rsid w:val="006200DA"/>
    <w:rsid w:val="00620472"/>
    <w:rsid w:val="00620F27"/>
    <w:rsid w:val="0062386E"/>
    <w:rsid w:val="00623D3C"/>
    <w:rsid w:val="006246C7"/>
    <w:rsid w:val="00625567"/>
    <w:rsid w:val="00625DA1"/>
    <w:rsid w:val="00627AF4"/>
    <w:rsid w:val="0063578F"/>
    <w:rsid w:val="00636B15"/>
    <w:rsid w:val="00637869"/>
    <w:rsid w:val="00640242"/>
    <w:rsid w:val="006410E2"/>
    <w:rsid w:val="006424F0"/>
    <w:rsid w:val="00642C02"/>
    <w:rsid w:val="00647086"/>
    <w:rsid w:val="006547C6"/>
    <w:rsid w:val="0065666D"/>
    <w:rsid w:val="006567EF"/>
    <w:rsid w:val="00661D80"/>
    <w:rsid w:val="0066299E"/>
    <w:rsid w:val="006662F7"/>
    <w:rsid w:val="00670D7E"/>
    <w:rsid w:val="0067366E"/>
    <w:rsid w:val="00676598"/>
    <w:rsid w:val="00680711"/>
    <w:rsid w:val="00683ECC"/>
    <w:rsid w:val="006843DF"/>
    <w:rsid w:val="00691603"/>
    <w:rsid w:val="0069182D"/>
    <w:rsid w:val="00694952"/>
    <w:rsid w:val="00694C1F"/>
    <w:rsid w:val="006A0AE6"/>
    <w:rsid w:val="006A105D"/>
    <w:rsid w:val="006A25BD"/>
    <w:rsid w:val="006A5317"/>
    <w:rsid w:val="006A7D22"/>
    <w:rsid w:val="006B00B4"/>
    <w:rsid w:val="006B1E09"/>
    <w:rsid w:val="006B4865"/>
    <w:rsid w:val="006B65BB"/>
    <w:rsid w:val="006C0524"/>
    <w:rsid w:val="006C3A61"/>
    <w:rsid w:val="006D045E"/>
    <w:rsid w:val="006D40D0"/>
    <w:rsid w:val="006D4A35"/>
    <w:rsid w:val="006D6D45"/>
    <w:rsid w:val="006D7E2B"/>
    <w:rsid w:val="006E069E"/>
    <w:rsid w:val="006E152B"/>
    <w:rsid w:val="006E75E6"/>
    <w:rsid w:val="006F1099"/>
    <w:rsid w:val="006F14CB"/>
    <w:rsid w:val="006F3F62"/>
    <w:rsid w:val="00707C63"/>
    <w:rsid w:val="0071012F"/>
    <w:rsid w:val="00711024"/>
    <w:rsid w:val="00711F38"/>
    <w:rsid w:val="00713A29"/>
    <w:rsid w:val="00713EC6"/>
    <w:rsid w:val="00722672"/>
    <w:rsid w:val="007236BA"/>
    <w:rsid w:val="00730DFA"/>
    <w:rsid w:val="00731381"/>
    <w:rsid w:val="00736EE0"/>
    <w:rsid w:val="00740CCF"/>
    <w:rsid w:val="0076254B"/>
    <w:rsid w:val="007645CD"/>
    <w:rsid w:val="007724F8"/>
    <w:rsid w:val="007733DB"/>
    <w:rsid w:val="00774A08"/>
    <w:rsid w:val="00775A90"/>
    <w:rsid w:val="00776DB7"/>
    <w:rsid w:val="00777807"/>
    <w:rsid w:val="00780D45"/>
    <w:rsid w:val="0078240D"/>
    <w:rsid w:val="00782F5D"/>
    <w:rsid w:val="00784F93"/>
    <w:rsid w:val="00785B76"/>
    <w:rsid w:val="00790822"/>
    <w:rsid w:val="00790ECD"/>
    <w:rsid w:val="0079577D"/>
    <w:rsid w:val="007A2DDF"/>
    <w:rsid w:val="007A31F3"/>
    <w:rsid w:val="007A42F7"/>
    <w:rsid w:val="007A55D8"/>
    <w:rsid w:val="007B139D"/>
    <w:rsid w:val="007B43A4"/>
    <w:rsid w:val="007D117A"/>
    <w:rsid w:val="007D2F73"/>
    <w:rsid w:val="007E12BE"/>
    <w:rsid w:val="007E1304"/>
    <w:rsid w:val="007E58A5"/>
    <w:rsid w:val="007E700A"/>
    <w:rsid w:val="007E7B5E"/>
    <w:rsid w:val="007F19AF"/>
    <w:rsid w:val="007F2DF6"/>
    <w:rsid w:val="007F72FF"/>
    <w:rsid w:val="008058A3"/>
    <w:rsid w:val="00807BEB"/>
    <w:rsid w:val="0081036C"/>
    <w:rsid w:val="00813611"/>
    <w:rsid w:val="00814042"/>
    <w:rsid w:val="008159BD"/>
    <w:rsid w:val="00824869"/>
    <w:rsid w:val="008252FA"/>
    <w:rsid w:val="00826E97"/>
    <w:rsid w:val="00831496"/>
    <w:rsid w:val="00831A4A"/>
    <w:rsid w:val="008330EC"/>
    <w:rsid w:val="0083627A"/>
    <w:rsid w:val="0083782E"/>
    <w:rsid w:val="008431E6"/>
    <w:rsid w:val="00843EDA"/>
    <w:rsid w:val="00844835"/>
    <w:rsid w:val="008465F3"/>
    <w:rsid w:val="00850722"/>
    <w:rsid w:val="00852A19"/>
    <w:rsid w:val="0085498B"/>
    <w:rsid w:val="00857500"/>
    <w:rsid w:val="00863009"/>
    <w:rsid w:val="00866AB5"/>
    <w:rsid w:val="008671A8"/>
    <w:rsid w:val="00867C70"/>
    <w:rsid w:val="00874604"/>
    <w:rsid w:val="008765CA"/>
    <w:rsid w:val="0088181F"/>
    <w:rsid w:val="00881854"/>
    <w:rsid w:val="008862AE"/>
    <w:rsid w:val="008871EF"/>
    <w:rsid w:val="0088768C"/>
    <w:rsid w:val="00892C28"/>
    <w:rsid w:val="00894925"/>
    <w:rsid w:val="00895955"/>
    <w:rsid w:val="008A52D5"/>
    <w:rsid w:val="008A7043"/>
    <w:rsid w:val="008B1F6E"/>
    <w:rsid w:val="008B7F10"/>
    <w:rsid w:val="008C1755"/>
    <w:rsid w:val="008C2F4B"/>
    <w:rsid w:val="008C3020"/>
    <w:rsid w:val="008C3412"/>
    <w:rsid w:val="008C5632"/>
    <w:rsid w:val="008C7067"/>
    <w:rsid w:val="008D4F35"/>
    <w:rsid w:val="008D5676"/>
    <w:rsid w:val="008D6426"/>
    <w:rsid w:val="008D6F71"/>
    <w:rsid w:val="008E0122"/>
    <w:rsid w:val="008E0A64"/>
    <w:rsid w:val="008E2B33"/>
    <w:rsid w:val="008E5091"/>
    <w:rsid w:val="008F3CB3"/>
    <w:rsid w:val="008F3EB0"/>
    <w:rsid w:val="008F7F36"/>
    <w:rsid w:val="00900103"/>
    <w:rsid w:val="00903E9F"/>
    <w:rsid w:val="009044E7"/>
    <w:rsid w:val="00905B71"/>
    <w:rsid w:val="00906362"/>
    <w:rsid w:val="00907814"/>
    <w:rsid w:val="0091198A"/>
    <w:rsid w:val="0091263E"/>
    <w:rsid w:val="00913A1D"/>
    <w:rsid w:val="0091519A"/>
    <w:rsid w:val="00920860"/>
    <w:rsid w:val="00923A14"/>
    <w:rsid w:val="00924FBE"/>
    <w:rsid w:val="00934747"/>
    <w:rsid w:val="00937F5B"/>
    <w:rsid w:val="00940311"/>
    <w:rsid w:val="00945790"/>
    <w:rsid w:val="00945795"/>
    <w:rsid w:val="0094620D"/>
    <w:rsid w:val="0094694D"/>
    <w:rsid w:val="00947033"/>
    <w:rsid w:val="009508D9"/>
    <w:rsid w:val="009553B1"/>
    <w:rsid w:val="009622CC"/>
    <w:rsid w:val="00962E9C"/>
    <w:rsid w:val="009634BE"/>
    <w:rsid w:val="00965634"/>
    <w:rsid w:val="009662DE"/>
    <w:rsid w:val="009664BF"/>
    <w:rsid w:val="00967F9A"/>
    <w:rsid w:val="009725BF"/>
    <w:rsid w:val="00974347"/>
    <w:rsid w:val="00982016"/>
    <w:rsid w:val="00993184"/>
    <w:rsid w:val="009939FC"/>
    <w:rsid w:val="00994986"/>
    <w:rsid w:val="00995B18"/>
    <w:rsid w:val="009A2FF9"/>
    <w:rsid w:val="009A43A4"/>
    <w:rsid w:val="009A687A"/>
    <w:rsid w:val="009B0F20"/>
    <w:rsid w:val="009B6578"/>
    <w:rsid w:val="009C1500"/>
    <w:rsid w:val="009C3A0F"/>
    <w:rsid w:val="009C57CB"/>
    <w:rsid w:val="009C5CD6"/>
    <w:rsid w:val="009C60F6"/>
    <w:rsid w:val="009C6368"/>
    <w:rsid w:val="009D228F"/>
    <w:rsid w:val="009D4084"/>
    <w:rsid w:val="009E0D9C"/>
    <w:rsid w:val="009E1C52"/>
    <w:rsid w:val="009F6177"/>
    <w:rsid w:val="00A0314C"/>
    <w:rsid w:val="00A059DF"/>
    <w:rsid w:val="00A10DC6"/>
    <w:rsid w:val="00A15292"/>
    <w:rsid w:val="00A15294"/>
    <w:rsid w:val="00A15DFC"/>
    <w:rsid w:val="00A1686D"/>
    <w:rsid w:val="00A16BDF"/>
    <w:rsid w:val="00A245B2"/>
    <w:rsid w:val="00A263EE"/>
    <w:rsid w:val="00A33C79"/>
    <w:rsid w:val="00A425F3"/>
    <w:rsid w:val="00A45979"/>
    <w:rsid w:val="00A45A69"/>
    <w:rsid w:val="00A470FB"/>
    <w:rsid w:val="00A50503"/>
    <w:rsid w:val="00A50CBE"/>
    <w:rsid w:val="00A531D8"/>
    <w:rsid w:val="00A534F2"/>
    <w:rsid w:val="00A575B4"/>
    <w:rsid w:val="00A60441"/>
    <w:rsid w:val="00A612FD"/>
    <w:rsid w:val="00A62672"/>
    <w:rsid w:val="00A65360"/>
    <w:rsid w:val="00A668A7"/>
    <w:rsid w:val="00A66FC9"/>
    <w:rsid w:val="00A80F57"/>
    <w:rsid w:val="00A830B4"/>
    <w:rsid w:val="00A83823"/>
    <w:rsid w:val="00A83DBA"/>
    <w:rsid w:val="00A84B6D"/>
    <w:rsid w:val="00A85B57"/>
    <w:rsid w:val="00A87897"/>
    <w:rsid w:val="00A93185"/>
    <w:rsid w:val="00A9499B"/>
    <w:rsid w:val="00A96A94"/>
    <w:rsid w:val="00A96B52"/>
    <w:rsid w:val="00A96D51"/>
    <w:rsid w:val="00AA1C5E"/>
    <w:rsid w:val="00AA306C"/>
    <w:rsid w:val="00AA6913"/>
    <w:rsid w:val="00AB257E"/>
    <w:rsid w:val="00AB38F6"/>
    <w:rsid w:val="00AB3F52"/>
    <w:rsid w:val="00AB4CE2"/>
    <w:rsid w:val="00AB5333"/>
    <w:rsid w:val="00AB7102"/>
    <w:rsid w:val="00AC0D63"/>
    <w:rsid w:val="00AC11E2"/>
    <w:rsid w:val="00AC351E"/>
    <w:rsid w:val="00AC51DF"/>
    <w:rsid w:val="00AC576E"/>
    <w:rsid w:val="00AC5E2D"/>
    <w:rsid w:val="00AC6D7D"/>
    <w:rsid w:val="00AC737F"/>
    <w:rsid w:val="00AD0840"/>
    <w:rsid w:val="00AD0CD6"/>
    <w:rsid w:val="00AE1B1C"/>
    <w:rsid w:val="00AE3433"/>
    <w:rsid w:val="00AF61CD"/>
    <w:rsid w:val="00B17806"/>
    <w:rsid w:val="00B21180"/>
    <w:rsid w:val="00B23DC1"/>
    <w:rsid w:val="00B30E04"/>
    <w:rsid w:val="00B31EB2"/>
    <w:rsid w:val="00B327A7"/>
    <w:rsid w:val="00B32AB3"/>
    <w:rsid w:val="00B35919"/>
    <w:rsid w:val="00B40497"/>
    <w:rsid w:val="00B404CE"/>
    <w:rsid w:val="00B4087A"/>
    <w:rsid w:val="00B42BDC"/>
    <w:rsid w:val="00B4340D"/>
    <w:rsid w:val="00B4369F"/>
    <w:rsid w:val="00B462C5"/>
    <w:rsid w:val="00B504ED"/>
    <w:rsid w:val="00B5073B"/>
    <w:rsid w:val="00B50D16"/>
    <w:rsid w:val="00B51D00"/>
    <w:rsid w:val="00B52122"/>
    <w:rsid w:val="00B6282C"/>
    <w:rsid w:val="00B72194"/>
    <w:rsid w:val="00B77D76"/>
    <w:rsid w:val="00B872C4"/>
    <w:rsid w:val="00B941AC"/>
    <w:rsid w:val="00B9614A"/>
    <w:rsid w:val="00B96B74"/>
    <w:rsid w:val="00BA3EFB"/>
    <w:rsid w:val="00BA40EA"/>
    <w:rsid w:val="00BA5660"/>
    <w:rsid w:val="00BA5971"/>
    <w:rsid w:val="00BA7375"/>
    <w:rsid w:val="00BB3AC0"/>
    <w:rsid w:val="00BC2B90"/>
    <w:rsid w:val="00BC6F37"/>
    <w:rsid w:val="00BC720B"/>
    <w:rsid w:val="00BC7E8B"/>
    <w:rsid w:val="00BD03A6"/>
    <w:rsid w:val="00BD0E4A"/>
    <w:rsid w:val="00BD37F3"/>
    <w:rsid w:val="00BD6142"/>
    <w:rsid w:val="00BE05AD"/>
    <w:rsid w:val="00BF14BE"/>
    <w:rsid w:val="00BF590D"/>
    <w:rsid w:val="00BF5A66"/>
    <w:rsid w:val="00C0126D"/>
    <w:rsid w:val="00C14F2E"/>
    <w:rsid w:val="00C155A9"/>
    <w:rsid w:val="00C2254F"/>
    <w:rsid w:val="00C2333E"/>
    <w:rsid w:val="00C2464A"/>
    <w:rsid w:val="00C335BE"/>
    <w:rsid w:val="00C340E9"/>
    <w:rsid w:val="00C44FCC"/>
    <w:rsid w:val="00C4563B"/>
    <w:rsid w:val="00C46F4B"/>
    <w:rsid w:val="00C51411"/>
    <w:rsid w:val="00C5197F"/>
    <w:rsid w:val="00C63486"/>
    <w:rsid w:val="00C669D2"/>
    <w:rsid w:val="00C670EE"/>
    <w:rsid w:val="00C74498"/>
    <w:rsid w:val="00C83CA5"/>
    <w:rsid w:val="00C84B17"/>
    <w:rsid w:val="00C87B67"/>
    <w:rsid w:val="00C93834"/>
    <w:rsid w:val="00CB19E6"/>
    <w:rsid w:val="00CB1F1E"/>
    <w:rsid w:val="00CB4941"/>
    <w:rsid w:val="00CB4BE1"/>
    <w:rsid w:val="00CB7C00"/>
    <w:rsid w:val="00CC58C8"/>
    <w:rsid w:val="00CC6437"/>
    <w:rsid w:val="00CD148A"/>
    <w:rsid w:val="00CD2113"/>
    <w:rsid w:val="00CE2072"/>
    <w:rsid w:val="00CE318A"/>
    <w:rsid w:val="00CE5BEE"/>
    <w:rsid w:val="00CF5442"/>
    <w:rsid w:val="00CF6C2F"/>
    <w:rsid w:val="00CF7238"/>
    <w:rsid w:val="00CF724A"/>
    <w:rsid w:val="00D01FB3"/>
    <w:rsid w:val="00D02921"/>
    <w:rsid w:val="00D12BDC"/>
    <w:rsid w:val="00D13847"/>
    <w:rsid w:val="00D203A2"/>
    <w:rsid w:val="00D20CD5"/>
    <w:rsid w:val="00D21686"/>
    <w:rsid w:val="00D22716"/>
    <w:rsid w:val="00D2308D"/>
    <w:rsid w:val="00D2514F"/>
    <w:rsid w:val="00D30BDA"/>
    <w:rsid w:val="00D31D3E"/>
    <w:rsid w:val="00D341EE"/>
    <w:rsid w:val="00D35652"/>
    <w:rsid w:val="00D42D72"/>
    <w:rsid w:val="00D44629"/>
    <w:rsid w:val="00D44997"/>
    <w:rsid w:val="00D45498"/>
    <w:rsid w:val="00D46376"/>
    <w:rsid w:val="00D56D30"/>
    <w:rsid w:val="00D60878"/>
    <w:rsid w:val="00D62388"/>
    <w:rsid w:val="00D63F7C"/>
    <w:rsid w:val="00D641C3"/>
    <w:rsid w:val="00D64C6F"/>
    <w:rsid w:val="00D6536B"/>
    <w:rsid w:val="00D66A9D"/>
    <w:rsid w:val="00D704C6"/>
    <w:rsid w:val="00D75CCA"/>
    <w:rsid w:val="00D76020"/>
    <w:rsid w:val="00D76884"/>
    <w:rsid w:val="00D777BD"/>
    <w:rsid w:val="00D8042A"/>
    <w:rsid w:val="00D80C24"/>
    <w:rsid w:val="00D824F2"/>
    <w:rsid w:val="00D841D1"/>
    <w:rsid w:val="00D85E4E"/>
    <w:rsid w:val="00D86B3A"/>
    <w:rsid w:val="00D93991"/>
    <w:rsid w:val="00D94683"/>
    <w:rsid w:val="00DA08B1"/>
    <w:rsid w:val="00DA3595"/>
    <w:rsid w:val="00DA3DDE"/>
    <w:rsid w:val="00DA60F3"/>
    <w:rsid w:val="00DA697C"/>
    <w:rsid w:val="00DA7CD8"/>
    <w:rsid w:val="00DB293C"/>
    <w:rsid w:val="00DB34BA"/>
    <w:rsid w:val="00DB5429"/>
    <w:rsid w:val="00DB7138"/>
    <w:rsid w:val="00DB7DC6"/>
    <w:rsid w:val="00DC27EA"/>
    <w:rsid w:val="00DC419E"/>
    <w:rsid w:val="00DD01E8"/>
    <w:rsid w:val="00DD0E7D"/>
    <w:rsid w:val="00DD12E0"/>
    <w:rsid w:val="00DD5A8F"/>
    <w:rsid w:val="00DD609A"/>
    <w:rsid w:val="00DE018D"/>
    <w:rsid w:val="00DE10AF"/>
    <w:rsid w:val="00DE10CB"/>
    <w:rsid w:val="00DE257B"/>
    <w:rsid w:val="00DE37A0"/>
    <w:rsid w:val="00DF02ED"/>
    <w:rsid w:val="00DF27E5"/>
    <w:rsid w:val="00DF6245"/>
    <w:rsid w:val="00E00401"/>
    <w:rsid w:val="00E070E7"/>
    <w:rsid w:val="00E10CAF"/>
    <w:rsid w:val="00E113C7"/>
    <w:rsid w:val="00E1578A"/>
    <w:rsid w:val="00E20A71"/>
    <w:rsid w:val="00E23942"/>
    <w:rsid w:val="00E24139"/>
    <w:rsid w:val="00E254F5"/>
    <w:rsid w:val="00E31924"/>
    <w:rsid w:val="00E33F31"/>
    <w:rsid w:val="00E430FE"/>
    <w:rsid w:val="00E44642"/>
    <w:rsid w:val="00E509BC"/>
    <w:rsid w:val="00E51D32"/>
    <w:rsid w:val="00E52286"/>
    <w:rsid w:val="00E54130"/>
    <w:rsid w:val="00E604F6"/>
    <w:rsid w:val="00E67683"/>
    <w:rsid w:val="00E716A7"/>
    <w:rsid w:val="00E721CF"/>
    <w:rsid w:val="00E72A3E"/>
    <w:rsid w:val="00E73ED7"/>
    <w:rsid w:val="00E741C9"/>
    <w:rsid w:val="00E74580"/>
    <w:rsid w:val="00E8067D"/>
    <w:rsid w:val="00E81BA1"/>
    <w:rsid w:val="00E85D1B"/>
    <w:rsid w:val="00E904AF"/>
    <w:rsid w:val="00E93138"/>
    <w:rsid w:val="00EA395B"/>
    <w:rsid w:val="00EA4BFA"/>
    <w:rsid w:val="00EA6973"/>
    <w:rsid w:val="00EA7D38"/>
    <w:rsid w:val="00EB0B82"/>
    <w:rsid w:val="00EB1FEF"/>
    <w:rsid w:val="00EB2724"/>
    <w:rsid w:val="00EB5BA3"/>
    <w:rsid w:val="00EC15C8"/>
    <w:rsid w:val="00EC7380"/>
    <w:rsid w:val="00ED0351"/>
    <w:rsid w:val="00ED246E"/>
    <w:rsid w:val="00ED3B27"/>
    <w:rsid w:val="00ED4CD9"/>
    <w:rsid w:val="00ED56FC"/>
    <w:rsid w:val="00ED7293"/>
    <w:rsid w:val="00EE11B9"/>
    <w:rsid w:val="00EE1C57"/>
    <w:rsid w:val="00EE333F"/>
    <w:rsid w:val="00EF738C"/>
    <w:rsid w:val="00EF77DA"/>
    <w:rsid w:val="00F01088"/>
    <w:rsid w:val="00F12017"/>
    <w:rsid w:val="00F13118"/>
    <w:rsid w:val="00F139CA"/>
    <w:rsid w:val="00F144BB"/>
    <w:rsid w:val="00F15DC1"/>
    <w:rsid w:val="00F20FEA"/>
    <w:rsid w:val="00F21127"/>
    <w:rsid w:val="00F214FE"/>
    <w:rsid w:val="00F21D28"/>
    <w:rsid w:val="00F23699"/>
    <w:rsid w:val="00F2456E"/>
    <w:rsid w:val="00F263A5"/>
    <w:rsid w:val="00F27D88"/>
    <w:rsid w:val="00F34B00"/>
    <w:rsid w:val="00F362DA"/>
    <w:rsid w:val="00F365F5"/>
    <w:rsid w:val="00F374CF"/>
    <w:rsid w:val="00F4067F"/>
    <w:rsid w:val="00F44CB4"/>
    <w:rsid w:val="00F473F1"/>
    <w:rsid w:val="00F5047B"/>
    <w:rsid w:val="00F56A4F"/>
    <w:rsid w:val="00F56BC8"/>
    <w:rsid w:val="00F620A6"/>
    <w:rsid w:val="00F63BDD"/>
    <w:rsid w:val="00F66646"/>
    <w:rsid w:val="00F75FF3"/>
    <w:rsid w:val="00F766C2"/>
    <w:rsid w:val="00F80BA0"/>
    <w:rsid w:val="00F83E6B"/>
    <w:rsid w:val="00F84927"/>
    <w:rsid w:val="00F868EC"/>
    <w:rsid w:val="00F902A1"/>
    <w:rsid w:val="00F9217A"/>
    <w:rsid w:val="00F9249F"/>
    <w:rsid w:val="00FB06E6"/>
    <w:rsid w:val="00FC342C"/>
    <w:rsid w:val="00FC3A25"/>
    <w:rsid w:val="00FC51C1"/>
    <w:rsid w:val="00FD2324"/>
    <w:rsid w:val="00FD6C3A"/>
    <w:rsid w:val="00FE1728"/>
    <w:rsid w:val="00FE2C2F"/>
    <w:rsid w:val="00FE31EB"/>
    <w:rsid w:val="00FE3C95"/>
    <w:rsid w:val="00FE622D"/>
    <w:rsid w:val="00FF45C5"/>
    <w:rsid w:val="00FF4DFA"/>
    <w:rsid w:val="00FF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iPriority="1" w:unhideWhenUsed="0" w:qFormat="1"/>
    <w:lsdException w:name="Medium Shading 1 Accent 1"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2B6CDB"/>
    <w:rPr>
      <w:rFonts w:ascii="Times New Roman" w:eastAsia="Times New Roman" w:hAnsi="Times New Roman"/>
      <w:sz w:val="24"/>
      <w:szCs w:val="24"/>
      <w:lang w:val="en-GB" w:eastAsia="en-US"/>
    </w:rPr>
  </w:style>
  <w:style w:type="paragraph" w:styleId="1">
    <w:name w:val="heading 1"/>
    <w:basedOn w:val="a"/>
    <w:link w:val="1Char"/>
    <w:uiPriority w:val="9"/>
    <w:qFormat/>
    <w:rsid w:val="00034DD9"/>
    <w:pPr>
      <w:spacing w:before="100" w:beforeAutospacing="1" w:after="100" w:afterAutospacing="1"/>
      <w:outlineLvl w:val="0"/>
    </w:pPr>
    <w:rPr>
      <w:b/>
      <w:bCs/>
      <w:kern w:val="36"/>
      <w:sz w:val="48"/>
      <w:szCs w:val="48"/>
      <w:lang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Medium Shading 1 Accent 2"/>
    <w:uiPriority w:val="1"/>
    <w:qFormat/>
    <w:rsid w:val="00E721CF"/>
    <w:rPr>
      <w:sz w:val="24"/>
      <w:szCs w:val="24"/>
      <w:lang w:val="en-GB" w:eastAsia="en-US"/>
    </w:rPr>
  </w:style>
  <w:style w:type="paragraph" w:customStyle="1" w:styleId="EndNoteBibliographyTitle">
    <w:name w:val="EndNote Bibliography Title"/>
    <w:basedOn w:val="a"/>
    <w:rsid w:val="00273322"/>
    <w:pPr>
      <w:jc w:val="center"/>
    </w:pPr>
    <w:rPr>
      <w:lang w:val="en-US"/>
    </w:rPr>
  </w:style>
  <w:style w:type="paragraph" w:customStyle="1" w:styleId="EndNoteBibliography">
    <w:name w:val="EndNote Bibliography"/>
    <w:basedOn w:val="a"/>
    <w:link w:val="EndNoteBibliographyChar"/>
    <w:qFormat/>
    <w:rsid w:val="00273322"/>
    <w:rPr>
      <w:lang w:val="en-US"/>
    </w:rPr>
  </w:style>
  <w:style w:type="character" w:styleId="a3">
    <w:name w:val="Hyperlink"/>
    <w:uiPriority w:val="99"/>
    <w:unhideWhenUsed/>
    <w:rsid w:val="00273322"/>
    <w:rPr>
      <w:color w:val="0563C1"/>
      <w:u w:val="single"/>
    </w:rPr>
  </w:style>
  <w:style w:type="character" w:styleId="a4">
    <w:name w:val="annotation reference"/>
    <w:uiPriority w:val="99"/>
    <w:unhideWhenUsed/>
    <w:qFormat/>
    <w:rsid w:val="00565584"/>
    <w:rPr>
      <w:sz w:val="16"/>
      <w:szCs w:val="16"/>
    </w:rPr>
  </w:style>
  <w:style w:type="paragraph" w:styleId="a5">
    <w:name w:val="annotation text"/>
    <w:basedOn w:val="a"/>
    <w:link w:val="Char1"/>
    <w:uiPriority w:val="99"/>
    <w:unhideWhenUsed/>
    <w:qFormat/>
    <w:rsid w:val="00565584"/>
    <w:rPr>
      <w:sz w:val="20"/>
      <w:szCs w:val="20"/>
    </w:rPr>
  </w:style>
  <w:style w:type="character" w:customStyle="1" w:styleId="Char1">
    <w:name w:val="批注文字 Char1"/>
    <w:link w:val="a5"/>
    <w:uiPriority w:val="99"/>
    <w:semiHidden/>
    <w:rsid w:val="00565584"/>
    <w:rPr>
      <w:lang w:eastAsia="en-US"/>
    </w:rPr>
  </w:style>
  <w:style w:type="paragraph" w:styleId="a6">
    <w:name w:val="annotation subject"/>
    <w:basedOn w:val="a5"/>
    <w:next w:val="a5"/>
    <w:link w:val="Char"/>
    <w:uiPriority w:val="99"/>
    <w:semiHidden/>
    <w:unhideWhenUsed/>
    <w:rsid w:val="00565584"/>
    <w:rPr>
      <w:b/>
      <w:bCs/>
    </w:rPr>
  </w:style>
  <w:style w:type="character" w:customStyle="1" w:styleId="Char">
    <w:name w:val="批注主题 Char"/>
    <w:link w:val="a6"/>
    <w:uiPriority w:val="99"/>
    <w:semiHidden/>
    <w:rsid w:val="00565584"/>
    <w:rPr>
      <w:b/>
      <w:bCs/>
      <w:lang w:eastAsia="en-US"/>
    </w:rPr>
  </w:style>
  <w:style w:type="paragraph" w:styleId="a7">
    <w:name w:val="Balloon Text"/>
    <w:basedOn w:val="a"/>
    <w:link w:val="Char0"/>
    <w:uiPriority w:val="99"/>
    <w:semiHidden/>
    <w:unhideWhenUsed/>
    <w:rsid w:val="00565584"/>
    <w:rPr>
      <w:rFonts w:ascii="Tahoma" w:hAnsi="Tahoma" w:cs="Tahoma"/>
      <w:sz w:val="16"/>
      <w:szCs w:val="16"/>
    </w:rPr>
  </w:style>
  <w:style w:type="character" w:customStyle="1" w:styleId="Char0">
    <w:name w:val="批注框文本 Char"/>
    <w:link w:val="a7"/>
    <w:uiPriority w:val="99"/>
    <w:semiHidden/>
    <w:rsid w:val="00565584"/>
    <w:rPr>
      <w:rFonts w:ascii="Tahoma" w:hAnsi="Tahoma" w:cs="Tahoma"/>
      <w:sz w:val="16"/>
      <w:szCs w:val="16"/>
      <w:lang w:eastAsia="en-US"/>
    </w:rPr>
  </w:style>
  <w:style w:type="paragraph" w:styleId="2-1">
    <w:name w:val="Medium Grid 2 Accent 1"/>
    <w:uiPriority w:val="1"/>
    <w:qFormat/>
    <w:rsid w:val="006E152B"/>
    <w:rPr>
      <w:sz w:val="22"/>
      <w:szCs w:val="22"/>
      <w:lang w:val="en-GB" w:eastAsia="en-US"/>
    </w:rPr>
  </w:style>
  <w:style w:type="paragraph" w:styleId="2-2">
    <w:name w:val="Medium List 2 Accent 2"/>
    <w:hidden/>
    <w:uiPriority w:val="62"/>
    <w:unhideWhenUsed/>
    <w:rsid w:val="00C93834"/>
    <w:rPr>
      <w:sz w:val="24"/>
      <w:szCs w:val="24"/>
      <w:lang w:val="en-GB" w:eastAsia="en-US"/>
    </w:rPr>
  </w:style>
  <w:style w:type="paragraph" w:styleId="1-1">
    <w:name w:val="Medium Shading 1 Accent 1"/>
    <w:uiPriority w:val="1"/>
    <w:qFormat/>
    <w:rsid w:val="00F23699"/>
    <w:rPr>
      <w:sz w:val="22"/>
      <w:szCs w:val="22"/>
      <w:lang w:val="en-GB" w:eastAsia="en-US"/>
    </w:rPr>
  </w:style>
  <w:style w:type="character" w:styleId="a8">
    <w:name w:val="line number"/>
    <w:uiPriority w:val="99"/>
    <w:semiHidden/>
    <w:unhideWhenUsed/>
    <w:rsid w:val="00850722"/>
  </w:style>
  <w:style w:type="character" w:styleId="a9">
    <w:name w:val="FollowedHyperlink"/>
    <w:uiPriority w:val="99"/>
    <w:semiHidden/>
    <w:unhideWhenUsed/>
    <w:rsid w:val="00C46F4B"/>
    <w:rPr>
      <w:color w:val="954F72"/>
      <w:u w:val="single"/>
    </w:rPr>
  </w:style>
  <w:style w:type="paragraph" w:styleId="aa">
    <w:name w:val="header"/>
    <w:basedOn w:val="a"/>
    <w:link w:val="Char2"/>
    <w:uiPriority w:val="99"/>
    <w:unhideWhenUsed/>
    <w:rsid w:val="003D5275"/>
    <w:pPr>
      <w:tabs>
        <w:tab w:val="center" w:pos="4513"/>
        <w:tab w:val="right" w:pos="9026"/>
      </w:tabs>
    </w:pPr>
  </w:style>
  <w:style w:type="character" w:customStyle="1" w:styleId="Char2">
    <w:name w:val="页眉 Char"/>
    <w:link w:val="aa"/>
    <w:uiPriority w:val="99"/>
    <w:rsid w:val="003D5275"/>
    <w:rPr>
      <w:sz w:val="24"/>
      <w:szCs w:val="24"/>
      <w:lang w:eastAsia="en-US"/>
    </w:rPr>
  </w:style>
  <w:style w:type="paragraph" w:styleId="ab">
    <w:name w:val="footer"/>
    <w:basedOn w:val="a"/>
    <w:link w:val="Char3"/>
    <w:uiPriority w:val="99"/>
    <w:unhideWhenUsed/>
    <w:rsid w:val="003D5275"/>
    <w:pPr>
      <w:tabs>
        <w:tab w:val="center" w:pos="4513"/>
        <w:tab w:val="right" w:pos="9026"/>
      </w:tabs>
    </w:pPr>
  </w:style>
  <w:style w:type="character" w:customStyle="1" w:styleId="Char3">
    <w:name w:val="页脚 Char"/>
    <w:link w:val="ab"/>
    <w:uiPriority w:val="99"/>
    <w:rsid w:val="003D5275"/>
    <w:rPr>
      <w:sz w:val="24"/>
      <w:szCs w:val="24"/>
      <w:lang w:eastAsia="en-US"/>
    </w:rPr>
  </w:style>
  <w:style w:type="character" w:styleId="ac">
    <w:name w:val="page number"/>
    <w:uiPriority w:val="99"/>
    <w:semiHidden/>
    <w:unhideWhenUsed/>
    <w:rsid w:val="003D5275"/>
  </w:style>
  <w:style w:type="character" w:customStyle="1" w:styleId="1Char">
    <w:name w:val="标题 1 Char"/>
    <w:link w:val="1"/>
    <w:uiPriority w:val="9"/>
    <w:rsid w:val="00034DD9"/>
    <w:rPr>
      <w:rFonts w:ascii="Times New Roman" w:eastAsia="Times New Roman" w:hAnsi="Times New Roman"/>
      <w:b/>
      <w:bCs/>
      <w:kern w:val="36"/>
      <w:sz w:val="48"/>
      <w:szCs w:val="48"/>
    </w:rPr>
  </w:style>
  <w:style w:type="paragraph" w:styleId="ad">
    <w:name w:val="Normal (Web)"/>
    <w:basedOn w:val="a"/>
    <w:uiPriority w:val="99"/>
    <w:unhideWhenUsed/>
    <w:rsid w:val="00C87B67"/>
    <w:pPr>
      <w:spacing w:before="100" w:beforeAutospacing="1" w:after="100" w:afterAutospacing="1"/>
    </w:pPr>
  </w:style>
  <w:style w:type="character" w:customStyle="1" w:styleId="Char4">
    <w:name w:val="批注文字 Char"/>
    <w:uiPriority w:val="99"/>
    <w:locked/>
    <w:rsid w:val="00540DC6"/>
    <w:rPr>
      <w:kern w:val="2"/>
      <w:sz w:val="21"/>
    </w:rPr>
  </w:style>
  <w:style w:type="paragraph" w:customStyle="1" w:styleId="BodyA">
    <w:name w:val="Body A"/>
    <w:rsid w:val="00AD0CD6"/>
    <w:pPr>
      <w:pBdr>
        <w:top w:val="nil"/>
        <w:left w:val="nil"/>
        <w:bottom w:val="nil"/>
        <w:right w:val="nil"/>
        <w:between w:val="nil"/>
        <w:bar w:val="nil"/>
      </w:pBdr>
    </w:pPr>
    <w:rPr>
      <w:rFonts w:eastAsia="Calibri" w:cs="Calibri"/>
      <w:color w:val="000000"/>
      <w:sz w:val="22"/>
      <w:szCs w:val="22"/>
      <w:u w:color="000000"/>
      <w:bdr w:val="nil"/>
      <w:lang w:eastAsia="en-AU"/>
    </w:rPr>
  </w:style>
  <w:style w:type="paragraph" w:styleId="ae">
    <w:name w:val="Plain Text"/>
    <w:basedOn w:val="a"/>
    <w:link w:val="Char5"/>
    <w:rsid w:val="00D44629"/>
    <w:pPr>
      <w:widowControl w:val="0"/>
      <w:jc w:val="both"/>
    </w:pPr>
    <w:rPr>
      <w:rFonts w:ascii="宋体" w:eastAsia="宋体" w:hAnsi="Courier New" w:cs="Courier New"/>
      <w:kern w:val="2"/>
      <w:sz w:val="21"/>
      <w:szCs w:val="21"/>
      <w:lang w:val="en-US" w:eastAsia="zh-CN"/>
    </w:rPr>
  </w:style>
  <w:style w:type="character" w:customStyle="1" w:styleId="af">
    <w:name w:val="纯文本 字符"/>
    <w:uiPriority w:val="99"/>
    <w:semiHidden/>
    <w:rsid w:val="00D44629"/>
    <w:rPr>
      <w:rFonts w:ascii="宋体" w:eastAsia="宋体" w:hAnsi="Courier New" w:cs="Courier New"/>
      <w:sz w:val="21"/>
      <w:szCs w:val="21"/>
      <w:lang w:val="en-GB" w:eastAsia="en-US"/>
    </w:rPr>
  </w:style>
  <w:style w:type="character" w:customStyle="1" w:styleId="Char5">
    <w:name w:val="纯文本 Char"/>
    <w:link w:val="ae"/>
    <w:rsid w:val="00D44629"/>
    <w:rPr>
      <w:rFonts w:ascii="宋体" w:eastAsia="宋体" w:hAnsi="Courier New" w:cs="Courier New"/>
      <w:kern w:val="2"/>
      <w:sz w:val="21"/>
      <w:szCs w:val="21"/>
    </w:rPr>
  </w:style>
  <w:style w:type="character" w:customStyle="1" w:styleId="EndNoteBibliographyChar">
    <w:name w:val="EndNote Bibliography Char"/>
    <w:link w:val="EndNoteBibliography"/>
    <w:rsid w:val="00097ABF"/>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iPriority="1" w:unhideWhenUsed="0" w:qFormat="1"/>
    <w:lsdException w:name="Medium Shading 1 Accent 1"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2B6CDB"/>
    <w:rPr>
      <w:rFonts w:ascii="Times New Roman" w:eastAsia="Times New Roman" w:hAnsi="Times New Roman"/>
      <w:sz w:val="24"/>
      <w:szCs w:val="24"/>
      <w:lang w:val="en-GB" w:eastAsia="en-US"/>
    </w:rPr>
  </w:style>
  <w:style w:type="paragraph" w:styleId="1">
    <w:name w:val="heading 1"/>
    <w:basedOn w:val="a"/>
    <w:link w:val="1Char"/>
    <w:uiPriority w:val="9"/>
    <w:qFormat/>
    <w:rsid w:val="00034DD9"/>
    <w:pPr>
      <w:spacing w:before="100" w:beforeAutospacing="1" w:after="100" w:afterAutospacing="1"/>
      <w:outlineLvl w:val="0"/>
    </w:pPr>
    <w:rPr>
      <w:b/>
      <w:bCs/>
      <w:kern w:val="36"/>
      <w:sz w:val="48"/>
      <w:szCs w:val="48"/>
      <w:lang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Medium Shading 1 Accent 2"/>
    <w:uiPriority w:val="1"/>
    <w:qFormat/>
    <w:rsid w:val="00E721CF"/>
    <w:rPr>
      <w:sz w:val="24"/>
      <w:szCs w:val="24"/>
      <w:lang w:val="en-GB" w:eastAsia="en-US"/>
    </w:rPr>
  </w:style>
  <w:style w:type="paragraph" w:customStyle="1" w:styleId="EndNoteBibliographyTitle">
    <w:name w:val="EndNote Bibliography Title"/>
    <w:basedOn w:val="a"/>
    <w:rsid w:val="00273322"/>
    <w:pPr>
      <w:jc w:val="center"/>
    </w:pPr>
    <w:rPr>
      <w:lang w:val="en-US"/>
    </w:rPr>
  </w:style>
  <w:style w:type="paragraph" w:customStyle="1" w:styleId="EndNoteBibliography">
    <w:name w:val="EndNote Bibliography"/>
    <w:basedOn w:val="a"/>
    <w:link w:val="EndNoteBibliographyChar"/>
    <w:qFormat/>
    <w:rsid w:val="00273322"/>
    <w:rPr>
      <w:lang w:val="en-US"/>
    </w:rPr>
  </w:style>
  <w:style w:type="character" w:styleId="a3">
    <w:name w:val="Hyperlink"/>
    <w:uiPriority w:val="99"/>
    <w:unhideWhenUsed/>
    <w:rsid w:val="00273322"/>
    <w:rPr>
      <w:color w:val="0563C1"/>
      <w:u w:val="single"/>
    </w:rPr>
  </w:style>
  <w:style w:type="character" w:styleId="a4">
    <w:name w:val="annotation reference"/>
    <w:uiPriority w:val="99"/>
    <w:unhideWhenUsed/>
    <w:qFormat/>
    <w:rsid w:val="00565584"/>
    <w:rPr>
      <w:sz w:val="16"/>
      <w:szCs w:val="16"/>
    </w:rPr>
  </w:style>
  <w:style w:type="paragraph" w:styleId="a5">
    <w:name w:val="annotation text"/>
    <w:basedOn w:val="a"/>
    <w:link w:val="Char1"/>
    <w:uiPriority w:val="99"/>
    <w:unhideWhenUsed/>
    <w:qFormat/>
    <w:rsid w:val="00565584"/>
    <w:rPr>
      <w:sz w:val="20"/>
      <w:szCs w:val="20"/>
    </w:rPr>
  </w:style>
  <w:style w:type="character" w:customStyle="1" w:styleId="Char1">
    <w:name w:val="批注文字 Char1"/>
    <w:link w:val="a5"/>
    <w:uiPriority w:val="99"/>
    <w:semiHidden/>
    <w:rsid w:val="00565584"/>
    <w:rPr>
      <w:lang w:eastAsia="en-US"/>
    </w:rPr>
  </w:style>
  <w:style w:type="paragraph" w:styleId="a6">
    <w:name w:val="annotation subject"/>
    <w:basedOn w:val="a5"/>
    <w:next w:val="a5"/>
    <w:link w:val="Char"/>
    <w:uiPriority w:val="99"/>
    <w:semiHidden/>
    <w:unhideWhenUsed/>
    <w:rsid w:val="00565584"/>
    <w:rPr>
      <w:b/>
      <w:bCs/>
    </w:rPr>
  </w:style>
  <w:style w:type="character" w:customStyle="1" w:styleId="Char">
    <w:name w:val="批注主题 Char"/>
    <w:link w:val="a6"/>
    <w:uiPriority w:val="99"/>
    <w:semiHidden/>
    <w:rsid w:val="00565584"/>
    <w:rPr>
      <w:b/>
      <w:bCs/>
      <w:lang w:eastAsia="en-US"/>
    </w:rPr>
  </w:style>
  <w:style w:type="paragraph" w:styleId="a7">
    <w:name w:val="Balloon Text"/>
    <w:basedOn w:val="a"/>
    <w:link w:val="Char0"/>
    <w:uiPriority w:val="99"/>
    <w:semiHidden/>
    <w:unhideWhenUsed/>
    <w:rsid w:val="00565584"/>
    <w:rPr>
      <w:rFonts w:ascii="Tahoma" w:hAnsi="Tahoma" w:cs="Tahoma"/>
      <w:sz w:val="16"/>
      <w:szCs w:val="16"/>
    </w:rPr>
  </w:style>
  <w:style w:type="character" w:customStyle="1" w:styleId="Char0">
    <w:name w:val="批注框文本 Char"/>
    <w:link w:val="a7"/>
    <w:uiPriority w:val="99"/>
    <w:semiHidden/>
    <w:rsid w:val="00565584"/>
    <w:rPr>
      <w:rFonts w:ascii="Tahoma" w:hAnsi="Tahoma" w:cs="Tahoma"/>
      <w:sz w:val="16"/>
      <w:szCs w:val="16"/>
      <w:lang w:eastAsia="en-US"/>
    </w:rPr>
  </w:style>
  <w:style w:type="paragraph" w:styleId="2-1">
    <w:name w:val="Medium Grid 2 Accent 1"/>
    <w:uiPriority w:val="1"/>
    <w:qFormat/>
    <w:rsid w:val="006E152B"/>
    <w:rPr>
      <w:sz w:val="22"/>
      <w:szCs w:val="22"/>
      <w:lang w:val="en-GB" w:eastAsia="en-US"/>
    </w:rPr>
  </w:style>
  <w:style w:type="paragraph" w:styleId="2-2">
    <w:name w:val="Medium List 2 Accent 2"/>
    <w:hidden/>
    <w:uiPriority w:val="62"/>
    <w:unhideWhenUsed/>
    <w:rsid w:val="00C93834"/>
    <w:rPr>
      <w:sz w:val="24"/>
      <w:szCs w:val="24"/>
      <w:lang w:val="en-GB" w:eastAsia="en-US"/>
    </w:rPr>
  </w:style>
  <w:style w:type="paragraph" w:styleId="1-1">
    <w:name w:val="Medium Shading 1 Accent 1"/>
    <w:uiPriority w:val="1"/>
    <w:qFormat/>
    <w:rsid w:val="00F23699"/>
    <w:rPr>
      <w:sz w:val="22"/>
      <w:szCs w:val="22"/>
      <w:lang w:val="en-GB" w:eastAsia="en-US"/>
    </w:rPr>
  </w:style>
  <w:style w:type="character" w:styleId="a8">
    <w:name w:val="line number"/>
    <w:uiPriority w:val="99"/>
    <w:semiHidden/>
    <w:unhideWhenUsed/>
    <w:rsid w:val="00850722"/>
  </w:style>
  <w:style w:type="character" w:styleId="a9">
    <w:name w:val="FollowedHyperlink"/>
    <w:uiPriority w:val="99"/>
    <w:semiHidden/>
    <w:unhideWhenUsed/>
    <w:rsid w:val="00C46F4B"/>
    <w:rPr>
      <w:color w:val="954F72"/>
      <w:u w:val="single"/>
    </w:rPr>
  </w:style>
  <w:style w:type="paragraph" w:styleId="aa">
    <w:name w:val="header"/>
    <w:basedOn w:val="a"/>
    <w:link w:val="Char2"/>
    <w:uiPriority w:val="99"/>
    <w:unhideWhenUsed/>
    <w:rsid w:val="003D5275"/>
    <w:pPr>
      <w:tabs>
        <w:tab w:val="center" w:pos="4513"/>
        <w:tab w:val="right" w:pos="9026"/>
      </w:tabs>
    </w:pPr>
  </w:style>
  <w:style w:type="character" w:customStyle="1" w:styleId="Char2">
    <w:name w:val="页眉 Char"/>
    <w:link w:val="aa"/>
    <w:uiPriority w:val="99"/>
    <w:rsid w:val="003D5275"/>
    <w:rPr>
      <w:sz w:val="24"/>
      <w:szCs w:val="24"/>
      <w:lang w:eastAsia="en-US"/>
    </w:rPr>
  </w:style>
  <w:style w:type="paragraph" w:styleId="ab">
    <w:name w:val="footer"/>
    <w:basedOn w:val="a"/>
    <w:link w:val="Char3"/>
    <w:uiPriority w:val="99"/>
    <w:unhideWhenUsed/>
    <w:rsid w:val="003D5275"/>
    <w:pPr>
      <w:tabs>
        <w:tab w:val="center" w:pos="4513"/>
        <w:tab w:val="right" w:pos="9026"/>
      </w:tabs>
    </w:pPr>
  </w:style>
  <w:style w:type="character" w:customStyle="1" w:styleId="Char3">
    <w:name w:val="页脚 Char"/>
    <w:link w:val="ab"/>
    <w:uiPriority w:val="99"/>
    <w:rsid w:val="003D5275"/>
    <w:rPr>
      <w:sz w:val="24"/>
      <w:szCs w:val="24"/>
      <w:lang w:eastAsia="en-US"/>
    </w:rPr>
  </w:style>
  <w:style w:type="character" w:styleId="ac">
    <w:name w:val="page number"/>
    <w:uiPriority w:val="99"/>
    <w:semiHidden/>
    <w:unhideWhenUsed/>
    <w:rsid w:val="003D5275"/>
  </w:style>
  <w:style w:type="character" w:customStyle="1" w:styleId="1Char">
    <w:name w:val="标题 1 Char"/>
    <w:link w:val="1"/>
    <w:uiPriority w:val="9"/>
    <w:rsid w:val="00034DD9"/>
    <w:rPr>
      <w:rFonts w:ascii="Times New Roman" w:eastAsia="Times New Roman" w:hAnsi="Times New Roman"/>
      <w:b/>
      <w:bCs/>
      <w:kern w:val="36"/>
      <w:sz w:val="48"/>
      <w:szCs w:val="48"/>
    </w:rPr>
  </w:style>
  <w:style w:type="paragraph" w:styleId="ad">
    <w:name w:val="Normal (Web)"/>
    <w:basedOn w:val="a"/>
    <w:uiPriority w:val="99"/>
    <w:unhideWhenUsed/>
    <w:rsid w:val="00C87B67"/>
    <w:pPr>
      <w:spacing w:before="100" w:beforeAutospacing="1" w:after="100" w:afterAutospacing="1"/>
    </w:pPr>
  </w:style>
  <w:style w:type="character" w:customStyle="1" w:styleId="Char4">
    <w:name w:val="批注文字 Char"/>
    <w:uiPriority w:val="99"/>
    <w:locked/>
    <w:rsid w:val="00540DC6"/>
    <w:rPr>
      <w:kern w:val="2"/>
      <w:sz w:val="21"/>
    </w:rPr>
  </w:style>
  <w:style w:type="paragraph" w:customStyle="1" w:styleId="BodyA">
    <w:name w:val="Body A"/>
    <w:rsid w:val="00AD0CD6"/>
    <w:pPr>
      <w:pBdr>
        <w:top w:val="nil"/>
        <w:left w:val="nil"/>
        <w:bottom w:val="nil"/>
        <w:right w:val="nil"/>
        <w:between w:val="nil"/>
        <w:bar w:val="nil"/>
      </w:pBdr>
    </w:pPr>
    <w:rPr>
      <w:rFonts w:eastAsia="Calibri" w:cs="Calibri"/>
      <w:color w:val="000000"/>
      <w:sz w:val="22"/>
      <w:szCs w:val="22"/>
      <w:u w:color="000000"/>
      <w:bdr w:val="nil"/>
      <w:lang w:eastAsia="en-AU"/>
    </w:rPr>
  </w:style>
  <w:style w:type="paragraph" w:styleId="ae">
    <w:name w:val="Plain Text"/>
    <w:basedOn w:val="a"/>
    <w:link w:val="Char5"/>
    <w:rsid w:val="00D44629"/>
    <w:pPr>
      <w:widowControl w:val="0"/>
      <w:jc w:val="both"/>
    </w:pPr>
    <w:rPr>
      <w:rFonts w:ascii="宋体" w:eastAsia="宋体" w:hAnsi="Courier New" w:cs="Courier New"/>
      <w:kern w:val="2"/>
      <w:sz w:val="21"/>
      <w:szCs w:val="21"/>
      <w:lang w:val="en-US" w:eastAsia="zh-CN"/>
    </w:rPr>
  </w:style>
  <w:style w:type="character" w:customStyle="1" w:styleId="af">
    <w:name w:val="纯文本 字符"/>
    <w:uiPriority w:val="99"/>
    <w:semiHidden/>
    <w:rsid w:val="00D44629"/>
    <w:rPr>
      <w:rFonts w:ascii="宋体" w:eastAsia="宋体" w:hAnsi="Courier New" w:cs="Courier New"/>
      <w:sz w:val="21"/>
      <w:szCs w:val="21"/>
      <w:lang w:val="en-GB" w:eastAsia="en-US"/>
    </w:rPr>
  </w:style>
  <w:style w:type="character" w:customStyle="1" w:styleId="Char5">
    <w:name w:val="纯文本 Char"/>
    <w:link w:val="ae"/>
    <w:rsid w:val="00D44629"/>
    <w:rPr>
      <w:rFonts w:ascii="宋体" w:eastAsia="宋体" w:hAnsi="Courier New" w:cs="Courier New"/>
      <w:kern w:val="2"/>
      <w:sz w:val="21"/>
      <w:szCs w:val="21"/>
    </w:rPr>
  </w:style>
  <w:style w:type="character" w:customStyle="1" w:styleId="EndNoteBibliographyChar">
    <w:name w:val="EndNote Bibliography Char"/>
    <w:link w:val="EndNoteBibliography"/>
    <w:rsid w:val="00097AB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755">
      <w:bodyDiv w:val="1"/>
      <w:marLeft w:val="0"/>
      <w:marRight w:val="0"/>
      <w:marTop w:val="0"/>
      <w:marBottom w:val="0"/>
      <w:divBdr>
        <w:top w:val="none" w:sz="0" w:space="0" w:color="auto"/>
        <w:left w:val="none" w:sz="0" w:space="0" w:color="auto"/>
        <w:bottom w:val="none" w:sz="0" w:space="0" w:color="auto"/>
        <w:right w:val="none" w:sz="0" w:space="0" w:color="auto"/>
      </w:divBdr>
    </w:div>
    <w:div w:id="145324912">
      <w:bodyDiv w:val="1"/>
      <w:marLeft w:val="0"/>
      <w:marRight w:val="0"/>
      <w:marTop w:val="0"/>
      <w:marBottom w:val="0"/>
      <w:divBdr>
        <w:top w:val="none" w:sz="0" w:space="0" w:color="auto"/>
        <w:left w:val="none" w:sz="0" w:space="0" w:color="auto"/>
        <w:bottom w:val="none" w:sz="0" w:space="0" w:color="auto"/>
        <w:right w:val="none" w:sz="0" w:space="0" w:color="auto"/>
      </w:divBdr>
      <w:divsChild>
        <w:div w:id="1276673617">
          <w:marLeft w:val="0"/>
          <w:marRight w:val="0"/>
          <w:marTop w:val="0"/>
          <w:marBottom w:val="0"/>
          <w:divBdr>
            <w:top w:val="none" w:sz="0" w:space="0" w:color="auto"/>
            <w:left w:val="none" w:sz="0" w:space="0" w:color="auto"/>
            <w:bottom w:val="none" w:sz="0" w:space="0" w:color="auto"/>
            <w:right w:val="none" w:sz="0" w:space="0" w:color="auto"/>
          </w:divBdr>
          <w:divsChild>
            <w:div w:id="140583708">
              <w:marLeft w:val="0"/>
              <w:marRight w:val="0"/>
              <w:marTop w:val="0"/>
              <w:marBottom w:val="0"/>
              <w:divBdr>
                <w:top w:val="none" w:sz="0" w:space="0" w:color="auto"/>
                <w:left w:val="none" w:sz="0" w:space="0" w:color="auto"/>
                <w:bottom w:val="none" w:sz="0" w:space="0" w:color="auto"/>
                <w:right w:val="none" w:sz="0" w:space="0" w:color="auto"/>
              </w:divBdr>
              <w:divsChild>
                <w:div w:id="91632634">
                  <w:marLeft w:val="0"/>
                  <w:marRight w:val="0"/>
                  <w:marTop w:val="0"/>
                  <w:marBottom w:val="0"/>
                  <w:divBdr>
                    <w:top w:val="none" w:sz="0" w:space="0" w:color="auto"/>
                    <w:left w:val="none" w:sz="0" w:space="0" w:color="auto"/>
                    <w:bottom w:val="none" w:sz="0" w:space="0" w:color="auto"/>
                    <w:right w:val="none" w:sz="0" w:space="0" w:color="auto"/>
                  </w:divBdr>
                  <w:divsChild>
                    <w:div w:id="17525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5492">
              <w:marLeft w:val="0"/>
              <w:marRight w:val="0"/>
              <w:marTop w:val="0"/>
              <w:marBottom w:val="0"/>
              <w:divBdr>
                <w:top w:val="none" w:sz="0" w:space="0" w:color="auto"/>
                <w:left w:val="none" w:sz="0" w:space="0" w:color="auto"/>
                <w:bottom w:val="none" w:sz="0" w:space="0" w:color="auto"/>
                <w:right w:val="none" w:sz="0" w:space="0" w:color="auto"/>
              </w:divBdr>
              <w:divsChild>
                <w:div w:id="1055933381">
                  <w:marLeft w:val="0"/>
                  <w:marRight w:val="0"/>
                  <w:marTop w:val="0"/>
                  <w:marBottom w:val="0"/>
                  <w:divBdr>
                    <w:top w:val="none" w:sz="0" w:space="0" w:color="auto"/>
                    <w:left w:val="none" w:sz="0" w:space="0" w:color="auto"/>
                    <w:bottom w:val="none" w:sz="0" w:space="0" w:color="auto"/>
                    <w:right w:val="none" w:sz="0" w:space="0" w:color="auto"/>
                  </w:divBdr>
                  <w:divsChild>
                    <w:div w:id="2130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23479">
      <w:bodyDiv w:val="1"/>
      <w:marLeft w:val="0"/>
      <w:marRight w:val="0"/>
      <w:marTop w:val="0"/>
      <w:marBottom w:val="0"/>
      <w:divBdr>
        <w:top w:val="none" w:sz="0" w:space="0" w:color="auto"/>
        <w:left w:val="none" w:sz="0" w:space="0" w:color="auto"/>
        <w:bottom w:val="none" w:sz="0" w:space="0" w:color="auto"/>
        <w:right w:val="none" w:sz="0" w:space="0" w:color="auto"/>
      </w:divBdr>
    </w:div>
    <w:div w:id="645549483">
      <w:bodyDiv w:val="1"/>
      <w:marLeft w:val="0"/>
      <w:marRight w:val="0"/>
      <w:marTop w:val="0"/>
      <w:marBottom w:val="0"/>
      <w:divBdr>
        <w:top w:val="none" w:sz="0" w:space="0" w:color="auto"/>
        <w:left w:val="none" w:sz="0" w:space="0" w:color="auto"/>
        <w:bottom w:val="none" w:sz="0" w:space="0" w:color="auto"/>
        <w:right w:val="none" w:sz="0" w:space="0" w:color="auto"/>
      </w:divBdr>
    </w:div>
    <w:div w:id="651370187">
      <w:bodyDiv w:val="1"/>
      <w:marLeft w:val="0"/>
      <w:marRight w:val="0"/>
      <w:marTop w:val="0"/>
      <w:marBottom w:val="0"/>
      <w:divBdr>
        <w:top w:val="none" w:sz="0" w:space="0" w:color="auto"/>
        <w:left w:val="none" w:sz="0" w:space="0" w:color="auto"/>
        <w:bottom w:val="none" w:sz="0" w:space="0" w:color="auto"/>
        <w:right w:val="none" w:sz="0" w:space="0" w:color="auto"/>
      </w:divBdr>
    </w:div>
    <w:div w:id="741679227">
      <w:bodyDiv w:val="1"/>
      <w:marLeft w:val="0"/>
      <w:marRight w:val="0"/>
      <w:marTop w:val="0"/>
      <w:marBottom w:val="0"/>
      <w:divBdr>
        <w:top w:val="none" w:sz="0" w:space="0" w:color="auto"/>
        <w:left w:val="none" w:sz="0" w:space="0" w:color="auto"/>
        <w:bottom w:val="none" w:sz="0" w:space="0" w:color="auto"/>
        <w:right w:val="none" w:sz="0" w:space="0" w:color="auto"/>
      </w:divBdr>
    </w:div>
    <w:div w:id="756512737">
      <w:bodyDiv w:val="1"/>
      <w:marLeft w:val="0"/>
      <w:marRight w:val="0"/>
      <w:marTop w:val="0"/>
      <w:marBottom w:val="0"/>
      <w:divBdr>
        <w:top w:val="none" w:sz="0" w:space="0" w:color="auto"/>
        <w:left w:val="none" w:sz="0" w:space="0" w:color="auto"/>
        <w:bottom w:val="none" w:sz="0" w:space="0" w:color="auto"/>
        <w:right w:val="none" w:sz="0" w:space="0" w:color="auto"/>
      </w:divBdr>
    </w:div>
    <w:div w:id="1009867421">
      <w:bodyDiv w:val="1"/>
      <w:marLeft w:val="0"/>
      <w:marRight w:val="0"/>
      <w:marTop w:val="0"/>
      <w:marBottom w:val="0"/>
      <w:divBdr>
        <w:top w:val="none" w:sz="0" w:space="0" w:color="auto"/>
        <w:left w:val="none" w:sz="0" w:space="0" w:color="auto"/>
        <w:bottom w:val="none" w:sz="0" w:space="0" w:color="auto"/>
        <w:right w:val="none" w:sz="0" w:space="0" w:color="auto"/>
      </w:divBdr>
    </w:div>
    <w:div w:id="1098677628">
      <w:bodyDiv w:val="1"/>
      <w:marLeft w:val="0"/>
      <w:marRight w:val="0"/>
      <w:marTop w:val="0"/>
      <w:marBottom w:val="0"/>
      <w:divBdr>
        <w:top w:val="none" w:sz="0" w:space="0" w:color="auto"/>
        <w:left w:val="none" w:sz="0" w:space="0" w:color="auto"/>
        <w:bottom w:val="none" w:sz="0" w:space="0" w:color="auto"/>
        <w:right w:val="none" w:sz="0" w:space="0" w:color="auto"/>
      </w:divBdr>
    </w:div>
    <w:div w:id="1440368967">
      <w:bodyDiv w:val="1"/>
      <w:marLeft w:val="0"/>
      <w:marRight w:val="0"/>
      <w:marTop w:val="0"/>
      <w:marBottom w:val="0"/>
      <w:divBdr>
        <w:top w:val="none" w:sz="0" w:space="0" w:color="auto"/>
        <w:left w:val="none" w:sz="0" w:space="0" w:color="auto"/>
        <w:bottom w:val="none" w:sz="0" w:space="0" w:color="auto"/>
        <w:right w:val="none" w:sz="0" w:space="0" w:color="auto"/>
      </w:divBdr>
    </w:div>
    <w:div w:id="1571621918">
      <w:bodyDiv w:val="1"/>
      <w:marLeft w:val="0"/>
      <w:marRight w:val="0"/>
      <w:marTop w:val="0"/>
      <w:marBottom w:val="0"/>
      <w:divBdr>
        <w:top w:val="none" w:sz="0" w:space="0" w:color="auto"/>
        <w:left w:val="none" w:sz="0" w:space="0" w:color="auto"/>
        <w:bottom w:val="none" w:sz="0" w:space="0" w:color="auto"/>
        <w:right w:val="none" w:sz="0" w:space="0" w:color="auto"/>
      </w:divBdr>
      <w:divsChild>
        <w:div w:id="770929448">
          <w:marLeft w:val="0"/>
          <w:marRight w:val="0"/>
          <w:marTop w:val="0"/>
          <w:marBottom w:val="0"/>
          <w:divBdr>
            <w:top w:val="none" w:sz="0" w:space="0" w:color="auto"/>
            <w:left w:val="none" w:sz="0" w:space="0" w:color="auto"/>
            <w:bottom w:val="none" w:sz="0" w:space="0" w:color="auto"/>
            <w:right w:val="none" w:sz="0" w:space="0" w:color="auto"/>
          </w:divBdr>
        </w:div>
        <w:div w:id="1206792146">
          <w:marLeft w:val="0"/>
          <w:marRight w:val="0"/>
          <w:marTop w:val="0"/>
          <w:marBottom w:val="0"/>
          <w:divBdr>
            <w:top w:val="none" w:sz="0" w:space="0" w:color="auto"/>
            <w:left w:val="none" w:sz="0" w:space="0" w:color="auto"/>
            <w:bottom w:val="none" w:sz="0" w:space="0" w:color="auto"/>
            <w:right w:val="none" w:sz="0" w:space="0" w:color="auto"/>
          </w:divBdr>
        </w:div>
        <w:div w:id="2062361304">
          <w:marLeft w:val="0"/>
          <w:marRight w:val="0"/>
          <w:marTop w:val="0"/>
          <w:marBottom w:val="0"/>
          <w:divBdr>
            <w:top w:val="none" w:sz="0" w:space="0" w:color="auto"/>
            <w:left w:val="none" w:sz="0" w:space="0" w:color="auto"/>
            <w:bottom w:val="none" w:sz="0" w:space="0" w:color="auto"/>
            <w:right w:val="none" w:sz="0" w:space="0" w:color="auto"/>
          </w:divBdr>
        </w:div>
        <w:div w:id="2065565521">
          <w:marLeft w:val="0"/>
          <w:marRight w:val="0"/>
          <w:marTop w:val="0"/>
          <w:marBottom w:val="0"/>
          <w:divBdr>
            <w:top w:val="none" w:sz="0" w:space="0" w:color="auto"/>
            <w:left w:val="none" w:sz="0" w:space="0" w:color="auto"/>
            <w:bottom w:val="none" w:sz="0" w:space="0" w:color="auto"/>
            <w:right w:val="none" w:sz="0" w:space="0" w:color="auto"/>
          </w:divBdr>
        </w:div>
        <w:div w:id="2138642724">
          <w:marLeft w:val="0"/>
          <w:marRight w:val="0"/>
          <w:marTop w:val="0"/>
          <w:marBottom w:val="0"/>
          <w:divBdr>
            <w:top w:val="none" w:sz="0" w:space="0" w:color="auto"/>
            <w:left w:val="none" w:sz="0" w:space="0" w:color="auto"/>
            <w:bottom w:val="none" w:sz="0" w:space="0" w:color="auto"/>
            <w:right w:val="none" w:sz="0" w:space="0" w:color="auto"/>
          </w:divBdr>
        </w:div>
      </w:divsChild>
    </w:div>
    <w:div w:id="1714039541">
      <w:bodyDiv w:val="1"/>
      <w:marLeft w:val="0"/>
      <w:marRight w:val="0"/>
      <w:marTop w:val="0"/>
      <w:marBottom w:val="0"/>
      <w:divBdr>
        <w:top w:val="none" w:sz="0" w:space="0" w:color="auto"/>
        <w:left w:val="none" w:sz="0" w:space="0" w:color="auto"/>
        <w:bottom w:val="none" w:sz="0" w:space="0" w:color="auto"/>
        <w:right w:val="none" w:sz="0" w:space="0" w:color="auto"/>
      </w:divBdr>
    </w:div>
    <w:div w:id="1806239965">
      <w:bodyDiv w:val="1"/>
      <w:marLeft w:val="0"/>
      <w:marRight w:val="0"/>
      <w:marTop w:val="0"/>
      <w:marBottom w:val="0"/>
      <w:divBdr>
        <w:top w:val="none" w:sz="0" w:space="0" w:color="auto"/>
        <w:left w:val="none" w:sz="0" w:space="0" w:color="auto"/>
        <w:bottom w:val="none" w:sz="0" w:space="0" w:color="auto"/>
        <w:right w:val="none" w:sz="0" w:space="0" w:color="auto"/>
      </w:divBdr>
      <w:divsChild>
        <w:div w:id="616911590">
          <w:marLeft w:val="0"/>
          <w:marRight w:val="0"/>
          <w:marTop w:val="0"/>
          <w:marBottom w:val="0"/>
          <w:divBdr>
            <w:top w:val="none" w:sz="0" w:space="0" w:color="auto"/>
            <w:left w:val="none" w:sz="0" w:space="0" w:color="auto"/>
            <w:bottom w:val="none" w:sz="0" w:space="0" w:color="auto"/>
            <w:right w:val="none" w:sz="0" w:space="0" w:color="auto"/>
          </w:divBdr>
        </w:div>
        <w:div w:id="838156439">
          <w:marLeft w:val="0"/>
          <w:marRight w:val="0"/>
          <w:marTop w:val="0"/>
          <w:marBottom w:val="0"/>
          <w:divBdr>
            <w:top w:val="none" w:sz="0" w:space="0" w:color="auto"/>
            <w:left w:val="none" w:sz="0" w:space="0" w:color="auto"/>
            <w:bottom w:val="none" w:sz="0" w:space="0" w:color="auto"/>
            <w:right w:val="none" w:sz="0" w:space="0" w:color="auto"/>
          </w:divBdr>
        </w:div>
        <w:div w:id="918370937">
          <w:marLeft w:val="0"/>
          <w:marRight w:val="0"/>
          <w:marTop w:val="0"/>
          <w:marBottom w:val="0"/>
          <w:divBdr>
            <w:top w:val="none" w:sz="0" w:space="0" w:color="auto"/>
            <w:left w:val="none" w:sz="0" w:space="0" w:color="auto"/>
            <w:bottom w:val="none" w:sz="0" w:space="0" w:color="auto"/>
            <w:right w:val="none" w:sz="0" w:space="0" w:color="auto"/>
          </w:divBdr>
        </w:div>
        <w:div w:id="1558281245">
          <w:marLeft w:val="0"/>
          <w:marRight w:val="0"/>
          <w:marTop w:val="0"/>
          <w:marBottom w:val="0"/>
          <w:divBdr>
            <w:top w:val="none" w:sz="0" w:space="0" w:color="auto"/>
            <w:left w:val="none" w:sz="0" w:space="0" w:color="auto"/>
            <w:bottom w:val="none" w:sz="0" w:space="0" w:color="auto"/>
            <w:right w:val="none" w:sz="0" w:space="0" w:color="auto"/>
          </w:divBdr>
        </w:div>
        <w:div w:id="1795632846">
          <w:marLeft w:val="0"/>
          <w:marRight w:val="0"/>
          <w:marTop w:val="0"/>
          <w:marBottom w:val="0"/>
          <w:divBdr>
            <w:top w:val="none" w:sz="0" w:space="0" w:color="auto"/>
            <w:left w:val="none" w:sz="0" w:space="0" w:color="auto"/>
            <w:bottom w:val="none" w:sz="0" w:space="0" w:color="auto"/>
            <w:right w:val="none" w:sz="0" w:space="0" w:color="auto"/>
          </w:divBdr>
        </w:div>
      </w:divsChild>
    </w:div>
    <w:div w:id="1849715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wjgnet.com/1948-5204/full/v11/i12/0000.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254D-179B-449D-B54A-7F49790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22976</Words>
  <Characters>130965</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153634</CharactersWithSpaces>
  <SharedDoc>false</SharedDoc>
  <HLinks>
    <vt:vector size="6" baseType="variant">
      <vt:variant>
        <vt:i4>3670063</vt:i4>
      </vt:variant>
      <vt:variant>
        <vt:i4>0</vt:i4>
      </vt:variant>
      <vt:variant>
        <vt:i4>0</vt:i4>
      </vt:variant>
      <vt:variant>
        <vt:i4>5</vt:i4>
      </vt:variant>
      <vt:variant>
        <vt:lpwstr>https://www.wjgnet.com/1948-5204/full/v11/i12/0000.htm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2019-12-06T08:31:00Z</dcterms:created>
  <dcterms:modified xsi:type="dcterms:W3CDTF">2019-12-06T08:31:00Z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Unique User Id_1">
    <vt:lpwstr>a0f40213-822e-3771-863e-6ed525c1be5f</vt:lpwstr>
  </property>
</Properties>
</file>