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285FB" w14:textId="77777777" w:rsidR="005C63BD" w:rsidRPr="00192CF1" w:rsidRDefault="005C63BD" w:rsidP="004647EC">
      <w:pPr>
        <w:spacing w:after="0" w:line="360" w:lineRule="auto"/>
        <w:jc w:val="both"/>
        <w:rPr>
          <w:rFonts w:ascii="Book Antiqua" w:hAnsi="Book Antiqua"/>
          <w:i/>
          <w:sz w:val="24"/>
          <w:szCs w:val="24"/>
          <w:lang w:val="en-US"/>
        </w:rPr>
      </w:pPr>
      <w:r w:rsidRPr="00192CF1">
        <w:rPr>
          <w:rFonts w:ascii="Book Antiqua" w:hAnsi="Book Antiqua"/>
          <w:b/>
          <w:sz w:val="24"/>
          <w:szCs w:val="24"/>
          <w:lang w:val="en-US"/>
        </w:rPr>
        <w:t xml:space="preserve">Name of Journal: </w:t>
      </w:r>
      <w:r w:rsidRPr="00192CF1">
        <w:rPr>
          <w:rFonts w:ascii="Book Antiqua" w:hAnsi="Book Antiqua"/>
          <w:i/>
          <w:sz w:val="24"/>
          <w:szCs w:val="24"/>
          <w:lang w:val="en-US"/>
        </w:rPr>
        <w:t>World Journal of Gastrointestinal Surgery</w:t>
      </w:r>
    </w:p>
    <w:p w14:paraId="1E1A9F7D" w14:textId="77777777" w:rsidR="008D43DF" w:rsidRPr="00192CF1" w:rsidRDefault="00D87E22" w:rsidP="004647EC">
      <w:pPr>
        <w:spacing w:after="0" w:line="360" w:lineRule="auto"/>
        <w:jc w:val="both"/>
        <w:rPr>
          <w:rFonts w:ascii="Book Antiqua" w:hAnsi="Book Antiqua"/>
          <w:sz w:val="24"/>
          <w:szCs w:val="24"/>
          <w:lang w:val="en-US" w:eastAsia="zh-CN"/>
        </w:rPr>
      </w:pPr>
      <w:r w:rsidRPr="00192CF1">
        <w:rPr>
          <w:rFonts w:ascii="Book Antiqua" w:hAnsi="Book Antiqua"/>
          <w:b/>
          <w:sz w:val="24"/>
          <w:szCs w:val="24"/>
          <w:lang w:val="en-US"/>
        </w:rPr>
        <w:t xml:space="preserve">Manuscript NO: </w:t>
      </w:r>
      <w:r w:rsidR="008D43DF" w:rsidRPr="00192CF1">
        <w:rPr>
          <w:rFonts w:ascii="Book Antiqua" w:hAnsi="Book Antiqua"/>
          <w:sz w:val="24"/>
          <w:szCs w:val="24"/>
          <w:lang w:val="en-US" w:eastAsia="zh-CN"/>
        </w:rPr>
        <w:t>46370</w:t>
      </w:r>
    </w:p>
    <w:p w14:paraId="7E6545D0" w14:textId="18AFCE6B" w:rsidR="005C63BD" w:rsidRPr="00192CF1" w:rsidRDefault="005C63BD" w:rsidP="004647EC">
      <w:pPr>
        <w:spacing w:after="0" w:line="360" w:lineRule="auto"/>
        <w:jc w:val="both"/>
        <w:rPr>
          <w:rFonts w:ascii="Book Antiqua" w:hAnsi="Book Antiqua"/>
          <w:sz w:val="24"/>
          <w:szCs w:val="24"/>
          <w:lang w:val="en-US" w:eastAsia="zh-CN"/>
        </w:rPr>
      </w:pPr>
      <w:r w:rsidRPr="00192CF1">
        <w:rPr>
          <w:rFonts w:ascii="Book Antiqua" w:hAnsi="Book Antiqua"/>
          <w:b/>
          <w:sz w:val="24"/>
          <w:szCs w:val="24"/>
          <w:lang w:val="en-US"/>
        </w:rPr>
        <w:t>Manuscript type</w:t>
      </w:r>
      <w:r w:rsidRPr="00192CF1">
        <w:rPr>
          <w:rFonts w:ascii="Book Antiqua" w:hAnsi="Book Antiqua"/>
          <w:sz w:val="24"/>
          <w:szCs w:val="24"/>
          <w:lang w:val="en-US"/>
        </w:rPr>
        <w:t>: SYSTEMATIC REVIEW</w:t>
      </w:r>
      <w:r w:rsidR="004647EC" w:rsidRPr="00192CF1">
        <w:rPr>
          <w:rFonts w:ascii="Book Antiqua" w:hAnsi="Book Antiqua"/>
          <w:sz w:val="24"/>
          <w:szCs w:val="24"/>
          <w:lang w:val="en-US"/>
        </w:rPr>
        <w:t xml:space="preserve"> </w:t>
      </w:r>
    </w:p>
    <w:p w14:paraId="0E3440BD" w14:textId="77777777" w:rsidR="00F32A18" w:rsidRPr="00192CF1" w:rsidRDefault="00F32A18" w:rsidP="004647EC">
      <w:pPr>
        <w:spacing w:after="0" w:line="360" w:lineRule="auto"/>
        <w:jc w:val="both"/>
        <w:rPr>
          <w:rFonts w:ascii="Book Antiqua" w:hAnsi="Book Antiqua"/>
          <w:sz w:val="24"/>
          <w:szCs w:val="24"/>
          <w:lang w:val="en-US" w:eastAsia="zh-CN"/>
        </w:rPr>
      </w:pPr>
      <w:bookmarkStart w:id="0" w:name="_GoBack"/>
      <w:bookmarkEnd w:id="0"/>
    </w:p>
    <w:p w14:paraId="05A45606" w14:textId="77777777" w:rsidR="005C63BD" w:rsidRPr="00192CF1" w:rsidRDefault="005C63BD" w:rsidP="004647EC">
      <w:pPr>
        <w:spacing w:after="0" w:line="360" w:lineRule="auto"/>
        <w:jc w:val="both"/>
        <w:rPr>
          <w:rFonts w:ascii="Book Antiqua" w:eastAsiaTheme="minorEastAsia" w:hAnsi="Book Antiqua"/>
          <w:b/>
          <w:bCs/>
          <w:kern w:val="36"/>
          <w:sz w:val="24"/>
          <w:szCs w:val="24"/>
          <w:lang w:val="en-US" w:eastAsia="zh-CN"/>
        </w:rPr>
      </w:pPr>
      <w:r w:rsidRPr="00192CF1">
        <w:rPr>
          <w:rFonts w:ascii="Book Antiqua" w:eastAsia="Times New Roman" w:hAnsi="Book Antiqua"/>
          <w:b/>
          <w:bCs/>
          <w:kern w:val="36"/>
          <w:sz w:val="24"/>
          <w:szCs w:val="24"/>
          <w:lang w:val="en-US" w:eastAsia="el-GR"/>
        </w:rPr>
        <w:t xml:space="preserve">Single incision laparoscopic fundoplication: </w:t>
      </w:r>
      <w:r w:rsidR="00313864" w:rsidRPr="00192CF1">
        <w:rPr>
          <w:rFonts w:ascii="Book Antiqua" w:eastAsia="Times New Roman" w:hAnsi="Book Antiqua"/>
          <w:b/>
          <w:bCs/>
          <w:kern w:val="36"/>
          <w:sz w:val="24"/>
          <w:szCs w:val="24"/>
          <w:lang w:val="en-US" w:eastAsia="el-GR"/>
        </w:rPr>
        <w:t>A</w:t>
      </w:r>
      <w:r w:rsidRPr="00192CF1">
        <w:rPr>
          <w:rFonts w:ascii="Book Antiqua" w:eastAsia="Times New Roman" w:hAnsi="Book Antiqua"/>
          <w:b/>
          <w:bCs/>
          <w:kern w:val="36"/>
          <w:sz w:val="24"/>
          <w:szCs w:val="24"/>
          <w:lang w:val="en-US" w:eastAsia="el-GR"/>
        </w:rPr>
        <w:t xml:space="preserve"> systematic review of the literature</w:t>
      </w:r>
    </w:p>
    <w:p w14:paraId="0C84E2F9" w14:textId="77777777" w:rsidR="00313864" w:rsidRPr="00192CF1" w:rsidRDefault="00313864" w:rsidP="004647EC">
      <w:pPr>
        <w:spacing w:after="0" w:line="360" w:lineRule="auto"/>
        <w:jc w:val="both"/>
        <w:rPr>
          <w:rFonts w:ascii="Book Antiqua" w:hAnsi="Book Antiqua"/>
          <w:b/>
          <w:bCs/>
          <w:kern w:val="36"/>
          <w:sz w:val="24"/>
          <w:szCs w:val="24"/>
          <w:lang w:val="en-US" w:eastAsia="zh-CN"/>
        </w:rPr>
      </w:pPr>
    </w:p>
    <w:p w14:paraId="191B6379" w14:textId="77777777" w:rsidR="007D2310" w:rsidRPr="00192CF1" w:rsidRDefault="007D2310" w:rsidP="004647EC">
      <w:pPr>
        <w:spacing w:after="0" w:line="360" w:lineRule="auto"/>
        <w:jc w:val="both"/>
        <w:rPr>
          <w:rFonts w:ascii="Book Antiqua" w:eastAsia="Times New Roman" w:hAnsi="Book Antiqua"/>
          <w:bCs/>
          <w:kern w:val="36"/>
          <w:sz w:val="24"/>
          <w:szCs w:val="24"/>
          <w:lang w:val="en-US" w:eastAsia="el-GR"/>
        </w:rPr>
      </w:pPr>
      <w:proofErr w:type="spellStart"/>
      <w:r w:rsidRPr="00192CF1">
        <w:rPr>
          <w:rFonts w:ascii="Book Antiqua" w:eastAsia="Times New Roman" w:hAnsi="Book Antiqua"/>
          <w:bCs/>
          <w:kern w:val="36"/>
          <w:sz w:val="24"/>
          <w:szCs w:val="24"/>
          <w:lang w:val="en-US" w:eastAsia="el-GR"/>
        </w:rPr>
        <w:t>Perivoliotis</w:t>
      </w:r>
      <w:proofErr w:type="spellEnd"/>
      <w:r w:rsidRPr="00192CF1">
        <w:rPr>
          <w:rFonts w:ascii="Book Antiqua" w:eastAsia="Times New Roman" w:hAnsi="Book Antiqua"/>
          <w:bCs/>
          <w:kern w:val="36"/>
          <w:sz w:val="24"/>
          <w:szCs w:val="24"/>
          <w:lang w:val="en-US" w:eastAsia="el-GR"/>
        </w:rPr>
        <w:t xml:space="preserve"> K </w:t>
      </w:r>
      <w:r w:rsidRPr="00192CF1">
        <w:rPr>
          <w:rFonts w:ascii="Book Antiqua" w:eastAsia="Times New Roman" w:hAnsi="Book Antiqua"/>
          <w:bCs/>
          <w:i/>
          <w:kern w:val="36"/>
          <w:sz w:val="24"/>
          <w:szCs w:val="24"/>
          <w:lang w:val="en-US" w:eastAsia="el-GR"/>
        </w:rPr>
        <w:t>et al</w:t>
      </w:r>
      <w:r w:rsidRPr="00192CF1">
        <w:rPr>
          <w:rFonts w:ascii="Book Antiqua" w:eastAsia="Times New Roman" w:hAnsi="Book Antiqua"/>
          <w:bCs/>
          <w:kern w:val="36"/>
          <w:sz w:val="24"/>
          <w:szCs w:val="24"/>
          <w:lang w:val="en-US" w:eastAsia="el-GR"/>
        </w:rPr>
        <w:t>. Single incision laparoscopic fundoplication</w:t>
      </w:r>
    </w:p>
    <w:p w14:paraId="514682F9" w14:textId="77777777" w:rsidR="007D2310" w:rsidRPr="00192CF1" w:rsidRDefault="007D2310" w:rsidP="004647EC">
      <w:pPr>
        <w:spacing w:after="0" w:line="360" w:lineRule="auto"/>
        <w:jc w:val="both"/>
        <w:rPr>
          <w:rFonts w:ascii="Book Antiqua" w:hAnsi="Book Antiqua"/>
          <w:b/>
          <w:bCs/>
          <w:kern w:val="36"/>
          <w:sz w:val="24"/>
          <w:szCs w:val="24"/>
          <w:lang w:val="en-US" w:eastAsia="zh-CN"/>
        </w:rPr>
      </w:pPr>
    </w:p>
    <w:p w14:paraId="6104262C" w14:textId="0B835367" w:rsidR="00313864" w:rsidRPr="00192CF1" w:rsidRDefault="00313864" w:rsidP="004647EC">
      <w:pPr>
        <w:spacing w:after="0" w:line="360" w:lineRule="auto"/>
        <w:jc w:val="both"/>
        <w:rPr>
          <w:rFonts w:ascii="Book Antiqua" w:hAnsi="Book Antiqua"/>
          <w:sz w:val="24"/>
          <w:szCs w:val="24"/>
          <w:lang w:val="en-US" w:eastAsia="zh-CN"/>
        </w:rPr>
      </w:pPr>
      <w:r w:rsidRPr="00192CF1">
        <w:rPr>
          <w:rFonts w:ascii="Book Antiqua" w:hAnsi="Book Antiqua"/>
          <w:sz w:val="24"/>
          <w:szCs w:val="24"/>
          <w:lang w:val="en-US"/>
        </w:rPr>
        <w:t xml:space="preserve">Konstantinos </w:t>
      </w:r>
      <w:proofErr w:type="spellStart"/>
      <w:r w:rsidRPr="00192CF1">
        <w:rPr>
          <w:rFonts w:ascii="Book Antiqua" w:hAnsi="Book Antiqua"/>
          <w:sz w:val="24"/>
          <w:szCs w:val="24"/>
          <w:lang w:val="en-US"/>
        </w:rPr>
        <w:t>Perivoliotis</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Chamaidi</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Sarakatsianou</w:t>
      </w:r>
      <w:proofErr w:type="spellEnd"/>
      <w:r w:rsidRPr="00192CF1">
        <w:rPr>
          <w:rFonts w:ascii="Book Antiqua" w:hAnsi="Book Antiqua"/>
          <w:sz w:val="24"/>
          <w:szCs w:val="24"/>
          <w:lang w:val="en-US"/>
        </w:rPr>
        <w:t xml:space="preserve">, Konstantinos </w:t>
      </w:r>
      <w:proofErr w:type="spellStart"/>
      <w:r w:rsidRPr="00192CF1">
        <w:rPr>
          <w:rFonts w:ascii="Book Antiqua" w:hAnsi="Book Antiqua"/>
          <w:sz w:val="24"/>
          <w:szCs w:val="24"/>
          <w:lang w:val="en-US"/>
        </w:rPr>
        <w:t>Tepetes</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Ioannis</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Baloyiannis</w:t>
      </w:r>
      <w:proofErr w:type="spellEnd"/>
    </w:p>
    <w:p w14:paraId="45D338BC" w14:textId="77777777" w:rsidR="005C63BD" w:rsidRPr="00192CF1" w:rsidRDefault="005C63BD" w:rsidP="004647EC">
      <w:pPr>
        <w:spacing w:after="0" w:line="360" w:lineRule="auto"/>
        <w:jc w:val="both"/>
        <w:rPr>
          <w:rFonts w:ascii="Book Antiqua" w:hAnsi="Book Antiqua"/>
          <w:b/>
          <w:sz w:val="24"/>
          <w:szCs w:val="24"/>
          <w:lang w:val="en-US" w:eastAsia="zh-CN"/>
        </w:rPr>
      </w:pPr>
    </w:p>
    <w:p w14:paraId="53346FD1" w14:textId="16F03940" w:rsidR="005C63BD" w:rsidRPr="00192CF1" w:rsidRDefault="005C63BD" w:rsidP="004647EC">
      <w:pPr>
        <w:spacing w:after="0" w:line="360" w:lineRule="auto"/>
        <w:jc w:val="both"/>
        <w:rPr>
          <w:rFonts w:ascii="Book Antiqua" w:hAnsi="Book Antiqua"/>
          <w:sz w:val="24"/>
          <w:szCs w:val="24"/>
          <w:lang w:val="en-US" w:eastAsia="zh-CN"/>
        </w:rPr>
      </w:pPr>
      <w:r w:rsidRPr="00192CF1">
        <w:rPr>
          <w:rFonts w:ascii="Book Antiqua" w:hAnsi="Book Antiqua"/>
          <w:b/>
          <w:sz w:val="24"/>
          <w:szCs w:val="24"/>
          <w:lang w:val="en-US"/>
        </w:rPr>
        <w:t xml:space="preserve">Konstantinos </w:t>
      </w:r>
      <w:proofErr w:type="spellStart"/>
      <w:r w:rsidRPr="00192CF1">
        <w:rPr>
          <w:rFonts w:ascii="Book Antiqua" w:hAnsi="Book Antiqua"/>
          <w:b/>
          <w:sz w:val="24"/>
          <w:szCs w:val="24"/>
          <w:lang w:val="en-US"/>
        </w:rPr>
        <w:t>Perivoliotis</w:t>
      </w:r>
      <w:proofErr w:type="spellEnd"/>
      <w:r w:rsidRPr="00192CF1">
        <w:rPr>
          <w:rFonts w:ascii="Book Antiqua" w:hAnsi="Book Antiqua"/>
          <w:sz w:val="24"/>
          <w:szCs w:val="24"/>
          <w:lang w:val="en-US"/>
        </w:rPr>
        <w:t xml:space="preserve">, </w:t>
      </w:r>
      <w:r w:rsidRPr="00192CF1">
        <w:rPr>
          <w:rFonts w:ascii="Book Antiqua" w:hAnsi="Book Antiqua"/>
          <w:b/>
          <w:sz w:val="24"/>
          <w:szCs w:val="24"/>
          <w:lang w:val="en-US"/>
        </w:rPr>
        <w:t xml:space="preserve">Konstantinos </w:t>
      </w:r>
      <w:proofErr w:type="spellStart"/>
      <w:r w:rsidRPr="00192CF1">
        <w:rPr>
          <w:rFonts w:ascii="Book Antiqua" w:hAnsi="Book Antiqua"/>
          <w:b/>
          <w:sz w:val="24"/>
          <w:szCs w:val="24"/>
          <w:lang w:val="en-US"/>
        </w:rPr>
        <w:t>Tepetes</w:t>
      </w:r>
      <w:proofErr w:type="spellEnd"/>
      <w:r w:rsidRPr="00192CF1">
        <w:rPr>
          <w:rFonts w:ascii="Book Antiqua" w:hAnsi="Book Antiqua"/>
          <w:b/>
          <w:sz w:val="24"/>
          <w:szCs w:val="24"/>
          <w:lang w:val="en-US"/>
        </w:rPr>
        <w:t xml:space="preserve">, </w:t>
      </w:r>
      <w:proofErr w:type="spellStart"/>
      <w:r w:rsidRPr="00192CF1">
        <w:rPr>
          <w:rFonts w:ascii="Book Antiqua" w:hAnsi="Book Antiqua"/>
          <w:b/>
          <w:sz w:val="24"/>
          <w:szCs w:val="24"/>
          <w:lang w:val="en-US"/>
        </w:rPr>
        <w:t>Ioannis</w:t>
      </w:r>
      <w:proofErr w:type="spellEnd"/>
      <w:r w:rsidRPr="00192CF1">
        <w:rPr>
          <w:rFonts w:ascii="Book Antiqua" w:hAnsi="Book Antiqua"/>
          <w:b/>
          <w:sz w:val="24"/>
          <w:szCs w:val="24"/>
          <w:lang w:val="en-US"/>
        </w:rPr>
        <w:t xml:space="preserve"> </w:t>
      </w:r>
      <w:proofErr w:type="spellStart"/>
      <w:r w:rsidRPr="00192CF1">
        <w:rPr>
          <w:rFonts w:ascii="Book Antiqua" w:hAnsi="Book Antiqua"/>
          <w:b/>
          <w:sz w:val="24"/>
          <w:szCs w:val="24"/>
          <w:lang w:val="en-US"/>
        </w:rPr>
        <w:t>Baloyiannis</w:t>
      </w:r>
      <w:proofErr w:type="spellEnd"/>
      <w:r w:rsidRPr="00192CF1">
        <w:rPr>
          <w:rFonts w:ascii="Book Antiqua" w:hAnsi="Book Antiqua"/>
          <w:b/>
          <w:sz w:val="24"/>
          <w:szCs w:val="24"/>
          <w:lang w:val="en-US"/>
        </w:rPr>
        <w:t>,</w:t>
      </w:r>
      <w:r w:rsidRPr="00192CF1">
        <w:rPr>
          <w:rFonts w:ascii="Book Antiqua" w:hAnsi="Book Antiqua"/>
          <w:sz w:val="24"/>
          <w:szCs w:val="24"/>
          <w:lang w:val="en-US"/>
        </w:rPr>
        <w:t xml:space="preserve"> Department of Surgery, University Hospital of Larissa, Larissa</w:t>
      </w:r>
      <w:r w:rsidR="004844AE" w:rsidRPr="00192CF1">
        <w:rPr>
          <w:rFonts w:ascii="Book Antiqua" w:hAnsi="Book Antiqua"/>
          <w:sz w:val="24"/>
          <w:szCs w:val="24"/>
          <w:lang w:val="en-US"/>
        </w:rPr>
        <w:t xml:space="preserve"> 41110,</w:t>
      </w:r>
      <w:r w:rsidRPr="00192CF1">
        <w:rPr>
          <w:rFonts w:ascii="Book Antiqua" w:hAnsi="Book Antiqua"/>
          <w:sz w:val="24"/>
          <w:szCs w:val="24"/>
          <w:lang w:val="en-US"/>
        </w:rPr>
        <w:t xml:space="preserve"> Greece</w:t>
      </w:r>
      <w:r w:rsidR="004647EC" w:rsidRPr="00192CF1">
        <w:rPr>
          <w:rFonts w:ascii="Book Antiqua" w:hAnsi="Book Antiqua"/>
          <w:sz w:val="24"/>
          <w:szCs w:val="24"/>
          <w:lang w:val="en-US"/>
        </w:rPr>
        <w:t xml:space="preserve"> </w:t>
      </w:r>
    </w:p>
    <w:p w14:paraId="48234A45" w14:textId="77777777" w:rsidR="004844AE" w:rsidRPr="00192CF1" w:rsidRDefault="004844AE" w:rsidP="004647EC">
      <w:pPr>
        <w:spacing w:after="0" w:line="360" w:lineRule="auto"/>
        <w:jc w:val="both"/>
        <w:rPr>
          <w:rFonts w:ascii="Book Antiqua" w:hAnsi="Book Antiqua"/>
          <w:sz w:val="24"/>
          <w:szCs w:val="24"/>
          <w:lang w:val="en-US" w:eastAsia="zh-CN"/>
        </w:rPr>
      </w:pPr>
    </w:p>
    <w:p w14:paraId="1DB297DE" w14:textId="24F513FC" w:rsidR="005C63BD" w:rsidRPr="00192CF1" w:rsidRDefault="005C63BD" w:rsidP="004647EC">
      <w:pPr>
        <w:spacing w:after="0" w:line="360" w:lineRule="auto"/>
        <w:jc w:val="both"/>
        <w:rPr>
          <w:rFonts w:ascii="Book Antiqua" w:hAnsi="Book Antiqua"/>
          <w:sz w:val="24"/>
          <w:szCs w:val="24"/>
          <w:lang w:val="en-US"/>
        </w:rPr>
      </w:pPr>
      <w:proofErr w:type="spellStart"/>
      <w:r w:rsidRPr="00192CF1">
        <w:rPr>
          <w:rFonts w:ascii="Book Antiqua" w:hAnsi="Book Antiqua"/>
          <w:b/>
          <w:sz w:val="24"/>
          <w:szCs w:val="24"/>
          <w:lang w:val="en-US"/>
        </w:rPr>
        <w:t>Chamaidi</w:t>
      </w:r>
      <w:proofErr w:type="spellEnd"/>
      <w:r w:rsidRPr="00192CF1">
        <w:rPr>
          <w:rFonts w:ascii="Book Antiqua" w:hAnsi="Book Antiqua"/>
          <w:b/>
          <w:sz w:val="24"/>
          <w:szCs w:val="24"/>
          <w:lang w:val="en-US"/>
        </w:rPr>
        <w:t xml:space="preserve"> </w:t>
      </w:r>
      <w:proofErr w:type="spellStart"/>
      <w:r w:rsidRPr="00192CF1">
        <w:rPr>
          <w:rFonts w:ascii="Book Antiqua" w:hAnsi="Book Antiqua"/>
          <w:b/>
          <w:sz w:val="24"/>
          <w:szCs w:val="24"/>
          <w:lang w:val="en-US"/>
        </w:rPr>
        <w:t>Sarakatsianou</w:t>
      </w:r>
      <w:proofErr w:type="spellEnd"/>
      <w:r w:rsidRPr="00192CF1">
        <w:rPr>
          <w:rFonts w:ascii="Book Antiqua" w:hAnsi="Book Antiqua"/>
          <w:b/>
          <w:sz w:val="24"/>
          <w:szCs w:val="24"/>
          <w:lang w:val="en-US"/>
        </w:rPr>
        <w:t xml:space="preserve">, </w:t>
      </w:r>
      <w:r w:rsidRPr="00192CF1">
        <w:rPr>
          <w:rFonts w:ascii="Book Antiqua" w:hAnsi="Book Antiqua"/>
          <w:sz w:val="24"/>
          <w:szCs w:val="24"/>
          <w:lang w:val="en-US"/>
        </w:rPr>
        <w:t>Department of Anesthesiology, University Hospital of Larissa, Larissa</w:t>
      </w:r>
      <w:r w:rsidR="004844AE" w:rsidRPr="00192CF1">
        <w:rPr>
          <w:rFonts w:ascii="Book Antiqua" w:hAnsi="Book Antiqua"/>
          <w:sz w:val="24"/>
          <w:szCs w:val="24"/>
          <w:lang w:val="en-US" w:eastAsia="zh-CN"/>
        </w:rPr>
        <w:t xml:space="preserve"> </w:t>
      </w:r>
      <w:r w:rsidR="004844AE" w:rsidRPr="00192CF1">
        <w:rPr>
          <w:rFonts w:ascii="Book Antiqua" w:hAnsi="Book Antiqua"/>
          <w:sz w:val="24"/>
          <w:szCs w:val="24"/>
          <w:lang w:val="en-US"/>
        </w:rPr>
        <w:t>41110,</w:t>
      </w:r>
      <w:r w:rsidR="004647EC" w:rsidRPr="00192CF1">
        <w:rPr>
          <w:rFonts w:ascii="Book Antiqua" w:hAnsi="Book Antiqua"/>
          <w:sz w:val="24"/>
          <w:szCs w:val="24"/>
          <w:lang w:val="en-US"/>
        </w:rPr>
        <w:t xml:space="preserve"> </w:t>
      </w:r>
      <w:r w:rsidRPr="00192CF1">
        <w:rPr>
          <w:rFonts w:ascii="Book Antiqua" w:hAnsi="Book Antiqua"/>
          <w:sz w:val="24"/>
          <w:szCs w:val="24"/>
          <w:lang w:val="en-US"/>
        </w:rPr>
        <w:t>Greece</w:t>
      </w:r>
    </w:p>
    <w:p w14:paraId="6778EB8C" w14:textId="77777777" w:rsidR="005C63BD" w:rsidRPr="00192CF1" w:rsidRDefault="005C63BD" w:rsidP="004647EC">
      <w:pPr>
        <w:spacing w:after="0" w:line="360" w:lineRule="auto"/>
        <w:jc w:val="both"/>
        <w:rPr>
          <w:rFonts w:ascii="Book Antiqua" w:hAnsi="Book Antiqua"/>
          <w:b/>
          <w:sz w:val="24"/>
          <w:szCs w:val="24"/>
          <w:lang w:val="en-US" w:eastAsia="zh-CN"/>
        </w:rPr>
      </w:pPr>
    </w:p>
    <w:p w14:paraId="49DCCF66" w14:textId="1EF22AA4" w:rsidR="00EE55F5" w:rsidRPr="00192CF1" w:rsidRDefault="00EE55F5" w:rsidP="004647EC">
      <w:pPr>
        <w:spacing w:after="0" w:line="360" w:lineRule="auto"/>
        <w:jc w:val="both"/>
        <w:rPr>
          <w:rFonts w:ascii="Book Antiqua" w:hAnsi="Book Antiqua"/>
          <w:sz w:val="24"/>
          <w:szCs w:val="24"/>
          <w:lang w:val="en-US" w:eastAsia="zh-CN"/>
        </w:rPr>
      </w:pPr>
      <w:r w:rsidRPr="00192CF1">
        <w:rPr>
          <w:rFonts w:ascii="Book Antiqua" w:hAnsi="Book Antiqua"/>
          <w:b/>
          <w:sz w:val="24"/>
          <w:szCs w:val="24"/>
        </w:rPr>
        <w:t>ORCID number:</w:t>
      </w:r>
      <w:r w:rsidR="004647EC" w:rsidRPr="00192CF1">
        <w:rPr>
          <w:rFonts w:ascii="Book Antiqua" w:hAnsi="Book Antiqua"/>
          <w:sz w:val="24"/>
          <w:szCs w:val="24"/>
        </w:rPr>
        <w:t xml:space="preserve"> </w:t>
      </w:r>
      <w:r w:rsidRPr="00192CF1">
        <w:rPr>
          <w:rFonts w:ascii="Book Antiqua" w:hAnsi="Book Antiqua"/>
          <w:sz w:val="24"/>
          <w:szCs w:val="24"/>
          <w:lang w:val="en-US"/>
        </w:rPr>
        <w:t xml:space="preserve">Konstantinos </w:t>
      </w:r>
      <w:proofErr w:type="spellStart"/>
      <w:r w:rsidRPr="00192CF1">
        <w:rPr>
          <w:rFonts w:ascii="Book Antiqua" w:hAnsi="Book Antiqua"/>
          <w:sz w:val="24"/>
          <w:szCs w:val="24"/>
          <w:lang w:val="en-US"/>
        </w:rPr>
        <w:t>Perivoliotis</w:t>
      </w:r>
      <w:proofErr w:type="spellEnd"/>
      <w:r w:rsidRPr="00192CF1">
        <w:rPr>
          <w:rFonts w:ascii="Book Antiqua" w:hAnsi="Book Antiqua"/>
          <w:sz w:val="24"/>
          <w:szCs w:val="24"/>
          <w:lang w:val="en-US"/>
        </w:rPr>
        <w:t xml:space="preserve"> (</w:t>
      </w:r>
      <w:r w:rsidRPr="00192CF1">
        <w:rPr>
          <w:rFonts w:ascii="Book Antiqua" w:hAnsi="Book Antiqua" w:cs="Arial"/>
          <w:sz w:val="24"/>
          <w:szCs w:val="24"/>
          <w:lang w:val="en-US"/>
        </w:rPr>
        <w:t xml:space="preserve">0000-0002-6622-5734); </w:t>
      </w:r>
      <w:proofErr w:type="spellStart"/>
      <w:r w:rsidRPr="00192CF1">
        <w:rPr>
          <w:rFonts w:ascii="Book Antiqua" w:hAnsi="Book Antiqua"/>
          <w:sz w:val="24"/>
          <w:szCs w:val="24"/>
          <w:lang w:val="en-US"/>
        </w:rPr>
        <w:t>Chamaidi</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Sarakatsianou</w:t>
      </w:r>
      <w:proofErr w:type="spellEnd"/>
      <w:r w:rsidRPr="00192CF1">
        <w:rPr>
          <w:rFonts w:ascii="Book Antiqua" w:hAnsi="Book Antiqua"/>
          <w:sz w:val="24"/>
          <w:szCs w:val="24"/>
          <w:lang w:val="en-US"/>
        </w:rPr>
        <w:t xml:space="preserve"> (</w:t>
      </w:r>
      <w:r w:rsidRPr="00192CF1">
        <w:rPr>
          <w:rFonts w:ascii="Book Antiqua" w:hAnsi="Book Antiqua" w:cs="Arial"/>
          <w:sz w:val="24"/>
          <w:szCs w:val="24"/>
          <w:lang w:val="en-US"/>
        </w:rPr>
        <w:t xml:space="preserve">0000-0002-9509-581X); </w:t>
      </w:r>
      <w:r w:rsidRPr="00192CF1">
        <w:rPr>
          <w:rFonts w:ascii="Book Antiqua" w:hAnsi="Book Antiqua"/>
          <w:sz w:val="24"/>
          <w:szCs w:val="24"/>
          <w:lang w:val="en-US"/>
        </w:rPr>
        <w:t xml:space="preserve">Konstantinos </w:t>
      </w:r>
      <w:proofErr w:type="spellStart"/>
      <w:r w:rsidRPr="00192CF1">
        <w:rPr>
          <w:rFonts w:ascii="Book Antiqua" w:hAnsi="Book Antiqua"/>
          <w:sz w:val="24"/>
          <w:szCs w:val="24"/>
          <w:lang w:val="en-US"/>
        </w:rPr>
        <w:t>Tepetes</w:t>
      </w:r>
      <w:proofErr w:type="spellEnd"/>
      <w:r w:rsidRPr="00192CF1">
        <w:rPr>
          <w:rFonts w:ascii="Book Antiqua" w:hAnsi="Book Antiqua"/>
          <w:sz w:val="24"/>
          <w:szCs w:val="24"/>
          <w:lang w:val="en-US"/>
        </w:rPr>
        <w:t xml:space="preserve"> (</w:t>
      </w:r>
      <w:r w:rsidRPr="00192CF1">
        <w:rPr>
          <w:rFonts w:ascii="Book Antiqua" w:hAnsi="Book Antiqua" w:cs="Arial"/>
          <w:sz w:val="24"/>
          <w:szCs w:val="24"/>
          <w:lang w:val="en-US"/>
        </w:rPr>
        <w:t xml:space="preserve">0000-0001-9435-6849); </w:t>
      </w:r>
      <w:proofErr w:type="spellStart"/>
      <w:r w:rsidRPr="00192CF1">
        <w:rPr>
          <w:rFonts w:ascii="Book Antiqua" w:hAnsi="Book Antiqua"/>
          <w:sz w:val="24"/>
          <w:szCs w:val="24"/>
          <w:lang w:val="en-US"/>
        </w:rPr>
        <w:t>Ioannis</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Baloyiannis</w:t>
      </w:r>
      <w:proofErr w:type="spellEnd"/>
      <w:r w:rsidRPr="00192CF1">
        <w:rPr>
          <w:rFonts w:ascii="Book Antiqua" w:hAnsi="Book Antiqua"/>
          <w:sz w:val="24"/>
          <w:szCs w:val="24"/>
          <w:lang w:val="en-US"/>
        </w:rPr>
        <w:t xml:space="preserve"> (0000-0002-6050-3000)</w:t>
      </w:r>
      <w:r w:rsidRPr="00192CF1">
        <w:rPr>
          <w:rFonts w:ascii="Book Antiqua" w:hAnsi="Book Antiqua"/>
          <w:sz w:val="24"/>
          <w:szCs w:val="24"/>
          <w:lang w:val="en-US" w:eastAsia="zh-CN"/>
        </w:rPr>
        <w:t>.</w:t>
      </w:r>
    </w:p>
    <w:p w14:paraId="0227BF26" w14:textId="77777777" w:rsidR="00EE55F5" w:rsidRPr="00192CF1" w:rsidRDefault="00EE55F5" w:rsidP="004647EC">
      <w:pPr>
        <w:spacing w:after="0" w:line="360" w:lineRule="auto"/>
        <w:jc w:val="both"/>
        <w:rPr>
          <w:rFonts w:ascii="Book Antiqua" w:hAnsi="Book Antiqua"/>
          <w:b/>
          <w:sz w:val="24"/>
          <w:szCs w:val="24"/>
          <w:lang w:val="en-US" w:eastAsia="zh-CN"/>
        </w:rPr>
      </w:pPr>
    </w:p>
    <w:p w14:paraId="5E393898" w14:textId="574A9ACE" w:rsidR="005C63BD" w:rsidRPr="00192CF1" w:rsidRDefault="00EE55F5" w:rsidP="004647EC">
      <w:pPr>
        <w:spacing w:after="0" w:line="360" w:lineRule="auto"/>
        <w:jc w:val="both"/>
        <w:rPr>
          <w:rFonts w:ascii="Book Antiqua" w:hAnsi="Book Antiqua"/>
          <w:sz w:val="24"/>
          <w:szCs w:val="24"/>
          <w:lang w:val="en-US" w:eastAsia="zh-CN"/>
        </w:rPr>
      </w:pPr>
      <w:proofErr w:type="spellStart"/>
      <w:r w:rsidRPr="00192CF1">
        <w:rPr>
          <w:rFonts w:ascii="Book Antiqua" w:hAnsi="Book Antiqua"/>
          <w:b/>
          <w:sz w:val="24"/>
          <w:szCs w:val="24"/>
        </w:rPr>
        <w:t>Author</w:t>
      </w:r>
      <w:proofErr w:type="spellEnd"/>
      <w:r w:rsidRPr="00192CF1">
        <w:rPr>
          <w:rFonts w:ascii="Book Antiqua" w:hAnsi="Book Antiqua"/>
          <w:b/>
          <w:sz w:val="24"/>
          <w:szCs w:val="24"/>
        </w:rPr>
        <w:t xml:space="preserve"> </w:t>
      </w:r>
      <w:proofErr w:type="spellStart"/>
      <w:r w:rsidRPr="00192CF1">
        <w:rPr>
          <w:rFonts w:ascii="Book Antiqua" w:hAnsi="Book Antiqua"/>
          <w:b/>
          <w:sz w:val="24"/>
          <w:szCs w:val="24"/>
        </w:rPr>
        <w:t>contributions</w:t>
      </w:r>
      <w:proofErr w:type="spellEnd"/>
      <w:r w:rsidRPr="00192CF1">
        <w:rPr>
          <w:rFonts w:ascii="Book Antiqua" w:hAnsi="Book Antiqua"/>
          <w:b/>
          <w:sz w:val="24"/>
          <w:szCs w:val="24"/>
        </w:rPr>
        <w:t>:</w:t>
      </w:r>
      <w:r w:rsidRPr="00192CF1">
        <w:rPr>
          <w:rFonts w:ascii="Book Antiqua" w:hAnsi="Book Antiqua"/>
          <w:b/>
          <w:sz w:val="24"/>
          <w:szCs w:val="24"/>
          <w:lang w:eastAsia="zh-CN"/>
        </w:rPr>
        <w:t xml:space="preserve"> </w:t>
      </w:r>
      <w:proofErr w:type="spellStart"/>
      <w:r w:rsidRPr="00192CF1">
        <w:rPr>
          <w:rFonts w:ascii="Book Antiqua" w:hAnsi="Book Antiqua"/>
          <w:sz w:val="24"/>
          <w:szCs w:val="24"/>
          <w:lang w:val="en-US"/>
        </w:rPr>
        <w:t>Balolyiannis</w:t>
      </w:r>
      <w:proofErr w:type="spellEnd"/>
      <w:r w:rsidRPr="00192CF1">
        <w:rPr>
          <w:rFonts w:ascii="Book Antiqua" w:hAnsi="Book Antiqua"/>
          <w:sz w:val="24"/>
          <w:szCs w:val="24"/>
          <w:lang w:val="en-US"/>
        </w:rPr>
        <w:t xml:space="preserve"> I</w:t>
      </w:r>
      <w:r w:rsidRPr="00192CF1">
        <w:rPr>
          <w:rFonts w:ascii="Book Antiqua" w:hAnsi="Book Antiqua"/>
          <w:sz w:val="24"/>
          <w:szCs w:val="24"/>
          <w:lang w:eastAsia="zh-CN"/>
        </w:rPr>
        <w:t xml:space="preserve"> contributed to</w:t>
      </w:r>
      <w:r w:rsidRPr="00192CF1">
        <w:rPr>
          <w:rFonts w:ascii="Book Antiqua" w:hAnsi="Book Antiqua"/>
          <w:b/>
          <w:sz w:val="24"/>
          <w:szCs w:val="24"/>
          <w:lang w:eastAsia="zh-CN"/>
        </w:rPr>
        <w:t xml:space="preserve"> </w:t>
      </w:r>
      <w:r w:rsidRPr="00192CF1">
        <w:rPr>
          <w:rFonts w:ascii="Book Antiqua" w:hAnsi="Book Antiqua"/>
          <w:sz w:val="24"/>
          <w:szCs w:val="24"/>
          <w:lang w:val="en-US"/>
        </w:rPr>
        <w:t>s</w:t>
      </w:r>
      <w:r w:rsidR="005C63BD" w:rsidRPr="00192CF1">
        <w:rPr>
          <w:rFonts w:ascii="Book Antiqua" w:hAnsi="Book Antiqua"/>
          <w:sz w:val="24"/>
          <w:szCs w:val="24"/>
          <w:lang w:val="en-US"/>
        </w:rPr>
        <w:t>tudy conception and design</w:t>
      </w:r>
      <w:r w:rsidRPr="00192CF1">
        <w:rPr>
          <w:rFonts w:ascii="Book Antiqua" w:hAnsi="Book Antiqua"/>
          <w:sz w:val="24"/>
          <w:szCs w:val="24"/>
          <w:lang w:val="en-US" w:eastAsia="zh-CN"/>
        </w:rPr>
        <w:t>;</w:t>
      </w:r>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Perivoliotis</w:t>
      </w:r>
      <w:proofErr w:type="spellEnd"/>
      <w:r w:rsidRPr="00192CF1">
        <w:rPr>
          <w:rFonts w:ascii="Book Antiqua" w:hAnsi="Book Antiqua"/>
          <w:sz w:val="24"/>
          <w:szCs w:val="24"/>
          <w:lang w:val="en-US"/>
        </w:rPr>
        <w:t xml:space="preserve"> K</w:t>
      </w:r>
      <w:r w:rsidRPr="00192CF1">
        <w:rPr>
          <w:rFonts w:ascii="Book Antiqua" w:hAnsi="Book Antiqua"/>
          <w:sz w:val="24"/>
          <w:szCs w:val="24"/>
          <w:lang w:val="en-US" w:eastAsia="zh-CN"/>
        </w:rPr>
        <w:t xml:space="preserve"> and</w:t>
      </w:r>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Sarakatsianou</w:t>
      </w:r>
      <w:proofErr w:type="spellEnd"/>
      <w:r w:rsidRPr="00192CF1">
        <w:rPr>
          <w:rFonts w:ascii="Book Antiqua" w:hAnsi="Book Antiqua"/>
          <w:sz w:val="24"/>
          <w:szCs w:val="24"/>
          <w:lang w:val="en-US"/>
        </w:rPr>
        <w:t xml:space="preserve"> C</w:t>
      </w:r>
      <w:r w:rsidRPr="00192CF1">
        <w:rPr>
          <w:rFonts w:ascii="Book Antiqua" w:hAnsi="Book Antiqua"/>
          <w:sz w:val="24"/>
          <w:szCs w:val="24"/>
          <w:lang w:val="en-US" w:eastAsia="zh-CN"/>
        </w:rPr>
        <w:t xml:space="preserve"> </w:t>
      </w:r>
      <w:r w:rsidRPr="00192CF1">
        <w:rPr>
          <w:rFonts w:ascii="Book Antiqua" w:hAnsi="Book Antiqua"/>
          <w:sz w:val="24"/>
          <w:szCs w:val="24"/>
          <w:lang w:eastAsia="zh-CN"/>
        </w:rPr>
        <w:t>contributed to</w:t>
      </w:r>
      <w:r w:rsidRPr="00192CF1">
        <w:rPr>
          <w:rFonts w:ascii="Book Antiqua" w:hAnsi="Book Antiqua"/>
          <w:sz w:val="24"/>
          <w:szCs w:val="24"/>
          <w:lang w:val="en-US"/>
        </w:rPr>
        <w:t xml:space="preserve"> a</w:t>
      </w:r>
      <w:r w:rsidR="005C63BD" w:rsidRPr="00192CF1">
        <w:rPr>
          <w:rFonts w:ascii="Book Antiqua" w:hAnsi="Book Antiqua"/>
          <w:sz w:val="24"/>
          <w:szCs w:val="24"/>
          <w:lang w:val="en-US"/>
        </w:rPr>
        <w:t>cquisition of data</w:t>
      </w:r>
      <w:r w:rsidRPr="00192CF1">
        <w:rPr>
          <w:rFonts w:ascii="Book Antiqua" w:hAnsi="Book Antiqua"/>
          <w:sz w:val="24"/>
          <w:szCs w:val="24"/>
          <w:lang w:val="en-US" w:eastAsia="zh-CN"/>
        </w:rPr>
        <w:t xml:space="preserve">, </w:t>
      </w:r>
      <w:r w:rsidRPr="00192CF1">
        <w:rPr>
          <w:rFonts w:ascii="Book Antiqua" w:hAnsi="Book Antiqua"/>
          <w:sz w:val="24"/>
          <w:szCs w:val="24"/>
          <w:lang w:val="en-US"/>
        </w:rPr>
        <w:t>a</w:t>
      </w:r>
      <w:r w:rsidR="005C63BD" w:rsidRPr="00192CF1">
        <w:rPr>
          <w:rFonts w:ascii="Book Antiqua" w:hAnsi="Book Antiqua"/>
          <w:sz w:val="24"/>
          <w:szCs w:val="24"/>
          <w:lang w:val="en-US"/>
        </w:rPr>
        <w:t>nalysis and interpretation of data</w:t>
      </w:r>
      <w:r w:rsidRPr="00192CF1">
        <w:rPr>
          <w:rFonts w:ascii="Book Antiqua" w:hAnsi="Book Antiqua"/>
          <w:sz w:val="24"/>
          <w:szCs w:val="24"/>
          <w:lang w:val="en-US" w:eastAsia="zh-CN"/>
        </w:rPr>
        <w:t>;</w:t>
      </w:r>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Perivoliotis</w:t>
      </w:r>
      <w:proofErr w:type="spellEnd"/>
      <w:r w:rsidRPr="00192CF1">
        <w:rPr>
          <w:rFonts w:ascii="Book Antiqua" w:hAnsi="Book Antiqua"/>
          <w:sz w:val="24"/>
          <w:szCs w:val="24"/>
          <w:lang w:val="en-US"/>
        </w:rPr>
        <w:t xml:space="preserve"> K</w:t>
      </w:r>
      <w:r w:rsidRPr="00192CF1">
        <w:rPr>
          <w:rFonts w:ascii="Book Antiqua" w:hAnsi="Book Antiqua"/>
          <w:sz w:val="24"/>
          <w:szCs w:val="24"/>
          <w:lang w:val="en-US" w:eastAsia="zh-CN"/>
        </w:rPr>
        <w:t xml:space="preserve"> </w:t>
      </w:r>
      <w:r w:rsidRPr="00192CF1">
        <w:rPr>
          <w:rFonts w:ascii="Book Antiqua" w:hAnsi="Book Antiqua"/>
          <w:sz w:val="24"/>
          <w:szCs w:val="24"/>
          <w:lang w:eastAsia="zh-CN"/>
        </w:rPr>
        <w:t>contributed to</w:t>
      </w:r>
      <w:r w:rsidRPr="00192CF1">
        <w:rPr>
          <w:rFonts w:ascii="Book Antiqua" w:hAnsi="Book Antiqua"/>
          <w:sz w:val="24"/>
          <w:szCs w:val="24"/>
          <w:lang w:val="en-US"/>
        </w:rPr>
        <w:t xml:space="preserve"> d</w:t>
      </w:r>
      <w:r w:rsidR="005C63BD" w:rsidRPr="00192CF1">
        <w:rPr>
          <w:rFonts w:ascii="Book Antiqua" w:hAnsi="Book Antiqua"/>
          <w:sz w:val="24"/>
          <w:szCs w:val="24"/>
          <w:lang w:val="en-US"/>
        </w:rPr>
        <w:t>rafting of manuscript</w:t>
      </w:r>
      <w:r w:rsidRPr="00192CF1">
        <w:rPr>
          <w:rFonts w:ascii="Book Antiqua" w:hAnsi="Book Antiqua"/>
          <w:sz w:val="24"/>
          <w:szCs w:val="24"/>
          <w:lang w:val="en-US" w:eastAsia="zh-CN"/>
        </w:rPr>
        <w:t>;</w:t>
      </w:r>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Tepetes</w:t>
      </w:r>
      <w:proofErr w:type="spellEnd"/>
      <w:r w:rsidRPr="00192CF1">
        <w:rPr>
          <w:rFonts w:ascii="Book Antiqua" w:hAnsi="Book Antiqua"/>
          <w:sz w:val="24"/>
          <w:szCs w:val="24"/>
          <w:lang w:val="en-US"/>
        </w:rPr>
        <w:t xml:space="preserve"> K</w:t>
      </w:r>
      <w:r w:rsidRPr="00192CF1">
        <w:rPr>
          <w:rFonts w:ascii="Book Antiqua" w:hAnsi="Book Antiqua"/>
          <w:sz w:val="24"/>
          <w:szCs w:val="24"/>
          <w:lang w:val="en-US" w:eastAsia="zh-CN"/>
        </w:rPr>
        <w:t xml:space="preserve"> and</w:t>
      </w:r>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Baloyiannis</w:t>
      </w:r>
      <w:proofErr w:type="spellEnd"/>
      <w:r w:rsidRPr="00192CF1">
        <w:rPr>
          <w:rFonts w:ascii="Book Antiqua" w:hAnsi="Book Antiqua"/>
          <w:sz w:val="24"/>
          <w:szCs w:val="24"/>
          <w:lang w:val="en-US"/>
        </w:rPr>
        <w:t xml:space="preserve"> I</w:t>
      </w:r>
      <w:r w:rsidRPr="00192CF1">
        <w:rPr>
          <w:rFonts w:ascii="Book Antiqua" w:hAnsi="Book Antiqua"/>
          <w:sz w:val="24"/>
          <w:szCs w:val="24"/>
          <w:lang w:val="en-US" w:eastAsia="zh-CN"/>
        </w:rPr>
        <w:t xml:space="preserve"> </w:t>
      </w:r>
      <w:r w:rsidRPr="00192CF1">
        <w:rPr>
          <w:rFonts w:ascii="Book Antiqua" w:hAnsi="Book Antiqua"/>
          <w:sz w:val="24"/>
          <w:szCs w:val="24"/>
          <w:lang w:eastAsia="zh-CN"/>
        </w:rPr>
        <w:t>contributed to</w:t>
      </w:r>
      <w:r w:rsidRPr="00192CF1">
        <w:rPr>
          <w:rFonts w:ascii="Book Antiqua" w:hAnsi="Book Antiqua"/>
          <w:sz w:val="24"/>
          <w:szCs w:val="24"/>
          <w:lang w:val="en-US"/>
        </w:rPr>
        <w:t xml:space="preserve"> c</w:t>
      </w:r>
      <w:r w:rsidR="005C63BD" w:rsidRPr="00192CF1">
        <w:rPr>
          <w:rFonts w:ascii="Book Antiqua" w:hAnsi="Book Antiqua"/>
          <w:sz w:val="24"/>
          <w:szCs w:val="24"/>
          <w:lang w:val="en-US"/>
        </w:rPr>
        <w:t>ritical revision</w:t>
      </w:r>
      <w:r w:rsidRPr="00192CF1">
        <w:rPr>
          <w:rFonts w:ascii="Book Antiqua" w:hAnsi="Book Antiqua"/>
          <w:sz w:val="24"/>
          <w:szCs w:val="24"/>
          <w:lang w:val="en-US" w:eastAsia="zh-CN"/>
        </w:rPr>
        <w:t>.</w:t>
      </w:r>
    </w:p>
    <w:p w14:paraId="0E217478" w14:textId="77777777" w:rsidR="000637BA" w:rsidRPr="00192CF1" w:rsidRDefault="000637BA" w:rsidP="004647EC">
      <w:pPr>
        <w:spacing w:after="0" w:line="360" w:lineRule="auto"/>
        <w:jc w:val="both"/>
        <w:rPr>
          <w:rFonts w:ascii="Book Antiqua" w:hAnsi="Book Antiqua"/>
          <w:sz w:val="24"/>
          <w:szCs w:val="24"/>
          <w:lang w:val="en-US" w:eastAsia="zh-CN"/>
        </w:rPr>
      </w:pPr>
    </w:p>
    <w:p w14:paraId="05B9A613" w14:textId="4C7F0F3D" w:rsidR="00E22CF2" w:rsidRPr="00192CF1" w:rsidRDefault="00E22CF2" w:rsidP="004647EC">
      <w:pPr>
        <w:spacing w:after="0" w:line="360" w:lineRule="auto"/>
        <w:jc w:val="both"/>
        <w:rPr>
          <w:rFonts w:ascii="Book Antiqua" w:hAnsi="Book Antiqua"/>
          <w:b/>
          <w:sz w:val="24"/>
          <w:szCs w:val="24"/>
          <w:lang w:eastAsia="zh-CN"/>
        </w:rPr>
      </w:pPr>
      <w:r w:rsidRPr="00192CF1">
        <w:rPr>
          <w:rFonts w:ascii="Book Antiqua" w:hAnsi="Book Antiqua"/>
          <w:b/>
          <w:sz w:val="24"/>
          <w:szCs w:val="24"/>
        </w:rPr>
        <w:t>Conflict-of-interest statement</w:t>
      </w:r>
      <w:r w:rsidRPr="00192CF1">
        <w:rPr>
          <w:rFonts w:ascii="Book Antiqua" w:hAnsi="Book Antiqua" w:cs="TimesNewRomanPS-BoldItalicMT"/>
          <w:b/>
          <w:iCs/>
          <w:sz w:val="24"/>
          <w:szCs w:val="24"/>
        </w:rPr>
        <w:t xml:space="preserve">: </w:t>
      </w:r>
      <w:r w:rsidRPr="00192CF1">
        <w:rPr>
          <w:rFonts w:ascii="Book Antiqua" w:hAnsi="Book Antiqua"/>
          <w:sz w:val="24"/>
          <w:szCs w:val="24"/>
          <w:lang w:val="en-US"/>
        </w:rPr>
        <w:t>The authors declare no potential conflicts of interest</w:t>
      </w:r>
      <w:r w:rsidRPr="00192CF1">
        <w:rPr>
          <w:rFonts w:ascii="Book Antiqua" w:hAnsi="Book Antiqua"/>
          <w:sz w:val="24"/>
          <w:szCs w:val="24"/>
          <w:lang w:val="en-US" w:eastAsia="zh-CN"/>
        </w:rPr>
        <w:t>.</w:t>
      </w:r>
    </w:p>
    <w:p w14:paraId="3E24E28C" w14:textId="77777777" w:rsidR="00E22CF2" w:rsidRPr="00192CF1" w:rsidRDefault="00E22CF2" w:rsidP="004647EC">
      <w:pPr>
        <w:snapToGrid w:val="0"/>
        <w:spacing w:after="0" w:line="360" w:lineRule="auto"/>
        <w:jc w:val="both"/>
        <w:rPr>
          <w:rFonts w:ascii="Book Antiqua" w:hAnsi="Book Antiqua" w:cs="Book Antiqua"/>
          <w:sz w:val="24"/>
          <w:szCs w:val="24"/>
        </w:rPr>
      </w:pPr>
    </w:p>
    <w:p w14:paraId="6562F322" w14:textId="65FE6A8D" w:rsidR="00E22CF2" w:rsidRPr="00192CF1" w:rsidRDefault="00E22CF2" w:rsidP="004647EC">
      <w:pPr>
        <w:kinsoku w:val="0"/>
        <w:overflowPunct w:val="0"/>
        <w:autoSpaceDE w:val="0"/>
        <w:autoSpaceDN w:val="0"/>
        <w:adjustRightInd w:val="0"/>
        <w:snapToGrid w:val="0"/>
        <w:spacing w:after="0" w:line="360" w:lineRule="auto"/>
        <w:jc w:val="both"/>
        <w:rPr>
          <w:rFonts w:ascii="Book Antiqua" w:hAnsi="Book Antiqua" w:cs="Book Antiqua"/>
          <w:b/>
          <w:bCs/>
          <w:iCs/>
          <w:sz w:val="24"/>
          <w:szCs w:val="24"/>
        </w:rPr>
      </w:pPr>
      <w:r w:rsidRPr="00192CF1">
        <w:rPr>
          <w:rStyle w:val="Strong"/>
          <w:rFonts w:ascii="Book Antiqua" w:hAnsi="Book Antiqua"/>
          <w:sz w:val="24"/>
          <w:szCs w:val="24"/>
        </w:rPr>
        <w:lastRenderedPageBreak/>
        <w:t>PRISMA 2009 Checklist</w:t>
      </w:r>
      <w:r w:rsidRPr="00192CF1">
        <w:rPr>
          <w:rFonts w:ascii="Book Antiqua" w:hAnsi="Book Antiqua"/>
          <w:b/>
          <w:snapToGrid w:val="0"/>
          <w:kern w:val="10"/>
          <w:sz w:val="24"/>
          <w:szCs w:val="24"/>
        </w:rPr>
        <w:t xml:space="preserve"> </w:t>
      </w:r>
      <w:r w:rsidRPr="00192CF1">
        <w:rPr>
          <w:rFonts w:ascii="Book Antiqua" w:hAnsi="Book Antiqua" w:cs="Tahoma"/>
          <w:b/>
          <w:bCs/>
          <w:sz w:val="24"/>
          <w:szCs w:val="24"/>
        </w:rPr>
        <w:t>statement</w:t>
      </w:r>
      <w:r w:rsidRPr="00192CF1">
        <w:rPr>
          <w:rFonts w:ascii="Book Antiqua" w:hAnsi="Book Antiqua" w:cs="Book Antiqua"/>
          <w:b/>
          <w:bCs/>
          <w:iCs/>
          <w:sz w:val="24"/>
          <w:szCs w:val="24"/>
        </w:rPr>
        <w:t>:</w:t>
      </w:r>
      <w:r w:rsidRPr="00192CF1">
        <w:rPr>
          <w:rFonts w:ascii="Book Antiqua" w:hAnsi="Book Antiqua"/>
          <w:sz w:val="24"/>
          <w:szCs w:val="24"/>
          <w:lang w:val="en-US"/>
        </w:rPr>
        <w:t xml:space="preserve"> This Systematic Review was conducted according to PRISMA Guidelines.</w:t>
      </w:r>
    </w:p>
    <w:p w14:paraId="1D57B61E" w14:textId="77777777" w:rsidR="00E22CF2" w:rsidRPr="00192CF1" w:rsidRDefault="00E22CF2" w:rsidP="004647EC">
      <w:pPr>
        <w:adjustRightInd w:val="0"/>
        <w:snapToGrid w:val="0"/>
        <w:spacing w:after="0" w:line="360" w:lineRule="auto"/>
        <w:jc w:val="both"/>
        <w:rPr>
          <w:rFonts w:ascii="Book Antiqua" w:hAnsi="Book Antiqua"/>
          <w:sz w:val="24"/>
          <w:szCs w:val="24"/>
        </w:rPr>
      </w:pPr>
    </w:p>
    <w:p w14:paraId="48F26D99" w14:textId="77777777" w:rsidR="00E22CF2" w:rsidRPr="00192CF1" w:rsidRDefault="00E22CF2" w:rsidP="004647EC">
      <w:pPr>
        <w:adjustRightInd w:val="0"/>
        <w:snapToGrid w:val="0"/>
        <w:spacing w:after="0" w:line="360" w:lineRule="auto"/>
        <w:jc w:val="both"/>
        <w:rPr>
          <w:rFonts w:ascii="Book Antiqua" w:hAnsi="Book Antiqua"/>
          <w:sz w:val="24"/>
          <w:szCs w:val="24"/>
        </w:rPr>
      </w:pPr>
      <w:r w:rsidRPr="00192CF1">
        <w:rPr>
          <w:rFonts w:ascii="Book Antiqua" w:hAnsi="Book Antiqua"/>
          <w:b/>
          <w:sz w:val="24"/>
          <w:szCs w:val="24"/>
        </w:rPr>
        <w:t xml:space="preserve">Open-Access: </w:t>
      </w:r>
      <w:r w:rsidRPr="00192CF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92CF1">
          <w:rPr>
            <w:rStyle w:val="Hyperlink"/>
            <w:rFonts w:ascii="Book Antiqua" w:hAnsi="Book Antiqua"/>
            <w:color w:val="auto"/>
            <w:sz w:val="24"/>
            <w:szCs w:val="24"/>
            <w:u w:val="none"/>
          </w:rPr>
          <w:t>http://creativecommons.org/licenses/by-nc/4.0/</w:t>
        </w:r>
      </w:hyperlink>
    </w:p>
    <w:p w14:paraId="5C44D21F" w14:textId="77777777" w:rsidR="000637BA" w:rsidRPr="00192CF1" w:rsidRDefault="000637BA" w:rsidP="004647EC">
      <w:pPr>
        <w:spacing w:after="0" w:line="360" w:lineRule="auto"/>
        <w:jc w:val="both"/>
        <w:rPr>
          <w:rFonts w:ascii="Book Antiqua" w:hAnsi="Book Antiqua"/>
          <w:sz w:val="24"/>
          <w:szCs w:val="24"/>
          <w:lang w:val="en-US" w:eastAsia="zh-CN"/>
        </w:rPr>
      </w:pPr>
    </w:p>
    <w:p w14:paraId="41788528" w14:textId="432926B9" w:rsidR="00E22CF2" w:rsidRPr="00192CF1" w:rsidRDefault="00E22CF2" w:rsidP="004647EC">
      <w:pPr>
        <w:spacing w:after="0" w:line="360" w:lineRule="auto"/>
        <w:jc w:val="both"/>
        <w:rPr>
          <w:rFonts w:ascii="Book Antiqua" w:hAnsi="Book Antiqua" w:cs="SimSun"/>
          <w:sz w:val="24"/>
          <w:szCs w:val="24"/>
          <w:lang w:eastAsia="zh-CN"/>
        </w:rPr>
      </w:pPr>
      <w:r w:rsidRPr="00192CF1">
        <w:rPr>
          <w:rFonts w:ascii="Book Antiqua" w:hAnsi="Book Antiqua" w:cs="SimSun"/>
          <w:b/>
          <w:sz w:val="24"/>
          <w:szCs w:val="24"/>
        </w:rPr>
        <w:t>Manuscript source:</w:t>
      </w:r>
      <w:r w:rsidRPr="00192CF1">
        <w:rPr>
          <w:rFonts w:ascii="Book Antiqua" w:hAnsi="Book Antiqua" w:cs="SimSun"/>
          <w:sz w:val="24"/>
          <w:szCs w:val="24"/>
        </w:rPr>
        <w:t> Invited manuscript</w:t>
      </w:r>
    </w:p>
    <w:p w14:paraId="1CBF4D1E" w14:textId="698241A9" w:rsidR="00E22CF2" w:rsidRPr="00192CF1" w:rsidRDefault="00FC284D" w:rsidP="004647EC">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 xml:space="preserve"> </w:t>
      </w:r>
    </w:p>
    <w:p w14:paraId="55A2EC8E" w14:textId="16A4EDCF" w:rsidR="00E22CF2" w:rsidRPr="00192CF1" w:rsidRDefault="00E22CF2" w:rsidP="004647EC">
      <w:pPr>
        <w:spacing w:after="0" w:line="360" w:lineRule="auto"/>
        <w:jc w:val="both"/>
        <w:rPr>
          <w:rFonts w:ascii="Book Antiqua" w:hAnsi="Book Antiqua"/>
          <w:b/>
          <w:sz w:val="24"/>
          <w:szCs w:val="24"/>
          <w:lang w:eastAsia="zh-CN"/>
        </w:rPr>
      </w:pPr>
      <w:r w:rsidRPr="00192CF1">
        <w:rPr>
          <w:rFonts w:ascii="Book Antiqua" w:hAnsi="Book Antiqua"/>
          <w:b/>
          <w:sz w:val="24"/>
          <w:szCs w:val="24"/>
        </w:rPr>
        <w:t>Corresponding author:</w:t>
      </w:r>
      <w:r w:rsidRPr="00192CF1">
        <w:rPr>
          <w:rFonts w:ascii="Book Antiqua" w:hAnsi="Book Antiqua"/>
          <w:sz w:val="24"/>
          <w:szCs w:val="24"/>
        </w:rPr>
        <w:t xml:space="preserve"> </w:t>
      </w:r>
      <w:r w:rsidRPr="00192CF1">
        <w:rPr>
          <w:rFonts w:ascii="Book Antiqua" w:hAnsi="Book Antiqua"/>
          <w:b/>
          <w:sz w:val="24"/>
          <w:szCs w:val="24"/>
        </w:rPr>
        <w:t xml:space="preserve">Ioannis Baloyiannis, MD, PhD, Assistant Professor, </w:t>
      </w:r>
      <w:r w:rsidRPr="00192CF1">
        <w:rPr>
          <w:rFonts w:ascii="Book Antiqua" w:hAnsi="Book Antiqua"/>
          <w:sz w:val="24"/>
          <w:szCs w:val="24"/>
        </w:rPr>
        <w:t>Department of Surgery, University Hospital of Larissa, Mezourlo, Larissa 41110, Greece. ibalogian@med.uth.gr</w:t>
      </w:r>
    </w:p>
    <w:p w14:paraId="45C52125" w14:textId="7B7B12D9" w:rsidR="00E22CF2" w:rsidRPr="00192CF1" w:rsidRDefault="00E22CF2" w:rsidP="004647EC">
      <w:pPr>
        <w:spacing w:after="0" w:line="360" w:lineRule="auto"/>
        <w:jc w:val="both"/>
        <w:rPr>
          <w:rFonts w:ascii="Book Antiqua" w:hAnsi="Book Antiqua"/>
          <w:b/>
          <w:sz w:val="24"/>
          <w:szCs w:val="24"/>
        </w:rPr>
      </w:pPr>
      <w:r w:rsidRPr="00192CF1">
        <w:rPr>
          <w:rFonts w:ascii="Book Antiqua" w:hAnsi="Book Antiqua"/>
          <w:b/>
          <w:sz w:val="24"/>
          <w:szCs w:val="24"/>
        </w:rPr>
        <w:t xml:space="preserve">Telephone: </w:t>
      </w:r>
      <w:r w:rsidRPr="00192CF1">
        <w:rPr>
          <w:rFonts w:ascii="Book Antiqua" w:hAnsi="Book Antiqua"/>
          <w:sz w:val="24"/>
          <w:szCs w:val="24"/>
          <w:lang w:val="en-US" w:eastAsia="zh-CN"/>
        </w:rPr>
        <w:t>+</w:t>
      </w:r>
      <w:r w:rsidRPr="00192CF1">
        <w:rPr>
          <w:rFonts w:ascii="Book Antiqua" w:hAnsi="Book Antiqua"/>
          <w:sz w:val="24"/>
          <w:szCs w:val="24"/>
          <w:lang w:val="en-US"/>
        </w:rPr>
        <w:t>30</w:t>
      </w:r>
      <w:r w:rsidRPr="00192CF1">
        <w:rPr>
          <w:rFonts w:ascii="Book Antiqua" w:hAnsi="Book Antiqua"/>
          <w:sz w:val="24"/>
          <w:szCs w:val="24"/>
          <w:lang w:val="en-US" w:eastAsia="zh-CN"/>
        </w:rPr>
        <w:t>-</w:t>
      </w:r>
      <w:r w:rsidRPr="00192CF1">
        <w:rPr>
          <w:rFonts w:ascii="Book Antiqua" w:hAnsi="Book Antiqua"/>
          <w:sz w:val="24"/>
          <w:szCs w:val="24"/>
          <w:lang w:val="en-US"/>
        </w:rPr>
        <w:t>241</w:t>
      </w:r>
      <w:r w:rsidRPr="00192CF1">
        <w:rPr>
          <w:rFonts w:ascii="Book Antiqua" w:hAnsi="Book Antiqua"/>
          <w:sz w:val="24"/>
          <w:szCs w:val="24"/>
          <w:lang w:val="en-US" w:eastAsia="zh-CN"/>
        </w:rPr>
        <w:t>-</w:t>
      </w:r>
      <w:r w:rsidRPr="00192CF1">
        <w:rPr>
          <w:rFonts w:ascii="Book Antiqua" w:hAnsi="Book Antiqua"/>
          <w:sz w:val="24"/>
          <w:szCs w:val="24"/>
          <w:lang w:val="en-US"/>
        </w:rPr>
        <w:t>3502731</w:t>
      </w:r>
    </w:p>
    <w:p w14:paraId="5043EB73" w14:textId="77777777" w:rsidR="00E22CF2" w:rsidRPr="00192CF1" w:rsidRDefault="00E22CF2" w:rsidP="004647EC">
      <w:pPr>
        <w:spacing w:after="0" w:line="360" w:lineRule="auto"/>
        <w:jc w:val="both"/>
        <w:rPr>
          <w:rFonts w:ascii="Book Antiqua" w:hAnsi="Book Antiqua"/>
          <w:b/>
          <w:sz w:val="24"/>
          <w:szCs w:val="24"/>
          <w:lang w:val="en-US" w:eastAsia="zh-CN"/>
        </w:rPr>
      </w:pPr>
    </w:p>
    <w:p w14:paraId="529D0F48" w14:textId="6DDDD203" w:rsidR="00E22CF2" w:rsidRPr="00192CF1" w:rsidRDefault="00E22CF2" w:rsidP="004647EC">
      <w:pPr>
        <w:spacing w:after="0" w:line="360" w:lineRule="auto"/>
        <w:jc w:val="both"/>
        <w:rPr>
          <w:rFonts w:ascii="Book Antiqua" w:hAnsi="Book Antiqua"/>
          <w:b/>
          <w:sz w:val="24"/>
          <w:szCs w:val="24"/>
        </w:rPr>
      </w:pPr>
      <w:r w:rsidRPr="00192CF1">
        <w:rPr>
          <w:rFonts w:ascii="Book Antiqua" w:hAnsi="Book Antiqua"/>
          <w:b/>
          <w:sz w:val="24"/>
          <w:szCs w:val="24"/>
        </w:rPr>
        <w:t xml:space="preserve">Received: </w:t>
      </w:r>
      <w:r w:rsidR="00643790" w:rsidRPr="00192CF1">
        <w:rPr>
          <w:rFonts w:ascii="Book Antiqua" w:hAnsi="Book Antiqua"/>
          <w:sz w:val="24"/>
          <w:szCs w:val="24"/>
          <w:lang w:eastAsia="zh-CN"/>
        </w:rPr>
        <w:t>February 10, 2019</w:t>
      </w:r>
      <w:r w:rsidR="004647EC" w:rsidRPr="00192CF1">
        <w:rPr>
          <w:rFonts w:ascii="Book Antiqua" w:hAnsi="Book Antiqua"/>
          <w:sz w:val="24"/>
          <w:szCs w:val="24"/>
        </w:rPr>
        <w:t xml:space="preserve"> </w:t>
      </w:r>
    </w:p>
    <w:p w14:paraId="6E601F89" w14:textId="1F1EE796" w:rsidR="00E22CF2" w:rsidRPr="00192CF1" w:rsidRDefault="00E22CF2" w:rsidP="004647EC">
      <w:pPr>
        <w:spacing w:after="0" w:line="360" w:lineRule="auto"/>
        <w:jc w:val="both"/>
        <w:rPr>
          <w:rFonts w:ascii="Book Antiqua" w:hAnsi="Book Antiqua"/>
          <w:b/>
          <w:sz w:val="24"/>
          <w:szCs w:val="24"/>
        </w:rPr>
      </w:pPr>
      <w:r w:rsidRPr="00192CF1">
        <w:rPr>
          <w:rFonts w:ascii="Book Antiqua" w:hAnsi="Book Antiqua"/>
          <w:b/>
          <w:sz w:val="24"/>
          <w:szCs w:val="24"/>
        </w:rPr>
        <w:t>Peer-review started:</w:t>
      </w:r>
      <w:r w:rsidR="00643790" w:rsidRPr="00192CF1">
        <w:rPr>
          <w:rFonts w:ascii="Book Antiqua" w:hAnsi="Book Antiqua"/>
          <w:sz w:val="24"/>
          <w:szCs w:val="24"/>
          <w:lang w:eastAsia="zh-CN"/>
        </w:rPr>
        <w:t xml:space="preserve"> February 11, 2019</w:t>
      </w:r>
      <w:r w:rsidR="004647EC" w:rsidRPr="00192CF1">
        <w:rPr>
          <w:rFonts w:ascii="Book Antiqua" w:hAnsi="Book Antiqua"/>
          <w:sz w:val="24"/>
          <w:szCs w:val="24"/>
        </w:rPr>
        <w:t xml:space="preserve"> </w:t>
      </w:r>
    </w:p>
    <w:p w14:paraId="78A6B790" w14:textId="4C808535" w:rsidR="00E22CF2" w:rsidRPr="00192CF1" w:rsidRDefault="00E22CF2" w:rsidP="004647EC">
      <w:pPr>
        <w:spacing w:after="0" w:line="360" w:lineRule="auto"/>
        <w:jc w:val="both"/>
        <w:rPr>
          <w:rFonts w:ascii="Book Antiqua" w:hAnsi="Book Antiqua"/>
          <w:b/>
          <w:sz w:val="24"/>
          <w:szCs w:val="24"/>
        </w:rPr>
      </w:pPr>
      <w:r w:rsidRPr="00192CF1">
        <w:rPr>
          <w:rFonts w:ascii="Book Antiqua" w:hAnsi="Book Antiqua"/>
          <w:b/>
          <w:sz w:val="24"/>
          <w:szCs w:val="24"/>
        </w:rPr>
        <w:t>First decision:</w:t>
      </w:r>
      <w:r w:rsidR="00643790" w:rsidRPr="00192CF1">
        <w:rPr>
          <w:rFonts w:ascii="Book Antiqua" w:hAnsi="Book Antiqua"/>
          <w:sz w:val="24"/>
          <w:szCs w:val="24"/>
          <w:lang w:eastAsia="zh-CN"/>
        </w:rPr>
        <w:t xml:space="preserve"> February 26, 2019</w:t>
      </w:r>
      <w:r w:rsidR="004647EC" w:rsidRPr="00192CF1">
        <w:rPr>
          <w:rFonts w:ascii="Book Antiqua" w:hAnsi="Book Antiqua"/>
          <w:sz w:val="24"/>
          <w:szCs w:val="24"/>
        </w:rPr>
        <w:t xml:space="preserve"> </w:t>
      </w:r>
    </w:p>
    <w:p w14:paraId="2EDD05A0" w14:textId="0860A911" w:rsidR="00E22CF2" w:rsidRPr="00192CF1" w:rsidRDefault="00E22CF2" w:rsidP="004647EC">
      <w:pPr>
        <w:spacing w:after="0" w:line="360" w:lineRule="auto"/>
        <w:jc w:val="both"/>
        <w:rPr>
          <w:rFonts w:ascii="Book Antiqua" w:hAnsi="Book Antiqua"/>
          <w:b/>
          <w:sz w:val="24"/>
          <w:szCs w:val="24"/>
        </w:rPr>
      </w:pPr>
      <w:r w:rsidRPr="00192CF1">
        <w:rPr>
          <w:rFonts w:ascii="Book Antiqua" w:hAnsi="Book Antiqua"/>
          <w:b/>
          <w:sz w:val="24"/>
          <w:szCs w:val="24"/>
        </w:rPr>
        <w:t>Revised:</w:t>
      </w:r>
      <w:r w:rsidR="004647EC" w:rsidRPr="00192CF1">
        <w:rPr>
          <w:rFonts w:ascii="Book Antiqua" w:hAnsi="Book Antiqua"/>
          <w:b/>
          <w:sz w:val="24"/>
          <w:szCs w:val="24"/>
        </w:rPr>
        <w:t xml:space="preserve"> </w:t>
      </w:r>
      <w:r w:rsidR="00643790" w:rsidRPr="00192CF1">
        <w:rPr>
          <w:rFonts w:ascii="Book Antiqua" w:hAnsi="Book Antiqua"/>
          <w:sz w:val="24"/>
          <w:szCs w:val="24"/>
          <w:lang w:eastAsia="zh-CN"/>
        </w:rPr>
        <w:t>March 12, 2019</w:t>
      </w:r>
      <w:r w:rsidR="004647EC" w:rsidRPr="00192CF1">
        <w:rPr>
          <w:rFonts w:ascii="Book Antiqua" w:hAnsi="Book Antiqua"/>
          <w:sz w:val="24"/>
          <w:szCs w:val="24"/>
        </w:rPr>
        <w:t xml:space="preserve"> </w:t>
      </w:r>
    </w:p>
    <w:p w14:paraId="702D9DC5" w14:textId="5102BB28" w:rsidR="00E22CF2" w:rsidRPr="00CA04D6" w:rsidRDefault="00E22CF2" w:rsidP="004647EC">
      <w:pPr>
        <w:spacing w:after="0" w:line="360" w:lineRule="auto"/>
        <w:jc w:val="both"/>
        <w:rPr>
          <w:rFonts w:ascii="Book Antiqua" w:hAnsi="Book Antiqua"/>
          <w:b/>
          <w:sz w:val="24"/>
          <w:szCs w:val="24"/>
          <w:lang w:val="en-US"/>
        </w:rPr>
      </w:pPr>
      <w:proofErr w:type="spellStart"/>
      <w:r w:rsidRPr="00192CF1">
        <w:rPr>
          <w:rFonts w:ascii="Book Antiqua" w:hAnsi="Book Antiqua"/>
          <w:b/>
          <w:sz w:val="24"/>
          <w:szCs w:val="24"/>
        </w:rPr>
        <w:t>Accepted</w:t>
      </w:r>
      <w:proofErr w:type="spellEnd"/>
      <w:r w:rsidRPr="00192CF1">
        <w:rPr>
          <w:rFonts w:ascii="Book Antiqua" w:hAnsi="Book Antiqua"/>
          <w:b/>
          <w:sz w:val="24"/>
          <w:szCs w:val="24"/>
        </w:rPr>
        <w:t>:</w:t>
      </w:r>
      <w:r w:rsidR="004647EC" w:rsidRPr="00192CF1">
        <w:rPr>
          <w:rFonts w:ascii="Book Antiqua" w:hAnsi="Book Antiqua"/>
          <w:b/>
          <w:sz w:val="24"/>
          <w:szCs w:val="24"/>
        </w:rPr>
        <w:t xml:space="preserve"> </w:t>
      </w:r>
      <w:r w:rsidR="00CA04D6" w:rsidRPr="00CA04D6">
        <w:rPr>
          <w:rFonts w:ascii="Book Antiqua" w:hAnsi="Book Antiqua"/>
          <w:sz w:val="24"/>
          <w:szCs w:val="24"/>
          <w:lang w:val="en-US"/>
        </w:rPr>
        <w:t>March 16, 2019</w:t>
      </w:r>
    </w:p>
    <w:p w14:paraId="210A75D2" w14:textId="47740AE1" w:rsidR="00E22CF2" w:rsidRPr="00192CF1" w:rsidRDefault="00E22CF2" w:rsidP="004647EC">
      <w:pPr>
        <w:spacing w:after="0" w:line="360" w:lineRule="auto"/>
        <w:jc w:val="both"/>
        <w:rPr>
          <w:rFonts w:ascii="Book Antiqua" w:hAnsi="Book Antiqua"/>
          <w:sz w:val="24"/>
          <w:szCs w:val="24"/>
        </w:rPr>
      </w:pPr>
      <w:proofErr w:type="spellStart"/>
      <w:r w:rsidRPr="00192CF1">
        <w:rPr>
          <w:rFonts w:ascii="Book Antiqua" w:hAnsi="Book Antiqua"/>
          <w:b/>
          <w:sz w:val="24"/>
          <w:szCs w:val="24"/>
        </w:rPr>
        <w:t>Article</w:t>
      </w:r>
      <w:proofErr w:type="spellEnd"/>
      <w:r w:rsidRPr="00192CF1">
        <w:rPr>
          <w:rFonts w:ascii="Book Antiqua" w:hAnsi="Book Antiqua"/>
          <w:b/>
          <w:sz w:val="24"/>
          <w:szCs w:val="24"/>
        </w:rPr>
        <w:t xml:space="preserve"> in </w:t>
      </w:r>
      <w:proofErr w:type="spellStart"/>
      <w:r w:rsidRPr="00192CF1">
        <w:rPr>
          <w:rFonts w:ascii="Book Antiqua" w:hAnsi="Book Antiqua"/>
          <w:b/>
          <w:sz w:val="24"/>
          <w:szCs w:val="24"/>
        </w:rPr>
        <w:t>press</w:t>
      </w:r>
      <w:proofErr w:type="spellEnd"/>
      <w:r w:rsidRPr="00192CF1">
        <w:rPr>
          <w:rFonts w:ascii="Book Antiqua" w:hAnsi="Book Antiqua"/>
          <w:b/>
          <w:sz w:val="24"/>
          <w:szCs w:val="24"/>
        </w:rPr>
        <w:t>:</w:t>
      </w:r>
      <w:r w:rsidR="004647EC" w:rsidRPr="00192CF1">
        <w:rPr>
          <w:rFonts w:ascii="Book Antiqua" w:hAnsi="Book Antiqua"/>
          <w:sz w:val="24"/>
          <w:szCs w:val="24"/>
        </w:rPr>
        <w:t xml:space="preserve"> </w:t>
      </w:r>
    </w:p>
    <w:p w14:paraId="378C80DB" w14:textId="2956B875" w:rsidR="005C63BD" w:rsidRPr="00192CF1" w:rsidRDefault="00E22CF2" w:rsidP="004647EC">
      <w:pPr>
        <w:spacing w:after="0" w:line="360" w:lineRule="auto"/>
        <w:jc w:val="both"/>
        <w:rPr>
          <w:rFonts w:ascii="Book Antiqua" w:hAnsi="Book Antiqua"/>
          <w:b/>
          <w:bCs/>
          <w:sz w:val="24"/>
          <w:szCs w:val="24"/>
          <w:lang w:val="en-US"/>
        </w:rPr>
      </w:pPr>
      <w:r w:rsidRPr="00192CF1">
        <w:rPr>
          <w:rFonts w:ascii="Book Antiqua" w:hAnsi="Book Antiqua"/>
          <w:b/>
          <w:sz w:val="24"/>
          <w:szCs w:val="24"/>
        </w:rPr>
        <w:t>Published online:</w:t>
      </w:r>
    </w:p>
    <w:p w14:paraId="3D83E374" w14:textId="77777777" w:rsidR="00643790" w:rsidRPr="00192CF1" w:rsidRDefault="00643790" w:rsidP="004647EC">
      <w:pPr>
        <w:spacing w:after="0" w:line="360" w:lineRule="auto"/>
        <w:jc w:val="both"/>
        <w:rPr>
          <w:rFonts w:ascii="Book Antiqua" w:hAnsi="Book Antiqua"/>
          <w:b/>
          <w:bCs/>
          <w:sz w:val="24"/>
          <w:szCs w:val="24"/>
          <w:lang w:val="en-US"/>
        </w:rPr>
      </w:pPr>
      <w:r w:rsidRPr="00192CF1">
        <w:rPr>
          <w:rFonts w:ascii="Book Antiqua" w:hAnsi="Book Antiqua"/>
          <w:b/>
          <w:bCs/>
          <w:sz w:val="24"/>
          <w:szCs w:val="24"/>
          <w:lang w:val="en-US"/>
        </w:rPr>
        <w:br w:type="page"/>
      </w:r>
    </w:p>
    <w:p w14:paraId="54811772" w14:textId="22CA1492" w:rsidR="005C63BD" w:rsidRPr="00192CF1" w:rsidRDefault="005C63BD" w:rsidP="004647EC">
      <w:pPr>
        <w:spacing w:after="0" w:line="360" w:lineRule="auto"/>
        <w:jc w:val="both"/>
        <w:rPr>
          <w:rFonts w:ascii="Book Antiqua" w:hAnsi="Book Antiqua"/>
          <w:b/>
          <w:bCs/>
          <w:sz w:val="24"/>
          <w:szCs w:val="24"/>
          <w:lang w:val="en-US"/>
        </w:rPr>
      </w:pPr>
      <w:r w:rsidRPr="00192CF1">
        <w:rPr>
          <w:rFonts w:ascii="Book Antiqua" w:hAnsi="Book Antiqua"/>
          <w:b/>
          <w:bCs/>
          <w:sz w:val="24"/>
          <w:szCs w:val="24"/>
          <w:lang w:val="en-US"/>
        </w:rPr>
        <w:lastRenderedPageBreak/>
        <w:t>A</w:t>
      </w:r>
      <w:r w:rsidR="00F32A18" w:rsidRPr="00192CF1">
        <w:rPr>
          <w:rFonts w:ascii="Book Antiqua" w:hAnsi="Book Antiqua"/>
          <w:b/>
          <w:bCs/>
          <w:sz w:val="24"/>
          <w:szCs w:val="24"/>
          <w:lang w:val="en-US"/>
        </w:rPr>
        <w:t>bstract</w:t>
      </w:r>
    </w:p>
    <w:p w14:paraId="776D4741" w14:textId="7BD7648C" w:rsidR="005C63BD" w:rsidRPr="00192CF1" w:rsidRDefault="00643790" w:rsidP="004647EC">
      <w:pPr>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BACKGROUND</w:t>
      </w:r>
    </w:p>
    <w:p w14:paraId="36537676" w14:textId="18E0905B" w:rsidR="005C63BD" w:rsidRPr="00192CF1" w:rsidRDefault="005C63BD" w:rsidP="004647EC">
      <w:pPr>
        <w:spacing w:after="0" w:line="360" w:lineRule="auto"/>
        <w:jc w:val="both"/>
        <w:rPr>
          <w:rFonts w:ascii="Book Antiqua" w:hAnsi="Book Antiqua"/>
          <w:bCs/>
          <w:sz w:val="24"/>
          <w:szCs w:val="24"/>
          <w:lang w:val="en-US" w:eastAsia="zh-CN"/>
        </w:rPr>
      </w:pPr>
      <w:proofErr w:type="gramStart"/>
      <w:r w:rsidRPr="00192CF1">
        <w:rPr>
          <w:rFonts w:ascii="Book Antiqua" w:hAnsi="Book Antiqua"/>
          <w:bCs/>
          <w:sz w:val="24"/>
          <w:szCs w:val="24"/>
          <w:lang w:val="en-US"/>
        </w:rPr>
        <w:t>Fundoplication,</w:t>
      </w:r>
      <w:proofErr w:type="gramEnd"/>
      <w:r w:rsidRPr="00192CF1">
        <w:rPr>
          <w:rFonts w:ascii="Book Antiqua" w:hAnsi="Book Antiqua"/>
          <w:bCs/>
          <w:sz w:val="24"/>
          <w:szCs w:val="24"/>
          <w:lang w:val="en-US"/>
        </w:rPr>
        <w:t xml:space="preserve"> was first introduced as a surgical treatment method of </w:t>
      </w:r>
      <w:r w:rsidR="00643790" w:rsidRPr="00192CF1">
        <w:rPr>
          <w:rFonts w:ascii="Book Antiqua" w:hAnsi="Book Antiqua"/>
          <w:bCs/>
          <w:sz w:val="24"/>
          <w:szCs w:val="24"/>
          <w:lang w:val="en-US"/>
        </w:rPr>
        <w:t>gastroesophageal reflux disease</w:t>
      </w:r>
      <w:r w:rsidRPr="00192CF1">
        <w:rPr>
          <w:rFonts w:ascii="Book Antiqua" w:hAnsi="Book Antiqua"/>
          <w:bCs/>
          <w:sz w:val="24"/>
          <w:szCs w:val="24"/>
          <w:lang w:val="en-US"/>
        </w:rPr>
        <w:t xml:space="preserve">. Consequently, several modifications of this method have been described, whereas laparoscopic fundoplication was recently introduced. Although single incision (SI) fundoplication was considered as an alternative to the conventional laparoscopic approach, several studies reported an increased operation duration, and high rates of multiport conversion and incisional hernia. </w:t>
      </w:r>
    </w:p>
    <w:p w14:paraId="569511CF" w14:textId="77777777" w:rsidR="00643790" w:rsidRPr="00192CF1" w:rsidRDefault="00643790" w:rsidP="004647EC">
      <w:pPr>
        <w:spacing w:after="0" w:line="360" w:lineRule="auto"/>
        <w:jc w:val="both"/>
        <w:rPr>
          <w:rFonts w:ascii="Book Antiqua" w:hAnsi="Book Antiqua"/>
          <w:bCs/>
          <w:sz w:val="24"/>
          <w:szCs w:val="24"/>
          <w:lang w:val="en-US" w:eastAsia="zh-CN"/>
        </w:rPr>
      </w:pPr>
    </w:p>
    <w:p w14:paraId="3AF44B6F" w14:textId="33E0B69E" w:rsidR="005C63BD" w:rsidRPr="00192CF1" w:rsidRDefault="00643790" w:rsidP="004647EC">
      <w:pPr>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AIM</w:t>
      </w:r>
    </w:p>
    <w:p w14:paraId="48FEAE80" w14:textId="1D62964C" w:rsidR="005C63BD" w:rsidRPr="00192CF1" w:rsidRDefault="00643790" w:rsidP="004647EC">
      <w:pPr>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 xml:space="preserve">To </w:t>
      </w:r>
      <w:r w:rsidR="005C63BD" w:rsidRPr="00192CF1">
        <w:rPr>
          <w:rFonts w:ascii="Book Antiqua" w:hAnsi="Book Antiqua"/>
          <w:bCs/>
          <w:sz w:val="24"/>
          <w:szCs w:val="24"/>
          <w:lang w:val="en-US"/>
        </w:rPr>
        <w:t xml:space="preserve">provide a current overview of the technical variations and the postoperative outcomes of patients submitted to </w:t>
      </w:r>
      <w:r w:rsidRPr="00192CF1">
        <w:rPr>
          <w:rFonts w:ascii="Book Antiqua" w:hAnsi="Book Antiqua"/>
          <w:bCs/>
          <w:sz w:val="24"/>
          <w:szCs w:val="24"/>
          <w:lang w:val="en-US"/>
        </w:rPr>
        <w:t>SI</w:t>
      </w:r>
      <w:r w:rsidR="005C63BD" w:rsidRPr="00192CF1">
        <w:rPr>
          <w:rFonts w:ascii="Book Antiqua" w:hAnsi="Book Antiqua"/>
          <w:bCs/>
          <w:sz w:val="24"/>
          <w:szCs w:val="24"/>
          <w:lang w:val="en-US"/>
        </w:rPr>
        <w:t xml:space="preserve"> fundoplication.</w:t>
      </w:r>
    </w:p>
    <w:p w14:paraId="6A2CA0FF" w14:textId="77777777" w:rsidR="00643790" w:rsidRPr="00192CF1" w:rsidRDefault="00643790" w:rsidP="004647EC">
      <w:pPr>
        <w:spacing w:after="0" w:line="360" w:lineRule="auto"/>
        <w:jc w:val="both"/>
        <w:rPr>
          <w:rFonts w:ascii="Book Antiqua" w:hAnsi="Book Antiqua"/>
          <w:bCs/>
          <w:sz w:val="24"/>
          <w:szCs w:val="24"/>
          <w:lang w:val="en-US" w:eastAsia="zh-CN"/>
        </w:rPr>
      </w:pPr>
    </w:p>
    <w:p w14:paraId="6D7941C9" w14:textId="440C9DC3" w:rsidR="005C63BD" w:rsidRPr="00192CF1" w:rsidRDefault="00643790" w:rsidP="004647EC">
      <w:pPr>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METHODS</w:t>
      </w:r>
    </w:p>
    <w:p w14:paraId="5FDD9B54" w14:textId="77777777" w:rsidR="005C63BD" w:rsidRPr="00192CF1" w:rsidRDefault="005C63BD" w:rsidP="004647EC">
      <w:pPr>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The present systematic review of the literature was designed and conducted on the basis of the PRISMA guidelines. A systematic screening of the electronic scholar databases (Medline, Scopus and Web of Science) was performed.</w:t>
      </w:r>
    </w:p>
    <w:p w14:paraId="330D2545" w14:textId="77777777" w:rsidR="00643790" w:rsidRPr="00192CF1" w:rsidRDefault="00643790" w:rsidP="004647EC">
      <w:pPr>
        <w:spacing w:after="0" w:line="360" w:lineRule="auto"/>
        <w:jc w:val="both"/>
        <w:rPr>
          <w:rFonts w:ascii="Book Antiqua" w:hAnsi="Book Antiqua"/>
          <w:bCs/>
          <w:sz w:val="24"/>
          <w:szCs w:val="24"/>
          <w:lang w:val="en-US" w:eastAsia="zh-CN"/>
        </w:rPr>
      </w:pPr>
    </w:p>
    <w:p w14:paraId="539CC127" w14:textId="4895B07F" w:rsidR="005C63BD" w:rsidRPr="00192CF1" w:rsidRDefault="00643790" w:rsidP="004647EC">
      <w:pPr>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RESULTS</w:t>
      </w:r>
    </w:p>
    <w:p w14:paraId="3FAAD4A1" w14:textId="625E3002" w:rsidR="005C63BD" w:rsidRPr="00192CF1" w:rsidRDefault="005C63BD" w:rsidP="004647EC">
      <w:pPr>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 xml:space="preserve">Literature search resulted in the identification of 19 studies. Overall, 266, 137 and 110 SI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fundoplications were reported, respectively. In the majority of the trials, standard laparoscopic instruments were used. The left liver lobe was displayed through the use of forceps, graspers, retractors, drains or even glue. Both intra-corporeal and extracorporeal suturing was described. Mean operative time was 136.3 min. Overall complication rate was 5.2% and the rate of incisional hernia was 0.9%. No mortality was reported. </w:t>
      </w:r>
    </w:p>
    <w:p w14:paraId="31A0CFF4" w14:textId="77777777" w:rsidR="00643790" w:rsidRPr="00192CF1" w:rsidRDefault="00643790" w:rsidP="004647EC">
      <w:pPr>
        <w:spacing w:after="0" w:line="360" w:lineRule="auto"/>
        <w:jc w:val="both"/>
        <w:rPr>
          <w:rFonts w:ascii="Book Antiqua" w:hAnsi="Book Antiqua"/>
          <w:bCs/>
          <w:sz w:val="24"/>
          <w:szCs w:val="24"/>
          <w:lang w:val="en-US" w:eastAsia="zh-CN"/>
        </w:rPr>
      </w:pPr>
    </w:p>
    <w:p w14:paraId="17ABE7B4" w14:textId="7237D11D" w:rsidR="005C63BD" w:rsidRPr="00192CF1" w:rsidRDefault="00643790" w:rsidP="004647EC">
      <w:pPr>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CONCLUSION</w:t>
      </w:r>
    </w:p>
    <w:p w14:paraId="38E4953F" w14:textId="77777777" w:rsidR="005C63BD" w:rsidRPr="00192CF1" w:rsidRDefault="005C63BD" w:rsidP="004647EC">
      <w:pPr>
        <w:spacing w:after="0" w:line="360" w:lineRule="auto"/>
        <w:jc w:val="both"/>
        <w:rPr>
          <w:rFonts w:ascii="Book Antiqua" w:hAnsi="Book Antiqua"/>
          <w:bCs/>
          <w:sz w:val="24"/>
          <w:szCs w:val="24"/>
          <w:lang w:val="en-US"/>
        </w:rPr>
      </w:pPr>
      <w:r w:rsidRPr="00192CF1">
        <w:rPr>
          <w:rFonts w:ascii="Book Antiqua" w:hAnsi="Book Antiqua"/>
          <w:bCs/>
          <w:sz w:val="24"/>
          <w:szCs w:val="24"/>
          <w:lang w:val="en-US"/>
        </w:rPr>
        <w:t xml:space="preserve">Due to the methodological heterogeneity and the lack of high quality studies comparing multi to single access techniques and the several variations, we </w:t>
      </w:r>
      <w:r w:rsidRPr="00192CF1">
        <w:rPr>
          <w:rFonts w:ascii="Book Antiqua" w:hAnsi="Book Antiqua"/>
          <w:bCs/>
          <w:sz w:val="24"/>
          <w:szCs w:val="24"/>
          <w:lang w:val="en-US"/>
        </w:rPr>
        <w:lastRenderedPageBreak/>
        <w:t>conclude that further well designed studies are necessary, in order to evaluate the role of SI fundoplication.</w:t>
      </w:r>
    </w:p>
    <w:p w14:paraId="343E55D9" w14:textId="77777777" w:rsidR="005C63BD" w:rsidRPr="00192CF1" w:rsidRDefault="005C63BD" w:rsidP="004647EC">
      <w:pPr>
        <w:spacing w:after="0" w:line="360" w:lineRule="auto"/>
        <w:jc w:val="both"/>
        <w:rPr>
          <w:rFonts w:ascii="Book Antiqua" w:hAnsi="Book Antiqua"/>
          <w:b/>
          <w:bCs/>
          <w:sz w:val="24"/>
          <w:szCs w:val="24"/>
          <w:lang w:val="en-US"/>
        </w:rPr>
      </w:pPr>
    </w:p>
    <w:p w14:paraId="56703601" w14:textId="77777777" w:rsidR="005C63BD" w:rsidRPr="00192CF1" w:rsidRDefault="005C63BD" w:rsidP="004647EC">
      <w:pPr>
        <w:spacing w:after="0" w:line="360" w:lineRule="auto"/>
        <w:jc w:val="both"/>
        <w:rPr>
          <w:rFonts w:ascii="Book Antiqua" w:hAnsi="Book Antiqua"/>
          <w:bCs/>
          <w:sz w:val="24"/>
          <w:szCs w:val="24"/>
          <w:lang w:val="en-US"/>
        </w:rPr>
      </w:pPr>
      <w:r w:rsidRPr="00192CF1">
        <w:rPr>
          <w:rFonts w:ascii="Book Antiqua" w:hAnsi="Book Antiqua"/>
          <w:b/>
          <w:bCs/>
          <w:sz w:val="24"/>
          <w:szCs w:val="24"/>
          <w:lang w:val="en-US"/>
        </w:rPr>
        <w:t xml:space="preserve">Key words: </w:t>
      </w:r>
      <w:r w:rsidRPr="00192CF1">
        <w:rPr>
          <w:rFonts w:ascii="Book Antiqua" w:hAnsi="Book Antiqua"/>
          <w:bCs/>
          <w:sz w:val="24"/>
          <w:szCs w:val="24"/>
          <w:lang w:val="en-US"/>
        </w:rPr>
        <w:t xml:space="preserve">Single incision; Single port; Fundoplication;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Toupet</w:t>
      </w:r>
      <w:proofErr w:type="spellEnd"/>
    </w:p>
    <w:p w14:paraId="29D4ABD7" w14:textId="77777777" w:rsidR="005C63BD" w:rsidRPr="00192CF1" w:rsidRDefault="005C63BD" w:rsidP="004647EC">
      <w:pPr>
        <w:spacing w:after="0" w:line="360" w:lineRule="auto"/>
        <w:jc w:val="both"/>
        <w:rPr>
          <w:rFonts w:ascii="Book Antiqua" w:hAnsi="Book Antiqua"/>
          <w:bCs/>
          <w:sz w:val="24"/>
          <w:szCs w:val="24"/>
          <w:lang w:val="en-US" w:eastAsia="zh-CN"/>
        </w:rPr>
      </w:pPr>
    </w:p>
    <w:p w14:paraId="2EFF78E3" w14:textId="77777777" w:rsidR="004647EC" w:rsidRPr="00192CF1" w:rsidRDefault="004647EC" w:rsidP="004647EC">
      <w:pPr>
        <w:spacing w:after="0" w:line="360" w:lineRule="auto"/>
        <w:jc w:val="both"/>
        <w:rPr>
          <w:rFonts w:ascii="Book Antiqua" w:hAnsi="Book Antiqua" w:cs="Arial"/>
          <w:sz w:val="24"/>
          <w:szCs w:val="24"/>
        </w:rPr>
      </w:pPr>
      <w:r w:rsidRPr="00192CF1">
        <w:rPr>
          <w:rFonts w:ascii="Book Antiqua" w:hAnsi="Book Antiqua"/>
          <w:b/>
          <w:sz w:val="24"/>
          <w:szCs w:val="24"/>
        </w:rPr>
        <w:t xml:space="preserve">© </w:t>
      </w:r>
      <w:r w:rsidRPr="00192CF1">
        <w:rPr>
          <w:rFonts w:ascii="Book Antiqua" w:hAnsi="Book Antiqua" w:cs="Arial"/>
          <w:b/>
          <w:sz w:val="24"/>
          <w:szCs w:val="24"/>
        </w:rPr>
        <w:t>The Author(s) 2019.</w:t>
      </w:r>
      <w:r w:rsidRPr="00192CF1">
        <w:rPr>
          <w:rFonts w:ascii="Book Antiqua" w:hAnsi="Book Antiqua" w:cs="Arial"/>
          <w:sz w:val="24"/>
          <w:szCs w:val="24"/>
        </w:rPr>
        <w:t xml:space="preserve"> Published by Baishideng Publishing Group Inc. All rights reserved.</w:t>
      </w:r>
    </w:p>
    <w:p w14:paraId="737E59D0" w14:textId="77777777" w:rsidR="004647EC" w:rsidRPr="00192CF1" w:rsidRDefault="004647EC" w:rsidP="004647EC">
      <w:pPr>
        <w:spacing w:after="0" w:line="360" w:lineRule="auto"/>
        <w:jc w:val="both"/>
        <w:rPr>
          <w:rFonts w:ascii="Book Antiqua" w:hAnsi="Book Antiqua"/>
          <w:bCs/>
          <w:sz w:val="24"/>
          <w:szCs w:val="24"/>
          <w:lang w:eastAsia="zh-CN"/>
        </w:rPr>
      </w:pPr>
    </w:p>
    <w:p w14:paraId="5ED12B06" w14:textId="77777777" w:rsidR="005C63BD" w:rsidRPr="00192CF1" w:rsidRDefault="005C63BD" w:rsidP="004647EC">
      <w:pPr>
        <w:spacing w:after="0" w:line="360" w:lineRule="auto"/>
        <w:jc w:val="both"/>
        <w:rPr>
          <w:rFonts w:ascii="Book Antiqua" w:hAnsi="Book Antiqua"/>
          <w:bCs/>
          <w:sz w:val="24"/>
          <w:szCs w:val="24"/>
          <w:lang w:val="en-US"/>
        </w:rPr>
      </w:pPr>
      <w:r w:rsidRPr="00192CF1">
        <w:rPr>
          <w:rFonts w:ascii="Book Antiqua" w:hAnsi="Book Antiqua"/>
          <w:b/>
          <w:bCs/>
          <w:sz w:val="24"/>
          <w:szCs w:val="24"/>
          <w:lang w:val="en-US"/>
        </w:rPr>
        <w:t xml:space="preserve">Core tip: </w:t>
      </w:r>
      <w:r w:rsidR="00B90067" w:rsidRPr="00192CF1">
        <w:rPr>
          <w:rFonts w:ascii="Book Antiqua" w:hAnsi="Book Antiqua"/>
          <w:bCs/>
          <w:sz w:val="24"/>
          <w:szCs w:val="24"/>
          <w:lang w:val="en-US"/>
        </w:rPr>
        <w:t>This systematic review summarizes all available data about the use of s</w:t>
      </w:r>
      <w:r w:rsidR="00B90067" w:rsidRPr="00192CF1">
        <w:rPr>
          <w:rFonts w:ascii="Book Antiqua" w:eastAsia="Times New Roman" w:hAnsi="Book Antiqua"/>
          <w:bCs/>
          <w:kern w:val="36"/>
          <w:sz w:val="24"/>
          <w:szCs w:val="24"/>
          <w:lang w:val="en-US" w:eastAsia="el-GR"/>
        </w:rPr>
        <w:t xml:space="preserve">ingle incision laparoscopic fundoplication. </w:t>
      </w:r>
      <w:r w:rsidR="00766486" w:rsidRPr="00192CF1">
        <w:rPr>
          <w:rFonts w:ascii="Book Antiqua" w:hAnsi="Book Antiqua"/>
          <w:bCs/>
          <w:sz w:val="24"/>
          <w:szCs w:val="24"/>
          <w:lang w:val="en-US"/>
        </w:rPr>
        <w:t>Although the technique is not yet standardized, t</w:t>
      </w:r>
      <w:r w:rsidR="00B90067" w:rsidRPr="00192CF1">
        <w:rPr>
          <w:rFonts w:ascii="Book Antiqua" w:eastAsia="Times New Roman" w:hAnsi="Book Antiqua"/>
          <w:bCs/>
          <w:kern w:val="36"/>
          <w:sz w:val="24"/>
          <w:szCs w:val="24"/>
          <w:lang w:val="en-US" w:eastAsia="el-GR"/>
        </w:rPr>
        <w:t xml:space="preserve">his study </w:t>
      </w:r>
      <w:r w:rsidR="00B90067" w:rsidRPr="00192CF1">
        <w:rPr>
          <w:rFonts w:ascii="Book Antiqua" w:hAnsi="Book Antiqua"/>
          <w:bCs/>
          <w:sz w:val="24"/>
          <w:szCs w:val="24"/>
          <w:lang w:val="en-US"/>
        </w:rPr>
        <w:t>validates the safety and efficacy of the single port approach</w:t>
      </w:r>
      <w:r w:rsidR="00766486" w:rsidRPr="00192CF1">
        <w:rPr>
          <w:rFonts w:ascii="Book Antiqua" w:hAnsi="Book Antiqua"/>
          <w:bCs/>
          <w:sz w:val="24"/>
          <w:szCs w:val="24"/>
          <w:lang w:val="en-US"/>
        </w:rPr>
        <w:t xml:space="preserve"> compared to conventional multiport approach. </w:t>
      </w:r>
    </w:p>
    <w:p w14:paraId="7009F784" w14:textId="77777777" w:rsidR="00B90067" w:rsidRPr="00192CF1" w:rsidRDefault="00B90067" w:rsidP="004647EC">
      <w:pPr>
        <w:spacing w:after="0" w:line="360" w:lineRule="auto"/>
        <w:jc w:val="both"/>
        <w:rPr>
          <w:rFonts w:ascii="Book Antiqua" w:hAnsi="Book Antiqua"/>
          <w:b/>
          <w:bCs/>
          <w:sz w:val="24"/>
          <w:szCs w:val="24"/>
          <w:lang w:val="en-US" w:eastAsia="zh-CN"/>
        </w:rPr>
      </w:pPr>
    </w:p>
    <w:p w14:paraId="1B049559" w14:textId="03453901" w:rsidR="004647EC" w:rsidRPr="00192CF1" w:rsidRDefault="005C63BD" w:rsidP="004647EC">
      <w:pPr>
        <w:spacing w:after="0" w:line="360" w:lineRule="auto"/>
        <w:jc w:val="both"/>
        <w:rPr>
          <w:rFonts w:ascii="Book Antiqua" w:hAnsi="Book Antiqua"/>
          <w:bCs/>
          <w:kern w:val="36"/>
          <w:sz w:val="24"/>
          <w:szCs w:val="24"/>
          <w:lang w:val="en-US" w:eastAsia="zh-CN"/>
        </w:rPr>
      </w:pPr>
      <w:proofErr w:type="spellStart"/>
      <w:r w:rsidRPr="00192CF1">
        <w:rPr>
          <w:rFonts w:ascii="Book Antiqua" w:hAnsi="Book Antiqua"/>
          <w:bCs/>
          <w:sz w:val="24"/>
          <w:szCs w:val="24"/>
          <w:lang w:val="en-US"/>
        </w:rPr>
        <w:t>Perivoliotis</w:t>
      </w:r>
      <w:proofErr w:type="spellEnd"/>
      <w:r w:rsidRPr="00192CF1">
        <w:rPr>
          <w:rFonts w:ascii="Book Antiqua" w:hAnsi="Book Antiqua"/>
          <w:bCs/>
          <w:sz w:val="24"/>
          <w:szCs w:val="24"/>
          <w:lang w:val="en-US"/>
        </w:rPr>
        <w:t xml:space="preserve"> K, </w:t>
      </w:r>
      <w:proofErr w:type="spellStart"/>
      <w:r w:rsidRPr="00192CF1">
        <w:rPr>
          <w:rFonts w:ascii="Book Antiqua" w:hAnsi="Book Antiqua"/>
          <w:bCs/>
          <w:sz w:val="24"/>
          <w:szCs w:val="24"/>
          <w:lang w:val="en-US"/>
        </w:rPr>
        <w:t>Sarakatsianou</w:t>
      </w:r>
      <w:proofErr w:type="spellEnd"/>
      <w:r w:rsidRPr="00192CF1">
        <w:rPr>
          <w:rFonts w:ascii="Book Antiqua" w:hAnsi="Book Antiqua"/>
          <w:bCs/>
          <w:sz w:val="24"/>
          <w:szCs w:val="24"/>
          <w:lang w:val="en-US"/>
        </w:rPr>
        <w:t xml:space="preserve"> C, </w:t>
      </w:r>
      <w:proofErr w:type="spellStart"/>
      <w:r w:rsidRPr="00192CF1">
        <w:rPr>
          <w:rFonts w:ascii="Book Antiqua" w:hAnsi="Book Antiqua"/>
          <w:bCs/>
          <w:sz w:val="24"/>
          <w:szCs w:val="24"/>
          <w:lang w:val="en-US"/>
        </w:rPr>
        <w:t>Tepetes</w:t>
      </w:r>
      <w:proofErr w:type="spellEnd"/>
      <w:r w:rsidRPr="00192CF1">
        <w:rPr>
          <w:rFonts w:ascii="Book Antiqua" w:hAnsi="Book Antiqua"/>
          <w:bCs/>
          <w:sz w:val="24"/>
          <w:szCs w:val="24"/>
          <w:lang w:val="en-US"/>
        </w:rPr>
        <w:t xml:space="preserve"> K, </w:t>
      </w:r>
      <w:proofErr w:type="spellStart"/>
      <w:r w:rsidRPr="00192CF1">
        <w:rPr>
          <w:rFonts w:ascii="Book Antiqua" w:hAnsi="Book Antiqua"/>
          <w:bCs/>
          <w:sz w:val="24"/>
          <w:szCs w:val="24"/>
          <w:lang w:val="en-US"/>
        </w:rPr>
        <w:t>Baloyiannis</w:t>
      </w:r>
      <w:proofErr w:type="spellEnd"/>
      <w:r w:rsidRPr="00192CF1">
        <w:rPr>
          <w:rFonts w:ascii="Book Antiqua" w:hAnsi="Book Antiqua"/>
          <w:bCs/>
          <w:sz w:val="24"/>
          <w:szCs w:val="24"/>
          <w:lang w:val="en-US"/>
        </w:rPr>
        <w:t xml:space="preserve"> I.</w:t>
      </w:r>
      <w:r w:rsidR="004647EC" w:rsidRPr="00192CF1">
        <w:rPr>
          <w:rFonts w:ascii="Book Antiqua" w:eastAsia="Times New Roman" w:hAnsi="Book Antiqua"/>
          <w:bCs/>
          <w:kern w:val="36"/>
          <w:sz w:val="24"/>
          <w:szCs w:val="24"/>
          <w:lang w:val="en-US" w:eastAsia="el-GR"/>
        </w:rPr>
        <w:t xml:space="preserve"> Single incision laparoscopic fundoplication: A systematic review of the literature</w:t>
      </w:r>
      <w:r w:rsidR="004647EC" w:rsidRPr="00192CF1">
        <w:rPr>
          <w:rFonts w:ascii="Book Antiqua" w:hAnsi="Book Antiqua"/>
          <w:bCs/>
          <w:kern w:val="36"/>
          <w:sz w:val="24"/>
          <w:szCs w:val="24"/>
          <w:lang w:val="en-US" w:eastAsia="zh-CN"/>
        </w:rPr>
        <w:t xml:space="preserve">. </w:t>
      </w:r>
      <w:r w:rsidR="004647EC" w:rsidRPr="00192CF1">
        <w:rPr>
          <w:rFonts w:ascii="Book Antiqua" w:hAnsi="Book Antiqua"/>
          <w:i/>
          <w:iCs/>
          <w:sz w:val="24"/>
          <w:szCs w:val="24"/>
        </w:rPr>
        <w:t>World J Gastrointest Surg</w:t>
      </w:r>
      <w:r w:rsidR="004647EC" w:rsidRPr="00192CF1">
        <w:rPr>
          <w:rFonts w:ascii="Book Antiqua" w:hAnsi="Book Antiqua"/>
          <w:i/>
          <w:iCs/>
          <w:sz w:val="24"/>
          <w:szCs w:val="24"/>
          <w:lang w:eastAsia="zh-CN"/>
        </w:rPr>
        <w:t xml:space="preserve"> </w:t>
      </w:r>
      <w:r w:rsidR="004647EC" w:rsidRPr="00192CF1">
        <w:rPr>
          <w:rFonts w:ascii="Book Antiqua" w:hAnsi="Book Antiqua"/>
          <w:iCs/>
          <w:sz w:val="24"/>
          <w:szCs w:val="24"/>
          <w:lang w:eastAsia="zh-CN"/>
        </w:rPr>
        <w:t>2019; In press</w:t>
      </w:r>
    </w:p>
    <w:p w14:paraId="077482B4" w14:textId="77777777" w:rsidR="004647EC" w:rsidRPr="00192CF1" w:rsidRDefault="004647EC" w:rsidP="004647EC">
      <w:pPr>
        <w:spacing w:after="0" w:line="360" w:lineRule="auto"/>
        <w:jc w:val="both"/>
        <w:rPr>
          <w:rFonts w:ascii="Book Antiqua" w:eastAsia="Times New Roman" w:hAnsi="Book Antiqua"/>
          <w:bCs/>
          <w:kern w:val="36"/>
          <w:sz w:val="24"/>
          <w:szCs w:val="24"/>
          <w:lang w:val="en-US" w:eastAsia="el-GR"/>
        </w:rPr>
      </w:pPr>
      <w:r w:rsidRPr="00192CF1">
        <w:rPr>
          <w:rFonts w:ascii="Book Antiqua" w:eastAsia="Times New Roman" w:hAnsi="Book Antiqua"/>
          <w:bCs/>
          <w:kern w:val="36"/>
          <w:sz w:val="24"/>
          <w:szCs w:val="24"/>
          <w:lang w:val="en-US" w:eastAsia="el-GR"/>
        </w:rPr>
        <w:br w:type="page"/>
      </w:r>
    </w:p>
    <w:p w14:paraId="1D3CB49D" w14:textId="11A87A9D" w:rsidR="005C63BD" w:rsidRPr="00192CF1" w:rsidRDefault="005C63BD" w:rsidP="004647EC">
      <w:pPr>
        <w:spacing w:after="0" w:line="360" w:lineRule="auto"/>
        <w:jc w:val="both"/>
        <w:rPr>
          <w:rFonts w:ascii="Book Antiqua" w:hAnsi="Book Antiqua"/>
          <w:b/>
          <w:bCs/>
          <w:sz w:val="24"/>
          <w:szCs w:val="24"/>
          <w:lang w:val="en-US"/>
        </w:rPr>
      </w:pPr>
      <w:r w:rsidRPr="00192CF1">
        <w:rPr>
          <w:rFonts w:ascii="Book Antiqua" w:hAnsi="Book Antiqua"/>
          <w:b/>
          <w:bCs/>
          <w:sz w:val="24"/>
          <w:szCs w:val="24"/>
          <w:lang w:val="en-US"/>
        </w:rPr>
        <w:lastRenderedPageBreak/>
        <w:t>INTRODUCTION</w:t>
      </w:r>
    </w:p>
    <w:p w14:paraId="3CE9B211" w14:textId="4AA861C6" w:rsidR="003876D5" w:rsidRPr="00192CF1" w:rsidRDefault="003876D5" w:rsidP="004647EC">
      <w:pPr>
        <w:spacing w:after="0" w:line="360" w:lineRule="auto"/>
        <w:jc w:val="both"/>
        <w:rPr>
          <w:rFonts w:ascii="Book Antiqua" w:hAnsi="Book Antiqua"/>
          <w:bCs/>
          <w:sz w:val="24"/>
          <w:szCs w:val="24"/>
          <w:lang w:val="en-US"/>
        </w:rPr>
      </w:pPr>
      <w:r w:rsidRPr="00192CF1">
        <w:rPr>
          <w:rFonts w:ascii="Book Antiqua" w:hAnsi="Book Antiqua"/>
          <w:bCs/>
          <w:sz w:val="24"/>
          <w:szCs w:val="24"/>
          <w:lang w:val="en-US"/>
        </w:rPr>
        <w:t xml:space="preserve">Fundoplication, the wrap of the gastric fundus around the distal part of the esophagus, was introduced by </w:t>
      </w:r>
      <w:proofErr w:type="spellStart"/>
      <w:r w:rsidRPr="00192CF1">
        <w:rPr>
          <w:rFonts w:ascii="Book Antiqua" w:hAnsi="Book Antiqua"/>
          <w:bCs/>
          <w:sz w:val="24"/>
          <w:szCs w:val="24"/>
          <w:lang w:val="en-US"/>
        </w:rPr>
        <w:t>Nissen</w:t>
      </w:r>
      <w:proofErr w:type="spellEnd"/>
      <w:r w:rsidR="008D7525" w:rsidRPr="00192CF1">
        <w:rPr>
          <w:rFonts w:ascii="Book Antiqua" w:hAnsi="Book Antiqua"/>
          <w:bCs/>
          <w:sz w:val="24"/>
          <w:szCs w:val="24"/>
          <w:lang w:val="en-US"/>
        </w:rPr>
        <w:fldChar w:fldCharType="begin" w:fldLock="1"/>
      </w:r>
      <w:r w:rsidR="008D7525" w:rsidRPr="00192CF1">
        <w:rPr>
          <w:rFonts w:ascii="Book Antiqua" w:hAnsi="Book Antiqua"/>
          <w:bCs/>
          <w:sz w:val="24"/>
          <w:szCs w:val="24"/>
          <w:lang w:val="en-US"/>
        </w:rPr>
        <w:instrText>ADDIN CSL_CITATION {"citationItems":[{"id":"ITEM-1","itemData":{"ISSN":"0036-7672","PMID":"13337262","author":[{"dropping-particle":"","family":"NISSEN","given":"R","non-dropping-particle":"","parse-names":false,"suffix":""}],"container-title":"Schweizerische medizinische Wochenschrift","id":"ITEM-1","issue":"Suppl 20","issued":{"date-parts":[["1956","5","18"]]},"page":"590-2","title":"[A simple operation for control of reflux esophagitis].","type":"article-journal","volume":"86"},"uris":["http://www.mendeley.com/documents/?uuid=5c92c6b8-fce9-3957-b997-331fbe35fb7a"]}],"mendeley":{"formattedCitation":"&lt;sup&gt;[1]&lt;/sup&gt;","plainTextFormattedCitation":"[1]","previouslyFormattedCitation":"&lt;sup&gt;[1]&lt;/sup&gt;"},"properties":{"noteIndex":0},"schema":"https://github.com/citation-style-language/schema/raw/master/csl-citation.json"}</w:instrText>
      </w:r>
      <w:r w:rsidR="008D7525" w:rsidRPr="00192CF1">
        <w:rPr>
          <w:rFonts w:ascii="Book Antiqua" w:hAnsi="Book Antiqua"/>
          <w:bCs/>
          <w:sz w:val="24"/>
          <w:szCs w:val="24"/>
          <w:lang w:val="en-US"/>
        </w:rPr>
        <w:fldChar w:fldCharType="separate"/>
      </w:r>
      <w:r w:rsidR="008D7525" w:rsidRPr="00192CF1">
        <w:rPr>
          <w:rFonts w:ascii="Book Antiqua" w:hAnsi="Book Antiqua"/>
          <w:bCs/>
          <w:noProof/>
          <w:sz w:val="24"/>
          <w:szCs w:val="24"/>
          <w:vertAlign w:val="superscript"/>
          <w:lang w:val="en-US"/>
        </w:rPr>
        <w:t>[1]</w:t>
      </w:r>
      <w:r w:rsidR="008D7525"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in 1956, as a surgical treatment of gastroesophageal reflux disease (GERD), and is currently considered as the operation of choice, when conservative approaches fail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{"citationItems":[{"id":"ITEM-1","itemData":{"DOI":"10.1007/s00535-016-1227-8","ISSN":"0944-1174","PMID":"27325300","abstract":"As an increase in gastroesophageal reflux disease (GERD) has been reported in Japan, and public interest in GERD has been increasing, the Japanese Society of Gastroenterology published the Evidence-based Clinical Practice Guidelines for GERD (1st edition) in 2009. Six years have passed since its publication, and there have been a large number of reports in Japan concerning the epidemiology, pathophysiology, treatment, and Barrett's esophagus during this period. By incorporating the contents of these reports, the guidelines were completely revised, and a new edition was published in October 2015. The revised edition consists of eight items: epidemiology, pathophysiology, diagnosis, internal treatment, surgical treatment, esophagitis after surgery of the upper gastrointestinal tract, extraesophageal symptoms, and Barrett's esophagus. This paper summarizes these guidelines, particularly the parts related to the treatment for GERD. In the present revision, aggressive proton pump inhibitor (PPI) maintenance therapy is recommended for severe erosive GERD, and on-demand therapy or continuous maintenance therapy is recommended for mild erosive GERD or PPI-responsive non-erosive GERD. Moreover, PPI-resistant GERD (insufficient symptomatic improvement and/or esophageal mucosal break persisting despite the administration of PPI at a standard dose for 8 weeks) is defined, and a standard-dose PPI twice a day, change in PPI, change in the PPI timing of dosing, addition of a prokinetic drug, addition of rikkunshito (traditional Japanese herbal medicine), and addition of histamine H2-receptor antagonist are recommended for its treatment. If no improvement is observed even after these treatments, pathophysiological evaluation with esophageal impedance-pH monitoring or esophageal manometry at an expert facility for diseases of the esophagus is recommended.","author":[{"dropping-particle":"","family":"Iwakiri","given":"Katsuhiko","non-dropping-particle":"","parse-names":false,"suffix":""},{"dropping-particle":"","family":"Kinoshita","given":"Yoshikazu","non-dropping-particle":"","parse-names":false,"suffix":""},{"dropping-particle":"","family":"Habu","given":"Yasuki","non-dropping-particle":"","parse-names":false,"suffix":""},{"dropping-particle":"","family":"Oshima","given":"Tadayuki","non-dropping-particle":"","parse-names":false,"suffix":""},{"dropping-particle":"","family":"Manabe","given":"Noriaki","non-dropping-particle":"","parse-names":false,"suffix":""},{"dropping-particle":"","family":"Fujiwara","given":"Yasuhiro","non-dropping-particle":"","parse-names":false,"suffix":""},{"dropping-particle":"","family":"Nagahara","given":"Akihito","non-dropping-particle":"","parse-names":false,"suffix":""},{"dropping-particle":"","family":"Kawamura","given":"Osamu","non-dropping-particle":"","parse-names":false,"suffix":""},{"dropping-particle":"","family":"Iwakiri","given":"Ryuichi","non-dropping-particle":"","parse-names":false,"suffix":""},{"dropping-particle":"","family":"Ozawa","given":"Soji","non-dropping-particle":"","parse-names":false,"suffix":""},{"dropping-particle":"","family":"Ashida","given":"Kiyoshi","non-dropping-particle":"","parse-names":false,"suffix":""},{"dropping-particle":"","family":"Ohara","given":"Shuichi","non-dropping-particle":"","parse-names":false,"suffix":""},{"dropping-particle":"","family":"Kashiwagi","given":"Hideyuki","non-dropping-particle":"","parse-names":false,"suffix":""},{"dropping-particle":"","family":"Adachi","given":"Kyoichi","non-dropping-particle":"","parse-names":false,"suffix":""},{"dropping-particle":"","family":"Higuchi","given":"Kazuhide","non-dropping-particle":"","parse-names":false,"suffix":""},{"dropping-particle":"","family":"Miwa","given":"Hiroto","non-dropping-particle":"","parse-names":false,"suffix":""},{"dropping-particle":"","family":"Fujimoto","given":"Kazuma","non-dropping-particle":"","parse-names":false,"suffix":""},{"dropping-particle":"","family":"Kusano","given":"Motoyasu","non-dropping-particle":"","parse-names":false,"suffix":""},{"dropping-particle":"","family":"Hoshihara","given":"Yoshio","non-dropping-particle":"","parse-names":false,"suffix":""},{"dropping-particle":"","family":"Kawano","given":"Tatsuyuki","non-dropping-particle":"","parse-names":false,"suffix":""},{"dropping-particle":"","family":"Haruma","given":"Ken","non-dropping-particle":"","parse-names":false,"suffix":""},{"dropping-particle":"","family":"Hongo","given":"Michio","non-dropping-particle":"","parse-names":false,"suffix":""},{"dropping-particle":"","family":"Sugano","given":"Kentaro","non-dropping-particle":"","parse-names":false,"suffix":""},{"dropping-particle":"","family":"Watanabe","given":"Mamoru","non-dropping-particle":"","parse-names":false,"suffix":""},{"dropping-particle":"","family":"Shimosegawa","given":"Tooru","non-dropping-particle":"","parse-names":false,"suffix":""}],"container-title":"Journal of Gastroenterology","id":"ITEM-1","issue":"8","issued":{"date-parts":[["2016","8","21"]]},"page":"751-767","title":"Evidence-based clinical practice guidelines for gastroesophageal reflux disease 2015","type":"article-journal","volume":"51"},"uris":["http://www.mendeley.com/documents/?uuid=90319eae-9fd6-3428-a598-7b2958e5c693"]}],"mendeley":{"formattedCitation":"&lt;sup&gt;[2]&lt;/sup&gt;","plainTextFormattedCitation":"[2]","previouslyFormattedCitation":"&lt;sup&gt;[2]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Since the extent of the plication was correlated with postoperative functional complications, various modifications (</w:t>
      </w:r>
      <w:r w:rsidRPr="00192CF1">
        <w:rPr>
          <w:rFonts w:ascii="Book Antiqua" w:hAnsi="Book Antiqua"/>
          <w:bCs/>
          <w:i/>
          <w:sz w:val="24"/>
          <w:szCs w:val="24"/>
          <w:lang w:val="en-US"/>
        </w:rPr>
        <w:t>e.g.</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Hill,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w:t>
      </w:r>
      <w:r w:rsidR="004647EC" w:rsidRPr="00192CF1">
        <w:rPr>
          <w:rFonts w:ascii="Book Antiqua" w:hAnsi="Book Antiqua"/>
          <w:bCs/>
          <w:sz w:val="24"/>
          <w:szCs w:val="24"/>
          <w:lang w:val="en-US"/>
        </w:rPr>
        <w:t xml:space="preserve"> </w:t>
      </w:r>
      <w:r w:rsidRPr="00192CF1">
        <w:rPr>
          <w:rFonts w:ascii="Book Antiqua" w:hAnsi="Book Antiqua"/>
          <w:bCs/>
          <w:sz w:val="24"/>
          <w:szCs w:val="24"/>
          <w:lang w:val="en-US"/>
        </w:rPr>
        <w:t>of the original technique have been described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{"citationItems":[{"id":"ITEM-1","itemData":{"DOI":"10.1007/s00268-017-4040-5","ISSN":"0364-2313","abstract":"The management of paraesophageal hernia (PEH) is one of the most debated\nin surgery. Trends regarding indications, approach (open, laparoscopic,\nthoracoscopic), sac excision, mesh placement, and routine performance of\nfundoplication have changed over time. Today, most surgeons tend to\nperform a laparoscopic PEH repair that entails the excision of the sac,\nliberal use of a mesh to buttress the hiatus, and the addition of an\nanti-reflux procedure. Nevertheless, very little has been written on\nwhich type of fundoplication should be performed in these patients.\nTherefore, the goal of our study was to provide an evidence-based\noverview of which type of fundoplication should be performed during a\nPEH repair and the role of preoperative function tests in the\ndecision-making\nWe searched the MEDLINE, Cochran, PubMed, Google Scholar, and Embase\ndatabases for papers published between 1996 and 2016 pertaining to the\nsurgical treatment of PEH. We hand-searched the bibliographies of\nincluded studies and we excluded all reviews and case reports. We\nselected clinical studies and technical reports. We only considered\npapers stating rationales for the type of fundoplication performed.\nOur search yielded 24 articles: 17 clinical studies and 7 technical\nreports. In five of the clinical studies, a fundoplication was added\nonly to patients with reflux symptoms. In all clinical studies, the most\nperformed procedure was a total fundoplication (Nissen or\nNissen-Rossetti), whereas a partial fundoplication (Toupet more\nfrequently than Dor) or no fundoplication was reserved to those with\nimpaired esophageal motility. All seven technical reports recommended a\ntailored approach and suggested adding a partial fundoplication (mainly\nToupet) when the manometric findings showed esophageal dismotility.\nThe argument of whether or not a fundoplication should be added to a PEH\nrepair in patients without evidence of reflux still persists. However,\nthis review highlights that, when a fundoplication is performed, a\ntailored approach based on preoperative function tests is almost always\npreferred.","author":[{"dropping-particle":"","family":"Andolfi","given":"Ciro","non-dropping-particle":"","parse-names":false,"suffix":""},{"dropping-particle":"","family":"Plana","given":"Alejandro","non-dropping-particle":"","parse-names":false,"suffix":""},{"dropping-particle":"","family":"Furno","given":"Sara","non-dropping-particle":"","parse-names":false,"suffix":""},{"dropping-particle":"","family":"Fisichella","given":"Piero Marco","non-dropping-particle":"","parse-names":false,"suffix":""}],"container-title":"WORLD JOURNAL OF SURGERY","id":"ITEM-1","issue":"10","issued":{"date-parts":[["2017"]]},"page":"2573-2582","title":"Paraesophageal Hernia and Reflux Prevention: Is One Fundoplication Better than the Other?","type":"article-journal","volume":"41"},"uris":["http://www.mendeley.com/documents/?uuid=27f02815-ad5e-4f4b-968d-56271d6ed9d9"]},{"id":"ITEM-2","itemData":{"DOI":"10.1002/bjs.10924","ISSN":"00071323","PMID":"30004114","abstract":"BACKGROUND Proton pump inhibitors are the mainstay of treatment for gastro-oesophageal reflux disease, but are associated with ongoing costs and side-effects. Antireflux surgery is cost-effective and is preferred by many patients. A total (360o or Nissen) fundoplication is the traditional procedure, but other variations including partial fundoplications are also commonly performed, with the aim of achieving durable reflux control with minimal dysphagia. Many RCTs and some pairwise meta-analyses have compared some of these procedures but there is still uncertainty about which, if any, is superior. Network meta-analysis allows multiple simultaneous comparisons and robust synthesis of the available evidence in these situations. A network meta-analysis comparing all antireflux procedures was performed to identify which has the most favourable outcomes at short-term (3-12</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months), medium-term (1-5</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years) and long-term (10</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years and more than 10</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years) follow-up. METHODS Article databases were searched systematically for all eligible RCTs. Primary outcomes were quality-of-life measures and dysphagia. Secondary outcomes included reflux symptoms, pH studies and complications. RESULTS Fifty-one RCTs were included, involving 5357 patients and 14 different treatments. Posterior partial fundoplication ranked best in terms of reflux symptoms, and caused less dysphagia than most other interventions including Nissen fundoplication. This was consistent across all time points and outcome measures. CONCLUSION Posterior partial fundoplication provides the best balance of long-term, durable reflux control with less dysphagia, compared with other treatments.","author":[{"dropping-particle":"","family":"Amer","given":"M. A.","non-dropping-particle":"","parse-names":false,"suffix":""},{"dropping-particle":"","family":"Smith","given":"M. D.","non-dropping-particle":"","parse-names":false,"suffix":""},{"dropping-particle":"","family":"Khoo","given":"C. H.","non-dropping-particle":"","parse-names":false,"suffix":""},{"dropping-particle":"","family":"Herbison","given":"G. P.","non-dropping-particle":"","parse-names":false,"suffix":""},{"dropping-particle":"","family":"McCall","given":"J. L.","non-dropping-particle":"","parse-names":false,"suffix":""}],"container-title":"British Journal of Surgery","id":"ITEM-2","issue":"11","issued":{"date-parts":[["2018","10"]]},"page":"1398-1407","title":"Network meta-analysis of surgical management of gastro-oesophageal reflux disease in adults","type":"article-journal","volume":"105"},"uris":["http://www.mendeley.com/documents/?uuid=62e78821-6f78-3ad2-839b-99c8829444f1"]},{"id":"ITEM-3","itemData":{"DOI":"10.1097/MD.0000000000008085","ISSN":"0025-7974","PMID":"28906412","abstract":"BACKGROUND Laparoscopic Nissen fundoplication (LNF) has been the gold standard for the surgical management of Gastro-esophageal reflux disease (GERD). Laparoscopic anterior 180° fundoplication (180° LAF) is reported to reduce the incidence of postoperative complications while obtaining similar control of reflux. The present meta-analysis was conducted to confirm the value of the 2 techniques. METHODS PubMed, Medline, Embase, Cochrane Library, Springerlink, and China National Knowledge Infrastructure Platform databases were searched for randomized controlled trials (RCTs) comparing LNF and 180° LAF. Data regarding the benefits and adverse results of 2 techniques were extracted and compared using a meta-analysis. RESULTS Six eligible RCTs comparing LNF (n</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266) and 180° LAF (n</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265) were identified. There were no significant differences between LNF and 180° LAF with regard to operating time, perioperative complications, length of hospital stay, patient satisfaction, willingness to undergo surgery again, quality of life, postoperative heartburn, proton pump inhibitor (PPI) use, postoperative DeMeester scores, postoperative lower esophageal sphincter (LES) pressure, postoperative gas-bloating, unable to belch, diarrhea, or overall reoperation. LNF was associated with a higher prevalence of postoperative dysphagia compared with 180° LAF, while 180° LAF was followed by more reoperation for recurrent reflux symptoms. CONCLUSION LNF and 180° LAF are equally effective in controlling reflux symptoms and obtain a comparable prevalence of patient satisfaction. 180° LAF can reduce the incidence of postoperative dysphagia while this is offset by a higher risk of reoperation for recurrent symptoms. The risk of recurrent symptoms should need to be balanced against the risk of dysphagia when surgeons choose surgical procedures for each individual with GERD.","author":[{"dropping-particle":"","family":"Du","given":"Xing","non-dropping-particle":"","parse-names":false,"suffix":""},{"dropping-particle":"","family":"Wu","given":"Ji-Min","non-dropping-particle":"","parse-names":false,"suffix":""},{"dropping-particle":"","family":"Hu","given":"Zhi-Wei","non-dropping-particle":"","parse-names":false,"suffix":""},{"dropping-particle":"","family":"Wang","given":"Feng","non-dropping-particle":"","parse-names":false,"suffix":""},{"dropping-particle":"","family":"Wang","given":"Zhong-Gao","non-dropping-particle":"","parse-names":false,"suffix":""},{"dropping-particle":"","family":"Zhang","given":"Chao","non-dropping-particle":"","parse-names":false,"suffix":""},{"dropping-particle":"","family":"Yan","given":"Chao","non-dropping-particle":"","parse-names":false,"suffix":""},{"dropping-particle":"","family":"Chen","given":"Mei-Ping","non-dropping-particle":"","parse-names":false,"suffix":""}],"container-title":"Medicine","id":"ITEM-3","issue":"37","issued":{"date-parts":[["2017","9"]]},"page":"e8085","title":"Laparoscopic Nissen (total) versus anterior 180° fundoplication for gastro-esophageal reflux disease","type":"article-journal","volume":"96"},"uris":["http://www.mendeley.com/documents/?uuid=1c9257bb-6a79-35c7-ae3b-891b9b1277d4"]}],"mendeley":{"formattedCitation":"&lt;sup&gt;[3–5]&lt;/sup&gt;","plainTextFormattedCitation":"[3–5]","previouslyFormattedCitation":"&lt;sup&gt;[3–5]&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[3–5]</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Besides these, fundoplication has been, also, an important restoration element in other procedures, such as, Heller myotomy for esophageal achalasia</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{"citationItems":[{"id":"ITEM-1","itemData":{"DOI":"10.1016/j.athoracsur.2007.12.004","ISSN":"00034975","PMID":"18222208","abstract":"Achalasia is a rare primary motility disorder of the esophagus with a United States prevalence of less than 0.001%. Laparoscopic modified Heller myotomy has become the standard of care for palliation of this incurable but benign disease. The role of a fundoplication with the myotomy continues to be controversial. This report summarizes the current laparoscopic management of achalasia with a review of the medical literature on the outcome of combining a fundoplication with a laparoscopic myotomy. The optimal length of myotomy as suggested in the literature is also summarized. To complete the goal, peer-reviewed publications were identified in PubMed by search terms achalasia, myotomy, fundoplication, Nissen, Dor, and Toupet.","author":[{"dropping-particle":"","family":"Litle","given":"Virginia R.","non-dropping-particle":"","parse-names":false,"suffix":""}],"container-title":"The Annals of Thoracic Surgery","id":"ITEM-1","issue":"2","issued":{"date-parts":[["2008","2"]]},"page":"S743-S746","title":"Laparoscopic Heller Myotomy for Achalasia: A Review of the Controversies","type":"article-journal","volume":"85"},"uris":["http://www.mendeley.com/documents/?uuid=82cc73fd-bba5-32a1-8bf0-c50c40b398db"]}],"mendeley":{"formattedCitation":"&lt;sup&gt;[6]&lt;/sup&gt;","plainTextFormattedCitation":"[6]","previouslyFormattedCitation":"&lt;sup&gt;[6]&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[6]</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w:t>
      </w:r>
      <w:r w:rsidR="004647EC" w:rsidRPr="00192CF1">
        <w:rPr>
          <w:rFonts w:ascii="Book Antiqua" w:hAnsi="Book Antiqua"/>
          <w:bCs/>
          <w:sz w:val="24"/>
          <w:szCs w:val="24"/>
          <w:lang w:val="en-US"/>
        </w:rPr>
        <w:t xml:space="preserve"> </w:t>
      </w:r>
    </w:p>
    <w:p w14:paraId="6C611781" w14:textId="77777777" w:rsidR="003876D5" w:rsidRPr="00192CF1" w:rsidRDefault="003876D5" w:rsidP="008D7525">
      <w:pPr>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The implementation of the minimal invasive principles in fundoplication, was justified under the auspice of a better cosmetic result, reduced postoperative pain and a faster recovery</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{"citationItems":[{"id":"ITEM-1","itemData":{"DOI":"10.1038/ajg.2009.176","ISSN":"0002-9270","PMID":"19491872","abstract":"OBJECTIVES The aim of this study was to conduct a meta-analysis of randomized evidence to determine the relative merits of laparoscopic anti-reflux surgery (LARS) and open anti-reflux surgery (OARS) for proven gastro-esophageal reflux disease (GERD). METHODS A search of the Medline, Embase, Science Citation Index, Current Contents, and PubMed databases identified all randomized clinical trials that compared LARS and OARS and that were published in the English language between 1990 and 2007. A meta-analysis was carried out in accordance with the QUOROM (Quality of Reporting of Meta-Analyses) statement. The six outcome variables analyzed were operating time, hospital stay, return to normal activity, perioperative complications, treatment failure, and requirement for further surgery. Random-effects meta-analyses were carried out using odds ratios (ORs) and weighted mean differences (WMDs). RESULTS Twelve trials were considered suitable for the meta-analysis. A total of 503 patients underwent OARS and 533 had LARS. For three of the six outcomes, the summary point estimates favored LARS over OARS. There was a significant reduction of 2.68 days in the duration of hospital stay for the LARS group compared with that for the OARS group (WMD: -2.68, 95% confidence interval (CI): -3.54 to -1.81; P&lt;0.0001), a significant reduction of 7.75 days in return to normal activity for the LARS group compared with that for the OARS group (WMD: -7.75, 95% CI: -14.37 to -1.14; P=0.0216), and finally, there was a statistically significant reduction of 65% in the relative odds of complication rates for the LARS group compared with that for the OARS group (OR: 0.35, 95% CI: 0.16-0.75; P=0.0072). The duration of operating time was significantly longer (39.02 min) in the LARS group (WMD: 39.02, 95% CI: 17.99-60.05; P=0.0003). Treatment failure rates were comparable between the two groups (OR: 1.39, 95% CI: 0.71-2.72; P=0.3423). Despite this, the requirement for further surgery was significantly higher in the LARS group (OR: 1.79, 95% CI: 1.00-3.22; P=0.05). CONCLUSIONS On the basis of this meta-analysis, the authors conclude that LARS is an effective and safe alternative to OARS for the treatment of proven GERD. LARS enables a faster convalescence and return to productive activity, with a reduced risk of complications and a similar treatment outcome, than an open approach. However, there is a significantly higher rate of re-operation (79%) in the LARS group.","author":[{"dropping-particle":"","family":"Peters","given":"Matthew James","non-dropping-particle":"","parse-names":false,"suffix":""},{"dropping-particle":"","family":"Mukhtar","given":"Athar","non-dropping-particle":"","parse-names":false,"suffix":""},{"dropping-particle":"","family":"Yunus","given":"Rossita Mohamad","non-dropping-particle":"","parse-names":false,"suffix":""},{"dropping-particle":"","family":"Khan","given":"Shahjahan","non-dropping-particle":"","parse-names":false,"suffix":""},{"dropping-particle":"","family":"Pappalardo","given":"Juanita","non-dropping-particle":"","parse-names":false,"suffix":""},{"dropping-particle":"","family":"Memon","given":"Breda","non-dropping-particle":"","parse-names":false,"suffix":""},{"dropping-particle":"","family":"Memon","given":"Muhammed Ashraf","non-dropping-particle":"","parse-names":false,"suffix":""}],"container-title":"The American Journal of Gastroenterology","id":"ITEM-1","issue":"6","issued":{"date-parts":[["2009","6","28"]]},"page":"1548-1561","title":"Meta-Analysis of Randomized Clinical Trials Comparing Open and Laparoscopic Anti-Reflux Surgery","type":"article-journal","volume":"104"},"uris":["http://www.mendeley.com/documents/?uuid=4ef6ef7d-6323-3944-95e3-f90b1b6d921a"]}],"mendeley":{"formattedCitation":"&lt;sup&gt;[7]&lt;/sup&gt;","plainTextFormattedCitation":"[7]","previouslyFormattedCitation":"&lt;sup&gt;[7]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However, proponents of the open approach, linked laparoscopy to increased perioperative costs, pneumoperitoneum related complications, and technical difficulties leading to a steeper learning curve, such as, narrowing of the field of vision, fixed instrument positions and loss of loss of freedom degrees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{"citationItems":[{"id":"ITEM-1","itemData":{"DOI":"10.1080/13645700701820242","ISSN":"1364-5706","PMID":"18270873","abstract":"This article gives an overview of research performed in the field of haptic information feedback during minimally invasive surgery (MIS). Literature has been consulted from 1985 to present. The studies show that currently, haptic information feedback is rare, but promising, in MIS. Surgeons benefit from additional feedback about force information. When it comes to grasping forces and perceiving slip, little is known about the advantages additional haptic information can give to prevent tissue trauma during manipulation. Improvement of haptic perception through augmented haptic information feedback in MIS might be promising.","author":[{"dropping-particle":"","family":"Westebring – van der Putten","given":"E. P.","non-dropping-particle":"","parse-names":false,"suffix":""},{"dropping-particle":"","family":"Goossens","given":"R. H. M.","non-dropping-particle":"","parse-names":false,"suffix":""},{"dropping-particle":"","family":"Jakimowicz","given":"J. J.","non-dropping-particle":"","parse-names":false,"suffix":""},{"dropping-particle":"","family":"Dankelman","given":"J.","non-dropping-particle":"","parse-names":false,"suffix":""}],"container-title":"Minimally Invasive Therapy &amp; Allied Technologies","id":"ITEM-1","issue":"1","issued":{"date-parts":[["2008","1","10"]]},"page":"3-16","title":"Haptics in minimally invasive surgery – a review","type":"article-journal","volume":"17"},"uris":["http://www.mendeley.com/documents/?uuid=7f52d2ba-e0e9-3880-9b8a-bca84d043702"]}],"mendeley":{"formattedCitation":"&lt;sup&gt;[8]&lt;/sup&gt;","plainTextFormattedCitation":"[8]","previouslyFormattedCitation":"&lt;sup&gt;[8]&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[8]</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Due to the fact that subsequent studies, associated laparoscopic fundoplication with a reduced length of hospital stay (LOS), return to daily activities and overall morbidity, resulted in the establishment of laparoscopy as the gold standard approach</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{"citationItems":[{"id":"ITEM-1","itemData":{"DOI":"10.1038/ajg.2009.176","ISSN":"0002-9270","PMID":"19491872","abstract":"OBJECTIVES The aim of this study was to conduct a meta-analysis of randomized evidence to determine the relative merits of laparoscopic anti-reflux surgery (LARS) and open anti-reflux surgery (OARS) for proven gastro-esophageal reflux disease (GERD). METHODS A search of the Medline, Embase, Science Citation Index, Current Contents, and PubMed databases identified all randomized clinical trials that compared LARS and OARS and that were published in the English language between 1990 and 2007. A meta-analysis was carried out in accordance with the QUOROM (Quality of Reporting of Meta-Analyses) statement. The six outcome variables analyzed were operating time, hospital stay, return to normal activity, perioperative complications, treatment failure, and requirement for further surgery. Random-effects meta-analyses were carried out using odds ratios (ORs) and weighted mean differences (WMDs). RESULTS Twelve trials were considered suitable for the meta-analysis. A total of 503 patients underwent OARS and 533 had LARS. For three of the six outcomes, the summary point estimates favored LARS over OARS. There was a significant reduction of 2.68 days in the duration of hospital stay for the LARS group compared with that for the OARS group (WMD: -2.68, 95% confidence interval (CI): -3.54 to -1.81; P&lt;0.0001), a significant reduction of 7.75 days in return to normal activity for the LARS group compared with that for the OARS group (WMD: -7.75, 95% CI: -14.37 to -1.14; P=0.0216), and finally, there was a statistically significant reduction of 65% in the relative odds of complication rates for the LARS group compared with that for the OARS group (OR: 0.35, 95% CI: 0.16-0.75; P=0.0072). The duration of operating time was significantly longer (39.02 min) in the LARS group (WMD: 39.02, 95% CI: 17.99-60.05; P=0.0003). Treatment failure rates were comparable between the two groups (OR: 1.39, 95% CI: 0.71-2.72; P=0.3423). Despite this, the requirement for further surgery was significantly higher in the LARS group (OR: 1.79, 95% CI: 1.00-3.22; P=0.05). CONCLUSIONS On the basis of this meta-analysis, the authors conclude that LARS is an effective and safe alternative to OARS for the treatment of proven GERD. LARS enables a faster convalescence and return to productive activity, with a reduced risk of complications and a similar treatment outcome, than an open approach. However, there is a significantly higher rate of re-operation (79%) in the LARS group.","author":[{"dropping-particle":"","family":"Peters","given":"Matthew James","non-dropping-particle":"","parse-names":false,"suffix":""},{"dropping-particle":"","family":"Mukhtar","given":"Athar","non-dropping-particle":"","parse-names":false,"suffix":""},{"dropping-particle":"","family":"Yunus","given":"Rossita Mohamad","non-dropping-particle":"","parse-names":false,"suffix":""},{"dropping-particle":"","family":"Khan","given":"Shahjahan","non-dropping-particle":"","parse-names":false,"suffix":""},{"dropping-particle":"","family":"Pappalardo","given":"Juanita","non-dropping-particle":"","parse-names":false,"suffix":""},{"dropping-particle":"","family":"Memon","given":"Breda","non-dropping-particle":"","parse-names":false,"suffix":""},{"dropping-particle":"","family":"Memon","given":"Muhammed Ashraf","non-dropping-particle":"","parse-names":false,"suffix":""}],"container-title":"The American Journal of Gastroenterology","id":"ITEM-1","issue":"6","issued":{"date-parts":[["2009","6","28"]]},"page":"1548-1561","title":"Meta-Analysis of Randomized Clinical Trials Comparing Open and Laparoscopic Anti-Reflux Surgery","type":"article-journal","volume":"104"},"uris":["http://www.mendeley.com/documents/?uuid=4ef6ef7d-6323-3944-95e3-f90b1b6d921a"]},{"id":"ITEM-2","itemData":{"DOI":"10.1007/s00268-014-2914-3","ISSN":"0364-2313","PMID":"25526923","abstract":"The last three decades have witnessed a progressive evolution in the surgical treatment of esophageal achalasia, with a shift from open to a minimally invasive Heller myotomy. The laparoscopic approach is currently the standard of care with better short-term outcomes and similar long-term functional results when compared to open surgery. More recently, the laparoscopic single-site approach and the use of the robot have been proposed to further improve the surgical outcome in achalasia patients.","author":[{"dropping-particle":"","family":"Allaix","given":"Marco E.","non-dropping-particle":"","parse-names":false,"suffix":""},{"dropping-particle":"","family":"Patti","given":"Marco G.","non-dropping-particle":"","parse-names":false,"suffix":""}],"container-title":"World Journal of Surgery","id":"ITEM-2","issue":"7","issued":{"date-parts":[["2015","7","20"]]},"page":"1603-1607","title":"Heller Myotomy for Achalasia. From the Open to the Laparoscopic Approach","type":"article-journal","volume":"39"},"uris":["http://www.mendeley.com/documents/?uuid=3baa938d-ec9b-3598-b905-fd93546fabaa"]}],"mendeley":{"formattedCitation":"&lt;sup&gt;[7,9]&lt;/sup&gt;","plainTextFormattedCitation":"[7,9]","previouslyFormattedCitation":"&lt;sup&gt;[7,9]&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[7,9]</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w:t>
      </w:r>
    </w:p>
    <w:p w14:paraId="63CFAE31" w14:textId="4E3AC5A0" w:rsidR="003876D5" w:rsidRPr="00192CF1" w:rsidRDefault="003876D5" w:rsidP="008D7525">
      <w:pPr>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In order to further enhance the advantages of minimally invasive operations, single incision</w:t>
      </w:r>
      <w:r w:rsidR="00643790" w:rsidRPr="00192CF1">
        <w:rPr>
          <w:rFonts w:ascii="Book Antiqua" w:hAnsi="Book Antiqua"/>
          <w:bCs/>
          <w:sz w:val="24"/>
          <w:szCs w:val="24"/>
          <w:lang w:val="en-US" w:eastAsia="zh-CN"/>
        </w:rPr>
        <w:t xml:space="preserve"> </w:t>
      </w:r>
      <w:r w:rsidR="00643790" w:rsidRPr="00192CF1">
        <w:rPr>
          <w:rFonts w:ascii="Book Antiqua" w:hAnsi="Book Antiqua"/>
          <w:bCs/>
          <w:sz w:val="24"/>
          <w:szCs w:val="24"/>
          <w:lang w:val="en-US"/>
        </w:rPr>
        <w:t xml:space="preserve">(SI) </w:t>
      </w:r>
      <w:r w:rsidRPr="00192CF1">
        <w:rPr>
          <w:rFonts w:ascii="Book Antiqua" w:hAnsi="Book Antiqua"/>
          <w:bCs/>
          <w:sz w:val="24"/>
          <w:szCs w:val="24"/>
          <w:lang w:val="en-US"/>
        </w:rPr>
        <w:t xml:space="preserve">laparoscopic surgery </w:t>
      </w:r>
      <w:r w:rsidR="008D7525" w:rsidRPr="00192CF1">
        <w:rPr>
          <w:rFonts w:ascii="Book Antiqua" w:hAnsi="Book Antiqua"/>
          <w:bCs/>
          <w:sz w:val="24"/>
          <w:szCs w:val="24"/>
          <w:lang w:val="en-US"/>
        </w:rPr>
        <w:t xml:space="preserve">was introduced. Navarra </w:t>
      </w:r>
      <w:r w:rsidR="008D7525"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0007-1323","PMID":"9171771","author":[{"dropping-particle":"","family":"Navarra","given":"G","non-dropping-particle":"","parse-names":false,"suffix":""},{"dropping-particle":"","family":"Pozza","given":"E","non-dropping-particle":"","parse-names":false,"suffix":""},{"dropping-particle":"","family":"Occhionorelli","given":"S","non-dropping-particle":"","parse-names":false,"suffix":""},{"dropping-particle":"","family":"Carcoforo","given":"P","non-dropping-particle":"","parse-names":false,"suffix":""},{"dropping-particle":"","family":"Donini","given":"I","non-dropping-particle":"","parse-names":false,"suffix":""}],"container-title":"The British journal of surgery","id":"ITEM-1","issue":"5","issued":{"date-parts":[["1997","5"]]},"page":"695","title":"One-wound laparoscopic cholecystectomy.","type":"article-journal","volume":"84"},"uris":["http://www.mendeley.com/documents/?uuid=dbbf9dfc-2231-3e17-972d-bae943a246ab"]}],"mendeley":{"formattedCitation":"&lt;sup&gt;[10]&lt;/sup&gt;","plainTextFormattedCitation":"[10]","previouslyFormattedCitation":"&lt;sup&gt;[10]&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[10]</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in 1997, reported the first SI cholecystectomy, whereas </w:t>
      </w:r>
      <w:r w:rsidR="008D7525" w:rsidRPr="00192CF1">
        <w:rPr>
          <w:rFonts w:ascii="Book Antiqua" w:hAnsi="Book Antiqua"/>
          <w:noProof/>
          <w:sz w:val="24"/>
          <w:szCs w:val="24"/>
          <w:lang w:val="en-US"/>
        </w:rPr>
        <w:t>Hamzaoglu</w:t>
      </w:r>
      <w:r w:rsidRPr="00192CF1">
        <w:rPr>
          <w:rFonts w:ascii="Book Antiqua" w:hAnsi="Book Antiqua"/>
          <w:bCs/>
          <w:i/>
          <w:sz w:val="24"/>
          <w:szCs w:val="24"/>
          <w:lang w:val="en-US"/>
        </w:rPr>
        <w:t xml:space="preserve"> et al</w:t>
      </w:r>
      <w:r w:rsidR="008D7525" w:rsidRPr="00192CF1">
        <w:rPr>
          <w:rFonts w:ascii="Book Antiqua" w:hAnsi="Book Antiqua"/>
          <w:bCs/>
          <w:sz w:val="24"/>
          <w:szCs w:val="24"/>
          <w:lang w:val="en-US"/>
        </w:rPr>
        <w:fldChar w:fldCharType="begin" w:fldLock="1"/>
      </w:r>
      <w:r w:rsidR="008D7525"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8D7525" w:rsidRPr="00192CF1">
        <w:rPr>
          <w:rFonts w:ascii="Book Antiqua" w:hAnsi="Book Antiqua"/>
          <w:bCs/>
          <w:sz w:val="24"/>
          <w:szCs w:val="24"/>
          <w:lang w:val="en-US"/>
        </w:rPr>
        <w:fldChar w:fldCharType="separate"/>
      </w:r>
      <w:r w:rsidR="008D7525" w:rsidRPr="00192CF1">
        <w:rPr>
          <w:rFonts w:ascii="Book Antiqua" w:hAnsi="Book Antiqua"/>
          <w:bCs/>
          <w:noProof/>
          <w:sz w:val="24"/>
          <w:szCs w:val="24"/>
          <w:vertAlign w:val="superscript"/>
          <w:lang w:val="en-US"/>
        </w:rPr>
        <w:t>[11]</w:t>
      </w:r>
      <w:r w:rsidR="008D7525"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performed the first </w:t>
      </w:r>
      <w:r w:rsidR="005428D6" w:rsidRPr="00192CF1">
        <w:rPr>
          <w:rFonts w:ascii="Book Antiqua" w:hAnsi="Book Antiqua"/>
          <w:noProof/>
          <w:sz w:val="24"/>
          <w:szCs w:val="24"/>
          <w:lang w:val="en-US"/>
        </w:rPr>
        <w:t>single incision laparoscopic surgery (SILS)</w:t>
      </w:r>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in 2010. Single port </w:t>
      </w:r>
      <w:proofErr w:type="spellStart"/>
      <w:r w:rsidRPr="00192CF1">
        <w:rPr>
          <w:rFonts w:ascii="Book Antiqua" w:hAnsi="Book Antiqua"/>
          <w:bCs/>
          <w:sz w:val="24"/>
          <w:szCs w:val="24"/>
          <w:lang w:val="en-US"/>
        </w:rPr>
        <w:t>fundoplications</w:t>
      </w:r>
      <w:proofErr w:type="spellEnd"/>
      <w:r w:rsidRPr="00192CF1">
        <w:rPr>
          <w:rFonts w:ascii="Book Antiqua" w:hAnsi="Book Antiqua"/>
          <w:bCs/>
          <w:sz w:val="24"/>
          <w:szCs w:val="24"/>
          <w:lang w:val="en-US"/>
        </w:rPr>
        <w:t>, although characterized by minimization of postoperative scars and better cosmesis, are more demanding in terms of laparoscopic skills, due to the inert loss of triangulation and intraoperative instrument clashing</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Although, initial studies comparing SILS fundoplications to the conventional multiport approaches, reported that the two techniques were comparable in terms of efficacy and safety</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{"citationItems":[{"id":"ITEM-1","itemData":{"DOI":"10.4293/JSLS.2014.00202","ISSN":"1086-8089","abstract":"Background: Advances in minimally invasive surgery have led to the\nemergence of single-incision laparoscopic surgery (SILS). The purpose of\nthis study is to assess the feasibility of SILS Nissen fundoplication\nand compare its outcomes with traditional laparoscopic Nissen\nfundoplication.\nMethods: This is a retrospective study of 33 patients who underwent\nNissen fundoplication between January 2009 and September 2010.\nResults: There were 15 SILS and 18 traditional laparoscopic Nissen\nfundoplication procedures performed. The mean operative time was 129 and\n182 minutes in the traditional laparoscopic and single-incision groups,\nrespectively (P = .019). There were no conversions in the traditional\nlaparoscopic group, whereas 6 of the 15 patients in the SILS group\nrequired conversion by insertion of 2 to 4 additional ports (P = .0004).\nAt short-term follow-up, recurrence rates were similar between both\ngroups. To date, there have been no reoperations.\nConclusions: SILS Nissen fundoplication is both safe and feasible.\nShort-term outcomes are comparable with standard laparoscopic Nissen\nfundoplication. Challenges related to the single-incision Nissen\nfundoplication include overcoming the lengthy learning curve and\ndecreasing the need for additional trocars.","author":[{"dropping-particle":"","family":"Sharp","given":"Nicole E","non-dropping-particle":"","parse-names":false,"suffix":""},{"dropping-particle":"","family":"Vassaur","given":"John","non-dropping-particle":"","parse-names":false,"suffix":""},{"dropping-particle":"","family":"Buckley III","given":"F Paul","non-dropping-particle":"","parse-names":false,"suffix":""}],"container-title":"JSLS-JOURNAL OF THE SOCIETY OF LAPAROENDOSCOPIC SURGEONS","id":"ITEM-1","issue":"3","issued":{"date-parts":[["2014"]]},"title":"Single-Site Nissen Fundoplication Versus Laparoscopic Nissen Fundoplication","type":"article-journal","volume":"18"},"uris":["http://www.mendeley.com/documents/?uuid=8d16e745-7599-4aa2-9be5-068f2395d88e"]},{"id":"ITEM-2","itemData":{"DOI":"10.1111/ases.12226","ISSN":"1758-5902","abstract":"Introduction: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SURGERY","id":"ITEM-2","issue":"1","issued":{"date-parts":[["2016","2"]]},"page":"14-20","publisher":"JOHN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[13,14]&lt;/sup&gt;","plainTextFormattedCitation":"[13,14]","previouslyFormattedCitation":"&lt;sup&gt;[13,14]&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[13,14]</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the increased operative time and the high rate of conversion to multiport and port-</w:t>
      </w:r>
      <w:r w:rsidRPr="00192CF1">
        <w:rPr>
          <w:rFonts w:ascii="Book Antiqua" w:hAnsi="Book Antiqua"/>
          <w:bCs/>
          <w:sz w:val="24"/>
          <w:szCs w:val="24"/>
          <w:lang w:val="en-US"/>
        </w:rPr>
        <w:lastRenderedPageBreak/>
        <w:t>site hernia were considered as inhibitory factors for the wider acceptance of the method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{"citationItems":[{"id":"ITEM-1","itemData":{"DOI":"10.4293/JSLS.2014.00202","ISSN":"1086-8089","abstract":"Background: Advances in minimally invasive surgery have led to the\nemergence of single-incision laparoscopic surgery (SILS). The purpose of\nthis study is to assess the feasibility of SILS Nissen fundoplication\nand compare its outcomes with traditional laparoscopic Nissen\nfundoplication.\nMethods: This is a retrospective study of 33 patients who underwent\nNissen fundoplication between January 2009 and September 2010.\nResults: There were 15 SILS and 18 traditional laparoscopic Nissen\nfundoplication procedures performed. The mean operative time was 129 and\n182 minutes in the traditional laparoscopic and single-incision groups,\nrespectively (P = .019). There were no conversions in the traditional\nlaparoscopic group, whereas 6 of the 15 patients in the SILS group\nrequired conversion by insertion of 2 to 4 additional ports (P = .0004).\nAt short-term follow-up, recurrence rates were similar between both\ngroups. To date, there have been no reoperations.\nConclusions: SILS Nissen fundoplication is both safe and feasible.\nShort-term outcomes are comparable with standard laparoscopic Nissen\nfundoplication. Challenges related to the single-incision Nissen\nfundoplication include overcoming the lengthy learning curve and\ndecreasing the need for additional trocars.","author":[{"dropping-particle":"","family":"Sharp","given":"Nicole E","non-dropping-particle":"","parse-names":false,"suffix":""},{"dropping-particle":"","family":"Vassaur","given":"John","non-dropping-particle":"","parse-names":false,"suffix":""},{"dropping-particle":"","family":"Buckley III","given":"F Paul","non-dropping-particle":"","parse-names":false,"suffix":""}],"container-title":"JSLS-JOURNAL OF THE SOCIETY OF LAPAROENDOSCOPIC SURGEONS","id":"ITEM-1","issue":"3","issued":{"date-parts":[["2014"]]},"title":"Single-Site Nissen Fundoplication Versus Laparoscopic Nissen Fundoplication","type":"article-journal","volume":"18"},"uris":["http://www.mendeley.com/documents/?uuid=8d16e745-7599-4aa2-9be5-068f2395d88e"]}],"mendeley":{"formattedCitation":"&lt;sup&gt;[13]&lt;/sup&gt;","plainTextFormattedCitation":"[13]","previouslyFormattedCitation":"&lt;sup&gt;[13]&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[13]</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w:t>
      </w:r>
    </w:p>
    <w:p w14:paraId="315A713B" w14:textId="196A9365" w:rsidR="003876D5" w:rsidRPr="00192CF1" w:rsidRDefault="003876D5" w:rsidP="008D7525">
      <w:pPr>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Therefore, taking into consideration the above mentioned body of evidence, the present systematic review of the literature was designed and conducted. Our study, mainly, focuses in</w:t>
      </w:r>
      <w:r w:rsidR="004647EC" w:rsidRPr="00192CF1">
        <w:rPr>
          <w:rFonts w:ascii="Book Antiqua" w:hAnsi="Book Antiqua"/>
          <w:bCs/>
          <w:sz w:val="24"/>
          <w:szCs w:val="24"/>
          <w:lang w:val="en-US"/>
        </w:rPr>
        <w:t xml:space="preserve"> </w:t>
      </w:r>
      <w:r w:rsidRPr="00192CF1">
        <w:rPr>
          <w:rFonts w:ascii="Book Antiqua" w:hAnsi="Book Antiqua"/>
          <w:bCs/>
          <w:sz w:val="24"/>
          <w:szCs w:val="24"/>
          <w:lang w:val="en-US"/>
        </w:rPr>
        <w:t xml:space="preserve">providing a comprehensive appraisal of the intraoperative technical variations and the postoperative outcomes in adult patients submitted to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fundoplication.</w:t>
      </w:r>
    </w:p>
    <w:p w14:paraId="75B6BFB1" w14:textId="77777777" w:rsidR="005C63BD" w:rsidRPr="00192CF1" w:rsidRDefault="005C63BD" w:rsidP="004647EC">
      <w:pPr>
        <w:spacing w:after="0" w:line="360" w:lineRule="auto"/>
        <w:jc w:val="both"/>
        <w:rPr>
          <w:rFonts w:ascii="Book Antiqua" w:hAnsi="Book Antiqua"/>
          <w:b/>
          <w:bCs/>
          <w:sz w:val="24"/>
          <w:szCs w:val="24"/>
          <w:lang w:val="en-US"/>
        </w:rPr>
      </w:pPr>
    </w:p>
    <w:p w14:paraId="7EE4F2A4" w14:textId="772EAC5C" w:rsidR="005C63BD" w:rsidRPr="00192CF1" w:rsidRDefault="008D7525" w:rsidP="004647EC">
      <w:pPr>
        <w:spacing w:after="0" w:line="360" w:lineRule="auto"/>
        <w:jc w:val="both"/>
        <w:rPr>
          <w:rFonts w:ascii="Book Antiqua" w:hAnsi="Book Antiqua"/>
          <w:b/>
          <w:bCs/>
          <w:sz w:val="24"/>
          <w:szCs w:val="24"/>
          <w:lang w:val="en-US"/>
        </w:rPr>
      </w:pPr>
      <w:r w:rsidRPr="00192CF1">
        <w:rPr>
          <w:rFonts w:ascii="Book Antiqua" w:hAnsi="Book Antiqua"/>
          <w:b/>
          <w:bCs/>
          <w:sz w:val="24"/>
          <w:szCs w:val="24"/>
          <w:lang w:val="en-US"/>
        </w:rPr>
        <w:t>MATERIAL</w:t>
      </w:r>
      <w:r w:rsidRPr="00192CF1">
        <w:rPr>
          <w:rFonts w:ascii="Book Antiqua" w:hAnsi="Book Antiqua"/>
          <w:b/>
          <w:bCs/>
          <w:sz w:val="24"/>
          <w:szCs w:val="24"/>
          <w:lang w:val="en-US" w:eastAsia="zh-CN"/>
        </w:rPr>
        <w:t>S</w:t>
      </w:r>
      <w:r w:rsidRPr="00192CF1">
        <w:rPr>
          <w:rFonts w:ascii="Book Antiqua" w:hAnsi="Book Antiqua"/>
          <w:b/>
          <w:bCs/>
          <w:sz w:val="24"/>
          <w:szCs w:val="24"/>
          <w:lang w:val="en-US"/>
        </w:rPr>
        <w:t xml:space="preserve"> AND METHODS</w:t>
      </w:r>
    </w:p>
    <w:p w14:paraId="303D7BD5" w14:textId="4A203F41" w:rsidR="003876D5" w:rsidRPr="00192CF1" w:rsidRDefault="003876D5" w:rsidP="004647EC">
      <w:pPr>
        <w:autoSpaceDE w:val="0"/>
        <w:autoSpaceDN w:val="0"/>
        <w:adjustRightInd w:val="0"/>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 xml:space="preserve">Study </w:t>
      </w:r>
      <w:r w:rsidR="008D7525" w:rsidRPr="00192CF1">
        <w:rPr>
          <w:rFonts w:ascii="Book Antiqua" w:hAnsi="Book Antiqua"/>
          <w:b/>
          <w:bCs/>
          <w:i/>
          <w:sz w:val="24"/>
          <w:szCs w:val="24"/>
          <w:lang w:val="en-US"/>
        </w:rPr>
        <w:t>p</w:t>
      </w:r>
      <w:r w:rsidRPr="00192CF1">
        <w:rPr>
          <w:rFonts w:ascii="Book Antiqua" w:hAnsi="Book Antiqua"/>
          <w:b/>
          <w:bCs/>
          <w:i/>
          <w:sz w:val="24"/>
          <w:szCs w:val="24"/>
          <w:lang w:val="en-US"/>
        </w:rPr>
        <w:t>rotocol</w:t>
      </w:r>
    </w:p>
    <w:p w14:paraId="41C476C4" w14:textId="77777777" w:rsidR="003876D5" w:rsidRPr="00192CF1" w:rsidRDefault="003876D5" w:rsidP="004647EC">
      <w:pPr>
        <w:autoSpaceDE w:val="0"/>
        <w:autoSpaceDN w:val="0"/>
        <w:adjustRightInd w:val="0"/>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The PRISMA guidelines were utilized for the completion of this systematic review</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10.1371/journal.pmed.1000097","ISSN":"1549-1676","PMID":"19621072","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G.","non-dropping-particle":"","parse-names":false,"suffix":""},{"dropping-particle":"","family":"PRISMA Group","given":"","non-dropping-particle":"","parse-names":false,"suffix":""}],"container-title":"PLoS Medicine","id":"ITEM-1","issue":"7","issued":{"date-parts":[["2009","7","21"]]},"page":"e1000097","title":"Preferred Reporting Items for Systematic Reviews and Meta-Analyses: The PRISMA Statement","type":"article-journal","volume":"6"},"uris":["http://www.mendeley.com/documents/?uuid=0d05ab89-c7eb-33f2-9bf8-1bda96d0fdfc"]}],"mendeley":{"formattedCitation":"&lt;sup&gt;[15]&lt;/sup&gt;","plainTextFormattedCitation":"[15]","previouslyFormattedCitation":"&lt;sup&gt;[15]&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[15]</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w:t>
      </w:r>
    </w:p>
    <w:p w14:paraId="52277B93" w14:textId="77777777" w:rsidR="008D7525" w:rsidRPr="00192CF1" w:rsidRDefault="008D7525" w:rsidP="004647EC">
      <w:pPr>
        <w:autoSpaceDE w:val="0"/>
        <w:autoSpaceDN w:val="0"/>
        <w:adjustRightInd w:val="0"/>
        <w:spacing w:after="0" w:line="360" w:lineRule="auto"/>
        <w:jc w:val="both"/>
        <w:rPr>
          <w:rFonts w:ascii="Book Antiqua" w:hAnsi="Book Antiqua"/>
          <w:bCs/>
          <w:sz w:val="24"/>
          <w:szCs w:val="24"/>
          <w:lang w:val="en-US" w:eastAsia="zh-CN"/>
        </w:rPr>
      </w:pPr>
    </w:p>
    <w:p w14:paraId="290D159F" w14:textId="12E78A51" w:rsidR="003876D5" w:rsidRPr="00192CF1" w:rsidRDefault="003876D5" w:rsidP="004647EC">
      <w:pPr>
        <w:autoSpaceDE w:val="0"/>
        <w:autoSpaceDN w:val="0"/>
        <w:adjustRightInd w:val="0"/>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 xml:space="preserve">Eligibility </w:t>
      </w:r>
      <w:r w:rsidR="008D7525" w:rsidRPr="00192CF1">
        <w:rPr>
          <w:rFonts w:ascii="Book Antiqua" w:hAnsi="Book Antiqua"/>
          <w:b/>
          <w:bCs/>
          <w:i/>
          <w:sz w:val="24"/>
          <w:szCs w:val="24"/>
          <w:lang w:val="en-US"/>
        </w:rPr>
        <w:t>c</w:t>
      </w:r>
      <w:r w:rsidRPr="00192CF1">
        <w:rPr>
          <w:rFonts w:ascii="Book Antiqua" w:hAnsi="Book Antiqua"/>
          <w:b/>
          <w:bCs/>
          <w:i/>
          <w:sz w:val="24"/>
          <w:szCs w:val="24"/>
          <w:lang w:val="en-US"/>
        </w:rPr>
        <w:t>riteria</w:t>
      </w:r>
    </w:p>
    <w:p w14:paraId="7603351F" w14:textId="69F05E87" w:rsidR="003876D5" w:rsidRPr="00192CF1" w:rsidRDefault="003876D5" w:rsidP="004647EC">
      <w:pPr>
        <w:autoSpaceDE w:val="0"/>
        <w:autoSpaceDN w:val="0"/>
        <w:adjustRightInd w:val="0"/>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 xml:space="preserve">All human trials that reported results on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fundoplication, with an adult study population, whose outcomes of interest were reported in English and were retrievable, were considered as eligible. Eligible studies should provide perioperative results (</w:t>
      </w:r>
      <w:r w:rsidRPr="00192CF1">
        <w:rPr>
          <w:rFonts w:ascii="Book Antiqua" w:hAnsi="Book Antiqua"/>
          <w:bCs/>
          <w:i/>
          <w:sz w:val="24"/>
          <w:szCs w:val="24"/>
          <w:lang w:val="en-US"/>
        </w:rPr>
        <w:t>i.e</w:t>
      </w:r>
      <w:r w:rsidRPr="00192CF1">
        <w:rPr>
          <w:rFonts w:ascii="Book Antiqua" w:hAnsi="Book Antiqua"/>
          <w:bCs/>
          <w:sz w:val="24"/>
          <w:szCs w:val="24"/>
          <w:lang w:val="en-US"/>
        </w:rPr>
        <w:t>.</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complication, mortality or conversion rates, operation duration and follow up) on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fundoplication. Exclusion criteria for this systematic review were studies</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1) with a pediatric study sample</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2) with no outcome of interest</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3) with inadequate outcome data</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4) without human objects</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or </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5) in the form of reviews, editorials, letters, conference abstracts and expert opinions.</w:t>
      </w:r>
    </w:p>
    <w:p w14:paraId="45676272" w14:textId="77777777" w:rsidR="008D7525" w:rsidRPr="00192CF1" w:rsidRDefault="008D7525" w:rsidP="004647EC">
      <w:pPr>
        <w:autoSpaceDE w:val="0"/>
        <w:autoSpaceDN w:val="0"/>
        <w:adjustRightInd w:val="0"/>
        <w:spacing w:after="0" w:line="360" w:lineRule="auto"/>
        <w:jc w:val="both"/>
        <w:rPr>
          <w:rFonts w:ascii="Book Antiqua" w:hAnsi="Book Antiqua"/>
          <w:bCs/>
          <w:sz w:val="24"/>
          <w:szCs w:val="24"/>
          <w:lang w:val="en-US" w:eastAsia="zh-CN"/>
        </w:rPr>
      </w:pPr>
    </w:p>
    <w:p w14:paraId="7419E796" w14:textId="54330897" w:rsidR="003876D5" w:rsidRPr="00192CF1" w:rsidRDefault="003876D5" w:rsidP="004647EC">
      <w:pPr>
        <w:autoSpaceDE w:val="0"/>
        <w:autoSpaceDN w:val="0"/>
        <w:adjustRightInd w:val="0"/>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 xml:space="preserve">Literature </w:t>
      </w:r>
      <w:r w:rsidR="008D7525" w:rsidRPr="00192CF1">
        <w:rPr>
          <w:rFonts w:ascii="Book Antiqua" w:hAnsi="Book Antiqua"/>
          <w:b/>
          <w:bCs/>
          <w:i/>
          <w:sz w:val="24"/>
          <w:szCs w:val="24"/>
          <w:lang w:val="en-US"/>
        </w:rPr>
        <w:t>s</w:t>
      </w:r>
      <w:r w:rsidRPr="00192CF1">
        <w:rPr>
          <w:rFonts w:ascii="Book Antiqua" w:hAnsi="Book Antiqua"/>
          <w:b/>
          <w:bCs/>
          <w:i/>
          <w:sz w:val="24"/>
          <w:szCs w:val="24"/>
          <w:lang w:val="en-US"/>
        </w:rPr>
        <w:t>earch</w:t>
      </w:r>
    </w:p>
    <w:p w14:paraId="20D6531D" w14:textId="1D1368A5" w:rsidR="003876D5" w:rsidRPr="00192CF1" w:rsidRDefault="003876D5" w:rsidP="004647EC">
      <w:pPr>
        <w:autoSpaceDE w:val="0"/>
        <w:autoSpaceDN w:val="0"/>
        <w:adjustRightInd w:val="0"/>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 xml:space="preserve">A systematic screening of the literature available in the electronic scholar databases (Medline, Scopus and Web of Science) was performed. The last search date was 2/1/2019. The following keywords were used: </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SILS</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 xml:space="preserve">, </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single site</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 xml:space="preserve">, </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single port</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 xml:space="preserve">, </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single incision</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 xml:space="preserve">, </w:t>
      </w:r>
      <w:r w:rsidR="005428D6" w:rsidRPr="00192CF1">
        <w:rPr>
          <w:rFonts w:ascii="Book Antiqua" w:hAnsi="Book Antiqua"/>
          <w:bCs/>
          <w:sz w:val="24"/>
          <w:szCs w:val="24"/>
          <w:lang w:val="en-US" w:eastAsia="zh-CN"/>
        </w:rPr>
        <w:t>“</w:t>
      </w:r>
      <w:proofErr w:type="spellStart"/>
      <w:r w:rsidR="005428D6" w:rsidRPr="00192CF1">
        <w:rPr>
          <w:rFonts w:ascii="Book Antiqua" w:hAnsi="Book Antiqua"/>
          <w:noProof/>
          <w:sz w:val="24"/>
          <w:szCs w:val="24"/>
          <w:lang w:val="en-US"/>
        </w:rPr>
        <w:t>laparoendoscopic</w:t>
      </w:r>
      <w:proofErr w:type="spellEnd"/>
      <w:r w:rsidR="005428D6" w:rsidRPr="00192CF1">
        <w:rPr>
          <w:rFonts w:ascii="Book Antiqua" w:hAnsi="Book Antiqua"/>
          <w:noProof/>
          <w:sz w:val="24"/>
          <w:szCs w:val="24"/>
          <w:lang w:val="en-US"/>
        </w:rPr>
        <w:t xml:space="preserve"> single site</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 xml:space="preserve">, </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fundoplication</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 xml:space="preserve">. </w:t>
      </w:r>
    </w:p>
    <w:p w14:paraId="63623B85" w14:textId="77777777" w:rsidR="005428D6" w:rsidRPr="00192CF1" w:rsidRDefault="005428D6" w:rsidP="004647EC">
      <w:pPr>
        <w:autoSpaceDE w:val="0"/>
        <w:autoSpaceDN w:val="0"/>
        <w:adjustRightInd w:val="0"/>
        <w:spacing w:after="0" w:line="360" w:lineRule="auto"/>
        <w:jc w:val="both"/>
        <w:rPr>
          <w:rFonts w:ascii="Book Antiqua" w:hAnsi="Book Antiqua"/>
          <w:bCs/>
          <w:sz w:val="24"/>
          <w:szCs w:val="24"/>
          <w:lang w:val="en-US" w:eastAsia="zh-CN"/>
        </w:rPr>
      </w:pPr>
    </w:p>
    <w:p w14:paraId="593F4F7C" w14:textId="2FD9CB4D" w:rsidR="003876D5" w:rsidRPr="00192CF1" w:rsidRDefault="003876D5" w:rsidP="004647EC">
      <w:pPr>
        <w:autoSpaceDE w:val="0"/>
        <w:autoSpaceDN w:val="0"/>
        <w:adjustRightInd w:val="0"/>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lastRenderedPageBreak/>
        <w:t xml:space="preserve">Study </w:t>
      </w:r>
      <w:r w:rsidR="005428D6" w:rsidRPr="00192CF1">
        <w:rPr>
          <w:rFonts w:ascii="Book Antiqua" w:hAnsi="Book Antiqua"/>
          <w:b/>
          <w:bCs/>
          <w:i/>
          <w:sz w:val="24"/>
          <w:szCs w:val="24"/>
          <w:lang w:val="en-US"/>
        </w:rPr>
        <w:t>selection and data collection</w:t>
      </w:r>
    </w:p>
    <w:p w14:paraId="6CD91A9E" w14:textId="77777777" w:rsidR="003876D5" w:rsidRPr="00192CF1" w:rsidRDefault="003876D5" w:rsidP="004647EC">
      <w:pPr>
        <w:autoSpaceDE w:val="0"/>
        <w:autoSpaceDN w:val="0"/>
        <w:adjustRightInd w:val="0"/>
        <w:spacing w:after="0" w:line="360" w:lineRule="auto"/>
        <w:jc w:val="both"/>
        <w:rPr>
          <w:rFonts w:ascii="Book Antiqua" w:hAnsi="Book Antiqua"/>
          <w:bCs/>
          <w:sz w:val="24"/>
          <w:szCs w:val="24"/>
          <w:lang w:val="en-US"/>
        </w:rPr>
      </w:pPr>
      <w:r w:rsidRPr="00192CF1">
        <w:rPr>
          <w:rFonts w:ascii="Book Antiqua" w:hAnsi="Book Antiqua"/>
          <w:bCs/>
          <w:sz w:val="24"/>
          <w:szCs w:val="24"/>
          <w:lang w:val="en-US"/>
        </w:rPr>
        <w:t xml:space="preserve">After the completion of the literature search, the duplicate entries were identified and removed. The next step included the screening of titles and abstracts. Finally, the remaining articles were submitted to a full text review, in order to assess consistency with the above mentioned eligibility criteria. All electronic search, study selection and data extraction were performed in duplicate and blindly by two independent investigators (PK and SC). In case of a discrepancy, through mutual discussion and revision, a consensus was reached. If the disagreement was not resolved, the opinion of a third investigator was considered (BI). </w:t>
      </w:r>
    </w:p>
    <w:p w14:paraId="5FDEFFAE" w14:textId="5BFCF8A7" w:rsidR="00185B1D" w:rsidRPr="00192CF1" w:rsidRDefault="00185B1D" w:rsidP="002330E7">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Data extraction included the recording of data regarding the included studies(first author, country and type of study</w:t>
      </w:r>
      <w:r w:rsidR="00517516" w:rsidRPr="00192CF1">
        <w:rPr>
          <w:rFonts w:ascii="Book Antiqua" w:hAnsi="Book Antiqua"/>
          <w:bCs/>
          <w:sz w:val="24"/>
          <w:szCs w:val="24"/>
          <w:lang w:val="en-US"/>
        </w:rPr>
        <w:t xml:space="preserve">, follow up, number and experience of surgeons, sample size and gender, age and </w:t>
      </w:r>
      <w:r w:rsidR="002330E7" w:rsidRPr="00192CF1">
        <w:rPr>
          <w:rFonts w:ascii="Book Antiqua" w:hAnsi="Book Antiqua"/>
          <w:bCs/>
          <w:sz w:val="24"/>
          <w:szCs w:val="24"/>
          <w:lang w:val="en-US"/>
        </w:rPr>
        <w:t xml:space="preserve">body mass index </w:t>
      </w:r>
      <w:r w:rsidR="002330E7" w:rsidRPr="00192CF1">
        <w:rPr>
          <w:rFonts w:ascii="Book Antiqua" w:hAnsi="Book Antiqua" w:hint="eastAsia"/>
          <w:bCs/>
          <w:sz w:val="24"/>
          <w:szCs w:val="24"/>
          <w:lang w:val="en-US" w:eastAsia="zh-CN"/>
        </w:rPr>
        <w:t>(</w:t>
      </w:r>
      <w:r w:rsidR="00517516" w:rsidRPr="00192CF1">
        <w:rPr>
          <w:rFonts w:ascii="Book Antiqua" w:hAnsi="Book Antiqua"/>
          <w:bCs/>
          <w:sz w:val="24"/>
          <w:szCs w:val="24"/>
          <w:lang w:val="en-US"/>
        </w:rPr>
        <w:t>BMI</w:t>
      </w:r>
      <w:r w:rsidR="002330E7" w:rsidRPr="00192CF1">
        <w:rPr>
          <w:rFonts w:ascii="Book Antiqua" w:hAnsi="Book Antiqua" w:hint="eastAsia"/>
          <w:bCs/>
          <w:sz w:val="24"/>
          <w:szCs w:val="24"/>
          <w:lang w:val="en-US" w:eastAsia="zh-CN"/>
        </w:rPr>
        <w:t>)</w:t>
      </w:r>
      <w:r w:rsidR="00517516" w:rsidRPr="00192CF1">
        <w:rPr>
          <w:rFonts w:ascii="Book Antiqua" w:hAnsi="Book Antiqua"/>
          <w:bCs/>
          <w:sz w:val="24"/>
          <w:szCs w:val="24"/>
          <w:lang w:val="en-US"/>
        </w:rPr>
        <w:t xml:space="preserve"> allocation of the patients)</w:t>
      </w:r>
      <w:r w:rsidRPr="00192CF1">
        <w:rPr>
          <w:rFonts w:ascii="Book Antiqua" w:hAnsi="Book Antiqua"/>
          <w:bCs/>
          <w:sz w:val="24"/>
          <w:szCs w:val="24"/>
          <w:lang w:val="en-US"/>
        </w:rPr>
        <w:t>, patient characteristics</w:t>
      </w:r>
      <w:r w:rsidR="00517516" w:rsidRPr="00192CF1">
        <w:rPr>
          <w:rFonts w:ascii="Book Antiqua" w:hAnsi="Book Antiqua"/>
          <w:bCs/>
          <w:sz w:val="24"/>
          <w:szCs w:val="24"/>
          <w:lang w:val="en-US"/>
        </w:rPr>
        <w:t xml:space="preserve"> (ASA score, previous operations and surgery indication)</w:t>
      </w:r>
      <w:r w:rsidRPr="00192CF1">
        <w:rPr>
          <w:rFonts w:ascii="Book Antiqua" w:hAnsi="Book Antiqua"/>
          <w:bCs/>
          <w:sz w:val="24"/>
          <w:szCs w:val="24"/>
          <w:lang w:val="en-US"/>
        </w:rPr>
        <w:t>, technical characteristics</w:t>
      </w:r>
      <w:r w:rsidR="00517516" w:rsidRPr="00192CF1">
        <w:rPr>
          <w:rFonts w:ascii="Book Antiqua" w:hAnsi="Book Antiqua"/>
          <w:bCs/>
          <w:sz w:val="24"/>
          <w:szCs w:val="24"/>
          <w:lang w:val="en-US"/>
        </w:rPr>
        <w:t xml:space="preserve"> (single port device, instrument type, liver retraction method, dissection device, boogie size, suturing method and pneumoperitoneum pressure)</w:t>
      </w:r>
      <w:r w:rsidRPr="00192CF1">
        <w:rPr>
          <w:rFonts w:ascii="Book Antiqua" w:hAnsi="Book Antiqua"/>
          <w:bCs/>
          <w:sz w:val="24"/>
          <w:szCs w:val="24"/>
          <w:lang w:val="en-US"/>
        </w:rPr>
        <w:t xml:space="preserve"> and perioperative outcomes</w:t>
      </w:r>
      <w:r w:rsidR="00517516" w:rsidRPr="00192CF1">
        <w:rPr>
          <w:rFonts w:ascii="Book Antiqua" w:hAnsi="Book Antiqua"/>
          <w:bCs/>
          <w:sz w:val="24"/>
          <w:szCs w:val="24"/>
          <w:lang w:val="en-US"/>
        </w:rPr>
        <w:t xml:space="preserve"> (operation duration </w:t>
      </w:r>
      <w:r w:rsidR="008D7525" w:rsidRPr="00192CF1">
        <w:rPr>
          <w:rFonts w:ascii="Book Antiqua" w:hAnsi="Book Antiqua"/>
          <w:bCs/>
          <w:sz w:val="24"/>
          <w:szCs w:val="24"/>
          <w:lang w:val="en-US"/>
        </w:rPr>
        <w:t>LOS</w:t>
      </w:r>
      <w:r w:rsidR="00517516" w:rsidRPr="00192CF1">
        <w:rPr>
          <w:rFonts w:ascii="Book Antiqua" w:hAnsi="Book Antiqua"/>
          <w:bCs/>
          <w:sz w:val="24"/>
          <w:szCs w:val="24"/>
          <w:lang w:val="en-US"/>
        </w:rPr>
        <w:t>, blood loss and conversion, complications, recurrence mortality and incisional hernia rates)</w:t>
      </w:r>
      <w:r w:rsidRPr="00192CF1">
        <w:rPr>
          <w:rFonts w:ascii="Book Antiqua" w:hAnsi="Book Antiqua"/>
          <w:bCs/>
          <w:sz w:val="24"/>
          <w:szCs w:val="24"/>
          <w:lang w:val="en-US"/>
        </w:rPr>
        <w:t>.</w:t>
      </w:r>
    </w:p>
    <w:p w14:paraId="09039FCA" w14:textId="5DDEED88" w:rsidR="003876D5" w:rsidRPr="00192CF1" w:rsidRDefault="003876D5" w:rsidP="002330E7">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Only the information available in the full text article of the trials were reported. In case that the mean and the standard deviation (SD) of the continuous variables were not provided, then they were estimated from the respective median, range or interquartile range, accordin</w:t>
      </w:r>
      <w:r w:rsidR="002330E7" w:rsidRPr="00192CF1">
        <w:rPr>
          <w:rFonts w:ascii="Book Antiqua" w:hAnsi="Book Antiqua"/>
          <w:bCs/>
          <w:sz w:val="24"/>
          <w:szCs w:val="24"/>
          <w:lang w:val="en-US"/>
        </w:rPr>
        <w:t xml:space="preserve">g to the formula by </w:t>
      </w:r>
      <w:proofErr w:type="spellStart"/>
      <w:r w:rsidR="002330E7" w:rsidRPr="00192CF1">
        <w:rPr>
          <w:rFonts w:ascii="Book Antiqua" w:hAnsi="Book Antiqua"/>
          <w:bCs/>
          <w:sz w:val="24"/>
          <w:szCs w:val="24"/>
          <w:lang w:val="en-US"/>
        </w:rPr>
        <w:t>Hozo</w:t>
      </w:r>
      <w:proofErr w:type="spellEnd"/>
      <w:r w:rsidR="002330E7" w:rsidRPr="00192CF1">
        <w:rPr>
          <w:rFonts w:ascii="Book Antiqua" w:hAnsi="Book Antiqua"/>
          <w:bCs/>
          <w:sz w:val="24"/>
          <w:szCs w:val="24"/>
          <w:lang w:val="en-US"/>
        </w:rPr>
        <w:t xml:space="preserve"> </w:t>
      </w:r>
      <w:r w:rsidR="002330E7"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{"citationItems":[{"id":"ITEM-1","itemData":{"DOI":"10.1186/1471-2288-5-13","ISSN":"1471-2288","PMID":"15840177","abstract":"BACKGROUND Usually the researchers performing meta-analysis of continuous outcomes from clinical trials need their mean value and the variance (or standard deviation) in order to pool data. However, sometimes the published reports of clinical trials only report the median, range and the size of the trial. METHODS In this article we use simple and elementary inequalities and approximations in order to estimate the mean and the variance for such trials. Our estimation is distribution-free, i.e., it makes no assumption on the distribution of the underlying data. RESULTS We found two simple formulas that estimate the mean using the values of the median (m), low and high end of the range (a and b, respectively), and n (the sample size). Using simulations, we show that median can be used to estimate mean when the sample size is larger than 25. For smaller samples our new formula, devised in this paper, should be used. We also estimated the variance of an unknown sample using the median, low and high end of the range, and the sample size. Our estimate is performing as the best estimate in our simulations for very small samples (n &lt; or = 15). For moderately sized samples (15 &lt; n &lt; or = 70), our simulations show that the formula range/4 is the best estimator for the standard deviation (variance). For large samples (n &gt; 70), the formula range/6 gives the best estimator for the standard deviation (variance). We also include an illustrative example of the potential value of our method using reports from the Cochrane review on the role of erythropoietin in anemia due to malignancy. CONCLUSION Using these formulas, we hope to help meta-analysts use clinical trials in their analysis even when not all of the information is available and/or reported.","author":[{"dropping-particle":"","family":"Hozo","given":"Stela Pudar","non-dropping-particle":"","parse-names":false,"suffix":""},{"dropping-particle":"","family":"Djulbegovic","given":"Benjamin","non-dropping-particle":"","parse-names":false,"suffix":""},{"dropping-particle":"","family":"Hozo","given":"Iztok","non-dropping-particle":"","parse-names":false,"suffix":""}],"container-title":"BMC medical research methodology","id":"ITEM-1","issue":"1","issued":{"date-parts":[["2005","4","20"]]},"page":"13","title":"Estimating the mean and variance from the median, range, and the size of a sample.","type":"article-journal","volume":"5"},"uris":["http://www.mendeley.com/documents/?uuid=70aa81b5-ceb8-3047-9666-899e82a72f4c"]}],"mendeley":{"formattedCitation":"&lt;sup&gt;[16]&lt;/sup&gt;","plainTextFormattedCitation":"[16]","previouslyFormattedCitation":"&lt;sup&gt;[16]&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[16]</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Moreover, outcome percentages were calculated according to the following formula:</w:t>
      </w:r>
      <w:r w:rsidR="00763503" w:rsidRPr="00192CF1">
        <w:rPr>
          <w:rFonts w:ascii="Book Antiqua" w:hAnsi="Book Antiqua"/>
          <w:bCs/>
          <w:sz w:val="24"/>
          <w:szCs w:val="24"/>
          <w:lang w:val="en-US"/>
        </w:rPr>
        <w:t xml:space="preserve"> </w:t>
      </w:r>
      <w:r w:rsidRPr="00192CF1">
        <w:rPr>
          <w:rFonts w:ascii="Book Antiqua" w:hAnsi="Book Antiqua"/>
          <w:bCs/>
          <w:sz w:val="24"/>
          <w:szCs w:val="24"/>
          <w:lang w:val="en-US"/>
        </w:rPr>
        <w:t>Total number of events reg</w:t>
      </w:r>
      <w:r w:rsidR="002330E7" w:rsidRPr="00192CF1">
        <w:rPr>
          <w:rFonts w:ascii="Book Antiqua" w:hAnsi="Book Antiqua"/>
          <w:bCs/>
          <w:sz w:val="24"/>
          <w:szCs w:val="24"/>
          <w:lang w:val="en-US"/>
        </w:rPr>
        <w:t>arding a specific complication/</w:t>
      </w:r>
      <w:r w:rsidRPr="00192CF1">
        <w:rPr>
          <w:rFonts w:ascii="Book Antiqua" w:hAnsi="Book Antiqua"/>
          <w:bCs/>
          <w:sz w:val="24"/>
          <w:szCs w:val="24"/>
          <w:lang w:val="en-US"/>
        </w:rPr>
        <w:t xml:space="preserve">Sum of </w:t>
      </w:r>
      <w:proofErr w:type="gramStart"/>
      <w:r w:rsidRPr="00192CF1">
        <w:rPr>
          <w:rFonts w:ascii="Book Antiqua" w:hAnsi="Book Antiqua"/>
          <w:bCs/>
          <w:sz w:val="24"/>
          <w:szCs w:val="24"/>
          <w:lang w:val="en-US"/>
        </w:rPr>
        <w:t>patients</w:t>
      </w:r>
      <w:proofErr w:type="gramEnd"/>
      <w:r w:rsidRPr="00192CF1">
        <w:rPr>
          <w:rFonts w:ascii="Book Antiqua" w:hAnsi="Book Antiqua"/>
          <w:bCs/>
          <w:sz w:val="24"/>
          <w:szCs w:val="24"/>
          <w:lang w:val="en-US"/>
        </w:rPr>
        <w:t xml:space="preserve"> sample of</w:t>
      </w:r>
      <w:r w:rsidR="004647EC" w:rsidRPr="00192CF1">
        <w:rPr>
          <w:rFonts w:ascii="Book Antiqua" w:hAnsi="Book Antiqua"/>
          <w:bCs/>
          <w:sz w:val="24"/>
          <w:szCs w:val="24"/>
          <w:lang w:val="en-US"/>
        </w:rPr>
        <w:t xml:space="preserve"> </w:t>
      </w:r>
      <w:r w:rsidRPr="00192CF1">
        <w:rPr>
          <w:rFonts w:ascii="Book Antiqua" w:hAnsi="Book Antiqua"/>
          <w:bCs/>
          <w:sz w:val="24"/>
          <w:szCs w:val="24"/>
          <w:lang w:val="en-US"/>
        </w:rPr>
        <w:t>studies reporting the specific complication</w:t>
      </w:r>
      <w:r w:rsidR="00763503" w:rsidRPr="00192CF1">
        <w:rPr>
          <w:rFonts w:ascii="Book Antiqua" w:hAnsi="Book Antiqua"/>
          <w:bCs/>
          <w:sz w:val="24"/>
          <w:szCs w:val="24"/>
          <w:lang w:val="en-US"/>
        </w:rPr>
        <w:t>.</w:t>
      </w:r>
    </w:p>
    <w:p w14:paraId="6B15B93C" w14:textId="77777777" w:rsidR="005C63BD" w:rsidRPr="00192CF1" w:rsidRDefault="005C63BD" w:rsidP="004647EC">
      <w:pPr>
        <w:autoSpaceDE w:val="0"/>
        <w:autoSpaceDN w:val="0"/>
        <w:adjustRightInd w:val="0"/>
        <w:spacing w:after="0" w:line="360" w:lineRule="auto"/>
        <w:jc w:val="both"/>
        <w:rPr>
          <w:rFonts w:ascii="Book Antiqua" w:hAnsi="Book Antiqua"/>
          <w:bCs/>
          <w:i/>
          <w:sz w:val="24"/>
          <w:szCs w:val="24"/>
          <w:lang w:val="en-US"/>
        </w:rPr>
      </w:pPr>
    </w:p>
    <w:p w14:paraId="3B701D1F" w14:textId="77777777" w:rsidR="005C63BD" w:rsidRPr="00192CF1" w:rsidRDefault="005C63BD" w:rsidP="004647EC">
      <w:pPr>
        <w:autoSpaceDE w:val="0"/>
        <w:autoSpaceDN w:val="0"/>
        <w:adjustRightInd w:val="0"/>
        <w:spacing w:after="0" w:line="360" w:lineRule="auto"/>
        <w:jc w:val="both"/>
        <w:rPr>
          <w:rFonts w:ascii="Book Antiqua" w:hAnsi="Book Antiqua"/>
          <w:b/>
          <w:bCs/>
          <w:sz w:val="24"/>
          <w:szCs w:val="24"/>
          <w:lang w:val="en-US"/>
        </w:rPr>
      </w:pPr>
      <w:r w:rsidRPr="00192CF1">
        <w:rPr>
          <w:rFonts w:ascii="Book Antiqua" w:hAnsi="Book Antiqua"/>
          <w:b/>
          <w:bCs/>
          <w:sz w:val="24"/>
          <w:szCs w:val="24"/>
          <w:lang w:val="en-US"/>
        </w:rPr>
        <w:t>RESULTS</w:t>
      </w:r>
    </w:p>
    <w:p w14:paraId="5719FE82" w14:textId="77777777" w:rsidR="003876D5" w:rsidRPr="00192CF1" w:rsidRDefault="003876D5" w:rsidP="004647EC">
      <w:pPr>
        <w:autoSpaceDE w:val="0"/>
        <w:autoSpaceDN w:val="0"/>
        <w:adjustRightInd w:val="0"/>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Study selection </w:t>
      </w:r>
    </w:p>
    <w:p w14:paraId="1B45AFAC" w14:textId="77777777" w:rsidR="003876D5" w:rsidRPr="00192CF1" w:rsidRDefault="003876D5" w:rsidP="004647EC">
      <w:pPr>
        <w:autoSpaceDE w:val="0"/>
        <w:autoSpaceDN w:val="0"/>
        <w:adjustRightInd w:val="0"/>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lastRenderedPageBreak/>
        <w:t>The application of the search algorithm resulted in the identification of 2040 records (Figure 1). More specifically, 746, 1102 and 192 citations were retrieved through Medline, Web of Science and Scopus, respectively. After the removal of the duplicate entries, 1444 titles and abstracts were screened. In this phase, 1404 records (5 conference abstracts or letters, 10 non human studies, 86 reviews or meta-analyses and 1303 irrelevant studies) were excluded. The next step included the full text screening of the remaining 40 articles, on the basis of the inclusion criteria. In total 21 full text articles were not considered as eligible (2 trials with inadequate data, 8 trials with duplicate patient data and 11 irrelevant studies). Therefore, 19 studies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SURGERY","id":"ITEM-3","issue":"1","issued":{"date-parts":[["2016","2"]]},"page":"14-20","publisher":"JOHN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approach","type":"article-journal","volume":"9"},"uris":["http://www.mendeley.com/documents/?uuid=ef9133f9-1e4d-4499-8184-f86df3d23f55"]},{"id":"ITEM-4","itemData":{"DOI":"10.4293/108680813X13693422518317","ISSN":"1938-3797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Surgeons","id":"ITEM-4","issue":"2","issued":{"date-parts":[["2014"]]},"language":"eng","page":"204-210","publisher-place":"United States","title":"Incidence of port-site incisional hernia after single-incision laparoscopic surgery.","type":"article-journal","volume":"18"},"uris":["http://www.mendeley.com/documents/?uuid=fc2f9c02-8c32-4a1d-b694-eea30001bc03"]},{"id":"ITEM-5","itemData":{"DOI":"10.1007/s00595-010-4533-4","ISSN":"1436-2813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today","id":"ITEM-5","issue":"11","issued":{"date-parts":[["2011","11"]]},"language":"eng","page":"1543-1547","publisher-place":"Japan","title":"Single-incision laparoscopic Heller myotomy and Dor fundoplication for achalasia: report of a case.","type":"article-journal","volume":"41"},"uris":["http://www.mendeley.com/documents/?uuid=847f6bea-4208-41b8-95d2-54e3738d7df1"]},{"id":"ITEM-6","itemData":{"DOI":"10.1016/j.ijscr.2012.09.003","ISSN":"2210-2612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reports","id":"ITEM-6","issue":"1","issued":{"date-parts":[["2013"]]},"language":"eng","page":"1-4","publisher-place":"Netherlands","title":"Single incision laparoscopic approach for esophageal achalasia: A case report.","type":"article-journal","volume":"4"},"uris":["http://www.mendeley.com/documents/?uuid=cbce9c75-a3f5-41c0-94c2-4fb6818b56e4"]},{"id":"ITEM-7","itemData":{"DOI":"10.1007/s00595-011-0089-1","ISSN":"1436-2813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today","id":"ITEM-7","issue":"3","issued":{"date-parts":[["2012","2"]]},"language":"eng","page":"299-302","publisher-place":"Japan","title":"Single-incision laparoscopic Heller myotomy and Dor fundoplication for achalasia: report of a case.","type":"article-journal","volume":"42"},"uris":["http://www.mendeley.com/documents/?uuid=f0812b93-b43f-4012-9026-6bcb9aee8455"]},{"id":"ITEM-8","itemData":{"DOI":"10.1007/s10029-016-1512-8","ISSN":"1265-4906","abstract":"Single-incision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L","non-dropping-particle":"","parse-names":false,"suffix":""}],"container-title":"HERNIA","id":"ITEM-8","issue":"5","issued":{"date-parts":[["2016","10"]]},"page":"729-733","publisher":"SPRINGER","publisher-place":"233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laparoscopy","type":"article-journal","volume":"20"},"uris":["http://www.mendeley.com/documents/?uuid=94881e51-2f96-4dc5-b29b-9d44b7d53ce8"]},{"id":"ITEM-9","itemData":{"DOI":"10.2478/pjs-2013-0013","ISSN":"2299-2847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chirurgiczny","id":"ITEM-9","issue":"2","issued":{"date-parts":[["2013","2"]]},"language":"eng","page":"73-77","publisher-place":"Poland","title":"Application of the single access technique in laparoscopic surgery.","type":"article-journal","volume":"85"},"uris":["http://www.mendeley.com/documents/?uuid=f8c6e7b5-682a-48da-9065-b921584683d9"]},{"id":"ITEM-10","itemData":{"ISSN":"1555-9823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surgeon","id":"ITEM-10","issue":"8","issued":{"date-parts":[["2013","8"]]},"language":"eng","page":"837-844","publisher-place":"United States","title":"Defining the learning curve of laparoendoscopic single-site Heller myotomy.","type":"article-journal","volume":"79"},"uris":["http://www.mendeley.com/documents/?uuid=0b719385-a29d-4bff-80aa-3252147d9026"]},{"id":"ITEM-11","itemData":{"ISSN":"1555-9823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surgeon","id":"ITEM-11","issue":"9","issued":{"date-parts":[["2015","9"]]},"language":"eng","page":"870-875","publisher-place":"United States","title":"Over 250 Laparoendoscopic Single Site (LESS) Fundoplications: Lessons Learned.","type":"article-journal","volume":"81"},"uris":["http://www.mendeley.com/documents/?uuid=1d6c01bf-75fb-41a3-87e3-cff430a8128b"]},{"id":"ITEM-12","itemData":{"DOI":"10.5402/2011/347487","ISSN":"2090-4401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gastroenterology","id":"ITEM-12","issued":{"date-parts":[["2011"]]},"language":"eng","page":"347487","publisher-place":"Egypt","title":"Pure SILS Floppy Nissen Fundoplication with Hiatal Repair: A Case Report.","type":"article-journal","volume":"2011"},"uris":["http://www.mendeley.com/documents/?uuid=bb1b6c22-cb01-419a-8aa1-ecc2590e20fb"]},{"id":"ITEM-13","itemData":{"DOI":"10.1097/SLE.0b013e318247c45f","ISSN":"1534-4908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techniques","id":"ITEM-13","issue":"3","issued":{"date-parts":[["2012","6"]]},"language":"eng","page":"e118-21","publisher-place":"United States","title":"Single-port laparoscopic surgery of the distal esophagus: initial clinical experience.","type":"article-journal","volume":"22"},"uris":["http://www.mendeley.com/documents/?uuid=5c9b5627-6b69-4214-980f-6e7e266becb2"]},{"id":"ITEM-14","itemData":{"DOI":"10.1089/lap.2011.0349","ISSN":"1092-6429","PMID":"22146016","abstract":"With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TECHNIQUES","id":"ITEM-14","issue":"2","issued":{"date-parts":[["2012","3"]]},"language":"eng","note":"From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Retractor","type":"article-journal","volume":"22"},"uris":["http://www.mendeley.com/documents/?uuid=05bdb216-8006-46da-a594-e512f1597c57"]},{"id":"ITEM-15","itemData":{"DOI":"10.1007/s00595-012-0120-1","ISSN":"1436-2813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today","id":"ITEM-15","issue":"6","issued":{"date-parts":[["2012","6"]]},"language":"eng","page":"601-604","publisher-place":"Japan","title":"Early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cases.","type":"article-journal","volume":"42"},"uris":["http://www.mendeley.com/documents/?uuid=ad88e9ed-eae0-489c-af2e-e1273cac8481"]},{"id":"ITEM-16","itemData":{"DOI":"10.5336/medsci.2012-31954","ISSN":"13000292","abstract":"Objective: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Sciences","id":"ITEM-16","issue":"4","issued":{"date-parts":[["2013"]]},"note":"cited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fundoplikasyon]","type":"article-journal","volume":"33"},"uris":["http://www.mendeley.com/documents/?uuid=85220f75-29bf-4683-96cd-e6c7f7fa6a31"]},{"id":"ITEM-17","itemData":{"DOI":"10.1177/1553350610384406","ISSN":"1553-3506","abstract":"Introduction: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INNOVATION","id":"ITEM-17","issue":"1","issued":{"date-parts":[["2011"]]},"page":"61-65","title":"Single-Access Transumbilical Laparoscopic Nissen Fundoplication Performed With New Curved Reusable Instruments","type":"article-journal","volume":"18"},"uris":["http://www.mendeley.com/documents/?uuid=a3f03f90-ca12-4ea3-91d5-c2928549d2c0"]},{"id":"ITEM-18","itemData":{"DOI":"10.1097/SLE.0b013e31828f720d","ISSN":"1534-4908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techniques","id":"ITEM-18","issue":"2","issued":{"date-parts":[["2014","4"]]},"language":"eng","page":"e59-62","publisher-place":"United States","title":"Multipurpose internal retractor for Single-incision surgery (SIS): single-institution case series.","type":"article-journal","volume":"24"},"uris":["http://www.mendeley.com/documents/?uuid=24712b0a-674a-48a5-90d2-96178237dc01"]},{"id":"ITEM-19","itemData":{"DOI":"10.1002/bjs.9446","ISSN":"1365-2168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surgery","id":"ITEM-19","issue":"5","issued":{"date-parts":[["2014","4"]]},"language":"eng","page":"546-549","publisher-place":"England","title":"Liver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[11,12,14,17–32]&lt;/sup&gt;","plainTextFormattedCitation":"[11,12,14,17–32]","previouslyFormattedCitation":"&lt;sup&gt;[11,12,14,17–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[11,12,14,17–32]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were included in our systematic review. </w:t>
      </w:r>
    </w:p>
    <w:p w14:paraId="46B2ECEA" w14:textId="77777777" w:rsidR="00192CF1" w:rsidRPr="00192CF1" w:rsidRDefault="00192CF1" w:rsidP="004647EC">
      <w:pPr>
        <w:autoSpaceDE w:val="0"/>
        <w:autoSpaceDN w:val="0"/>
        <w:adjustRightInd w:val="0"/>
        <w:spacing w:after="0" w:line="360" w:lineRule="auto"/>
        <w:jc w:val="both"/>
        <w:rPr>
          <w:rFonts w:ascii="Book Antiqua" w:hAnsi="Book Antiqua"/>
          <w:bCs/>
          <w:sz w:val="24"/>
          <w:szCs w:val="24"/>
          <w:lang w:val="en-US" w:eastAsia="zh-CN"/>
        </w:rPr>
      </w:pPr>
    </w:p>
    <w:p w14:paraId="5B712948" w14:textId="77777777" w:rsidR="003876D5" w:rsidRPr="00192CF1" w:rsidRDefault="003876D5" w:rsidP="004647EC">
      <w:pPr>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Study characteristics </w:t>
      </w:r>
    </w:p>
    <w:p w14:paraId="1F499A28" w14:textId="3FDA6886" w:rsidR="003876D5" w:rsidRPr="00192CF1" w:rsidRDefault="003876D5" w:rsidP="004647EC">
      <w:pPr>
        <w:spacing w:after="0" w:line="360" w:lineRule="auto"/>
        <w:jc w:val="both"/>
        <w:rPr>
          <w:rFonts w:ascii="Book Antiqua" w:hAnsi="Book Antiqua"/>
          <w:bCs/>
          <w:sz w:val="24"/>
          <w:szCs w:val="24"/>
          <w:lang w:val="en-US"/>
        </w:rPr>
      </w:pPr>
      <w:r w:rsidRPr="00192CF1">
        <w:rPr>
          <w:rFonts w:ascii="Book Antiqua" w:hAnsi="Book Antiqua"/>
          <w:bCs/>
          <w:sz w:val="24"/>
          <w:szCs w:val="24"/>
          <w:lang w:val="en-US"/>
        </w:rPr>
        <w:t>The characteristics of the included studies are summarized in Table 1. Pu</w:t>
      </w:r>
      <w:r w:rsidR="00192CF1" w:rsidRPr="00192CF1">
        <w:rPr>
          <w:rFonts w:ascii="Book Antiqua" w:hAnsi="Book Antiqua"/>
          <w:bCs/>
          <w:sz w:val="24"/>
          <w:szCs w:val="24"/>
          <w:lang w:val="en-US"/>
        </w:rPr>
        <w:t>blication year ranged from 2010</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w:t>
      </w:r>
      <w:r w:rsidR="00A973CD" w:rsidRPr="00192CF1">
        <w:rPr>
          <w:rFonts w:ascii="Book Antiqua" w:hAnsi="Book Antiqua"/>
          <w:bCs/>
          <w:sz w:val="24"/>
          <w:szCs w:val="24"/>
          <w:lang w:val="en-US"/>
        </w:rPr>
        <w:fldChar w:fldCharType="end"/>
      </w:r>
      <w:r w:rsidR="00192CF1" w:rsidRPr="00192CF1">
        <w:rPr>
          <w:rFonts w:ascii="Book Antiqua" w:hAnsi="Book Antiqua"/>
          <w:bCs/>
          <w:sz w:val="24"/>
          <w:szCs w:val="24"/>
          <w:lang w:val="en-US"/>
        </w:rPr>
        <w:t xml:space="preserve"> to 2016</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L","non-dropping-particle":"","parse-names":false,"suffix":""}],"container-title":"HERNIA","id":"ITEM-2","issue":"5","issued":{"date-parts":[["2016","10"]]},"page":"729-733","publisher":"SPRINGER","publisher-place":"233 SPRING ST, NEW YORK, NY 10013 USA","title":"Influencing factors for port-site hernias after single-incision laparoscopy","type":"article-journal","volume":"20"},"uris":["http://www.mendeley.com/documents/?uuid=94881e51-2f96-4dc5-b29b-9d44b7d53ce8"]}],"mendeley":{"formattedCitation":"&lt;sup&gt;[14,30]&lt;/sup&gt;","plainTextFormattedCitation":"[14,30]","previouslyFormattedCitation":"&lt;sup&gt;[14,30]&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[14,30]</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Although initial references consisted of case reports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today","id":"ITEM-3","issue":"11","issued":{"date-parts":[["2011","11"]]},"language":"eng","page":"1543-1547","publisher-place":"Japan","title":"Single-incision laparoscopic Heller myotomy and Dor fundoplication for achalasia: report of a case.","type":"article-journal","volume":"41"},"uris":["http://www.mendeley.com/documents/?uuid=847f6bea-4208-41b8-95d2-54e3738d7df1"]},{"id":"ITEM-4","itemData":{"DOI":"10.1016/j.ijscr.2012.09.003","ISSN":"2210-2612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reports","id":"ITEM-4","issue":"1","issued":{"date-parts":[["2013"]]},"language":"eng","page":"1-4","publisher-place":"Netherlands","title":"Single incision laparoscopic approach for esophageal achalasia: A case report.","type":"article-journal","volume":"4"},"uris":["http://www.mendeley.com/documents/?uuid=cbce9c75-a3f5-41c0-94c2-4fb6818b56e4"]},{"id":"ITEM-5","itemData":{"DOI":"10.1007/s00595-011-0089-1","ISSN":"1436-2813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today","id":"ITEM-5","issue":"3","issued":{"date-parts":[["2012","2"]]},"language":"eng","page":"299-302","publisher-place":"Japan","title":"Single-incision laparoscopic Heller myotomy and Dor fundoplication for achalasia: report of a case.","type":"article-journal","volume":"42"},"uris":["http://www.mendeley.com/documents/?uuid=f0812b93-b43f-4012-9026-6bcb9aee8455"]},{"id":"ITEM-6","itemData":{"DOI":"10.5402/2011/347487","ISSN":"2090-4401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gastroenterology","id":"ITEM-6","issued":{"date-parts":[["2011"]]},"language":"eng","page":"347487","publisher-place":"Egypt","title":"Pure SILS Floppy Nissen Fundoplication with Hiatal Repair: A Case Report.","type":"article-journal","volume":"2011"},"uris":["http://www.mendeley.com/documents/?uuid=bb1b6c22-cb01-419a-8aa1-ecc2590e20fb"]},{"id":"ITEM-7","itemData":{"DOI":"10.1177/1553350610384406","ISSN":"1553-3506","abstract":"Introduction: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INNOVATION","id":"ITEM-7","issue":"1","issued":{"date-parts":[["2011"]]},"page":"61-65","title":"Single-Access Transumbilical Laparoscopic Nissen Fundoplication Performed With New Curved Reusable Instruments","type":"article-journal","volume":"18"},"uris":["http://www.mendeley.com/documents/?uuid=a3f03f90-ca12-4ea3-91d5-c2928549d2c0"]}],"mendeley":{"formattedCitation":"&lt;sup&gt;[11,12,18,23,27–29]&lt;/sup&gt;","plainTextFormattedCitation":"[11,12,18,23,27–29]","previouslyFormattedCitation":"&lt;sup&gt;[11,12,18,23,27–29]&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[11,12,18,23,27–29]</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subsequent trials included retrospective</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Surgeons","id":"ITEM-2","issue":"2","issued":{"date-parts":[["2014"]]},"language":"eng","page":"204-210","publisher-place":"United States","title":"Incidence of port-site incisional hernia after single-incision laparoscopic surgery.","type":"article-journal","volume":"18"},"uris":["http://www.mendeley.com/documents/?uuid=fc2f9c02-8c32-4a1d-b694-eea30001bc03"]},{"id":"ITEM-3","itemData":{"DOI":"10.1007/s10029-016-1512-8","ISSN":"1265-4906","abstract":"Single-incision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L","non-dropping-particle":"","parse-names":false,"suffix":""}],"container-title":"HERNIA","id":"ITEM-3","issue":"5","issued":{"date-parts":[["2016","10"]]},"page":"729-733","publisher":"SPRINGER","publisher-place":"233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laparoscopy","type":"article-journal","volume":"20"},"uris":["http://www.mendeley.com/documents/?uuid=94881e51-2f96-4dc5-b29b-9d44b7d53ce8"]},{"id":"ITEM-4","itemData":{"DOI":"10.2478/pjs-2013-0013","ISSN":"2299-2847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chirurgiczny","id":"ITEM-4","issue":"2","issued":{"date-parts":[["2013","2"]]},"language":"eng","page":"73-77","publisher-place":"Poland","title":"Application of the single access technique in laparoscopic surgery.","type":"article-journal","volume":"85"},"uris":["http://www.mendeley.com/documents/?uuid=f8c6e7b5-682a-48da-9065-b921584683d9"]},{"id":"ITEM-5","itemData":{"DOI":"10.1097/SLE.0b013e318247c45f","ISSN":"1534-4908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techniques","id":"ITEM-5","issue":"3","issued":{"date-parts":[["2012","6"]]},"language":"eng","page":"e118-21","publisher-place":"United States","title":"Single-port laparoscopic surgery of the distal esophagus: initial clinical experience.","type":"article-journal","volume":"22"},"uris":["http://www.mendeley.com/documents/?uuid=5c9b5627-6b69-4214-980f-6e7e266becb2"]},{"id":"ITEM-6","itemData":{"DOI":"10.1089/lap.2011.0349","ISSN":"1092-6429","PMID":"22146016","abstract":"With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TECHNIQUES","id":"ITEM-6","issue":"2","issued":{"date-parts":[["2012","3"]]},"language":"eng","note":"From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Retractor","type":"article-journal","volume":"22"},"uris":["http://www.mendeley.com/documents/?uuid=05bdb216-8006-46da-a594-e512f1597c57"]},{"id":"ITEM-7","itemData":{"DOI":"10.1007/s00595-012-0120-1","ISSN":"1436-2813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today","id":"ITEM-7","issue":"6","issued":{"date-parts":[["2012","6"]]},"language":"eng","page":"601-604","publisher-place":"Japan","title":"Early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cases.","type":"article-journal","volume":"42"},"uris":["http://www.mendeley.com/documents/?uuid=ad88e9ed-eae0-489c-af2e-e1273cac8481"]},{"id":"ITEM-8","itemData":{"DOI":"10.5336/medsci.2012-31954","ISSN":"13000292","abstract":"Objective: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Sciences","id":"ITEM-8","issue":"4","issued":{"date-parts":[["2013"]]},"note":"cited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fundoplikasyon]","type":"article-journal","volume":"33"},"uris":["http://www.mendeley.com/documents/?uuid=85220f75-29bf-4683-96cd-e6c7f7fa6a31"]},{"id":"ITEM-9","itemData":{"DOI":"10.1097/SLE.0b013e31828f720d","ISSN":"1534-4908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techniques","id":"ITEM-9","issue":"2","issued":{"date-parts":[["2014","4"]]},"language":"eng","page":"e59-62","publisher-place":"United States","title":"Multipurpose internal retractor for Single-incision surgery (SIS): single-institution case series.","type":"article-journal","volume":"24"},"uris":["http://www.mendeley.com/documents/?uuid=24712b0a-674a-48a5-90d2-96178237dc01"]},{"id":"ITEM-10","itemData":{"DOI":"10.1002/bjs.9446","ISSN":"1365-2168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surgery","id":"ITEM-10","issue":"5","issued":{"date-parts":[["2014","4"]]},"language":"eng","page":"546-549","publisher-place":"England","title":"Liver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[14,19–22,24–26,30,31]&lt;/sup&gt;","plainTextFormattedCitation":"[14,19–22,24–26,30,31]","previouslyFormattedCitation":"&lt;sup&gt;[14,19–22,24–26,30,31]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[14,19–22,24–26,30,31]</w:t>
      </w:r>
      <w:r w:rsidR="00A973CD" w:rsidRPr="00192CF1">
        <w:rPr>
          <w:rFonts w:ascii="Book Antiqua" w:hAnsi="Book Antiqua"/>
          <w:bCs/>
          <w:sz w:val="24"/>
          <w:szCs w:val="24"/>
          <w:lang w:val="en-US"/>
        </w:rPr>
        <w:fldChar w:fldCharType="end"/>
      </w:r>
      <w:r w:rsidR="00192CF1" w:rsidRPr="00192CF1">
        <w:rPr>
          <w:rFonts w:ascii="Book Antiqua" w:hAnsi="Book Antiqua"/>
          <w:bCs/>
          <w:sz w:val="24"/>
          <w:szCs w:val="24"/>
          <w:lang w:val="en-US"/>
        </w:rPr>
        <w:t xml:space="preserve"> and prospective</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myotomy.","type":"article-journal","volume":"79"},"uris":["http://www.mendeley.com/documents/?uuid=0b719385-a29d-4bff-80aa-3252147d9026"]},{"id":"ITEM-2","itemData":{"ISSN":"1555-9823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surgeon","id":"ITEM-2","issue":"9","issued":{"date-parts":[["2015","9"]]},"language":"eng","page":"870-875","publisher-place":"United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[17,32]&lt;/sup&gt;","plainTextFormattedCitation":"[17,32]","previouslyFormattedCitation":"&lt;sup&gt;[17,32]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[17,32]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studies. All eligible trials were performed in a single institution. Regarding the operation type, 14 studies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Surgeons","id":"ITEM-3","issue":"2","issued":{"date-parts":[["2014"]]},"language":"eng","page":"204-210","publisher-place":"United States","title":"Incidence of port-site incisional hernia after single-incision laparoscopic surgery.","type":"article-journal","volume":"18"},"uris":["http://www.mendeley.com/documents/?uuid=fc2f9c02-8c32-4a1d-b694-eea30001bc03"]},{"id":"ITEM-4","itemData":{"DOI":"10.1007/s10029-016-1512-8","ISSN":"1265-4906","abstract":"Single-incision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L","non-dropping-particle":"","parse-names":false,"suffix":""}],"container-title":"HERNIA","id":"ITEM-4","issue":"5","issued":{"date-parts":[["2016","10"]]},"page":"729-733","publisher":"SPRINGER","publisher-place":"233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laparoscopy","type":"article-journal","volume":"20"},"uris":["http://www.mendeley.com/documents/?uuid=94881e51-2f96-4dc5-b29b-9d44b7d53ce8"]},{"id":"ITEM-5","itemData":{"DOI":"10.2478/pjs-2013-0013","ISSN":"2299-2847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chirurgiczny","id":"ITEM-5","issue":"2","issued":{"date-parts":[["2013","2"]]},"language":"eng","page":"73-77","publisher-place":"Poland","title":"Application of the single access technique in laparoscopic surgery.","type":"article-journal","volume":"85"},"uris":["http://www.mendeley.com/documents/?uuid=f8c6e7b5-682a-48da-9065-b921584683d9"]},{"id":"ITEM-6","itemData":{"ISSN":"1555-9823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surgeon","id":"ITEM-6","issue":"9","issued":{"date-parts":[["2015","9"]]},"language":"eng","page":"870-875","publisher-place":"United States","title":"Over 250 Laparoendoscopic Single Site (LESS) Fundoplications: Lessons Learned.","type":"article-journal","volume":"81"},"uris":["http://www.mendeley.com/documents/?uuid=1d6c01bf-75fb-41a3-87e3-cff430a8128b"]},{"id":"ITEM-7","itemData":{"DOI":"10.5402/2011/347487","ISSN":"2090-4401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gastroenterology","id":"ITEM-7","issued":{"date-parts":[["2011"]]},"language":"eng","page":"347487","publisher-place":"Egypt","title":"Pure SILS Floppy Nissen Fundoplication with Hiatal Repair: A Case Report.","type":"article-journal","volume":"2011"},"uris":["http://www.mendeley.com/documents/?uuid=bb1b6c22-cb01-419a-8aa1-ecc2590e20fb"]},{"id":"ITEM-8","itemData":{"DOI":"10.1097/SLE.0b013e318247c45f","ISSN":"1534-4908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techniques","id":"ITEM-8","issue":"3","issued":{"date-parts":[["2012","6"]]},"language":"eng","page":"e118-21","publisher-place":"United States","title":"Single-port laparoscopic surgery of the distal esophagus: initial clinical experience.","type":"article-journal","volume":"22"},"uris":["http://www.mendeley.com/documents/?uuid=5c9b5627-6b69-4214-980f-6e7e266becb2"]},{"id":"ITEM-9","itemData":{"DOI":"10.1089/lap.2011.0349","ISSN":"1092-6429","PMID":"22146016","abstract":"With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TECHNIQUES","id":"ITEM-9","issue":"2","issued":{"date-parts":[["2012","3"]]},"language":"eng","note":"From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Retractor","type":"article-journal","volume":"22"},"uris":["http://www.mendeley.com/documents/?uuid=05bdb216-8006-46da-a594-e512f1597c57"]},{"id":"ITEM-10","itemData":{"DOI":"10.1007/s00595-012-0120-1","ISSN":"1436-2813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today","id":"ITEM-10","issue":"6","issued":{"date-parts":[["2012","6"]]},"language":"eng","page":"601-604","publisher-place":"Japan","title":"Early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cases.","type":"article-journal","volume":"42"},"uris":["http://www.mendeley.com/documents/?uuid=ad88e9ed-eae0-489c-af2e-e1273cac8481"]},{"id":"ITEM-11","itemData":{"DOI":"10.5336/medsci.2012-31954","ISSN":"13000292","abstract":"Objective: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fundoplikasyon]","type":"article-journal","volume":"33"},"uris":["http://www.mendeley.com/documents/?uuid=85220f75-29bf-4683-96cd-e6c7f7fa6a31"]},{"id":"ITEM-12","itemData":{"DOI":"10.1177/1553350610384406","ISSN":"1553-3506","abstract":"Introduction: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INNOVATION","id":"ITEM-12","issue":"1","issued":{"date-parts":[["2011"]]},"page":"61-65","title":"Single-Access Transumbilical Laparoscopic Nissen Fundoplication Performed With New Curved Reusable Instruments","type":"article-journal","volume":"18"},"uris":["http://www.mendeley.com/documents/?uuid=a3f03f90-ca12-4ea3-91d5-c2928549d2c0"]},{"id":"ITEM-13","itemData":{"DOI":"10.1097/SLE.0b013e31828f720d","ISSN":"1534-4908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techniques","id":"ITEM-13","issue":"2","issued":{"date-parts":[["2014","4"]]},"language":"eng","page":"e59-62","publisher-place":"United States","title":"Multipurpose internal retractor for Single-incision surgery (SIS): single-institution case series.","type":"article-journal","volume":"24"},"uris":["http://www.mendeley.com/documents/?uuid=24712b0a-674a-48a5-90d2-96178237dc01"]},{"id":"ITEM-14","itemData":{"DOI":"10.1002/bjs.9446","ISSN":"1365-2168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surgery","id":"ITEM-14","issue":"5","issued":{"date-parts":[["2014","4"]]},"language":"eng","page":"546-549","publisher-place":"England","title":"Liver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[11,12,17–26,30,31]&lt;/sup&gt;","plainTextFormattedCitation":"[11,12,17–26,30,31]","previouslyFormattedCitation":"&lt;sup&gt;[11,12,17–26,30,31]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[11,12,17–26,30,31]</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reported on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fundoplication, whereas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fundoplication was performed in 6</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today","id":"ITEM-2","issue":"11","issued":{"date-parts":[["2011","11"]]},"language":"eng","page":"1543-1547","publisher-place":"Japan","title":"Single-incision laparoscopic Heller myotomy and Dor fundoplication for achalasia: report of a case.","type":"article-journal","volume":"41"},"uris":["http://www.mendeley.com/documents/?uuid=847f6bea-4208-41b8-95d2-54e3738d7df1"]},{"id":"ITEM-3","itemData":{"DOI":"10.1016/j.ijscr.2012.09.003","ISSN":"2210-2612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reports","id":"ITEM-3","issue":"1","issued":{"date-parts":[["2013"]]},"language":"eng","page":"1-4","publisher-place":"Netherlands","title":"Single incision laparoscopic approach for esophageal achalasia: A case report.","type":"article-journal","volume":"4"},"uris":["http://www.mendeley.com/documents/?uuid=cbce9c75-a3f5-41c0-94c2-4fb6818b56e4"]},{"id":"ITEM-4","itemData":{"DOI":"10.1007/s00595-011-0089-1","ISSN":"1436-2813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today","id":"ITEM-4","issue":"3","issued":{"date-parts":[["2012","2"]]},"language":"eng","page":"299-302","publisher-place":"Japan","title":"Single-incision laparoscopic Heller myotomy and Dor fundoplication for achalasia: report of a case.","type":"article-journal","volume":"42"},"uris":["http://www.mendeley.com/documents/?uuid=f0812b93-b43f-4012-9026-6bcb9aee8455"]},{"id":"ITEM-5","itemData":{"ISSN":"1555-9823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surgeon","id":"ITEM-5","issue":"8","issued":{"date-parts":[["2013","8"]]},"language":"eng","page":"837-844","publisher-place":"United States","title":"Defining the learning curve of laparoendoscopic single-site Heller myotomy.","type":"article-journal","volume":"79"},"uris":["http://www.mendeley.com/documents/?uuid=0b719385-a29d-4bff-80aa-3252147d9026"]},{"id":"ITEM-6","itemData":{"DOI":"10.1002/bjs.9446","ISSN":"1365-2168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surgery","id":"ITEM-6","issue":"5","issued":{"date-parts":[["2014","4"]]},"language":"eng","page":"546-549","publisher-place":"England","title":"Liver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[14,25,27–29,32]&lt;/sup&gt;","plainTextFormattedCitation":"[14,25,27–29,32]","previouslyFormattedCitation":"&lt;sup&gt;[14,25,27–29,32]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[14,25,27–29,32]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and 1 trial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eviouslyFormattedCitation":"&lt;sup&gt;[17]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respectively. Although the number of operating surgeons ranged from 1</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today","id":"ITEM-1","issue":"11","issued":{"date-parts":[["2011","11"]]},"language":"eng","page":"1543-1547","publisher-place":"Japan","title":"Single-incision laparoscopic Heller myotomy and Dor fundoplication for achalasia: report of a case.","type":"article-journal","volume":"41"},"uris":["http://www.mendeley.com/documents/?uuid=847f6bea-4208-41b8-95d2-54e3738d7df1"]},{"id":"ITEM-2","itemData":{"DOI":"10.5336/medsci.2012-31954","ISSN":"13000292","abstract":"Objective: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Sciences","id":"ITEM-2","issue":"4","issued":{"date-parts":[["2013"]]},"note":"cited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fundoplikasyon]","type":"article-journal","volume":"33"},"uris":["http://www.mendeley.com/documents/?uuid=85220f75-29bf-4683-96cd-e6c7f7fa6a31"]},{"id":"ITEM-3","itemData":{"DOI":"10.1097/SLE.0b013e31828f720d","ISSN":"1534-4908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techniques","id":"ITEM-3","issue":"2","issued":{"date-parts":[["2014","4"]]},"language":"eng","page":"e59-62","publisher-place":"United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[22,24,27]&lt;/sup&gt;","plainTextFormattedCitation":"[22,24,27]","previouslyFormattedCitation":"&lt;sup&gt;[22,24,27]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[22,24,27]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to multiple</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L","non-dropping-particle":"","parse-names":false,"suffix":""}],"container-title":"HERNIA","id":"ITEM-2","issue":"5","issued":{"date-parts":[["2016","10"]]},"page":"729-733","publisher":"SPRINGER","publisher-place":"233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laparoscopy","type":"article-journal","volume":"20"},"uris":["http://www.mendeley.com/documents/?uuid=94881e51-2f96-4dc5-b29b-9d44b7d53ce8"]},{"id":"ITEM-3","itemData":{"ISSN":"1555-9823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surgeon","id":"ITEM-3","issue":"8","issued":{"date-parts":[["2013","8"]]},"language":"eng","page":"837-844","publisher-place":"United States","title":"Defining the learning curve of laparoendoscopic single-site Heller myotomy.","type":"article-journal","volume":"79"},"uris":["http://www.mendeley.com/documents/?uuid=0b719385-a29d-4bff-80aa-3252147d9026"]},{"id":"ITEM-4","itemData":{"DOI":"10.1097/SLE.0b013e318247c45f","ISSN":"1534-4908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techniques","id":"ITEM-4","issue":"3","issued":{"date-parts":[["2012","6"]]},"language":"eng","page":"e118-21","publisher-place":"United States","title":"Single-port laparoscopic surgery of the distal esophagus: initial clinical experience.","type":"article-journal","volume":"22"},"uris":["http://www.mendeley.com/documents/?uuid=5c9b5627-6b69-4214-980f-6e7e266becb2"]}],"mendeley":{"formattedCitation":"&lt;sup&gt;[14,19,30,32]&lt;/sup&gt;","plainTextFormattedCitation":"[14,19,30,32]","previouslyFormattedCitation":"&lt;sup&gt;[14,19,30,32]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[14,19,30,32]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experience in </w:t>
      </w:r>
      <w:proofErr w:type="spellStart"/>
      <w:r w:rsidRPr="00192CF1">
        <w:rPr>
          <w:rFonts w:ascii="Book Antiqua" w:hAnsi="Book Antiqua"/>
          <w:bCs/>
          <w:sz w:val="24"/>
          <w:szCs w:val="24"/>
          <w:lang w:val="en-US"/>
        </w:rPr>
        <w:t>laparoendoscopic</w:t>
      </w:r>
      <w:proofErr w:type="spellEnd"/>
      <w:r w:rsidRPr="00192CF1">
        <w:rPr>
          <w:rFonts w:ascii="Book Antiqua" w:hAnsi="Book Antiqua"/>
          <w:bCs/>
          <w:sz w:val="24"/>
          <w:szCs w:val="24"/>
          <w:lang w:val="en-US"/>
        </w:rPr>
        <w:t xml:space="preserve"> techniques was documented only in 3</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surgery.","type":"article-journal","volume":"18"},"uris":["http://www.mendeley.com/documents/?uuid=fc2f9c02-8c32-4a1d-b694-eea30001bc03"]},{"id":"ITEM-2","itemData":{"DOI":"10.1007/s00595-010-4533-4","ISSN":"1436-2813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today","id":"ITEM-2","issue":"11","issued":{"date-parts":[["2011","11"]]},"language":"eng","page":"1543-1547","publisher-place":"Japan","title":"Single-incision laparoscopic Heller myotomy and Dor fundoplication for achalasia: report of a case.","type":"article-journal","volume":"41"},"uris":["http://www.mendeley.com/documents/?uuid=847f6bea-4208-41b8-95d2-54e3738d7df1"]},{"id":"ITEM-3","itemData":{"DOI":"10.1097/SLE.0b013e31828f720d","ISSN":"1534-4908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techniques","id":"ITEM-3","issue":"2","issued":{"date-parts":[["2014","4"]]},"language":"eng","page":"e59-62","publisher-place":"United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[24,26,27]&lt;/sup&gt;","plainTextFormattedCitation":"[24,26,27]","previouslyFormattedCitation":"&lt;sup&gt;[24,26,27]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[24,26,27]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studies. In total, 513 patients were submitted to a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laparoscopic fundoplication. More specifically, 266, 137 and 110 S</w:t>
      </w:r>
      <w:r w:rsidR="00B31D3B" w:rsidRPr="00192CF1">
        <w:rPr>
          <w:rFonts w:ascii="Book Antiqua" w:hAnsi="Book Antiqua"/>
          <w:bCs/>
          <w:sz w:val="24"/>
          <w:szCs w:val="24"/>
          <w:lang w:val="en-US"/>
        </w:rPr>
        <w:t>I</w:t>
      </w:r>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Heller and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fundoplications</w:t>
      </w:r>
      <w:proofErr w:type="spellEnd"/>
      <w:r w:rsidRPr="00192CF1">
        <w:rPr>
          <w:rFonts w:ascii="Book Antiqua" w:hAnsi="Book Antiqua"/>
          <w:bCs/>
          <w:sz w:val="24"/>
          <w:szCs w:val="24"/>
          <w:lang w:val="en-US"/>
        </w:rPr>
        <w:t xml:space="preserve"> were recorded, respectively. Mean age, gender and BMI allocation is, also, displayed in Table 1. Mean foll</w:t>
      </w:r>
      <w:r w:rsidR="00192CF1" w:rsidRPr="00192CF1">
        <w:rPr>
          <w:rFonts w:ascii="Book Antiqua" w:hAnsi="Book Antiqua"/>
          <w:bCs/>
          <w:sz w:val="24"/>
          <w:szCs w:val="24"/>
          <w:lang w:val="en-US"/>
        </w:rPr>
        <w:t xml:space="preserve">ow up period extended from 1 </w:t>
      </w:r>
      <w:proofErr w:type="spellStart"/>
      <w:r w:rsidR="00192CF1" w:rsidRPr="00192CF1">
        <w:rPr>
          <w:rFonts w:ascii="Book Antiqua" w:hAnsi="Book Antiqua"/>
          <w:bCs/>
          <w:sz w:val="24"/>
          <w:szCs w:val="24"/>
          <w:lang w:val="en-US"/>
        </w:rPr>
        <w:t>w</w:t>
      </w:r>
      <w:r w:rsidRPr="00192CF1">
        <w:rPr>
          <w:rFonts w:ascii="Book Antiqua" w:hAnsi="Book Antiqua"/>
          <w:bCs/>
          <w:sz w:val="24"/>
          <w:szCs w:val="24"/>
          <w:lang w:val="en-US"/>
        </w:rPr>
        <w:t>k</w:t>
      </w:r>
      <w:proofErr w:type="spellEnd"/>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w:t>
      </w:r>
      <w:r w:rsidR="00A973CD" w:rsidRPr="00192CF1">
        <w:rPr>
          <w:rFonts w:ascii="Book Antiqua" w:hAnsi="Book Antiqua"/>
          <w:bCs/>
          <w:sz w:val="24"/>
          <w:szCs w:val="24"/>
          <w:lang w:val="en-US"/>
        </w:rPr>
        <w:fldChar w:fldCharType="end"/>
      </w:r>
      <w:r w:rsidR="00192CF1" w:rsidRPr="00192CF1">
        <w:rPr>
          <w:rFonts w:ascii="Book Antiqua" w:hAnsi="Book Antiqua"/>
          <w:bCs/>
          <w:sz w:val="24"/>
          <w:szCs w:val="24"/>
          <w:lang w:val="en-US"/>
        </w:rPr>
        <w:t xml:space="preserve"> to 60 </w:t>
      </w:r>
      <w:proofErr w:type="spellStart"/>
      <w:r w:rsidR="00192CF1" w:rsidRPr="00192CF1">
        <w:rPr>
          <w:rFonts w:ascii="Book Antiqua" w:hAnsi="Book Antiqua"/>
          <w:bCs/>
          <w:sz w:val="24"/>
          <w:szCs w:val="24"/>
          <w:lang w:val="en-US"/>
        </w:rPr>
        <w:t>mo</w:t>
      </w:r>
      <w:proofErr w:type="spellEnd"/>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mendeley":{"formattedCitation":"&lt;sup&gt;[26]&lt;/sup&gt;","plainTextFormattedCitation":"[26]","previouslyFormattedCitation":"&lt;sup&gt;[26]&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[26]</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w:t>
      </w:r>
    </w:p>
    <w:p w14:paraId="65ABB2B1" w14:textId="77777777" w:rsidR="003876D5" w:rsidRPr="00192CF1" w:rsidRDefault="003876D5" w:rsidP="00192CF1">
      <w:pPr>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Data considering the ASA classification of the included patients were systematically not provided (Table 2). The indications for performing surgery were hiatus hernia</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gastroenterology","id":"ITEM-1","issued":{"date-parts":[["2011"]]},"language":"eng","page":"347487","publisher-place":"Egypt","title":"Pure SILS Floppy Nissen Fundoplication with Hiatal Repair: A Case Report.","type":"article-journal","volume":"2011"},"uris":["http://www.mendeley.com/documents/?uuid=bb1b6c22-cb01-419a-8aa1-ecc2590e20fb"]},{"id":"ITEM-2","itemData":{"DOI":"10.1002/bjs.9446","ISSN":"1365-2168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surgery","id":"ITEM-2","issue":"5","issued":{"date-parts":[["2014","4"]]},"language":"eng","page":"546-549","publisher-place":"England","title":"Liver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[18,25]&lt;/sup&gt;","plainTextFormattedCitation":"[18,25]","previouslyFormattedCitation":"&lt;sup&gt;[18,25]&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[18,25]</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and GERD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Surgeons","id":"ITEM-3","issue":"2","issued":{"date-parts":[["2014"]]},"language":"eng","page":"204-210","publisher-place":"United States","title":"Incidence of port-site incisional hernia after single-incision laparoscopic surgery.","type":"article-journal","volume":"18"},"uris":["http://www.mendeley.com/documents/?uuid=fc2f9c02-8c32-4a1d-b694-eea30001bc03"]},{"id":"ITEM-4","itemData":{"DOI":"10.1007/s10029-016-1512-8","ISSN":"1265-4906","abstract":"Single-incision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L","non-dropping-particle":"","parse-names":false,"suffix":""}],"container-title":"HERNIA","id":"ITEM-4","issue":"5","issued":{"date-parts":[["2016","10"]]},"page":"729-733","publisher":"SPRINGER","publisher-place":"233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laparoscopy","type":"article-journal","volume":"20"},"uris":["http://www.mendeley.com/documents/?uuid=94881e51-2f96-4dc5-b29b-9d44b7d53ce8"]},{"id":"ITEM-5","itemData":{"DOI":"10.2478/pjs-2013-0013","ISSN":"2299-2847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chirurgiczny","id":"ITEM-5","issue":"2","issued":{"date-parts":[["2013","2"]]},"language":"eng","page":"73-77","publisher-place":"Poland","title":"Application of the single access technique in laparoscopic surgery.","type":"article-journal","volume":"85"},"uris":["http://www.mendeley.com/documents/?uuid=f8c6e7b5-682a-48da-9065-b921584683d9"]},{"id":"ITEM-6","itemData":{"ISSN":"1555-9823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surgeon","id":"ITEM-6","issue":"9","issued":{"date-parts":[["2015","9"]]},"language":"eng","page":"870-875","publisher-place":"United States","title":"Over 250 Laparoendoscopic Single Site (LESS) Fundoplications: Lessons Learned.","type":"article-journal","volume":"81"},"uris":["http://www.mendeley.com/documents/?uuid=1d6c01bf-75fb-41a3-87e3-cff430a8128b"]},{"id":"ITEM-7","itemData":{"DOI":"10.1097/SLE.0b013e318247c45f","ISSN":"1534-4908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techniques","id":"ITEM-7","issue":"3","issued":{"date-parts":[["2012","6"]]},"language":"eng","page":"e118-21","publisher-place":"United States","title":"Single-port laparoscopic surgery of the distal esophagus: initial clinical experience.","type":"article-journal","volume":"22"},"uris":["http://www.mendeley.com/documents/?uuid=5c9b5627-6b69-4214-980f-6e7e266becb2"]},{"id":"ITEM-8","itemData":{"DOI":"10.1089/lap.2011.0349","ISSN":"1092-6429","PMID":"22146016","abstract":"With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TECHNIQUES","id":"ITEM-8","issue":"2","issued":{"date-parts":[["2012","3"]]},"language":"eng","note":"From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Retractor","type":"article-journal","volume":"22"},"uris":["http://www.mendeley.com/documents/?uuid=05bdb216-8006-46da-a594-e512f1597c57"]},{"id":"ITEM-9","itemData":{"DOI":"10.1007/s00595-012-0120-1","ISSN":"1436-2813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today","id":"ITEM-9","issue":"6","issued":{"date-parts":[["2012","6"]]},"language":"eng","page":"601-604","publisher-place":"Japan","title":"Early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cases.","type":"article-journal","volume":"42"},"uris":["http://www.mendeley.com/documents/?uuid=ad88e9ed-eae0-489c-af2e-e1273cac8481"]},{"id":"ITEM-10","itemData":{"DOI":"10.5336/medsci.2012-31954","ISSN":"13000292","abstract":"Objective: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Sciences","id":"ITEM-10","issue":"4","issued":{"date-parts":[["2013"]]},"note":"cited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fundoplikasyon]","type":"article-journal","volume":"33"},"uris":["http://www.mendeley.com/documents/?uuid=85220f75-29bf-4683-96cd-e6c7f7fa6a31"]},{"id":"ITEM-11","itemData":{"DOI":"10.1177/1553350610384406","ISSN":"1553-3506","abstract":"Introduction: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INNOVATION","id":"ITEM-11","issue":"1","issued":{"date-parts":[["2011"]]},"page":"61-65","title":"Single-Access Transumbilical Laparoscopic Nissen Fundoplication Performed With New Curved Reusable Instruments","type":"article-journal","volume":"18"},"uris":["http://www.mendeley.com/documents/?uuid=a3f03f90-ca12-4ea3-91d5-c2928549d2c0"]},{"id":"ITEM-12","itemData":{"DOI":"10.1097/SLE.0b013e31828f720d","ISSN":"1534-4908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techniques","id":"ITEM-12","issue":"2","issued":{"date-parts":[["2014","4"]]},"language":"eng","page":"e59-62","publisher-place":"United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[11,12,17,19–24,26,30,31]&lt;/sup&gt;","plainTextFormattedCitation":"[11,12,17,19–24,26,30,31]","previouslyFormattedCitation":"&lt;sup&gt;[11,12,17,19–24,26,30,31]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[11,12,17,19–24,26,30,31]</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for the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fundoplication and achalasia</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today","id":"ITEM-2","issue":"11","issued":{"date-parts":[["2011","11"]]},"language":"eng","page":"1543-1547","publisher-place":"Japan","title":"Single-incision laparoscopic Heller myotomy and Dor fundoplication for achalasia: report of a case.","type":"article-journal","volume":"41"},"uris":["http://www.mendeley.com/documents/?uuid=847f6bea-4208-41b8-95d2-54e3738d7df1"]},{"id":"ITEM-3","itemData":{"DOI":"10.1016/j.ijscr.2012.09.003","ISSN":"2210-2612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reports","id":"ITEM-3","issue":"1","issued":{"date-parts":[["2013"]]},"language":"eng","page":"1-4","publisher-place":"Netherlands","title":"Single incision laparoscopic approach for esophageal achalasia: A case report.","type":"article-journal","volume":"4"},"uris":["http://www.mendeley.com/documents/?uuid=cbce9c75-a3f5-41c0-94c2-4fb6818b56e4"]},{"id":"ITEM-4","itemData":{"DOI":"10.1007/s00595-011-0089-1","ISSN":"1436-2813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today","id":"ITEM-4","issue":"3","issued":{"date-parts":[["2012","2"]]},"language":"eng","page":"299-302","publisher-place":"Japan","title":"Single-incision laparoscopic Heller myotomy and Dor fundoplication for achalasia: report of a case.","type":"article-journal","volume":"42"},"uris":["http://www.mendeley.com/documents/?uuid=f0812b93-b43f-4012-9026-6bcb9aee8455"]},{"id":"ITEM-5","itemData":{"ISSN":"1555-9823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surgeon","id":"ITEM-5","issue":"8","issued":{"date-parts":[["2013","8"]]},"language":"eng","page":"837-844","publisher-place":"United States","title":"Defining the learning curve of laparoendoscopic single-site Heller myotomy.","type":"article-journal","volume":"79"},"uris":["http://www.mendeley.com/documents/?uuid=0b719385-a29d-4bff-80aa-3252147d9026"]}],"mendeley":{"formattedCitation":"&lt;sup&gt;[14,27–29,32]&lt;/sup&gt;","plainTextFormattedCitation":"[14,27–29,32]","previouslyFormattedCitation":"&lt;sup&gt;[14,27–29,32]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[14,27–29,32]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for the Heller myotomy and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w:t>
      </w:r>
      <w:r w:rsidRPr="00192CF1">
        <w:rPr>
          <w:rFonts w:ascii="Book Antiqua" w:hAnsi="Book Antiqua"/>
          <w:bCs/>
          <w:sz w:val="24"/>
          <w:szCs w:val="24"/>
          <w:lang w:val="en-US"/>
        </w:rPr>
        <w:lastRenderedPageBreak/>
        <w:t xml:space="preserve">fundoplication. Reports were inconsistent, regarding the included patients that had undergone a previous abdominal operation. </w:t>
      </w:r>
    </w:p>
    <w:p w14:paraId="06F3190E" w14:textId="4E7571CD" w:rsidR="003876D5" w:rsidRPr="00192CF1" w:rsidRDefault="003876D5" w:rsidP="00192CF1">
      <w:pPr>
        <w:spacing w:after="0" w:line="360" w:lineRule="auto"/>
        <w:ind w:firstLineChars="100" w:firstLine="240"/>
        <w:jc w:val="both"/>
        <w:rPr>
          <w:rFonts w:ascii="Book Antiqua" w:eastAsia="Times New Roman" w:hAnsi="Book Antiqua"/>
          <w:sz w:val="24"/>
          <w:szCs w:val="24"/>
          <w:lang w:val="en-US"/>
        </w:rPr>
      </w:pPr>
      <w:r w:rsidRPr="00192CF1">
        <w:rPr>
          <w:rFonts w:ascii="Book Antiqua" w:hAnsi="Book Antiqua"/>
          <w:bCs/>
          <w:sz w:val="24"/>
          <w:szCs w:val="24"/>
          <w:lang w:val="en-US"/>
        </w:rPr>
        <w:t xml:space="preserve">Despite the fact that, in the majority of the included studies (Table 3), a commercial SP device, such as </w:t>
      </w:r>
      <w:r w:rsidRPr="00192CF1">
        <w:rPr>
          <w:rFonts w:ascii="Book Antiqua" w:eastAsia="Times New Roman" w:hAnsi="Book Antiqua"/>
          <w:sz w:val="24"/>
          <w:szCs w:val="24"/>
          <w:lang w:val="en-US"/>
        </w:rPr>
        <w:t>SILS™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techniques","id":"ITEM-2","issue":"3","issued":{"date-parts":[["2012","6"]]},"language":"eng","page":"e118-21","publisher-place":"United States","title":"Single-port laparoscopic surgery of the distal esophagus: initial clinical experience.","type":"article-journal","volume":"22"},"uris":["http://www.mendeley.com/documents/?uuid=5c9b5627-6b69-4214-980f-6e7e266becb2"]},{"id":"ITEM-3","itemData":{"DOI":"10.1089/lap.2011.0349","ISSN":"1092-6429","PMID":"22146016","abstract":"With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TECHNIQUES","id":"ITEM-3","issue":"2","issued":{"date-parts":[["2012","3"]]},"language":"eng","note":"From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Retractor","type":"article-journal","volume":"22"},"uris":["http://www.mendeley.com/documents/?uuid=05bdb216-8006-46da-a594-e512f1597c57"]},{"id":"ITEM-4","itemData":{"DOI":"10.5336/medsci.2012-31954","ISSN":"13000292","abstract":"Objective: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Sciences","id":"ITEM-4","issue":"4","issued":{"date-parts":[["2013"]]},"note":"cited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fundoplikasyon]","type":"article-journal","volume":"33"},"uris":["http://www.mendeley.com/documents/?uuid=85220f75-29bf-4683-96cd-e6c7f7fa6a31"]},{"id":"ITEM-5","itemData":{"DOI":"10.1007/s00595-012-0120-1","ISSN":"1436-2813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today","id":"ITEM-5","issue":"6","issued":{"date-parts":[["2012","6"]]},"language":"eng","page":"601-604","publisher-place":"Japan","title":"Early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cases.","type":"article-journal","volume":"42"},"uris":["http://www.mendeley.com/documents/?uuid=ad88e9ed-eae0-489c-af2e-e1273cac8481"]},{"id":"ITEM-6","itemData":{"DOI":"10.5402/2011/347487","ISSN":"2090-4401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gastroenterology","id":"ITEM-6","issued":{"date-parts":[["2011"]]},"language":"eng","page":"347487","publisher-place":"Egypt","title":"Pure SILS Floppy Nissen Fundoplication with Hiatal Repair: A Case Report.","type":"article-journal","volume":"2011"},"uris":["http://www.mendeley.com/documents/?uuid=bb1b6c22-cb01-419a-8aa1-ecc2590e20fb"]}],"mendeley":{"formattedCitation":"&lt;sup&gt;[11,18–22]&lt;/sup&gt;","plainTextFormattedCitation":"[11,18–22]","previouslyFormattedCitation":"&lt;sup&gt;[11,18–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[11,18–22]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Triport</w:t>
      </w:r>
      <w:proofErr w:type="spellEnd"/>
      <w:r w:rsidRPr="00192CF1">
        <w:rPr>
          <w:rFonts w:ascii="Book Antiqua" w:eastAsia="Times New Roman" w:hAnsi="Book Antiqua"/>
          <w:sz w:val="24"/>
          <w:szCs w:val="24"/>
          <w:lang w:val="en-US"/>
        </w:rPr>
        <w:t xml:space="preserve"> Plus™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mendeley":{"formattedCitation":"&lt;sup&gt;[32]&lt;/sup&gt;","plainTextFormattedCitation":"[32]","previouslyFormattedCitation":"&lt;sup&gt;[32]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Wrapdisk</w:t>
      </w:r>
      <w:proofErr w:type="spellEnd"/>
      <w:r w:rsidRPr="00192CF1">
        <w:rPr>
          <w:rFonts w:ascii="Book Antiqua" w:eastAsia="Times New Roman" w:hAnsi="Book Antiqua"/>
          <w:sz w:val="24"/>
          <w:szCs w:val="24"/>
          <w:lang w:val="en-US"/>
        </w:rPr>
        <w:t>™</w:t>
      </w:r>
      <w:r w:rsidR="00A973CD" w:rsidRPr="00192CF1">
        <w:rPr>
          <w:rFonts w:ascii="Book Antiqua" w:eastAsia="Times New Roman" w:hAnsi="Book Antiqua"/>
          <w:noProof/>
          <w:sz w:val="24"/>
          <w:szCs w:val="24"/>
          <w:vertAlign w:val="superscript"/>
          <w:lang w:val="en-US"/>
        </w:rPr>
        <w:fldChar w:fldCharType="begin" w:fldLock="1"/>
      </w:r>
      <w:r w:rsidRPr="00192CF1">
        <w:rPr>
          <w:rFonts w:ascii="Book Antiqua" w:eastAsia="Times New Roman" w:hAnsi="Book Antiqua"/>
          <w:noProof/>
          <w:sz w:val="24"/>
          <w:szCs w:val="24"/>
          <w:vertAlign w:val="superscript"/>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mendeley":{"formattedCitation":"&lt;sup&gt;[28]&lt;/sup&gt;","plainTextFormattedCitation":"[28]","previouslyFormattedCitation":"&lt;sup&gt;[28]&lt;/sup&gt;"},"properties":{"noteIndex":0},"schema":"https://github.com/citation-style-language/schema/raw/master/csl-citation.json"}</w:instrText>
      </w:r>
      <w:r w:rsidR="00A973CD" w:rsidRPr="00192CF1">
        <w:rPr>
          <w:rFonts w:ascii="Book Antiqua" w:eastAsia="Times New Roman" w:hAnsi="Book Antiqua"/>
          <w:noProof/>
          <w:sz w:val="24"/>
          <w:szCs w:val="24"/>
          <w:vertAlign w:val="superscript"/>
          <w:lang w:val="en-US"/>
        </w:rPr>
        <w:fldChar w:fldCharType="separate"/>
      </w:r>
      <w:r w:rsidRPr="00192CF1">
        <w:rPr>
          <w:rFonts w:ascii="Book Antiqua" w:eastAsia="Times New Roman" w:hAnsi="Book Antiqua"/>
          <w:noProof/>
          <w:sz w:val="24"/>
          <w:szCs w:val="24"/>
          <w:vertAlign w:val="superscript"/>
          <w:lang w:val="en-US"/>
        </w:rPr>
        <w:t>[28]</w:t>
      </w:r>
      <w:r w:rsidR="00A973CD" w:rsidRPr="00192CF1">
        <w:rPr>
          <w:rFonts w:ascii="Book Antiqua" w:eastAsia="Times New Roman" w:hAnsi="Book Antiqua"/>
          <w:noProof/>
          <w:sz w:val="24"/>
          <w:szCs w:val="24"/>
          <w:vertAlign w:val="superscript"/>
          <w:lang w:val="en-US"/>
        </w:rPr>
        <w:fldChar w:fldCharType="end"/>
      </w:r>
      <w:r w:rsidRPr="00192CF1">
        <w:rPr>
          <w:rFonts w:ascii="Book Antiqua" w:eastAsia="Times New Roman" w:hAnsi="Book Antiqua"/>
          <w:sz w:val="24"/>
          <w:szCs w:val="24"/>
          <w:lang w:val="en-US"/>
        </w:rPr>
        <w:t>, X-CONE</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techniques","id":"ITEM-1","issue":"3","issued":{"date-parts":[["2012","6"]]},"language":"eng","page":"e118-21","publisher-place":"United States","title":"Single-port laparoscopic surgery of the distal esophagus: initial clinical experience.","type":"article-journal","volume":"22"},"uris":["http://www.mendeley.com/documents/?uuid=5c9b5627-6b69-4214-980f-6e7e266becb2"]}],"mendeley":{"formattedCitation":"&lt;sup&gt;[19]&lt;/sup&gt;","plainTextFormattedCitation":"[19]","previouslyFormattedCitation":"&lt;sup&gt;[19]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[19]</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or EZ Access™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was applied, several trials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step.","type":"article-journal","volume":"21"},"uris":["http://www.mendeley.com/documents/?uuid=b4b35bca-3803-43c8-b9b2-7ca8663ac855"]},{"id":"ITEM-2","itemData":{"DOI":"10.1111/ases.12226","ISSN":"1758-5902","abstract":"Introduction: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SURGERY","id":"ITEM-2","issue":"1","issued":{"date-parts":[["2016","2"]]},"page":"14-20","publisher":"JOHN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approach","type":"article-journal","volume":"9"},"uris":["http://www.mendeley.com/documents/?uuid=ef9133f9-1e4d-4499-8184-f86df3d23f55"]},{"id":"ITEM-3","itemData":{"DOI":"10.1007/s00595-011-0089-1","ISSN":"1436-2813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today","id":"ITEM-3","issue":"3","issued":{"date-parts":[["2012","2"]]},"language":"eng","page":"299-302","publisher-place":"Japan","title":"Single-incision laparoscopic Heller myotomy and Dor fundoplication for achalasia: report of a case.","type":"article-journal","volume":"42"},"uris":["http://www.mendeley.com/documents/?uuid=f0812b93-b43f-4012-9026-6bcb9aee8455"]},{"id":"ITEM-4","itemData":{"ISSN":"1555-9823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surgeon","id":"ITEM-4","issue":"8","issued":{"date-parts":[["2013","8"]]},"language":"eng","page":"837-844","publisher-place":"United States","title":"Defining the learning curve of laparoendoscopic single-site Heller myotomy.","type":"article-journal","volume":"79"},"uris":["http://www.mendeley.com/documents/?uuid=0b719385-a29d-4bff-80aa-3252147d9026"]},{"id":"ITEM-5","itemData":{"DOI":"10.1097/SLE.0b013e318247c45f","ISSN":"1534-4908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techniques","id":"ITEM-5","issue":"3","issued":{"date-parts":[["2012","6"]]},"language":"eng","page":"e118-21","publisher-place":"United States","title":"Single-port laparoscopic surgery of the distal esophagus: initial clinical experience.","type":"article-journal","volume":"22"},"uris":["http://www.mendeley.com/documents/?uuid=5c9b5627-6b69-4214-980f-6e7e266becb2"]},{"id":"ITEM-6","itemData":{"DOI":"10.1089/lap.2011.0349","ISSN":"1092-6429","PMID":"22146016","abstract":"With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TECHNIQUES","id":"ITEM-6","issue":"2","issued":{"date-parts":[["2012","3"]]},"language":"eng","note":"From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Retractor","type":"article-journal","volume":"22"},"uris":["http://www.mendeley.com/documents/?uuid=05bdb216-8006-46da-a594-e512f1597c57"]},{"id":"ITEM-7","itemData":{"DOI":"10.1177/1553350610384406","ISSN":"1553-3506","abstract":"Introduction: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INNOVATION","id":"ITEM-7","issue":"1","issued":{"date-parts":[["2011"]]},"page":"61-65","title":"Single-Access Transumbilical Laparoscopic Nissen Fundoplication Performed With New Curved Reusable Instruments","type":"article-journal","volume":"18"},"uris":["http://www.mendeley.com/documents/?uuid=a3f03f90-ca12-4ea3-91d5-c2928549d2c0"]},{"id":"ITEM-8","itemData":{"DOI":"10.1002/bjs.9446","ISSN":"1365-2168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surgery","id":"ITEM-8","issue":"5","issued":{"date-parts":[["2014","4"]]},"language":"eng","page":"546-549","publisher-place":"England","title":"Liver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[12,14,19,20,23,25,29,32]&lt;/sup&gt;","plainTextFormattedCitation":"[12,14,19,20,23,25,29,32]","previouslyFormattedCitation":"&lt;sup&gt;[12,14,19,20,23,25,29,32]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[12,14,19,20,23,25,29,32]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reported the introduction of conventional or low profile trocars through a single abdominal incision. In most operations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reports","id":"ITEM-2","issue":"1","issued":{"date-parts":[["2013"]]},"language":"eng","page":"1-4","publisher-place":"Netherlands","title":"Single incision laparoscopic approach for esophageal achalasia: A case report.","type":"article-journal","volume":"4"},"uris":["http://www.mendeley.com/documents/?uuid=cbce9c75-a3f5-41c0-94c2-4fb6818b56e4"]},{"id":"ITEM-3","itemData":{"DOI":"10.1007/s10029-016-1512-8","ISSN":"1265-4906","abstract":"Single-incision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L","non-dropping-particle":"","parse-names":false,"suffix":""}],"container-title":"HERNIA","id":"ITEM-3","issue":"5","issued":{"date-parts":[["2016","10"]]},"page":"729-733","publisher":"SPRINGER","publisher-place":"233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laparoscopy","type":"article-journal","volume":"20"},"uris":["http://www.mendeley.com/documents/?uuid=94881e51-2f96-4dc5-b29b-9d44b7d53ce8"]},{"id":"ITEM-4","itemData":{"DOI":"10.1007/s00595-012-0120-1","ISSN":"1436-2813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today","id":"ITEM-4","issue":"6","issued":{"date-parts":[["2012","6"]]},"language":"eng","page":"601-604","publisher-place":"Japan","title":"Early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cases.","type":"article-journal","volume":"42"},"uris":["http://www.mendeley.com/documents/?uuid=ad88e9ed-eae0-489c-af2e-e1273cac8481"]},{"id":"ITEM-5","itemData":{"DOI":"10.5336/medsci.2012-31954","ISSN":"13000292","abstract":"Objective: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Sciences","id":"ITEM-5","issue":"4","issued":{"date-parts":[["2013"]]},"note":"cited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fundoplikasyon]","type":"article-journal","volume":"33"},"uris":["http://www.mendeley.com/documents/?uuid=85220f75-29bf-4683-96cd-e6c7f7fa6a31"]},{"id":"ITEM-6","itemData":{"DOI":"10.1002/bjs.9446","ISSN":"1365-2168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surgery","id":"ITEM-6","issue":"5","issued":{"date-parts":[["2014","4"]]},"language":"eng","page":"546-549","publisher-place":"England","title":"Liver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[14,21,22,25,28,30]&lt;/sup&gt;","plainTextFormattedCitation":"[14,21,22,25,28,30]","previouslyFormattedCitation":"&lt;sup&gt;[14,21,22,25,28,30]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[14,21,22,25,28,30]</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conventional laparoscopic instruments were used. However, the application of articulating</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today","id":"ITEM-3","issue":"11","issued":{"date-parts":[["2011","11"]]},"language":"eng","page":"1543-1547","publisher-place":"Japan","title":"Single-incision laparoscopic Heller myotomy and Dor fundoplication for achalasia: report of a case.","type":"article-journal","volume":"41"},"uris":["http://www.mendeley.com/documents/?uuid=847f6bea-4208-41b8-95d2-54e3738d7df1"]},{"id":"ITEM-4","itemData":{"ISSN":"1555-9823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surgeon","id":"ITEM-4","issue":"8","issued":{"date-parts":[["2013","8"]]},"language":"eng","page":"837-844","publisher-place":"United States","title":"Defining the learning curve of laparoendoscopic single-site Heller myotomy.","type":"article-journal","volume":"79"},"uris":["http://www.mendeley.com/documents/?uuid=0b719385-a29d-4bff-80aa-3252147d9026"]},{"id":"ITEM-5","itemData":{"DOI":"10.5402/2011/347487","ISSN":"2090-4401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gastroenterology","id":"ITEM-5","issued":{"date-parts":[["2011"]]},"language":"eng","page":"347487","publisher-place":"Egypt","title":"Pure SILS Floppy Nissen Fundoplication with Hiatal Repair: A Case Report.","type":"article-journal","volume":"2011"},"uris":["http://www.mendeley.com/documents/?uuid=bb1b6c22-cb01-419a-8aa1-ecc2590e20fb"]},{"id":"ITEM-6","itemData":{"DOI":"10.1007/s00595-012-0120-1","ISSN":"1436-2813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today","id":"ITEM-6","issue":"6","issued":{"date-parts":[["2012","6"]]},"language":"eng","page":"601-604","publisher-place":"Japan","title":"Early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mendeley":{"formattedCitation":"&lt;sup&gt;[11,12,18,21,27,32]&lt;/sup&gt;","plainTextFormattedCitation":"[11,12,18,21,27,32]","previouslyFormattedCitation":"&lt;sup&gt;[11,12,18,21,27,32]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[11,12,18,21,27,32]</w:t>
      </w:r>
      <w:r w:rsidR="00A973CD" w:rsidRPr="00192CF1">
        <w:rPr>
          <w:rFonts w:ascii="Book Antiqua" w:eastAsia="Times New Roman" w:hAnsi="Book Antiqua"/>
          <w:sz w:val="24"/>
          <w:szCs w:val="24"/>
          <w:lang w:val="en-US"/>
        </w:rPr>
        <w:fldChar w:fldCharType="end"/>
      </w:r>
      <w:r w:rsidR="00192CF1" w:rsidRPr="00192CF1">
        <w:rPr>
          <w:rFonts w:ascii="Book Antiqua" w:eastAsia="Times New Roman" w:hAnsi="Book Antiqua"/>
          <w:sz w:val="24"/>
          <w:szCs w:val="24"/>
          <w:lang w:val="en-US"/>
        </w:rPr>
        <w:t xml:space="preserve"> or curved</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instruments has, also, been described. Heterogeneity in terms of the liver retraction method was identified. Several techniques, such as, the use of</w:t>
      </w:r>
      <w:r w:rsidR="004647EC" w:rsidRPr="00192CF1">
        <w:rPr>
          <w:rFonts w:ascii="Book Antiqua" w:eastAsia="Times New Roman" w:hAnsi="Book Antiqua"/>
          <w:sz w:val="24"/>
          <w:szCs w:val="24"/>
          <w:lang w:val="en-US"/>
        </w:rPr>
        <w:t xml:space="preserve"> </w:t>
      </w:r>
      <w:r w:rsidRPr="00192CF1">
        <w:rPr>
          <w:rFonts w:ascii="Book Antiqua" w:eastAsia="Times New Roman" w:hAnsi="Book Antiqua"/>
          <w:sz w:val="24"/>
          <w:szCs w:val="24"/>
          <w:lang w:val="en-US"/>
        </w:rPr>
        <w:t>forceps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graspers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retractors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surgeon","id":"ITEM-2","issue":"8","issued":{"date-parts":[["2013","8"]]},"language":"eng","page":"837-844","publisher-place":"United States","title":"Defining the learning curve of laparoendoscopic single-site Heller myotomy.","type":"article-journal","volume":"79"},"uris":["http://www.mendeley.com/documents/?uuid=0b719385-a29d-4bff-80aa-3252147d9026"]},{"id":"ITEM-3","itemData":{"ISSN":"1555-9823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surgeon","id":"ITEM-3","issue":"9","issued":{"date-parts":[["2015","9"]]},"language":"eng","page":"870-875","publisher-place":"United States","title":"Over 250 Laparoendoscopic Single Site (LESS) Fundoplications: Lessons Learned.","type":"article-journal","volume":"81"},"uris":["http://www.mendeley.com/documents/?uuid=1d6c01bf-75fb-41a3-87e3-cff430a8128b"]},{"id":"ITEM-4","itemData":{"DOI":"10.1097/SLE.0b013e318247c45f","ISSN":"1534-4908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techniques","id":"ITEM-4","issue":"3","issued":{"date-parts":[["2012","6"]]},"language":"eng","page":"e118-21","publisher-place":"United States","title":"Single-port laparoscopic surgery of the distal esophagus: initial clinical experience.","type":"article-journal","volume":"22"},"uris":["http://www.mendeley.com/documents/?uuid=5c9b5627-6b69-4214-980f-6e7e266becb2"]},{"id":"ITEM-5","itemData":{"DOI":"10.1089/lap.2011.0349","ISSN":"1092-6429","PMID":"22146016","abstract":"With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TECHNIQUES","id":"ITEM-5","issue":"2","issued":{"date-parts":[["2012","3"]]},"language":"eng","note":"From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Retractor","type":"article-journal","volume":"22"},"uris":["http://www.mendeley.com/documents/?uuid=05bdb216-8006-46da-a594-e512f1597c57"]},{"id":"ITEM-6","itemData":{"DOI":"10.1097/SLE.0b013e31828f720d","ISSN":"1534-4908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techniques","id":"ITEM-6","issue":"2","issued":{"date-parts":[["2014","4"]]},"language":"eng","page":"e59-62","publisher-place":"United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[11,17,19,20,24,32]&lt;/sup&gt;","plainTextFormattedCitation":"[11,17,19,20,24,32]","previouslyFormattedCitation":"&lt;sup&gt;[11,17,19,20,24,32]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[11,17,19,20,24,32]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drains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report.","type":"article-journal","volume":"4"},"uris":["http://www.mendeley.com/documents/?uuid=cbce9c75-a3f5-41c0-94c2-4fb6818b56e4"]},{"id":"ITEM-2","itemData":{"DOI":"10.1007/s00595-011-0089-1","ISSN":"1436-2813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today","id":"ITEM-2","issue":"3","issued":{"date-parts":[["2012","2"]]},"language":"eng","page":"299-302","publisher-place":"Japan","title":"Single-incision laparoscopic Heller myotomy and Dor fundoplication for achalasia: report of a case.","type":"article-journal","volume":"42"},"uris":["http://www.mendeley.com/documents/?uuid=f0812b93-b43f-4012-9026-6bcb9aee8455"]}],"mendeley":{"formattedCitation":"&lt;sup&gt;[28,29]&lt;/sup&gt;","plainTextFormattedCitation":"[28,29]","previouslyFormattedCitation":"&lt;sup&gt;[28,29]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[28,29]</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or even glue</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have been documented for the elevation and displacement of the liver left lobe. In the larger part of the included trials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SURGERY","id":"ITEM-3","issue":"1","issued":{"date-parts":[["2016","2"]]},"page":"14-20","publisher":"JOHN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approach","type":"article-journal","volume":"9"},"uris":["http://www.mendeley.com/documents/?uuid=ef9133f9-1e4d-4499-8184-f86df3d23f55"]},{"id":"ITEM-4","itemData":{"DOI":"10.1007/s00595-010-4533-4","ISSN":"1436-2813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today","id":"ITEM-4","issue":"11","issued":{"date-parts":[["2011","11"]]},"language":"eng","page":"1543-1547","publisher-place":"Japan","title":"Single-incision laparoscopic Heller myotomy and Dor fundoplication for achalasia: report of a case.","type":"article-journal","volume":"41"},"uris":["http://www.mendeley.com/documents/?uuid=847f6bea-4208-41b8-95d2-54e3738d7df1"]},{"id":"ITEM-5","itemData":{"ISSN":"1555-9823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surgeon","id":"ITEM-5","issue":"8","issued":{"date-parts":[["2013","8"]]},"language":"eng","page":"837-844","publisher-place":"United States","title":"Defining the learning curve of laparoendoscopic single-site Heller myotomy.","type":"article-journal","volume":"79"},"uris":["http://www.mendeley.com/documents/?uuid=0b719385-a29d-4bff-80aa-3252147d9026"]},{"id":"ITEM-6","itemData":{"ISSN":"1555-9823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surgeon","id":"ITEM-6","issue":"9","issued":{"date-parts":[["2015","9"]]},"language":"eng","page":"870-875","publisher-place":"United States","title":"Over 250 Laparoendoscopic Single Site (LESS) Fundoplications: Lessons Learned.","type":"article-journal","volume":"81"},"uris":["http://www.mendeley.com/documents/?uuid=1d6c01bf-75fb-41a3-87e3-cff430a8128b"]},{"id":"ITEM-7","itemData":{"DOI":"10.5402/2011/347487","ISSN":"2090-4401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gastroenterology","id":"ITEM-7","issued":{"date-parts":[["2011"]]},"language":"eng","page":"347487","publisher-place":"Egypt","title":"Pure SILS Floppy Nissen Fundoplication with Hiatal Repair: A Case Report.","type":"article-journal","volume":"2011"},"uris":["http://www.mendeley.com/documents/?uuid=bb1b6c22-cb01-419a-8aa1-ecc2590e20fb"]},{"id":"ITEM-8","itemData":{"DOI":"10.1089/lap.2011.0349","ISSN":"1092-6429","PMID":"22146016","abstract":"With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TECHNIQUES","id":"ITEM-8","issue":"2","issued":{"date-parts":[["2012","3"]]},"language":"eng","note":"From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Retractor","type":"article-journal","volume":"22"},"uris":["http://www.mendeley.com/documents/?uuid=05bdb216-8006-46da-a594-e512f1597c57"]},{"id":"ITEM-9","itemData":{"DOI":"10.5336/medsci.2012-31954","ISSN":"13000292","abstract":"Objective: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Sciences","id":"ITEM-9","issue":"4","issued":{"date-parts":[["2013"]]},"note":"cited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fundoplikasyon]","type":"article-journal","volume":"33"},"uris":["http://www.mendeley.com/documents/?uuid=85220f75-29bf-4683-96cd-e6c7f7fa6a31"]},{"id":"ITEM-10","itemData":{"DOI":"10.1002/bjs.9446","ISSN":"1365-2168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surgery","id":"ITEM-10","issue":"5","issued":{"date-parts":[["2014","4"]]},"language":"eng","page":"546-549","publisher-place":"England","title":"Liver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[11,12,14,17,18,20,22,25,27,32]&lt;/sup&gt;","plainTextFormattedCitation":"[11,12,14,17,18,20,22,25,27,32]","previouslyFormattedCitation":"&lt;sup&gt;[11,12,14,17,18,20,22,25,27,32]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[11,12,14,17,18,20,22,25,27,32]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commercial energy devices were applied for tissue dissection. A transesophageal boogie was used only in 4 studies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step.","type":"article-journal","volume":"21"},"uris":["http://www.mendeley.com/documents/?uuid=b4b35bca-3803-43c8-b9b2-7ca8663ac855"]},{"id":"ITEM-2","itemData":{"DOI":"10.1007/s00595-011-0089-1","ISSN":"1436-2813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today","id":"ITEM-2","issue":"3","issued":{"date-parts":[["2012","2"]]},"language":"eng","page":"299-302","publisher-place":"Japan","title":"Single-incision laparoscopic Heller myotomy and Dor fundoplication for achalasia: report of a case.","type":"article-journal","volume":"42"},"uris":["http://www.mendeley.com/documents/?uuid=f0812b93-b43f-4012-9026-6bcb9aee8455"]},{"id":"ITEM-3","itemData":{"DOI":"10.5336/medsci.2012-31954","ISSN":"13000292","abstract":"Objective: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Sciences","id":"ITEM-3","issue":"4","issued":{"date-parts":[["2013"]]},"note":"cited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fundoplikasyon]","type":"article-journal","volume":"33"},"uris":["http://www.mendeley.com/documents/?uuid=85220f75-29bf-4683-96cd-e6c7f7fa6a31"]},{"id":"ITEM-4","itemData":{"DOI":"10.1177/1553350610384406","ISSN":"1553-3506","abstract":"Introduction: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INNOVATION","id":"ITEM-4","issue":"1","issued":{"date-parts":[["2011"]]},"page":"61-65","title":"Single-Access Transumbilical Laparoscopic Nissen Fundoplication Performed With New Curved Reusable Instruments","type":"article-journal","volume":"18"},"uris":["http://www.mendeley.com/documents/?uuid=a3f03f90-ca12-4ea3-91d5-c2928549d2c0"]}],"mendeley":{"formattedCitation":"&lt;sup&gt;[12,22,23,29]&lt;/sup&gt;","plainTextFormattedCitation":"[12,22,23,29]","previouslyFormattedCitation":"&lt;sup&gt;[12,22,23,29]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[12,22,23,29]</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and the respective diameter ranged from 32Fr</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to 60Fr</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Intracorporeal</w:t>
      </w:r>
      <w:proofErr w:type="spellEnd"/>
      <w:r w:rsidRPr="00192CF1">
        <w:rPr>
          <w:rFonts w:ascii="Book Antiqua" w:eastAsia="Times New Roman" w:hAnsi="Book Antiqua"/>
          <w:sz w:val="24"/>
          <w:szCs w:val="24"/>
          <w:lang w:val="en-US"/>
        </w:rPr>
        <w:t xml:space="preserve"> suturing with conventional sutures was documented in 4 trials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today","id":"ITEM-1","issue":"3","issued":{"date-parts":[["2012","2"]]},"language":"eng","page":"299-302","publisher-place":"Japan","title":"Single-incision laparoscopic Heller myotomy and Dor fundoplication for achalasia: report of a case.","type":"article-journal","volume":"42"},"uris":["http://www.mendeley.com/documents/?uuid=f0812b93-b43f-4012-9026-6bcb9aee8455"]},{"id":"ITEM-2","itemData":{"ISSN":"1555-9823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surgeon","id":"ITEM-2","issue":"8","issued":{"date-parts":[["2013","8"]]},"language":"eng","page":"837-844","publisher-place":"United States","title":"Defining the learning curve of laparoendoscopic single-site Heller myotomy.","type":"article-journal","volume":"79"},"uris":["http://www.mendeley.com/documents/?uuid=0b719385-a29d-4bff-80aa-3252147d9026"]},{"id":"ITEM-3","itemData":{"DOI":"10.1177/1553350610384406","ISSN":"1553-3506","abstract":"Introduction: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INNOVATION","id":"ITEM-3","issue":"1","issued":{"date-parts":[["2011"]]},"page":"61-65","title":"Single-Access Transumbilical Laparoscopic Nissen Fundoplication Performed With New Curved Reusable Instruments","type":"article-journal","volume":"18"},"uris":["http://www.mendeley.com/documents/?uuid=a3f03f90-ca12-4ea3-91d5-c2928549d2c0"]},{"id":"ITEM-4","itemData":{"DOI":"10.1002/bjs.9446","ISSN":"1365-2168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surgery","id":"ITEM-4","issue":"5","issued":{"date-parts":[["2014","4"]]},"language":"eng","page":"546-549","publisher-place":"England","title":"Liver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[23,25,29,32]&lt;/sup&gt;","plainTextFormattedCitation":"[23,25,29,32]","previouslyFormattedCitation":"&lt;sup&gt;[23,25,29,32]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[23,25,29,32]</w:t>
      </w:r>
      <w:r w:rsidR="00A973CD" w:rsidRPr="00192CF1">
        <w:rPr>
          <w:rFonts w:ascii="Book Antiqua" w:eastAsia="Times New Roman" w:hAnsi="Book Antiqua"/>
          <w:sz w:val="24"/>
          <w:szCs w:val="24"/>
          <w:lang w:val="en-US"/>
        </w:rPr>
        <w:fldChar w:fldCharType="end"/>
      </w:r>
      <w:r w:rsidRPr="00C06CF5">
        <w:rPr>
          <w:rFonts w:ascii="Book Antiqua" w:eastAsia="Times New Roman" w:hAnsi="Book Antiqua"/>
          <w:noProof/>
          <w:sz w:val="24"/>
          <w:szCs w:val="24"/>
          <w:lang w:val="en-US"/>
        </w:rPr>
        <w:t>.</w:t>
      </w:r>
      <w:r w:rsidRPr="00192CF1">
        <w:rPr>
          <w:rFonts w:ascii="Book Antiqua" w:eastAsia="Times New Roman" w:hAnsi="Book Antiqua"/>
          <w:noProof/>
          <w:sz w:val="24"/>
          <w:szCs w:val="24"/>
          <w:vertAlign w:val="superscript"/>
          <w:lang w:val="en-US"/>
        </w:rPr>
        <w:t xml:space="preserve"> </w:t>
      </w:r>
      <w:r w:rsidRPr="00192CF1">
        <w:rPr>
          <w:rFonts w:ascii="Book Antiqua" w:eastAsia="Times New Roman" w:hAnsi="Book Antiqua"/>
          <w:sz w:val="24"/>
          <w:szCs w:val="24"/>
          <w:lang w:val="en-US"/>
        </w:rPr>
        <w:t>In the remaining trials, extracorporeal suturing</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Endostich</w:t>
      </w:r>
      <w:proofErr w:type="spellEnd"/>
      <w:r w:rsidRPr="00192CF1">
        <w:rPr>
          <w:rFonts w:ascii="Book Antiqua" w:eastAsia="Times New Roman" w:hAnsi="Book Antiqua"/>
          <w:sz w:val="24"/>
          <w:szCs w:val="24"/>
          <w:lang w:val="en-US"/>
        </w:rPr>
        <w:t>™</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step.","type":"article-journal","volume":"21"},"uris":["http://www.mendeley.com/documents/?uuid=b4b35bca-3803-43c8-b9b2-7ca8663ac855"]},{"id":"ITEM-2","itemData":{"ISSN":"1555-9823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surgeon","id":"ITEM-2","issue":"8","issued":{"date-parts":[["2013","8"]]},"language":"eng","page":"837-844","publisher-place":"United States","title":"Defining the learning curve of laparoendoscopic single-site Heller myotomy.","type":"article-journal","volume":"79"},"uris":["http://www.mendeley.com/documents/?uuid=0b719385-a29d-4bff-80aa-3252147d9026"]},{"id":"ITEM-3","itemData":{"ISSN":"1555-9823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surgeon","id":"ITEM-3","issue":"9","issued":{"date-parts":[["2015","9"]]},"language":"eng","page":"870-875","publisher-place":"United States","title":"Over 250 Laparoendoscopic Single Site (LESS) Fundoplications: Lessons Learned.","type":"article-journal","volume":"81"},"uris":["http://www.mendeley.com/documents/?uuid=1d6c01bf-75fb-41a3-87e3-cff430a8128b"]},{"id":"ITEM-4","itemData":{"DOI":"10.5402/2011/347487","ISSN":"2090-4401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gastroenterology","id":"ITEM-4","issued":{"date-parts":[["2011"]]},"language":"eng","page":"347487","publisher-place":"Egypt","title":"Pure SILS Floppy Nissen Fundoplication with Hiatal Repair: A Case Report.","type":"article-journal","volume":"2011"},"uris":["http://www.mendeley.com/documents/?uuid=bb1b6c22-cb01-419a-8aa1-ecc2590e20fb"]},{"id":"ITEM-5","itemData":{"DOI":"10.1089/lap.2011.0349","ISSN":"1092-6429","PMID":"22146016","abstract":"With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TECHNIQUES","id":"ITEM-5","issue":"2","issued":{"date-parts":[["2012","3"]]},"language":"eng","note":"From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mendeley":{"formattedCitation":"&lt;sup&gt;[12,17,18,20,32]&lt;/sup&gt;","plainTextFormattedCitation":"[12,17,18,20,32]","previouslyFormattedCitation":"&lt;sup&gt;[12,17,18,20,32]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[12,17,18,20,32]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w:t>
      </w:r>
      <w:r w:rsidR="004647EC" w:rsidRPr="00192CF1">
        <w:rPr>
          <w:rFonts w:ascii="Book Antiqua" w:eastAsia="Times New Roman" w:hAnsi="Book Antiqua"/>
          <w:sz w:val="24"/>
          <w:szCs w:val="24"/>
          <w:lang w:val="en-US"/>
        </w:rPr>
        <w:t xml:space="preserve"> </w:t>
      </w:r>
      <w:r w:rsidRPr="00192CF1">
        <w:rPr>
          <w:rFonts w:ascii="Book Antiqua" w:eastAsia="Times New Roman" w:hAnsi="Book Antiqua"/>
          <w:sz w:val="24"/>
          <w:szCs w:val="24"/>
          <w:lang w:val="en-US"/>
        </w:rPr>
        <w:t>SILS STICH</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or V Lock™ sutures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eviouslyFormattedCitation":"&lt;sup&gt;[17]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were applied. The intraabdominal pneumoperitoneum pressure spanned from 8</w:t>
      </w:r>
      <w:r w:rsidR="00192CF1" w:rsidRPr="00192CF1">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mmHg</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mendeley":{"formattedCitation":"&lt;sup&gt;[28]&lt;/sup&gt;","plainTextFormattedCitation":"[28]","previouslyFormattedCitation":"&lt;sup&gt;[28]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[28]</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to 15</w:t>
      </w:r>
      <w:r w:rsidR="00192CF1" w:rsidRPr="00192CF1">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mmHg</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step.","type":"article-journal","volume":"21"},"uris":["http://www.mendeley.com/documents/?uuid=b4b35bca-3803-43c8-b9b2-7ca8663ac855"]},{"id":"ITEM-2","itemData":{"DOI":"10.4293/108680813X13693422518317","ISSN":"1938-3797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Surgeons","id":"ITEM-2","issue":"2","issued":{"date-parts":[["2014"]]},"language":"eng","page":"204-210","publisher-place":"United States","title":"Incidence of port-site incisional hernia after single-incision laparoscopic surgery.","type":"article-journal","volume":"18"},"uris":["http://www.mendeley.com/documents/?uuid=fc2f9c02-8c32-4a1d-b694-eea30001bc03"]}],"mendeley":{"formattedCitation":"&lt;sup&gt;[12,26]&lt;/sup&gt;","plainTextFormattedCitation":"[12,26]","previouslyFormattedCitation":"&lt;sup&gt;[12,26]&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[12,26]</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w:t>
      </w:r>
    </w:p>
    <w:p w14:paraId="3714DF04" w14:textId="13DF834B" w:rsidR="003876D5" w:rsidRPr="00192CF1" w:rsidRDefault="003876D5" w:rsidP="00192CF1">
      <w:pPr>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 xml:space="preserve">Although no conversion to open was reported, the multiport conversion rates for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fundoplications</w:t>
      </w:r>
      <w:proofErr w:type="spellEnd"/>
      <w:r w:rsidRPr="00192CF1">
        <w:rPr>
          <w:rFonts w:ascii="Book Antiqua" w:hAnsi="Book Antiqua"/>
          <w:bCs/>
          <w:sz w:val="24"/>
          <w:szCs w:val="24"/>
          <w:lang w:val="en-US"/>
        </w:rPr>
        <w:t xml:space="preserve"> were 9.8% and 14%, respectively</w:t>
      </w:r>
      <w:r w:rsidR="00185B1D" w:rsidRPr="00192CF1">
        <w:rPr>
          <w:rFonts w:ascii="Book Antiqua" w:hAnsi="Book Antiqua"/>
          <w:bCs/>
          <w:sz w:val="24"/>
          <w:szCs w:val="24"/>
          <w:lang w:val="en-US"/>
        </w:rPr>
        <w:t xml:space="preserve"> (Table 4)</w:t>
      </w:r>
      <w:r w:rsidRPr="00192CF1">
        <w:rPr>
          <w:rFonts w:ascii="Book Antiqua" w:hAnsi="Book Antiqua"/>
          <w:bCs/>
          <w:sz w:val="24"/>
          <w:szCs w:val="24"/>
          <w:lang w:val="en-US"/>
        </w:rPr>
        <w:t xml:space="preserve">. Mean overall operation duration was 136.3 min. The mean operative time for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fundoplication was 130.7 min. Similarly pooled </w:t>
      </w:r>
      <w:r w:rsidR="008D7525" w:rsidRPr="00192CF1">
        <w:rPr>
          <w:rFonts w:ascii="Book Antiqua" w:hAnsi="Book Antiqua"/>
          <w:bCs/>
          <w:sz w:val="24"/>
          <w:szCs w:val="24"/>
          <w:lang w:val="en-US"/>
        </w:rPr>
        <w:t>LOS</w:t>
      </w:r>
      <w:r w:rsidRPr="00192CF1">
        <w:rPr>
          <w:rFonts w:ascii="Book Antiqua" w:hAnsi="Book Antiqua"/>
          <w:bCs/>
          <w:sz w:val="24"/>
          <w:szCs w:val="24"/>
          <w:lang w:val="en-US"/>
        </w:rPr>
        <w:t xml:space="preserve"> was 2.49 d. Mean intraoperative blood loss was retained at very low levels (17.04 m</w:t>
      </w:r>
      <w:r w:rsidR="00192CF1" w:rsidRPr="00192CF1">
        <w:rPr>
          <w:rFonts w:ascii="Book Antiqua" w:hAnsi="Book Antiqua"/>
          <w:bCs/>
          <w:sz w:val="24"/>
          <w:szCs w:val="24"/>
          <w:lang w:val="en-US"/>
        </w:rPr>
        <w:t>L</w:t>
      </w:r>
      <w:r w:rsidRPr="00192CF1">
        <w:rPr>
          <w:rFonts w:ascii="Book Antiqua" w:hAnsi="Book Antiqua"/>
          <w:bCs/>
          <w:sz w:val="24"/>
          <w:szCs w:val="24"/>
          <w:lang w:val="en-US"/>
        </w:rPr>
        <w:t xml:space="preserve">). Overall morbidity rate was estimated at the rate of 5.2%. No mortality event was documented. In all subgroups, recurrence of primary symptoms was minimal (0%). The rate of postoperative incisional hernia was calculated at the level of 0.9%. </w:t>
      </w:r>
    </w:p>
    <w:p w14:paraId="36BC6762" w14:textId="77777777" w:rsidR="005C63BD" w:rsidRPr="00192CF1" w:rsidRDefault="005C63BD" w:rsidP="004647EC">
      <w:pPr>
        <w:spacing w:after="0" w:line="360" w:lineRule="auto"/>
        <w:jc w:val="both"/>
        <w:rPr>
          <w:rFonts w:ascii="Book Antiqua" w:hAnsi="Book Antiqua"/>
          <w:bCs/>
          <w:sz w:val="24"/>
          <w:szCs w:val="24"/>
          <w:lang w:val="en-US"/>
        </w:rPr>
      </w:pPr>
    </w:p>
    <w:p w14:paraId="74D6E6A7" w14:textId="77777777" w:rsidR="005C63BD" w:rsidRPr="00192CF1" w:rsidRDefault="005C63BD" w:rsidP="004647EC">
      <w:pPr>
        <w:autoSpaceDE w:val="0"/>
        <w:autoSpaceDN w:val="0"/>
        <w:adjustRightInd w:val="0"/>
        <w:spacing w:after="0" w:line="360" w:lineRule="auto"/>
        <w:jc w:val="both"/>
        <w:rPr>
          <w:rFonts w:ascii="Book Antiqua" w:hAnsi="Book Antiqua"/>
          <w:b/>
          <w:bCs/>
          <w:sz w:val="24"/>
          <w:szCs w:val="24"/>
          <w:lang w:val="en-US"/>
        </w:rPr>
      </w:pPr>
      <w:r w:rsidRPr="00192CF1">
        <w:rPr>
          <w:rFonts w:ascii="Book Antiqua" w:hAnsi="Book Antiqua"/>
          <w:b/>
          <w:bCs/>
          <w:sz w:val="24"/>
          <w:szCs w:val="24"/>
          <w:lang w:val="en-US"/>
        </w:rPr>
        <w:t>DISCUSSION</w:t>
      </w:r>
    </w:p>
    <w:p w14:paraId="735B7C84" w14:textId="1246A6D3" w:rsidR="003876D5" w:rsidRPr="00192CF1" w:rsidRDefault="003876D5" w:rsidP="004647EC">
      <w:pPr>
        <w:autoSpaceDE w:val="0"/>
        <w:autoSpaceDN w:val="0"/>
        <w:adjustRightInd w:val="0"/>
        <w:spacing w:after="0" w:line="360" w:lineRule="auto"/>
        <w:jc w:val="both"/>
        <w:rPr>
          <w:rFonts w:ascii="Book Antiqua" w:hAnsi="Book Antiqua"/>
          <w:bCs/>
          <w:sz w:val="24"/>
          <w:szCs w:val="24"/>
          <w:lang w:val="en-US"/>
        </w:rPr>
      </w:pPr>
      <w:r w:rsidRPr="00192CF1">
        <w:rPr>
          <w:rFonts w:ascii="Book Antiqua" w:hAnsi="Book Antiqua"/>
          <w:bCs/>
          <w:sz w:val="24"/>
          <w:szCs w:val="24"/>
          <w:lang w:val="en-US"/>
        </w:rPr>
        <w:lastRenderedPageBreak/>
        <w:t>The pooled overall complication rate in SI fundoplication was calculated at the level of 5.2%, validating thus the safety profile of the single port approach. This is in accordance to the current literature, where morbidity rate of minimal invasive fundoplication is estimated at 7</w:t>
      </w:r>
      <w:r w:rsidR="00192CF1" w:rsidRPr="00192CF1">
        <w:rPr>
          <w:rFonts w:ascii="Book Antiqua" w:hAnsi="Book Antiqua" w:hint="eastAsia"/>
          <w:bCs/>
          <w:sz w:val="24"/>
          <w:szCs w:val="24"/>
          <w:lang w:val="en-US" w:eastAsia="zh-CN"/>
        </w:rPr>
        <w:t>%</w:t>
      </w:r>
      <w:r w:rsidRPr="00192CF1">
        <w:rPr>
          <w:rFonts w:ascii="Book Antiqua" w:hAnsi="Book Antiqua"/>
          <w:bCs/>
          <w:sz w:val="24"/>
          <w:szCs w:val="24"/>
          <w:lang w:val="en-US"/>
        </w:rPr>
        <w:t>-12%</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{"citationItems":[{"id":"ITEM-1","itemData":{"ISSN":"1555-9823 (Electronic)","PMID":"22964197","abstract":"There have been great advances in laparoscopic surgery for gastroesophageal reflux disease (GERD), including laparoendoscopic single-site (LESS) surgery. This study details our experience with over 1000 patients undergoing fundoplication for GERD and the journey therein. A total of 1078 patients have been prospectively followed after fundoplication. Patients scored the frequency/severity of symptoms using a Likert scale (0 = never/not bothersome to 10 = always/very bothersome). We compared the outcomes of the first and last 100 patients. Median data are reported. Of 1078 patients, 943 underwent conventional laparoscopic fundoplication and 135, most recently, underwent LESS fundoplication. Before fundoplication, patients noted frequent/severe symptoms (e.g., heartburn: frequency = 8, severity = 8). Fundoplication ameliorated frequency/severity of symptoms (e.g., heartburn: frequency = 2, severity = 0; less than preoperatively, P &lt; 0.05). Relative to our first 100 patients, patients after LESS surgery had similar symptom control (e.g., heartburn: frequency = eight to two vs eight to zero, severity = eight to one vs six to one) but had shorter hospital stays (2 vs 1 day, P &lt; 0.05) and had no apparent scars. Laparoscopic fundoplication provides durable and efficacious treatment for GERD; long-term symptom resolution and patient satisfaction support its continued application. The advent of LESS surgery advances surgeons' abilities to provide safe and salutary care while promoting cosmesis.","author":[{"dropping-particle":"","family":"Rosemurgy","given":"Alexander","non-dropping-particle":"","parse-names":false,"suffix":""},{"dropping-particle":"","family":"Paul","given":"Harold","non-dropping-particle":"","parse-names":false,"suffix":""},{"dropping-particle":"","family":"Madison","given":"Lauren","non-dropping-particle":"","parse-names":false,"suffix":""},{"dropping-particle":"","family":"Luberice","given":"Kenneth","non-dropping-particle":"","parse-names":false,"suffix":""},{"dropping-particle":"","family":"Donn","given":"Natalie","non-dropping-particle":"","parse-names":false,"suffix":""},{"dropping-particle":"","family":"Vice","given":"Michelle","non-dropping-particle":"","parse-names":false,"suffix":""},{"dropping-particle":"","family":"Hernandez","given":"Jonathan","non-dropping-particle":"","parse-names":false,"suffix":""},{"dropping-particle":"","family":"Ross","given":"Sharona B","non-dropping-particle":"","parse-names":false,"suffix":""}],"container-title":"The American surgeon","id":"ITEM-1","issue":"9","issued":{"date-parts":[["2012","9"]]},"language":"eng","page":"917-925","publisher-place":"United States","title":"A single institution's experience and journey with over 1000 laparoscopic fundoplications for gastroesophageal reflux disease.","type":"article-journal","volume":"78"},"uris":["http://www.mendeley.com/documents/?uuid=5d760087-0bfb-411e-a6ff-930dd5779c35"]},{"id":"ITEM-2","itemData":{"DOI":"10.1038/ajg.2009.176","ISSN":"0002-9270","PMID":"19491872","abstract":"OBJECTIVES The aim of this study was to conduct a meta-analysis of randomized evidence to determine the relative merits of laparoscopic anti-reflux surgery (LARS) and open anti-reflux surgery (OARS) for proven gastro-esophageal reflux disease (GERD). METHODS A search of the Medline, Embase, Science Citation Index, Current Contents, and PubMed databases identified all randomized clinical trials that compared LARS and OARS and that were published in the English language between 1990 and 2007. A meta-analysis was carried out in accordance with the QUOROM (Quality of Reporting of Meta-Analyses) statement. The six outcome variables analyzed were operating time, hospital stay, return to normal activity, perioperative complications, treatment failure, and requirement for further surgery. Random-effects meta-analyses were carried out using odds ratios (ORs) and weighted mean differences (WMDs). RESULTS Twelve trials were considered suitable for the meta-analysis. A total of 503 patients underwent OARS and 533 had LARS. For three of the six outcomes, the summary point estimates favored LARS over OARS. There was a significant reduction of 2.68 days in the duration of hospital stay for the LARS group compared with that for the OARS group (WMD: -2.68, 95% confidence interval (CI): -3.54 to -1.81; P&lt;0.0001), a significant reduction of 7.75 days in return to normal activity for the LARS group compared with that for the OARS group (WMD: -7.75, 95% CI: -14.37 to -1.14; P=0.0216), and finally, there was a statistically significant reduction of 65% in the relative odds of complication rates for the LARS group compared with that for the OARS group (OR: 0.35, 95% CI: 0.16-0.75; P=0.0072). The duration of operating time was significantly longer (39.02 min) in the LARS group (WMD: 39.02, 95% CI: 17.99-60.05; P=0.0003). Treatment failure rates were comparable between the two groups (OR: 1.39, 95% CI: 0.71-2.72; P=0.3423). Despite this, the requirement for further surgery was significantly higher in the LARS group (OR: 1.79, 95% CI: 1.00-3.22; P=0.05). CONCLUSIONS On the basis of this meta-analysis, the authors conclude that LARS is an effective and safe alternative to OARS for the treatment of proven GERD. LARS enables a faster convalescence and return to productive activity, with a reduced risk of complications and a similar treatment outcome, than an open approach. However, there is a significantly higher rate of re-operation (79%) in the LARS group.","author":[{"dropping-particle":"","family":"Peters","given":"Matthew James","non-dropping-particle":"","parse-names":false,"suffix":""},{"dropping-particle":"","family":"Mukhtar","given":"Athar","non-dropping-particle":"","parse-names":false,"suffix":""},{"dropping-particle":"","family":"Yunus","given":"Rossita Mohamad","non-dropping-particle":"","parse-names":false,"suffix":""},{"dropping-particle":"","family":"Khan","given":"Shahjahan","non-dropping-particle":"","parse-names":false,"suffix":""},{"dropping-particle":"","family":"Pappalardo","given":"Juanita","non-dropping-particle":"","parse-names":false,"suffix":""},{"dropping-particle":"","family":"Memon","given":"Breda","non-dropping-particle":"","parse-names":false,"suffix":""},{"dropping-particle":"","family":"Memon","given":"Muhammed Ashraf","non-dropping-particle":"","parse-names":false,"suffix":""}],"container-title":"The American Journal of Gastroenterology","id":"ITEM-2","issue":"6","issued":{"date-parts":[["2009","6","28"]]},"page":"1548-1561","title":"Meta-Analysis of Randomized Clinical Trials Comparing Open and Laparoscopic Anti-Reflux Surgery","type":"article-journal","volume":"104"},"uris":["http://www.mendeley.com/documents/?uuid=4ef6ef7d-6323-3944-95e3-f90b1b6d921a"]}],"mendeley":{"formattedCitation":"&lt;sup&gt;[7,33]&lt;/sup&gt;","plainTextFormattedCitation":"[7,33]","previouslyFormattedCitation":"&lt;sup&gt;[7,33]&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[7,33]</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In addition to this, a very small percentage (0.9%) of the operated patients developed incisional hernia at the port site. Based on the included studies, the mean operative time was 136.3 minutes. Although SI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operative times were comparable (130.71 and 138.3, respectively), the duration of SI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procedure was longer (145 min). Accordi</w:t>
      </w:r>
      <w:r w:rsidR="00192CF1" w:rsidRPr="00192CF1">
        <w:rPr>
          <w:rFonts w:ascii="Book Antiqua" w:hAnsi="Book Antiqua"/>
          <w:bCs/>
          <w:sz w:val="24"/>
          <w:szCs w:val="24"/>
          <w:lang w:val="en-US"/>
        </w:rPr>
        <w:t xml:space="preserve">ng to the study of Peters </w:t>
      </w:r>
      <w:r w:rsidR="00192CF1"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{"citationItems":[{"id":"ITEM-1","itemData":{"DOI":"10.1038/ajg.2009.176","ISSN":"0002-9270","PMID":"19491872","abstract":"OBJECTIVES The aim of this study was to conduct a meta-analysis of randomized evidence to determine the relative merits of laparoscopic anti-reflux surgery (LARS) and open anti-reflux surgery (OARS) for proven gastro-esophageal reflux disease (GERD). METHODS A search of the Medline, Embase, Science Citation Index, Current Contents, and PubMed databases identified all randomized clinical trials that compared LARS and OARS and that were published in the English language between 1990 and 2007. A meta-analysis was carried out in accordance with the QUOROM (Quality of Reporting of Meta-Analyses) statement. The six outcome variables analyzed were operating time, hospital stay, return to normal activity, perioperative complications, treatment failure, and requirement for further surgery. Random-effects meta-analyses were carried out using odds ratios (ORs) and weighted mean differences (WMDs). RESULTS Twelve trials were considered suitable for the meta-analysis. A total of 503 patients underwent OARS and 533 had LARS. For three of the six outcomes, the summary point estimates favored LARS over OARS. There was a significant reduction of 2.68 days in the duration of hospital stay for the LARS group compared with that for the OARS group (WMD: -2.68, 95% confidence interval (CI): -3.54 to -1.81; P&lt;0.0001), a significant reduction of 7.75 days in return to normal activity for the LARS group compared with that for the OARS group (WMD: -7.75, 95% CI: -14.37 to -1.14; P=0.0216), and finally, there was a statistically significant reduction of 65% in the relative odds of complication rates for the LARS group compared with that for the OARS group (OR: 0.35, 95% CI: 0.16-0.75; P=0.0072). The duration of operating time was significantly longer (39.02 min) in the LARS group (WMD: 39.02, 95% CI: 17.99-60.05; P=0.0003). Treatment failure rates were comparable between the two groups (OR: 1.39, 95% CI: 0.71-2.72; P=0.3423). Despite this, the requirement for further surgery was significantly higher in the LARS group (OR: 1.79, 95% CI: 1.00-3.22; P=0.05). CONCLUSIONS On the basis of this meta-analysis, the authors conclude that LARS is an effective and safe alternative to OARS for the treatment of proven GERD. LARS enables a faster convalescence and return to productive activity, with a reduced risk of complications and a similar treatment outcome, than an open approach. However, there is a significantly higher rate of re-operation (79%) in the LARS group.","author":[{"dropping-particle":"","family":"Peters","given":"Matthew James","non-dropping-particle":"","parse-names":false,"suffix":""},{"dropping-particle":"","family":"Mukhtar","given":"Athar","non-dropping-particle":"","parse-names":false,"suffix":""},{"dropping-particle":"","family":"Yunus","given":"Rossita Mohamad","non-dropping-particle":"","parse-names":false,"suffix":""},{"dropping-particle":"","family":"Khan","given":"Shahjahan","non-dropping-particle":"","parse-names":false,"suffix":""},{"dropping-particle":"","family":"Pappalardo","given":"Juanita","non-dropping-particle":"","parse-names":false,"suffix":""},{"dropping-particle":"","family":"Memon","given":"Breda","non-dropping-particle":"","parse-names":false,"suffix":""},{"dropping-particle":"","family":"Memon","given":"Muhammed Ashraf","non-dropping-particle":"","parse-names":false,"suffix":""}],"container-title":"The American Journal of Gastroenterology","id":"ITEM-1","issue":"6","issued":{"date-parts":[["2009","6","28"]]},"page":"1548-1561","title":"Meta-Analysis of Randomized Clinical Trials Comparing Open and Laparoscopic Anti-Reflux Surgery","type":"article-journal","volume":"104"},"uris":["http://www.mendeley.com/documents/?uuid=4ef6ef7d-6323-3944-95e3-f90b1b6d921a"]}],"mendeley":{"formattedCitation":"&lt;sup&gt;[7]&lt;/sup&gt;","plainTextFormattedCitation":"[7]","previouslyFormattedCitation":"&lt;sup&gt;[7]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the mean operative time of laparoscopic fundoplication was 112.59 minutes. </w:t>
      </w:r>
      <w:proofErr w:type="gramStart"/>
      <w:r w:rsidRPr="00192CF1">
        <w:rPr>
          <w:rFonts w:ascii="Book Antiqua" w:hAnsi="Book Antiqua"/>
          <w:bCs/>
          <w:sz w:val="24"/>
          <w:szCs w:val="24"/>
          <w:lang w:val="en-US"/>
        </w:rPr>
        <w:t>These results,</w:t>
      </w:r>
      <w:proofErr w:type="gramEnd"/>
      <w:r w:rsidRPr="00192CF1">
        <w:rPr>
          <w:rFonts w:ascii="Book Antiqua" w:hAnsi="Book Antiqua"/>
          <w:bCs/>
          <w:sz w:val="24"/>
          <w:szCs w:val="24"/>
          <w:lang w:val="en-US"/>
        </w:rPr>
        <w:t xml:space="preserve"> validate the elongation of the procedure time, when the SI approach is implemented. The high multiport conversion rate, reported in previous trials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was not confirmed in our review (12.9%). More specifically, Rao </w:t>
      </w:r>
      <w:r w:rsidRPr="00192CF1">
        <w:rPr>
          <w:rFonts w:ascii="Book Antiqua" w:hAnsi="Book Antiqua"/>
          <w:bCs/>
          <w:i/>
          <w:sz w:val="24"/>
          <w:szCs w:val="24"/>
          <w:lang w:val="en-US"/>
        </w:rPr>
        <w:t>et al</w:t>
      </w:r>
      <w:r w:rsidR="00192CF1" w:rsidRPr="00192CF1">
        <w:rPr>
          <w:rFonts w:ascii="Book Antiqua" w:hAnsi="Book Antiqua"/>
          <w:bCs/>
          <w:sz w:val="24"/>
          <w:szCs w:val="24"/>
          <w:lang w:val="en-US"/>
        </w:rPr>
        <w:fldChar w:fldCharType="begin" w:fldLock="1"/>
      </w:r>
      <w:r w:rsidR="00192CF1" w:rsidRPr="00192CF1">
        <w:rPr>
          <w:rFonts w:ascii="Book Antiqua" w:hAnsi="Book Antiqua"/>
          <w:bCs/>
          <w:sz w:val="24"/>
          <w:szCs w:val="24"/>
          <w:lang w:val="en-US"/>
        </w:rPr>
        <w:instrText>ADDIN CSL_CITATION {"citationItems":[{"id":"ITEM-1","itemData":{"DOI":"10.4103/0972-9941.72360","ISSN":"1998-3921","PMID":"21197236","abstract":"Scarless surgery is the Holy Grail of surgery and the very raison d'etre of Minimal Access Surgery was the reduction of scars and thereby pain and suffering of the patients. The work of Muhe and Mouret in the late 80s, paved the way for mainstream laparoscopic procedures and it rapidly became the method of choice for many intra-abdominal procedures. Single-incision laparoscopic surgery is a very exciting new modality in the field of minimal access surgery which works for further reducing the scars of standard laparoscopy and towards scarless surgery. Natural orifice translumenal endoscopic surgery (NOTES) was developed for scarless surgery, but did not gain popularity due to a variety of reasons. NOTES stands for natural orifice translumenal endoscopic surgery, a term coined by a consortium in 2005. NOTES remains a research technique with only a few clinical cases having been reported. The lack of success of NOTES seems to have spurred on the interest in single-incision laparoscopy as an eminently doable technique in the present with minimum visible scarring, rendering a 'scarless' effect. Laparo-endoscopic single-site surgery (LESS) is, a term coined by a multidisciplinary consortium in 2008 for single-incision laparoscopic surgery. These are complementary technologies with similar difficulties of access, lack of triangulation and inadequate instrumentation as of date. LESS seems to offer an advantage to surgeons with its familiar field of view and instruments similar to those used in conventional laparoscopy. LESS remains a evolving special technique used successfully in many a centre, but with a significant way to go before it becomes mainstream. It currently stands between standard laparoscopy and NOTES in the armamentarium of minimal access surgery. This article outlines the development of LESS giving an overview of all the techniques and devices available and likely to be available in the future.","author":[{"dropping-particle":"","family":"Rao","given":"Prashanth P","non-dropping-particle":"","parse-names":false,"suffix":""},{"dropping-particle":"","family":"Rao","given":"Pradeep P","non-dropping-particle":"","parse-names":false,"suffix":""},{"dropping-particle":"","family":"Bhagwat","given":"Sonali","non-dropping-particle":"","parse-names":false,"suffix":""}],"container-title":"Journal of minimal access surgery","id":"ITEM-1","issue":"1","issued":{"date-parts":[["2011","1"]]},"page":"6-16","publisher":"Wolters Kluwer -- Medknow Publications","title":"Single-incision laparoscopic surgery - current status and controversies.","type":"article-journal","volume":"7"},"uris":["http://www.mendeley.com/documents/?uuid=5a410f4b-c00d-3daf-a70d-5cbe7f15a42f"]}],"mendeley":{"formattedCitation":"&lt;sup&gt;[34]&lt;/sup&gt;","plainTextFormattedCitation":"[34]","previouslyFormattedCitation":"&lt;sup&gt;[34]&lt;/sup&gt;"},"properties":{"noteIndex":0},"schema":"https://github.com/citation-style-language/schema/raw/master/csl-citation.json"}</w:instrText>
      </w:r>
      <w:r w:rsidR="00192CF1" w:rsidRPr="00192CF1">
        <w:rPr>
          <w:rFonts w:ascii="Book Antiqua" w:hAnsi="Book Antiqua"/>
          <w:bCs/>
          <w:sz w:val="24"/>
          <w:szCs w:val="24"/>
          <w:lang w:val="en-US"/>
        </w:rPr>
        <w:fldChar w:fldCharType="separate"/>
      </w:r>
      <w:r w:rsidR="00192CF1" w:rsidRPr="00192CF1">
        <w:rPr>
          <w:rFonts w:ascii="Book Antiqua" w:hAnsi="Book Antiqua"/>
          <w:bCs/>
          <w:noProof/>
          <w:sz w:val="24"/>
          <w:szCs w:val="24"/>
          <w:vertAlign w:val="superscript"/>
          <w:lang w:val="en-US"/>
        </w:rPr>
        <w:t>[34]</w:t>
      </w:r>
      <w:r w:rsidR="00192CF1" w:rsidRPr="00192CF1">
        <w:rPr>
          <w:rFonts w:ascii="Book Antiqua" w:hAnsi="Book Antiqua"/>
          <w:bCs/>
          <w:sz w:val="24"/>
          <w:szCs w:val="24"/>
          <w:lang w:val="en-US"/>
        </w:rPr>
        <w:fldChar w:fldCharType="end"/>
      </w:r>
      <w:r w:rsidRPr="00192CF1">
        <w:rPr>
          <w:rFonts w:ascii="Book Antiqua" w:hAnsi="Book Antiqua"/>
          <w:bCs/>
          <w:sz w:val="24"/>
          <w:szCs w:val="24"/>
          <w:lang w:val="en-US"/>
        </w:rPr>
        <w:t>, reported that the multiport conversion rate in SI surgery ranges from 2% to 40%. In contrast to the considerable treatment failure rates (14.4%)</w:t>
      </w:r>
      <w:r w:rsidR="00192CF1" w:rsidRPr="00192CF1">
        <w:rPr>
          <w:rFonts w:ascii="Book Antiqua" w:hAnsi="Book Antiqua"/>
          <w:bCs/>
          <w:sz w:val="24"/>
          <w:szCs w:val="24"/>
          <w:lang w:val="en-US"/>
        </w:rPr>
        <w:t xml:space="preserve"> in laparoscopic fundoplication</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{"citationItems":[{"id":"ITEM-1","itemData":{"DOI":"10.1038/ajg.2009.176","ISSN":"0002-9270","PMID":"19491872","abstract":"OBJECTIVES The aim of this study was to conduct a meta-analysis of randomized evidence to determine the relative merits of laparoscopic anti-reflux surgery (LARS) and open anti-reflux surgery (OARS) for proven gastro-esophageal reflux disease (GERD). METHODS A search of the Medline, Embase, Science Citation Index, Current Contents, and PubMed databases identified all randomized clinical trials that compared LARS and OARS and that were published in the English language between 1990 and 2007. A meta-analysis was carried out in accordance with the QUOROM (Quality of Reporting of Meta-Analyses) statement. The six outcome variables analyzed were operating time, hospital stay, return to normal activity, perioperative complications, treatment failure, and requirement for further surgery. Random-effects meta-analyses were carried out using odds ratios (ORs) and weighted mean differences (WMDs). RESULTS Twelve trials were considered suitable for the meta-analysis. A total of 503 patients underwent OARS and 533 had LARS. For three of the six outcomes, the summary point estimates favored LARS over OARS. There was a significant reduction of 2.68 days in the duration of hospital stay for the LARS group compared with that for the OARS group (WMD: -2.68, 95% confidence interval (CI): -3.54 to -1.81; P&lt;0.0001), a significant reduction of 7.75 days in return to normal activity for the LARS group compared with that for the OARS group (WMD: -7.75, 95% CI: -14.37 to -1.14; P=0.0216), and finally, there was a statistically significant reduction of 65% in the relative odds of complication rates for the LARS group compared with that for the OARS group (OR: 0.35, 95% CI: 0.16-0.75; P=0.0072). The duration of operating time was significantly longer (39.02 min) in the LARS group (WMD: 39.02, 95% CI: 17.99-60.05; P=0.0003). Treatment failure rates were comparable between the two groups (OR: 1.39, 95% CI: 0.71-2.72; P=0.3423). Despite this, the requirement for further surgery was significantly higher in the LARS group (OR: 1.79, 95% CI: 1.00-3.22; P=0.05). CONCLUSIONS On the basis of this meta-analysis, the authors conclude that LARS is an effective and safe alternative to OARS for the treatment of proven GERD. LARS enables a faster convalescence and return to productive activity, with a reduced risk of complications and a similar treatment outcome, than an open approach. However, there is a significantly higher rate of re-operation (79%) in the LARS group.","author":[{"dropping-particle":"","family":"Peters","given":"Matthew James","non-dropping-particle":"","parse-names":false,"suffix":""},{"dropping-particle":"","family":"Mukhtar","given":"Athar","non-dropping-particle":"","parse-names":false,"suffix":""},{"dropping-particle":"","family":"Yunus","given":"Rossita Mohamad","non-dropping-particle":"","parse-names":false,"suffix":""},{"dropping-particle":"","family":"Khan","given":"Shahjahan","non-dropping-particle":"","parse-names":false,"suffix":""},{"dropping-particle":"","family":"Pappalardo","given":"Juanita","non-dropping-particle":"","parse-names":false,"suffix":""},{"dropping-particle":"","family":"Memon","given":"Breda","non-dropping-particle":"","parse-names":false,"suffix":""},{"dropping-particle":"","family":"Memon","given":"Muhammed Ashraf","non-dropping-particle":"","parse-names":false,"suffix":""}],"container-title":"The American Journal of Gastroenterology","id":"ITEM-1","issue":"6","issued":{"date-parts":[["2009","6","28"]]},"page":"1548-1561","title":"Meta-Analysis of Randomized Clinical Trials Comparing Open and Laparoscopic Anti-Reflux Surgery","type":"article-journal","volume":"104"},"uris":["http://www.mendeley.com/documents/?uuid=4ef6ef7d-6323-3944-95e3-f90b1b6d921a"]}],"mendeley":{"formattedCitation":"&lt;sup&gt;[7]&lt;/sup&gt;","plainTextFormattedCitation":"[7]","previouslyFormattedCitation":"&lt;sup&gt;[7]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in our review, recurrence of symptoms in SI, were minimal. Similarly our findings show a comparable LOS (2.49 ds) in SI fundoplication, considering the respective hospitalization duration (4 d) in the </w:t>
      </w:r>
      <w:proofErr w:type="spellStart"/>
      <w:r w:rsidRPr="00192CF1">
        <w:rPr>
          <w:rFonts w:ascii="Book Antiqua" w:hAnsi="Book Antiqua"/>
          <w:bCs/>
          <w:sz w:val="24"/>
          <w:szCs w:val="24"/>
          <w:lang w:val="en-US"/>
        </w:rPr>
        <w:t>multi port</w:t>
      </w:r>
      <w:proofErr w:type="spellEnd"/>
      <w:r w:rsidRPr="00192CF1">
        <w:rPr>
          <w:rFonts w:ascii="Book Antiqua" w:hAnsi="Book Antiqua"/>
          <w:bCs/>
          <w:sz w:val="24"/>
          <w:szCs w:val="24"/>
          <w:lang w:val="en-US"/>
        </w:rPr>
        <w:t xml:space="preserve"> approach</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{"citationItems":[{"id":"ITEM-1","itemData":{"DOI":"10.1038/ajg.2009.176","ISSN":"0002-9270","PMID":"19491872","abstract":"OBJECTIVES The aim of this study was to conduct a meta-analysis of randomized evidence to determine the relative merits of laparoscopic anti-reflux surgery (LARS) and open anti-reflux surgery (OARS) for proven gastro-esophageal reflux disease (GERD). METHODS A search of the Medline, Embase, Science Citation Index, Current Contents, and PubMed databases identified all randomized clinical trials that compared LARS and OARS and that were published in the English language between 1990 and 2007. A meta-analysis was carried out in accordance with the QUOROM (Quality of Reporting of Meta-Analyses) statement. The six outcome variables analyzed were operating time, hospital stay, return to normal activity, perioperative complications, treatment failure, and requirement for further surgery. Random-effects meta-analyses were carried out using odds ratios (ORs) and weighted mean differences (WMDs). RESULTS Twelve trials were considered suitable for the meta-analysis. A total of 503 patients underwent OARS and 533 had LARS. For three of the six outcomes, the summary point estimates favored LARS over OARS. There was a significant reduction of 2.68 days in the duration of hospital stay for the LARS group compared with that for the OARS group (WMD: -2.68, 95% confidence interval (CI): -3.54 to -1.81; P&lt;0.0001), a significant reduction of 7.75 days in return to normal activity for the LARS group compared with that for the OARS group (WMD: -7.75, 95% CI: -14.37 to -1.14; P=0.0216), and finally, there was a statistically significant reduction of 65% in the relative odds of complication rates for the LARS group compared with that for the OARS group (OR: 0.35, 95% CI: 0.16-0.75; P=0.0072). The duration of operating time was significantly longer (39.02 min) in the LARS group (WMD: 39.02, 95% CI: 17.99-60.05; P=0.0003). Treatment failure rates were comparable between the two groups (OR: 1.39, 95% CI: 0.71-2.72; P=0.3423). Despite this, the requirement for further surgery was significantly higher in the LARS group (OR: 1.79, 95% CI: 1.00-3.22; P=0.05). CONCLUSIONS On the basis of this meta-analysis, the authors conclude that LARS is an effective and safe alternative to OARS for the treatment of proven GERD. LARS enables a faster convalescence and return to productive activity, with a reduced risk of complications and a similar treatment outcome, than an open approach. However, there is a significantly higher rate of re-operation (79%) in the LARS group.","author":[{"dropping-particle":"","family":"Peters","given":"Matthew James","non-dropping-particle":"","parse-names":false,"suffix":""},{"dropping-particle":"","family":"Mukhtar","given":"Athar","non-dropping-particle":"","parse-names":false,"suffix":""},{"dropping-particle":"","family":"Yunus","given":"Rossita Mohamad","non-dropping-particle":"","parse-names":false,"suffix":""},{"dropping-particle":"","family":"Khan","given":"Shahjahan","non-dropping-particle":"","parse-names":false,"suffix":""},{"dropping-particle":"","family":"Pappalardo","given":"Juanita","non-dropping-particle":"","parse-names":false,"suffix":""},{"dropping-particle":"","family":"Memon","given":"Breda","non-dropping-particle":"","parse-names":false,"suffix":""},{"dropping-particle":"","family":"Memon","given":"Muhammed Ashraf","non-dropping-particle":"","parse-names":false,"suffix":""}],"container-title":"The American Journal of Gastroenterology","id":"ITEM-1","issue":"6","issued":{"date-parts":[["2009","6","28"]]},"page":"1548-1561","title":"Meta-Analysis of Randomized Clinical Trials Comparing Open and Laparoscopic Anti-Reflux Surgery","type":"article-journal","volume":"104"},"uris":["http://www.mendeley.com/documents/?uuid=4ef6ef7d-6323-3944-95e3-f90b1b6d921a"]}],"mendeley":{"formattedCitation":"&lt;sup&gt;[7]&lt;/sup&gt;","plainTextFormattedCitation":"[7]","previouslyFormattedCitation":"&lt;sup&gt;[7]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w:t>
      </w:r>
    </w:p>
    <w:p w14:paraId="17C4CADE" w14:textId="691BF224" w:rsidR="003876D5" w:rsidRPr="00192CF1" w:rsidRDefault="003876D5" w:rsidP="00192CF1">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Despite the advantages derived from laparoscopy, minimal invasive techniques require the completion, of a steeper learning curve by the operating surgeon, in order to be performed safely and efficiently</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{"citationItems":[{"id":"ITEM-1","itemData":{"ISSN":"0266-4623","PMID":"11987432","abstract":"INTRODUCTION Many health technologies exhibit some from of learning effect, and this represents a barrier to rigorous assessment. It has been shown that the statistical methods used are relatively crude. Methods to describe learning curves in fields outside medicine, for example, psychology and engineering, may be better. METHODS To systematically search non-health technology assessment literature (for example, PsycLit and Econlit databases) to identify novel statistical techniques applied to learning curves. RESULTS The search retrieved 9,431 abstracts for assessment, of which 18 used a statistical technique for analyzing learning effects that had not previously been identified in the clinical literature. The newly identified methods were combined with those previously used in health technology assessment, and categorized into four groups of increasing complexity: a) exploratory data analysis; b) simple data analysis; c) complex data analysis; and d) generic methods. All the complex structured data techniques for analyzing learning effects were identified in the nonclinical literature, and these emphasized the importance of estimating intra- and interindividual learning effects. CONCLUSION A good dividend of more sophisticated methods was obtained by searching in nonclinical fields. These methods now require formal testing on health technology data sets.","author":[{"dropping-particle":"","family":"Ramsay","given":"Craig R","non-dropping-particle":"","parse-names":false,"suffix":""},{"dropping-particle":"","family":"Wallace","given":"Sheila A","non-dropping-particle":"","parse-names":false,"suffix":""},{"dropping-particle":"","family":"Garthwaite","given":"Paul H","non-dropping-particle":"","parse-names":false,"suffix":""},{"dropping-particle":"","family":"Monk","given":"Andrew F","non-dropping-particle":"","parse-names":false,"suffix":""},{"dropping-particle":"","family":"Russell","given":"Ian T","non-dropping-particle":"","parse-names":false,"suffix":""},{"dropping-particle":"","family":"Grant","given":"Adrian M","non-dropping-particle":"","parse-names":false,"suffix":""}],"container-title":"International journal of technology assessment in health care","id":"ITEM-1","issue":"1","issued":{"date-parts":[["2002"]]},"page":"1-10","title":"Assessing the learning curve effect in health technologies. Lessons from the nonclinical literature.","type":"article-journal","volume":"18"},"uris":["http://www.mendeley.com/documents/?uuid=946f3047-89dd-34bd-beb6-85708807fdba"]},{"id":"ITEM-2","itemData":{"DOI":"10.1515/med-2016-0086","ISSN":"2391-5463","PMID":"28352841","abstract":"A well-designed learning curve is essential for the acquisition of laparoscopic skills: but, are there risk factors that can derail the surgical method? From a review of the current literature on the learning curve in laparoscopic surgery, we identified learning curve components in video laparoscopic cholecystectomy; we suggest a learning curve model that can be applied to assess the progress of general surgical residents as they learn and master the stages of video laparoscopic cholecystectomy regardless of type of patient. Electronic databases were interrogated to better define the terms \"surgeon\", \"specialized surgeon\", and \"specialist surgeon\"; we surveyed the literature on surgical residency programs outside Italy to identify learning curve components, influential factors, the importance of tutoring, and the role of reference centers in residency education in surgery. From the definition of acceptable error, self-efficacy, and error classification, we devised a learning curve model that may be applied to training surgical residents in video laparoscopic cholecystectomy. Based on the criteria culled from the literature, the three surgeon categories (general, specialized, and specialist) are distinguished by years of experience, case volume, and error rate; the patients were distinguished for years and characteristics. The training model was constructed as a series of key learning steps in video laparoscopic cholecystectomy. Potential errors were identified and the difficulty of each step was graded using operation-specific characteristics. On completion of each procedure, error checklist scores on procedure-specific performance are tallied to track the learning curve and obtain performance indices of measurement that chart the trainee's progress. CONCLUSIONS The concept of the learning curve in general surgery is disputed. The use of learning steps may enable the resident surgical trainee to acquire video laparoscopic cholecystectomy skills proportional to the instructor's ability, the trainee's own skills, and the safety of the surgical environment. There were no patient characteristics that can derail the methods. With this training scheme, resident trainees may be provided the opportunity to develop their intrinsic capabilities without the loss of basic technical skills.","author":[{"dropping-particle":"","family":"Ferrarese","given":"Alessia","non-dropping-particle":"","parse-names":false,"suffix":""},{"dropping-particle":"","family":"Gentile","given":"Valentina","non-dropping-particle":"","parse-names":false,"suffix":""},{"dropping-particle":"","family":"Bindi","given":"Marco","non-dropping-particle":"","parse-names":false,"suffix":""},{"dropping-particle":"","family":"Rivelli","given":"Matteo","non-dropping-particle":"","parse-names":false,"suffix":""},{"dropping-particle":"","family":"Cumbo","given":"Jacopo","non-dropping-particle":"","parse-names":false,"suffix":""},{"dropping-particle":"","family":"Solej","given":"Mario","non-dropping-particle":"","parse-names":false,"suffix":""},{"dropping-particle":"","family":"Enrico","given":"Stefano","non-dropping-particle":"","parse-names":false,"suffix":""},{"dropping-particle":"","family":"Martino","given":"Valter","non-dropping-particle":"","parse-names":false,"suffix":""}],"container-title":"Open medicine (Warsaw, Poland)","id":"ITEM-2","issue":"1","issued":{"date-parts":[["2016"]]},"page":"489-496","publisher":"De Gruyter Open","title":"The learning curve of laparoscopic holecystectomy in general surgery resident training: old age of the patient may be a risk factor?","type":"article-journal","volume":"11"},"uris":["http://www.mendeley.com/documents/?uuid=0edd0dfa-08b4-3473-b002-8f367939776d"]},{"id":"ITEM-3","itemData":{"DOI":"10.1097/01.SLA.0000167857.14690.68","ISSN":"0003-4932","PMID":"15973105","abstract":"OBJECTIVE To provide a multidimensional analysis of the learning curve in major laparoscopic colonic and rectal surgery and compare outcomes between right-sided versus left-sided resections. SUMMARY BACKGROUND DATA The laparoscopic learning curve is known to vary between surgeons, may be influenced by the patient selection and operative complexity, and requires appropriate case-mix adjustment. METHODS This is a descriptive single-center study using routinely collected clinical data from 900 patients undergoing laparoscopic surgery between November 1991 and April 2003. Outcome measures included operation time, conversion rate (CR), and readmission and postoperative complication rates. Multifactorial logistic regression analysis was used to identify patient-, surgeon-, and procedure-related factors associated with conversion of laparoscopic to open surgery. A risk-adjusted Cumulative Sum (CUSUM) model was used for evaluating the learning curve for right and left-sided resections. RESULTS The conversion rate for right-sided colonic resections was 8.1% (n = 457) compared with 15.3% for left-sided colorectal resections (n = 443). Independent predictors of conversion of laparoscopic to open surgery were the body mass index (BMI) (odds ratio [OR] = 1.07 per unit increase), ASA grade (OR = 1.63 per unit increase), type of resection (left colorectal versus right colonic procedures, OR = 1.5), presence of intra-abdominal abscess (OR = 5.0) or enteric fistula (OR = 4.6), and surgeon's experience (OR 0.9 per 10 additional cases performed). Having adjusted for case-mix, the CUSUM analysis demonstrated a learning curve of 55 cases for right-sided colonic resections versus 62 cases for left-sided resections. Median operative time declined with operative experience (P&lt;0.001). Readmission rates and postoperative complications remained unchanged throughout the series and were not dependent on operative experience. CONCLUSIONS Conversion rates for laparoscopic colectomy are dependent on a multitude of factors that require appropriate adjustment including the learning curve (operative experience) for individual surgeons. The laparoscopic model described can be used as the basis for performance monitoring between or within institutions.","author":[{"dropping-particle":"","family":"Tekkis","given":"Paris P","non-dropping-particle":"","parse-names":false,"suffix":""},{"dropping-particle":"","family":"Senagore","given":"Antony J","non-dropping-particle":"","parse-names":false,"suffix":""},{"dropping-particle":"","family":"Delaney","given":"Conor P","non-dropping-particle":"","parse-names":false,"suffix":""},{"dropping-particle":"","family":"Fazio","given":"Victor W","non-dropping-particle":"","parse-names":false,"suffix":""}],"container-title":"Annals of surgery","id":"ITEM-3","issue":"1","issued":{"date-parts":[["2005","7"]]},"page":"83-91","publisher":"Lippincott, Williams, and Wilkins","title":"Evaluation of the learning curve in laparoscopic colorectal surgery: comparison of right-sided and left-sided resections.","type":"article-journal","volume":"242"},"uris":["http://www.mendeley.com/documents/?uuid=4277771d-fba4-30cc-af26-df44ae7136f4"]}],"mendeley":{"formattedCitation":"&lt;sup&gt;[35–37]&lt;/sup&gt;","plainTextFormattedCitation":"[35–37]","previouslyFormattedCitation":"&lt;sup&gt;[35–37]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[35–37]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Through systematic repetition of the operative steps, the surgeon accumulates the necessary technical skills and achieves proficiency</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{"citationItems":[{"id":"ITEM-1","itemData":{"DOI":"10.1515/med-2016-0086","ISSN":"2391-5463","PMID":"28352841","abstract":"A well-designed learning curve is essential for the acquisition of laparoscopic skills: but, are there risk factors that can derail the surgical method? From a review of the current literature on the learning curve in laparoscopic surgery, we identified learning curve components in video laparoscopic cholecystectomy; we suggest a learning curve model that can be applied to assess the progress of general surgical residents as they learn and master the stages of video laparoscopic cholecystectomy regardless of type of patient. Electronic databases were interrogated to better define the terms \"surgeon\", \"specialized surgeon\", and \"specialist surgeon\"; we surveyed the literature on surgical residency programs outside Italy to identify learning curve components, influential factors, the importance of tutoring, and the role of reference centers in residency education in surgery. From the definition of acceptable error, self-efficacy, and error classification, we devised a learning curve model that may be applied to training surgical residents in video laparoscopic cholecystectomy. Based on the criteria culled from the literature, the three surgeon categories (general, specialized, and specialist) are distinguished by years of experience, case volume, and error rate; the patients were distinguished for years and characteristics. The training model was constructed as a series of key learning steps in video laparoscopic cholecystectomy. Potential errors were identified and the difficulty of each step was graded using operation-specific characteristics. On completion of each procedure, error checklist scores on procedure-specific performance are tallied to track the learning curve and obtain performance indices of measurement that chart the trainee's progress. CONCLUSIONS The concept of the learning curve in general surgery is disputed. The use of learning steps may enable the resident surgical trainee to acquire video laparoscopic cholecystectomy skills proportional to the instructor's ability, the trainee's own skills, and the safety of the surgical environment. There were no patient characteristics that can derail the methods. With this training scheme, resident trainees may be provided the opportunity to develop their intrinsic capabilities without the loss of basic technical skills.","author":[{"dropping-particle":"","family":"Ferrarese","given":"Alessia","non-dropping-particle":"","parse-names":false,"suffix":""},{"dropping-particle":"","family":"Gentile","given":"Valentina","non-dropping-particle":"","parse-names":false,"suffix":""},{"dropping-particle":"","family":"Bindi","given":"Marco","non-dropping-particle":"","parse-names":false,"suffix":""},{"dropping-particle":"","family":"Rivelli","given":"Matteo","non-dropping-particle":"","parse-names":false,"suffix":""},{"dropping-particle":"","family":"Cumbo","given":"Jacopo","non-dropping-particle":"","parse-names":false,"suffix":""},{"dropping-particle":"","family":"Solej","given":"Mario","non-dropping-particle":"","parse-names":false,"suffix":""},{"dropping-particle":"","family":"Enrico","given":"Stefano","non-dropping-particle":"","parse-names":false,"suffix":""},{"dropping-particle":"","family":"Martino","given":"Valter","non-dropping-particle":"","parse-names":false,"suffix":""}],"container-title":"Open medicine (Warsaw, Poland)","id":"ITEM-1","issue":"1","issued":{"date-parts":[["2016"]]},"page":"489-496","publisher":"De Gruyter Open","title":"The learning curve of laparoscopic holecystectomy in general surgery resident training: old age of the patient may be a risk factor?","type":"article-journal","volume":"11"},"uris":["http://www.mendeley.com/documents/?uuid=0edd0dfa-08b4-3473-b002-8f367939776d"]},{"id":"ITEM-2","itemData":{"DOI":"10.1097/01.SLA.0000167857.14690.68","ISSN":"0003-4932","PMID":"15973105","abstract":"OBJECTIVE To provide a multidimensional analysis of the learning curve in major laparoscopic colonic and rectal surgery and compare outcomes between right-sided versus left-sided resections. SUMMARY BACKGROUND DATA The laparoscopic learning curve is known to vary between surgeons, may be influenced by the patient selection and operative complexity, and requires appropriate case-mix adjustment. METHODS This is a descriptive single-center study using routinely collected clinical data from 900 patients undergoing laparoscopic surgery between November 1991 and April 2003. Outcome measures included operation time, conversion rate (CR), and readmission and postoperative complication rates. Multifactorial logistic regression analysis was used to identify patient-, surgeon-, and procedure-related factors associated with conversion of laparoscopic to open surgery. A risk-adjusted Cumulative Sum (CUSUM) model was used for evaluating the learning curve for right and left-sided resections. RESULTS The conversion rate for right-sided colonic resections was 8.1% (n = 457) compared with 15.3% for left-sided colorectal resections (n = 443). Independent predictors of conversion of laparoscopic to open surgery were the body mass index (BMI) (odds ratio [OR] = 1.07 per unit increase), ASA grade (OR = 1.63 per unit increase), type of resection (left colorectal versus right colonic procedures, OR = 1.5), presence of intra-abdominal abscess (OR = 5.0) or enteric fistula (OR = 4.6), and surgeon's experience (OR 0.9 per 10 additional cases performed). Having adjusted for case-mix, the CUSUM analysis demonstrated a learning curve of 55 cases for right-sided colonic resections versus 62 cases for left-sided resections. Median operative time declined with operative experience (P&lt;0.001). Readmission rates and postoperative complications remained unchanged throughout the series and were not dependent on operative experience. CONCLUSIONS Conversion rates for laparoscopic colectomy are dependent on a multitude of factors that require appropriate adjustment including the learning curve (operative experience) for individual surgeons. The laparoscopic model described can be used as the basis for performance monitoring between or within institutions.","author":[{"dropping-particle":"","family":"Tekkis","given":"Paris P","non-dropping-particle":"","parse-names":false,"suffix":""},{"dropping-particle":"","family":"Senagore","given":"Antony J","non-dropping-particle":"","parse-names":false,"suffix":""},{"dropping-particle":"","family":"Delaney","given":"Conor P","non-dropping-particle":"","parse-names":false,"suffix":""},{"dropping-particle":"","family":"Fazio","given":"Victor W","non-dropping-particle":"","parse-names":false,"suffix":""}],"container-title":"Annals of surgery","id":"ITEM-2","issue":"1","issued":{"date-parts":[["2005","7"]]},"page":"83-91","publisher":"Lippincott, Williams, and Wilkins","title":"Evaluation of the learning curve in laparoscopic colorectal surgery: comparison of right-sided and left-sided resections.","type":"article-journal","volume":"242"},"uris":["http://www.mendeley.com/documents/?uuid=4277771d-fba4-30cc-af26-df44ae7136f4"]}],"mendeley":{"formattedCitation":"&lt;sup&gt;[36,37]&lt;/sup&gt;","plainTextFormattedCitation":"[36,37]","previouslyFormattedCitation":"&lt;sup&gt;[36,37]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[36,37]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The clinical relevance of these, is that the operative volume and the location of an individual on the learning curve is directly associated with postoperative outcomes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{"citationItems":[{"id":"ITEM-1","itemData":{"DOI":"10.1136/pgmj.2007.057190","ISSN":"1469-0756","PMID":"18057179","abstract":"Learning curves are often referred to in the context of medical education and training, though their trajectories and natures are a matter of debate. The origins of this concept derive from industry and its relevance to contemporary medicine and surgery remains controversial. We describe the history, derivation, character and possible mechanisms to deal with the implications of learning curves in the current climate of clinical governance and modernizing medical careers.","author":[{"dropping-particle":"","family":"Hopper","given":"A N","non-dropping-particle":"","parse-names":false,"suffix":""},{"dropping-particle":"","family":"Jamison","given":"M H","non-dropping-particle":"","parse-names":false,"suffix":""},{"dropping-particle":"","family":"Lewis","given":"W G","non-dropping-particle":"","parse-names":false,"suffix":""}],"container-title":"Postgraduate medical journal","id":"ITEM-1","issue":"986","issued":{"date-parts":[["2007","12"]]},"page":"777-9","publisher":"BMJ Publishing Group","title":"Learning curves in surgical practice.","type":"article-journal","volume":"83"},"uris":["http://www.mendeley.com/documents/?uuid=143b58d1-475b-3995-9296-1fead3070640"]}],"mendeley":{"formattedCitation":"&lt;sup&gt;[38]&lt;/sup&gt;","plainTextFormattedCitation":"[38]","previouslyFormattedCitation":"&lt;sup&gt;[38]&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[38]</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More specifically, in laparoscopic fundoplication the estimated learning curve cut-off value is approximately 20 patients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{"citationItems":[{"id":"ITEM-1","itemData":{"DOI":"10.1371/journal.pone.0180515","ISSN":"1932-6203 (Electronic)","PMID":"28686640","abstract":"PURPOSE: Although laparoscopic Heller myotomy and Dor fundoplication (LHD) is widely performed to address achalasia, little is known about the learning curve for this technique. We assessed the learning curve for performing LHD. METHODS: Of the 514 cases with LHD performed between August 1994 and March 2016, the surgical outcomes of 463 cases were evaluated after excluding 50 cases with reduced port surgery and one case with the simultaneous performance of laparoscopic distal partial gastrectomy. A receiver operating characteristic (ROC) curve analysis was used to identify the cut-off value for the number of surgical experiences necessary to become proficient with LHD, which was defined as the completion of the learning curve. RESULTS: We defined the completion of the learning curve when the following 3 conditions were satisfied. 1) The operation time was less than 165 minutes. 2) There was no blood loss. 3) There was no intraoperative complication. In order to establish the appropriate number of surgical experiences required to complete the learning curve, the cut-off value was evaluated by using a ROC curve (AUC 0.717, p &lt; 0.001). Finally, we identified the cut-off value as 16 surgical cases (sensitivity 0.706, specificity 0.646). CONCLUSION: Learning curve seems to complete after performing 16 cases.","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ryung","non-dropping-particle":"","parse-names":false,"suffix":""},{"dropping-particle":"","family":"Akimoto","given":"Shunsuke","non-dropping-particle":"","parse-names":false,"suffix":""},{"dropping-particle":"","family":"Masuda","given":"Takahiro","non-dropping-particle":"","parse-names":false,"suffix":""},{"dropping-particle":"","family":"Kashiwagi","given":"Hideyuki","non-dropping-particle":"","parse-names":false,"suffix":""},{"dropping-particle":"","family":"Yanaga","given":"Katsuhiko","non-dropping-particle":"","parse-names":false,"suffix":""}],"container-title":"PloS one","id":"ITEM-1","issue":"7","issued":{"date-parts":[["2017"]]},"language":"eng","page":"e0180515","publisher-place":"United States","title":"Learning curve for laparoscopic Heller myotomy and Dor fundoplication for achalasia.","type":"article-journal","volume":"12"},"uris":["http://www.mendeley.com/documents/?uuid=96b9bc3a-9fba-42f2-acf3-4499c781121e"]},{"id":"ITEM-2","itemData":{"DOI":"10.1007/s00464-010-1321-6","ISSN":"0930-2794","PMID":"20835725","abstract":"INTRODUCTION There are numerous reports in the literature documenting high recurrence rates after laparoscopic paraesophageal hernia repair. The purpose of this study was to determine the learning curve for this procedure using the Cumulative Summation (CUSUM) technique. METHODS Forty-six consecutive patients with paraesophageal hernia were evaluated prospectively after laparoscopic paraesophageal hernia repair. Upper GI series was performed 3 months postoperatively to look for recurrence. Patients were stratified based on the surgeon's early (first 20 cases) and late experience (&gt;20 cases). The CUSUM method was then used to further analyze the learning curve. RESULTS Nine patients (21%) had anatomic recurrence. There was a trend toward a higher recurrence rate during the first 20 cases, although this did not achieve statistical significance (33% vs. 13%, p = 0.10). However, using a CUSUM analysis to plot the learning curve, we found that the recurrence rate diminishes after 18 cases and reaches an acceptable rate after 26 cases. CONCLUSIONS Surgeon experience is an important predictor of recurrence after laparoscopic paraesophageal hernia repair. CUSUM analysis revealed there is a significant learning curve to become proficient at this procedure, with approximately 20 cases required before a consistent decrease in hernia recurrence rate is observed.","author":[{"dropping-particle":"","family":"Okrainec","given":"Allan","non-dropping-particle":"","parse-names":false,"suffix":""},{"dropping-particle":"","family":"Ferri","given":"Lorenzo E.","non-dropping-particle":"","parse-names":false,"suffix":""},{"dropping-particle":"","family":"Feldman","given":"Liane S.","non-dropping-particle":"","parse-names":false,"suffix":""},{"dropping-particle":"","family":"Fried","given":"Gerald M.","non-dropping-particle":"","parse-names":false,"suffix":""}],"container-title":"Surgical Endoscopy","id":"ITEM-2","issue":"4","issued":{"date-parts":[["2011","4","11"]]},"page":"1083-1087","title":"Defining the learning curve in laparoscopic paraesophageal hernia repair: a CUSUM analysis","type":"article-journal","volume":"25"},"uris":["http://www.mendeley.com/documents/?uuid=ab4a2555-4697-3934-b345-d8134ce23164"]}],"mendeley":{"formattedCitation":"&lt;sup&gt;[39,40]&lt;/sup&gt;","plainTextFormattedCitation":"[39,40]","previouslyFormattedCitation":"&lt;sup&gt;[39,40]&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[39,40]</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fundoplication is technically more demanding and as so, a larger number of cases would be regarded as necessary for achieving ad</w:t>
      </w:r>
      <w:r w:rsidR="00192CF1" w:rsidRPr="00192CF1">
        <w:rPr>
          <w:rFonts w:ascii="Book Antiqua" w:hAnsi="Book Antiqua"/>
          <w:bCs/>
          <w:sz w:val="24"/>
          <w:szCs w:val="24"/>
          <w:lang w:val="en-US"/>
        </w:rPr>
        <w:t>equacy. According to Ross</w:t>
      </w:r>
      <w:r w:rsidR="00192CF1" w:rsidRPr="00192CF1">
        <w:rPr>
          <w:rFonts w:ascii="Book Antiqua" w:hAnsi="Book Antiqua"/>
          <w:bCs/>
          <w:i/>
          <w:sz w:val="24"/>
          <w:szCs w:val="24"/>
          <w:lang w:val="en-US"/>
        </w:rPr>
        <w:t xml:space="preserve"> 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mendeley":{"formattedCitation":"&lt;sup&gt;[32]&lt;/sup&gt;","plainTextFormattedCitation":"[32]","previouslyFormattedCitation":"&lt;sup&gt;[32]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multiport conversion rates in SI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fundoplication were minimized after 60 patients, whereas the </w:t>
      </w:r>
      <w:r w:rsidRPr="00192CF1">
        <w:rPr>
          <w:rFonts w:ascii="Book Antiqua" w:hAnsi="Book Antiqua"/>
          <w:bCs/>
          <w:sz w:val="24"/>
          <w:szCs w:val="24"/>
          <w:lang w:val="en-US"/>
        </w:rPr>
        <w:lastRenderedPageBreak/>
        <w:t xml:space="preserve">learning curve for SI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fundoplication was calculated at 25 cases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{"citationItems":[{"id":"ITEM-1","itemData":{"DOI":"10.4293/108680813X13654754535359","ISSN":"1938-3797 (Electronic)","PMID":"24018072","abstract":"BACKGROUND AND OBJECTIVES: This study of laparoendoscopic single-site (LESS) fundoplication for gastroesophageal reflux disease was undertaken to determine the \"learning curve\" for implementing LESS fundoplication. METHODS: One hundred patients, 38% men, with a median age of 61 years and median body mass index of 26 kg/m(2) , underwent LESS fundoplications. The operative times, placement of additional trocars, conversions to \"open\" operations, and complications were compared among patient quartiles to establish a learning curve. Median data are reported. RESULTS: The median operative times and complications did not differ among 25-patient cohorts. Additional trocars were placed in 27% of patients, 67% of whom were in the first 25-patient cohort. Patients undergoing LESS fundoplication had a dramatic relief in the frequency and severity of all symptoms of reflux across all cohorts equally (P &lt; .05), particularly for heartburn and regurgitation, without causing dysphagia. CONCLUSION: LESS fundoplication ameliorates symptoms of gastroesophageal reflux disease without apparent scarring. Notably, few operations required additional trocars after the first 25-patient cohort. Patient selection became more inclusive (eg, more \"redo\" fundoplications) with increasing experience, whereas operative times and complications remained relatively unchanged. The learning curve of LESS fundoplication is definable, short, and safe. We believe that patients will seek LESS fundoplication because of the efficacy and superior cosmetic outcomes; surgeons will need to meet this demand.","author":[{"dropping-particle":"","family":"Ross","given":"Sharona B","non-dropping-particle":"","parse-names":false,"suffix":""},{"dropping-particle":"","family":"Choung","given":"Edward","non-dropping-particle":"","parse-names":false,"suffix":""},{"dropping-particle":"","family":"Teta","given":"Anthony F","non-dropping-particle":"","parse-names":false,"suffix":""},{"dropping-particle":"","family":"Colibao","given":"Lotiffa","non-dropping-particle":"","parse-names":false,"suffix":""},{"dropping-particle":"","family":"Luberice","given":"Kenneth","non-dropping-particle":"","parse-names":false,"suffix":""},{"dropping-particle":"","family":"Paul","given":"Harold","non-dropping-particle":"","parse-names":false,"suffix":""},{"dropping-particle":"","family":"Rosemurgy","given":"Alexander S","non-dropping-particle":"","parse-names":false,"suffix":""}],"container-title":"JSLS : Journal of the Society of Laparoendoscopic Surgeons","id":"ITEM-1","issue":"3","issued":{"date-parts":[["2013"]]},"language":"eng","page":"376-384","publisher-place":"United States","title":"The learning curve of laparoendoscopic single-Site (LESS) fundoplication: definable, short, and safe.","type":"article-journal","volume":"17"},"uris":["http://www.mendeley.com/documents/?uuid=eb165d99-8b32-452e-99ee-f5a06703711a"]}],"mendeley":{"formattedCitation":"&lt;sup&gt;[41]&lt;/sup&gt;","plainTextFormattedCitation":"[41]","previouslyFormattedCitation":"&lt;sup&gt;[41]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[41]</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In our review, single port adequacy, was scarcely reported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surgery.","type":"article-journal","volume":"18"},"uris":["http://www.mendeley.com/documents/?uuid=fc2f9c02-8c32-4a1d-b694-eea30001bc03"]},{"id":"ITEM-2","itemData":{"DOI":"10.1007/s00595-010-4533-4","ISSN":"1436-2813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today","id":"ITEM-2","issue":"11","issued":{"date-parts":[["2011","11"]]},"language":"eng","page":"1543-1547","publisher-place":"Japan","title":"Single-incision laparoscopic Heller myotomy and Dor fundoplication for achalasia: report of a case.","type":"article-journal","volume":"41"},"uris":["http://www.mendeley.com/documents/?uuid=847f6bea-4208-41b8-95d2-54e3738d7df1"]},{"id":"ITEM-3","itemData":{"DOI":"10.1097/SLE.0b013e31828f720d","ISSN":"1534-4908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techniques","id":"ITEM-3","issue":"2","issued":{"date-parts":[["2014","4"]]},"language":"eng","page":"e59-62","publisher-place":"United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[24,26,27]&lt;/sup&gt;","plainTextFormattedCitation":"[24,26,27]","previouslyFormattedCitation":"&lt;sup&gt;[24,26,27]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[24,26,27]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Since previous experience is linked to perioperative endpoints, like operative time, conversion rate and morbidity, future studies should systematically report the learning curve status of the surgical team. </w:t>
      </w:r>
    </w:p>
    <w:p w14:paraId="73A76450" w14:textId="77777777" w:rsidR="003876D5" w:rsidRPr="00192CF1" w:rsidRDefault="003876D5" w:rsidP="00192CF1">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Although fundoplication is considered by many as a straightforward procedure, the respective minimal invasive application requires the possession of advanced skills, like laparoscopic suturing. Secure laparoscopic knot tying is a difficultly acquired dexterity and it can make the difference between an uneventful postoperative period and an increased morbidity rate</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{"citationItems":[{"id":"ITEM-1","itemData":{"DOI":"10.1007/s00464-002-8545-z","ISSN":"0930-2794","PMID":"12085155","abstract":"BACKGROUND Few comparative studies have evaluated conventional and laparoscopic knots. The objective of this study was to evaluate laparoscopic knot reliability and identify which type of knot is most secure. METHODS Seven types of knots were compared; each one was conventionally tied with four and six throws and similarly by laparoscopy. Dinsmore nomenclature for knots was used. A tension meter was used to evaluate knot reliability, using the loop method, and percentage of failure by slipping and tensile strength was calculated for each group. RESULTS When S=S=S=S and S=S=S=S=S=S geometry are excluded, there was no difference between laparoscopic and conventional knot. A significant difference between four- and six-throw knots was shown. Excluding S=S=S=S=S=S geometry, all knots in the conventional six-throw group were secure. Intracorporeal 2X1X1X1X1 and 1X1X1X1X1X1 and extracorporeal SXS#SXS#SXS six-throw laparoscopic group knots were secure. CONCLUSIONS Laparoscopic knots are as secure as conventional knots. All knots must be made with six throws because security is maximized.","author":[{"dropping-particle":"","family":"Amortegui","given":"J.D.","non-dropping-particle":"","parse-names":false,"suffix":""},{"dropping-particle":"","family":"Restrepo","given":"H.","non-dropping-particle":"","parse-names":false,"suffix":""}],"container-title":"Surgical Endoscopy","id":"ITEM-1","issue":"11","issued":{"date-parts":[["2002","11","1"]]},"page":"1598-1602","title":"Knot security in laparoscopic surgery","type":"article-journal","volume":"16"},"uris":["http://www.mendeley.com/documents/?uuid=14d6e8b3-4a25-3e13-8c25-113760f23dc3"]},{"id":"ITEM-2","itemData":{"DOI":"10.4293/JSLS.2017.00021","ISSN":"1938-3797","PMID":"28694682","abstract":"BACKGROUND Laparoscopic surgery is increasingly replacing the open procedure because of its many patient-related benefits that are well aligned with policies and programs that seek to optimize health system performance. However, widespread adoption of laparoscopic surgery has been slow, in part, because of the complexity of laparoscopic suturing. The objective of this study was to review the clinical and economic impacts of laparoscopic suturing in key procedures and to assess its role as a barrier to the broader adoption of laparoscopic surgery. DATABASE A medical literature search of MEDLINE, EMBASE, and BIOSIS from January 2010 through June 2016 identified 47 relevant articles. CONCLUSION Laparoscopic suturing and intracorporeal knot tying may result in extended surgical time, complications, and surgeon errors, while improving patient quality of life through improved cosmesis, diet toleration, and better bowel movements. Despite advancement in surgical techniques and the availability of newer surgical tools, the complexity of laparoscopic suturing continues to be a barrier to greater adoption of MIS. The results of the study underscore the need for development of proficiency in laparoscopic suturing, which may help improve patient outcomes and reduce healthcare costs.","author":[{"dropping-particle":"","family":"Lim","given":"Sangtaeck","non-dropping-particle":"","parse-names":false,"suffix":""},{"dropping-particle":"","family":"Ghosh","given":"Sudip","non-dropping-particle":"","parse-names":false,"suffix":""},{"dropping-particle":"","family":"Niklewski","given":"Paul","non-dropping-particle":"","parse-names":false,"suffix":""},{"dropping-particle":"","family":"Roy","given":"Sanjoy","non-dropping-particle":"","parse-names":false,"suffix":""}],"container-title":"JSLS : Journal of the Society of Laparoendoscopic Surgeons","id":"ITEM-2","issue":"3","issued":{"date-parts":[["2017"]]},"publisher":"Society of Laparoendoscopic Surgeons","title":"Laparoscopic Suturing as a Barrier to Broader Adoption of Laparoscopic Surgery.","type":"article-journal","volume":"21"},"uris":["http://www.mendeley.com/documents/?uuid=dba935a5-8d8e-3bc3-a32b-1562bb213fe6"]}],"mendeley":{"formattedCitation":"&lt;sup&gt;[42,43]&lt;/sup&gt;","plainTextFormattedCitation":"[42,43]","previouslyFormattedCitation":"&lt;sup&gt;[42,43]&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[42,43]</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Therefore, in order to reduce operative time and complement the inexperience of younger surgeons in </w:t>
      </w:r>
      <w:proofErr w:type="spellStart"/>
      <w:r w:rsidRPr="00192CF1">
        <w:rPr>
          <w:rFonts w:ascii="Book Antiqua" w:hAnsi="Book Antiqua"/>
          <w:bCs/>
          <w:sz w:val="24"/>
          <w:szCs w:val="24"/>
          <w:lang w:val="en-US"/>
        </w:rPr>
        <w:t>intracorporeal</w:t>
      </w:r>
      <w:proofErr w:type="spellEnd"/>
      <w:r w:rsidRPr="00192CF1">
        <w:rPr>
          <w:rFonts w:ascii="Book Antiqua" w:hAnsi="Book Antiqua"/>
          <w:bCs/>
          <w:sz w:val="24"/>
          <w:szCs w:val="24"/>
          <w:lang w:val="en-US"/>
        </w:rPr>
        <w:t xml:space="preserve"> knotting, endoscopic suturing devices have been imported in clinical practice, with comparable results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{"citationItems":[{"id":"ITEM-1","itemData":{"DOI":"10.1111/vsu.12570","ISSN":"01613499","PMID":"27731517","abstract":"OBJECTIVE To describe a technique for laparoscopic incisional gastropexy using an articulated endoscopic suturing device with knotless unidirectional barbed suture in healthy large breed dogs. STUDY DESIGN Prospective case series. ANIMALS Healthy client-owned dogs presented for prophylactic gastropexy and weighing &gt;20 kg (n=7). METHODS Incisional gastropexy was performed using a single port access system with an articulated endoscopic suturing device. An additional 5 mm cannula was placed in the right caudal abdomen. A 2-0 knotless unidirectional barbed suture was used to complete the gastropexy with 2 separate simple continuous suture lines. All dogs underwent a focal abdominal ultrasound to evaluate the gastropexy site 3-12 months postoperatively. RESULTS Median weight of the dogs was 33.5 kg (range, 20-51 kg) and the median age was 2 years (range, 0.6-8.5 years). Median surgical time was 60 minutes (range, 39-88). The articulated suturing device malfunctioned twice. On abdominal ultrasound between 3 and 12 months, all gastropexy sites were intact. No motion was detected between the stomach and body wall during distal antral contractions or respiratory motion and a focal thickening of the gastric wall was present in dog. No complications were reported in the postoperative periods as of the 2 week suture removal visit or as of the time of their ultrasound appointment. CONCLUSION This technique using an endoscopic articulated suturing device with a knotless unidirectional barbed suture provides a feasible technique to perform laparoscopic gastropexy.","author":[{"dropping-particle":"","family":"Coleman","given":"Kristin A.","non-dropping-particle":"","parse-names":false,"suffix":""},{"dropping-particle":"","family":"Adams","given":"Sean","non-dropping-particle":"","parse-names":false,"suffix":""},{"dropping-particle":"","family":"Smeak","given":"Daniel D.","non-dropping-particle":"","parse-names":false,"suffix":""},{"dropping-particle":"","family":"Monnet","given":"Eric","non-dropping-particle":"","parse-names":false,"suffix":""}],"container-title":"Veterinary Surgery","id":"ITEM-1","issue":"S1","issued":{"date-parts":[["2016","11"]]},"page":"O95-O101","title":"Laparoscopic Gastropexy Using Knotless Unidirectional Suture and an Articulated Endoscopic Suturing Device: Seven Cases","type":"article-journal","volume":"45"},"uris":["http://www.mendeley.com/documents/?uuid=89d4c0a6-f2b7-3777-9a80-427911228e1f"]},{"id":"ITEM-2","itemData":{"ISSN":"1086-8089","PMID":"15119668","abstract":"BACKGROUND Suturing and knot tying are basic skills for surgeons. Performing these tasks laparoscopically can be a tedious, time-consuming endeavor associated with much frustration. We evaluated a mechanically assisted suture and pretied knot device (Quik-Stitch) for performing the basic tasks of suturing and knot tying. METHODS We performed a time study using 1) intracorporeal suturing and knot tying, 2) intracorporeal suturing and extracorporeal knot tying, and 3) a mechanically assisted suture and pretied knot device (Quik-Stitch). From September 2000 through March 2001, time trials were conducted using each of the different techniques. Three attending surgeons, one with much experience and 2 with less experience, and 2 chief residents, with the least experience, participated in the study. RESULTS For the experienced surgeon, the average times for intracorporeal knot tying, extracorporeal knot tying, and knot tying with Quik-Stitch were 97.3, 103.9, and 67.7 seconds, respectively. For the less experienced surgeons, the times were 237.2, 224.3, and 92.5 seconds, respectively. For the least experienced group, the times were 265.3, 263.0, and 128.7 seconds, respectively. CONCLUSIONS The mechanically assisted suture device and pretied knot (Quik-Stitch by PARE Surgical, Inc, Englewood, CO, USA) provides significant time-saving to surgeons regardless of experience and thus reduces operating room costs. Less experienced surgeons and surgeons in training benefited the most by the use of this device.","author":[{"dropping-particle":"","family":"Bermas","given":"Honnie","non-dropping-particle":"","parse-names":false,"suffix":""},{"dropping-particle":"","family":"Fenoglio","given":"Michael","non-dropping-particle":"","parse-names":false,"suffix":""},{"dropping-particle":"","family":"Haun","given":"William","non-dropping-particle":"","parse-names":false,"suffix":""},{"dropping-particle":"","family":"Moore","given":"John T","non-dropping-particle":"","parse-names":false,"suffix":""}],"container-title":"JSLS : Journal of the Society of Laparoendoscopic Surgeons","id":"ITEM-2","issue":"2","issued":{"date-parts":[["0"]]},"page":"187-9","title":"Laparoscopic suturing and knot tying: a comparison of standard techniques to a mechanical assist device.","type":"article-journal","volume":"8"},"uris":["http://www.mendeley.com/documents/?uuid=7ce66f2f-16a4-3c37-8e49-9b148a5b94c1"]},{"id":"ITEM-3","itemData":{"DOI":"10.1111/vsu.12722","ISSN":"01613499","PMID":"28921666","abstract":"OBJECTIVE To compare two suturing techniques for prophylactic laparoscopic gastropexy in healthy dogs. STUDY DESIGN Retrospective case series. ANIMALS Thirty healthy client-owned dogs from breeds predisposed to gastric dilation volvulus. METHODS Medical records of dogs presented for prophylactic laparoscopic gastropexy performed with knotless unidirectional barbed suture were reviewed. Dogs were grouped based on the device used for suturing, consisting of an endoscopic needle driver (END) vs an endoscopic suturing device (ESD). Signalment, weight, surgery time, number of suture bites per side of gastropexy, and intraoperative complications were compared between groups. RESULTS The END group consisted of 10 dogs, with a median age of 1.09 years (range 0.5-2.67), weight of 41.5 kg (range 25-66), surgical time of 49.5 minutes (range 35-77), and a median of 5 suture bites per side (range 4-6). The ESD group included 20 dogs, with a median age of 1.75 years (range 0.6-8.75, P</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.0944), weight was 37.5 kg (range 20-62, P</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.5823), surgical time of 55 minutes (range 30-76, P</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.808), and a median of 6 suture bites for the first side (range 4-7, P</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.072) and 7 for the second side (range 4-8, P</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.003). No major complications and no conversion to open celiotomy occured in either group. Minor complications occurred in 3 dogs in the ESD group, all related to device dysfunction and suture breakage. CONCLUSION Laparoscopic gastropexy may be performed effectively with either of these suturing techniques.","author":[{"dropping-particle":"","family":"Coleman","given":"Kristin A.","non-dropping-particle":"","parse-names":false,"suffix":""},{"dropping-particle":"","family":"Monnet","given":"Eric","non-dropping-particle":"","parse-names":false,"suffix":""}],"container-title":"Veterinary Surgery","id":"ITEM-3","issue":"7","issued":{"date-parts":[["2017","10"]]},"page":"1002-1007","title":"Comparison of laparoscopic gastropexy performed via intracorporeal suturing with knotless unidirectional barbed suture using a needle driver versus a roticulated endoscopic suturing device: 30 cases","type":"article-journal","volume":"46"},"uris":["http://www.mendeley.com/documents/?uuid=6fa0af1e-56c6-30b8-90b7-be74c6e6981c"]}],"mendeley":{"formattedCitation":"&lt;sup&gt;[44–46]&lt;/sup&gt;","plainTextFormattedCitation":"[44–46]","previouslyFormattedCitation":"&lt;sup&gt;[44–46]&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[44–46]</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In SILS, the limited working area, the restricted vision, the minimization of the manipulation angle and the parallelization of the optics and hand instruments increases the overall difficulty level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{"citationItems":[{"id":"ITEM-1","itemData":{"DOI":"10.1590/S1807-59322010001000023","ISSN":"1980-5322","PMID":"21120311","author":[{"dropping-particle":"","family":"Ekçi","given":"Baki","non-dropping-particle":"","parse-names":false,"suffix":""}],"container-title":"Clinics (Sao Paulo, Brazil)","id":"ITEM-1","issue":"10","issued":{"date-parts":[["2010"]]},"page":"1055-7","publisher":"Hospital das Clinicas da Faculdade de Medicina da Universidade de Sao Paulo","title":"A simple technique for knot tying in single incision laparoscopic surgery (SILS).","type":"article-journal","volume":"65"},"uris":["http://www.mendeley.com/documents/?uuid=0981a116-eeba-3c27-a443-ca1291453b55"]},{"id":"ITEM-2","itemData":{"DOI":"10.1007/s12262-016-1445-6","ISSN":"0972-2068","PMID":"28442840","abstract":"The aim of this study is to assess the difficulty of intracorporeal suturing in single-port surgery, using experimental suturing model in dry box. Subjects were divided for three groups: seven experienced laparoscopic surgeons, seven surgical residents, and seven interns. An experimental suturing model is developed, and working angle was set from 0° to 90°. The completion rate in 0° was significantly lower than that in the other angles. Completion rate of group A was higher than that of the other groups. Precision of task in group A was significantly higher than that of group B and group C in 0° and 60°. Stress score in 0° were significantly higher than that in the other angles. Our study demonstrated that intracorporeal suturing in single-port surgery seems to be more difficult than conventional laparoscopic surgery. Our data should be taken the institution under consideration for introduction of single-port surgery.","author":[{"dropping-particle":"","family":"Ishiyama","given":"Yasuhiro","non-dropping-particle":"","parse-names":false,"suffix":""},{"dropping-particle":"","family":"Inaki","given":"Noriyuki","non-dropping-particle":"","parse-names":false,"suffix":""},{"dropping-particle":"","family":"Bando","given":"Hiroyuki","non-dropping-particle":"","parse-names":false,"suffix":""},{"dropping-particle":"","family":"Yamada","given":"Tetsuji","non-dropping-particle":"","parse-names":false,"suffix":""}],"container-title":"The Indian journal of surgery","id":"ITEM-2","issue":"2","issued":{"date-parts":[["2017","4"]]},"page":"137-142","publisher":"Springer","title":"Assessment of Intracorporeal Suturing in Single-Port Surgery Using an Experimental Suturing Model.","type":"article-journal","volume":"79"},"uris":["http://www.mendeley.com/documents/?uuid=8e029ce1-1c6b-362b-991d-bc3eb12ad0fd"]}],"mendeley":{"formattedCitation":"&lt;sup&gt;[47,48]&lt;/sup&gt;","plainTextFormattedCitation":"[47,48]","previouslyFormattedCitation":"&lt;sup&gt;[47,48]&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[47,48]</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In single port fundoplication, </w:t>
      </w:r>
      <w:proofErr w:type="spellStart"/>
      <w:r w:rsidRPr="00192CF1">
        <w:rPr>
          <w:rFonts w:ascii="Book Antiqua" w:hAnsi="Book Antiqua"/>
          <w:bCs/>
          <w:sz w:val="24"/>
          <w:szCs w:val="24"/>
          <w:lang w:val="en-US"/>
        </w:rPr>
        <w:t>intracorporeal</w:t>
      </w:r>
      <w:proofErr w:type="spellEnd"/>
      <w:r w:rsidRPr="00192CF1">
        <w:rPr>
          <w:rFonts w:ascii="Book Antiqua" w:hAnsi="Book Antiqua"/>
          <w:bCs/>
          <w:sz w:val="24"/>
          <w:szCs w:val="24"/>
          <w:lang w:val="en-US"/>
        </w:rPr>
        <w:t xml:space="preserve"> suturing has been extensively performed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today","id":"ITEM-1","issue":"3","issued":{"date-parts":[["2012","2"]]},"language":"eng","page":"299-302","publisher-place":"Japan","title":"Single-incision laparoscopic Heller myotomy and Dor fundoplication for achalasia: report of a case.","type":"article-journal","volume":"42"},"uris":["http://www.mendeley.com/documents/?uuid=f0812b93-b43f-4012-9026-6bcb9aee8455"]},{"id":"ITEM-2","itemData":{"ISSN":"1555-9823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surgeon","id":"ITEM-2","issue":"8","issued":{"date-parts":[["2013","8"]]},"language":"eng","page":"837-844","publisher-place":"United States","title":"Defining the learning curve of laparoendoscopic single-site Heller myotomy.","type":"article-journal","volume":"79"},"uris":["http://www.mendeley.com/documents/?uuid=0b719385-a29d-4bff-80aa-3252147d9026"]},{"id":"ITEM-3","itemData":{"ISSN":"1555-9823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surgeon","id":"ITEM-3","issue":"9","issued":{"date-parts":[["2015","9"]]},"language":"eng","page":"870-875","publisher-place":"United States","title":"Over 250 Laparoendoscopic Single Site (LESS) Fundoplications: Lessons Learned.","type":"article-journal","volume":"81"},"uris":["http://www.mendeley.com/documents/?uuid=1d6c01bf-75fb-41a3-87e3-cff430a8128b"]},{"id":"ITEM-4","itemData":{"DOI":"10.1177/1553350610384406","ISSN":"1553-3506","abstract":"Introduction: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INNOVATION","id":"ITEM-4","issue":"1","issued":{"date-parts":[["2011"]]},"page":"61-65","title":"Single-Access Transumbilical Laparoscopic Nissen Fundoplication Performed With New Curved Reusable Instruments","type":"article-journal","volume":"18"},"uris":["http://www.mendeley.com/documents/?uuid=a3f03f90-ca12-4ea3-91d5-c2928549d2c0"]},{"id":"ITEM-5","itemData":{"DOI":"10.1002/bjs.9446","ISSN":"1365-2168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surgery","id":"ITEM-5","issue":"5","issued":{"date-parts":[["2014","4"]]},"language":"eng","page":"546-549","publisher-place":"England","title":"Liver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[17,23,25,29,32]&lt;/sup&gt;","plainTextFormattedCitation":"[17,23,25,29,32]","previouslyFormattedCitation":"&lt;sup&gt;[17,23,25,29,32]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[17,23,25,29,32]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with various techniques, like side-winding and the utilization of articulating graspers and needle holders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{"citationItems":[{"id":"ITEM-1","itemData":{"DOI":"10.1097/SLE.0b013e318274b278","ISSN":"1530-4515","PMID":"23752026","abstract":"It is difficult to perform intracorporeal knot tying in a single-incision laparoscopic surgery. The instruments may not work together willingly in the limited working area. To get the proper triangulation to manipulate the instruments might be the main issue in the process of knot tying. It has been known that the knit stitch might improve knot tying in a conventional laparoscopic surgery. The modified method of knit stitch in this study was performed using a single-incision laparoscopic surgery. To use the half circle of the curved needle in the intracorporeal knot-tying procedure was effective in getting the proper angle for manipulation of rigid instruments. Spinning instrument according to the butt of the curved needle minimized the movement of working instruments. The modified method might be useful in solving the difficulty of the knot tying in a single-incision laparoscopic surgery.","author":[{"dropping-particle":"","family":"Chung","given":"Do Young","non-dropping-particle":"","parse-names":false,"suffix":""}],"container-title":"Surgical Laparoscopy, Endoscopy &amp; Percutaneous Techniques","id":"ITEM-1","issue":"3","issued":{"date-parts":[["2013","6"]]},"page":"e90-e92","title":"The Intracorporeal Knot Tying Using Rigid Instruments in Single-incision Laparoscopic Surgery","type":"article-journal","volume":"23"},"uris":["http://www.mendeley.com/documents/?uuid=adedcf82-ceda-3b20-9640-5c6b50024889"]}],"mendeley":{"formattedCitation":"&lt;sup&gt;[49]&lt;/sup&gt;","plainTextFormattedCitation":"[49]","previouslyFormattedCitation":"&lt;sup&gt;[49]&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[49]</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Alternative approaches were the extracorporeal formation of a knot, with the subsequent completion through a suture passer</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and the use of suturing devices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surgeon","id":"ITEM-3","issue":"9","issued":{"date-parts":[["2015","9"]]},"language":"eng","page":"870-875","publisher-place":"United States","title":"Over 250 Laparoendoscopic Single Site (LESS) Fundoplications: Lessons Learned.","type":"article-journal","volume":"81"},"uris":["http://www.mendeley.com/documents/?uuid=1d6c01bf-75fb-41a3-87e3-cff430a8128b"]},{"id":"ITEM-4","itemData":{"DOI":"10.5402/2011/347487","ISSN":"2090-4401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gastroenterology","id":"ITEM-4","issued":{"date-parts":[["2011"]]},"language":"eng","page":"347487","publisher-place":"Egypt","title":"Pure SILS Floppy Nissen Fundoplication with Hiatal Repair: A Case Report.","type":"article-journal","volume":"2011"},"uris":["http://www.mendeley.com/documents/?uuid=bb1b6c22-cb01-419a-8aa1-ecc2590e20fb"]},{"id":"ITEM-5","itemData":{"DOI":"10.1089/lap.2011.0349","ISSN":"1092-6429","PMID":"22146016","abstract":"With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TECHNIQUES","id":"ITEM-5","issue":"2","issued":{"date-parts":[["2012","3"]]},"language":"eng","note":"From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mendeley":{"formattedCitation":"&lt;sup&gt;[11,12,17,18,20]&lt;/sup&gt;","plainTextFormattedCitation":"[11,12,17,18,20]","previouslyFormattedCitation":"&lt;sup&gt;[11,12,17,18,20]&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[11,12,17,18,20]</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w:t>
      </w:r>
    </w:p>
    <w:p w14:paraId="77C03DB5" w14:textId="7BCFD674" w:rsidR="003876D5" w:rsidRPr="00192CF1" w:rsidRDefault="003876D5" w:rsidP="00192CF1">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 xml:space="preserve">Besides experience with the minimal invasive techniques, successful completion of the </w:t>
      </w:r>
      <w:proofErr w:type="spellStart"/>
      <w:r w:rsidRPr="00192CF1">
        <w:rPr>
          <w:rFonts w:ascii="Book Antiqua" w:hAnsi="Book Antiqua"/>
          <w:bCs/>
          <w:sz w:val="24"/>
          <w:szCs w:val="24"/>
          <w:lang w:val="en-US"/>
        </w:rPr>
        <w:t>intracorporeal</w:t>
      </w:r>
      <w:proofErr w:type="spellEnd"/>
      <w:r w:rsidRPr="00192CF1">
        <w:rPr>
          <w:rFonts w:ascii="Book Antiqua" w:hAnsi="Book Antiqua"/>
          <w:bCs/>
          <w:sz w:val="24"/>
          <w:szCs w:val="24"/>
          <w:lang w:val="en-US"/>
        </w:rPr>
        <w:t xml:space="preserve"> laparoscopic operative steps, like suturing or dissection, is associated with the intraoperative setting of the hand instruments. In single port surgery, the access point is usually umbilicus, through which the working ports are introduced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{"citationItems":[{"id":"ITEM-1","itemData":{"DOI":"10.4103/0972-9941.72360","ISSN":"1998-3921","PMID":"21197236","abstract":"Scarless surgery is the Holy Grail of surgery and the very raison d'etre of Minimal Access Surgery was the reduction of scars and thereby pain and suffering of the patients. The work of Muhe and Mouret in the late 80s, paved the way for mainstream laparoscopic procedures and it rapidly became the method of choice for many intra-abdominal procedures. Single-incision laparoscopic surgery is a very exciting new modality in the field of minimal access surgery which works for further reducing the scars of standard laparoscopy and towards scarless surgery. Natural orifice translumenal endoscopic surgery (NOTES) was developed for scarless surgery, but did not gain popularity due to a variety of reasons. NOTES stands for natural orifice translumenal endoscopic surgery, a term coined by a consortium in 2005. NOTES remains a research technique with only a few clinical cases having been reported. The lack of success of NOTES seems to have spurred on the interest in single-incision laparoscopy as an eminently doable technique in the present with minimum visible scarring, rendering a 'scarless' effect. Laparo-endoscopic single-site surgery (LESS) is, a term coined by a multidisciplinary consortium in 2008 for single-incision laparoscopic surgery. These are complementary technologies with similar difficulties of access, lack of triangulation and inadequate instrumentation as of date. LESS seems to offer an advantage to surgeons with its familiar field of view and instruments similar to those used in conventional laparoscopy. LESS remains a evolving special technique used successfully in many a centre, but with a significant way to go before it becomes mainstream. It currently stands between standard laparoscopy and NOTES in the armamentarium of minimal access surgery. This article outlines the development of LESS giving an overview of all the techniques and devices available and likely to be available in the future.","author":[{"dropping-particle":"","family":"Rao","given":"Prashanth P","non-dropping-particle":"","parse-names":false,"suffix":""},{"dropping-particle":"","family":"Rao","given":"Pradeep P","non-dropping-particle":"","parse-names":false,"suffix":""},{"dropping-particle":"","family":"Bhagwat","given":"Sonali","non-dropping-particle":"","parse-names":false,"suffix":""}],"container-title":"Journal of minimal access surgery","id":"ITEM-1","issue":"1","issued":{"date-parts":[["2011","1"]]},"page":"6-16","publisher":"Wolters Kluwer -- Medknow Publications","title":"Single-incision laparoscopic surgery - current status and controversies.","type":"article-journal","volume":"7"},"uris":["http://www.mendeley.com/documents/?uuid=5a410f4b-c00d-3daf-a70d-5cbe7f15a42f"]}],"mendeley":{"formattedCitation":"&lt;sup&gt;[34]&lt;/sup&gt;","plainTextFormattedCitation":"[34]","previouslyFormattedCitation":"&lt;sup&gt;[34]&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[34]</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As a result, the working angle, which should optimally be at about 60</w:t>
      </w:r>
      <w:r w:rsidRPr="00192CF1">
        <w:rPr>
          <w:rFonts w:ascii="Book Antiqua" w:hAnsi="Book Antiqua"/>
          <w:bCs/>
          <w:sz w:val="24"/>
          <w:szCs w:val="24"/>
          <w:vertAlign w:val="superscript"/>
          <w:lang w:val="en-US"/>
        </w:rPr>
        <w:t>o</w:t>
      </w:r>
      <w:r w:rsidR="00C06CF5">
        <w:rPr>
          <w:rFonts w:ascii="Book Antiqua" w:hAnsi="Book Antiqua"/>
          <w:bCs/>
          <w:sz w:val="24"/>
          <w:szCs w:val="24"/>
          <w:lang w:val="en-US"/>
        </w:rPr>
        <w:t>, is significantly reduced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{"citationItems":[{"id":"ITEM-1","itemData":{"ISSN":"1051-7200","PMID":"8840449","abstract":"We investigated the optimal position of the laparoscope in relationship to the working ports. The optical angle (theta), defined as the angle formed by the line of action (determined by the working ports) and the line of vision (determined by the laparoscope), was varied by 30 degrees intervals from 0 degree to 180 degrees to the left and to the right. We also studied the time taken to accomplish a standardized task of tying a square knot with each optical angle in a laparoscopic simulator setting. The optimal position is at the optical angle of 0 degree. The optimal range of the optical angle is 60 degrees to the left and 60 degrees to the right of the optimal position of 0 degree.","author":[{"dropping-particle":"","family":"Meng","given":"W C","non-dropping-particle":"","parse-names":false,"suffix":""},{"dropping-particle":"","family":"Kwok","given":"S P","non-dropping-particle":"","parse-names":false,"suffix":""},{"dropping-particle":"","family":"Leung","given":"K L","non-dropping-particle":"","parse-names":false,"suffix":""},{"dropping-particle":"","family":"Chung","given":"C C","non-dropping-particle":"","parse-names":false,"suffix":""},{"dropping-particle":"","family":"Lau","given":"W Y","non-dropping-particle":"","parse-names":false,"suffix":""},{"dropping-particle":"","family":"Li","given":"A K","non-dropping-particle":"","parse-names":false,"suffix":""}],"container-title":"Surgical laparoscopy &amp; endoscopy","id":"ITEM-1","issue":"4","issued":{"date-parts":[["1996","8"]]},"page":"278-81","title":"Optimal position of working ports in laparoscopic surgery: an in vitro study.","type":"article-journal","volume":"6"},"uris":["http://www.mendeley.com/documents/?uuid=265cc8e4-282f-3b52-ae74-6ed8c918ee3f"]},{"id":"ITEM-2","itemData":{"DOI":"10.1016/j.amjsurg.2010.01.029","ISSN":"00029610","PMID":"20638045","abstract":"BACKGROUND Trocar placement presently is mostly empiric. Our goal was to define simple distances from bony landmarks to locate the optimal ergonomic placement of manipulation trocars for access to the lower esophagus and hiatal orifice, for suture placement, and knotting of the gastric fundus and crura. Hypothesizing that the ideal ergonomic principles of a manipulation angle of 60°, an elevation angle (α(e)) of 30° to 60°, and an intracorporeal/extracorporeal length ratio (I/E) of working instruments close to 1:1 are interrelated by simple trigonometric functions, the variations of each of these parameters were calculated in a dependent manner for 2 standard lengths of needle holders: 48.5 cm and 58.5 cm. RESULTS Trocar placement can be calculated easily according to simple formulas dependent on the α(e), the distance from the sternoxiphoid junction to the median of the intertrocar span (d) and the vertical distance from the stenoxiphoid junction to the average distance between the apex of the hiatal orifice and the anterior aspect of the esophagus (XH'): when the α(e) is 30°: d is XH' √2 and when α(e) is 45°, d is XH'/√2. Likewise, when α(e) is 30° the intertrocar span (LR) is 2XH', half on either side of the optical axis (d), and when α(e) is 45°, LR is XH' √2, XH'/√2 on either side of the optical axis. The most ergonomic solution is to work with an α(e) of 40° to 45° by placing the 2 working (manipulation) trocars, between 10 and 14 cm caudad from the sternoxiphoid junction, between 10 and 12 cm on either side of the longitudinal axis corresponding to the optic-target axis. The shorter needle holder works best in this configuration because the I/E ratio will be between .8 and 1. If, however, the surgeon wants to work with an α(e) closer to 30°, then the longer needle holder should be used, and the trocars should be placed between 20 and 21 cm from the sternoxiphoid junction, 14.5 to 15 cm on either side of the optical axis. The I/E ratio will vary between 1 and 1.1. When a 1/1 I/E ratio was prioritized, the α(e) would be 40° and 32°, for the shorter and longer instruments, respectively. The deeper crural closure requires increasing the α(e) by 2° and 3°, respectively. Hyperlordosis, as obtained by placing a cushion under the patient's back, shortens the distances, allowing placement of the trocars closer to the sternoxiphoid junction. CONCLUSIONS Based on ergonomic principles (manipulation angle, 60°; α(e), 40°-45°; and an I/E ratio of working instr…","author":[{"dropping-particle":"","family":"Fingerhut","given":"Abe","non-dropping-particle":"","parse-names":false,"suffix":""},{"dropping-particle":"","family":"Hanna","given":"George B.","non-dropping-particle":"","parse-names":false,"suffix":""},{"dropping-particle":"","family":"Veyrie","given":"Nicolas","non-dropping-particle":"","parse-names":false,"suffix":""},{"dropping-particle":"","family":"Ferzli","given":"George","non-dropping-particle":"","parse-names":false,"suffix":""},{"dropping-particle":"","family":"Millat","given":"Bertrand","non-dropping-particle":"","parse-names":false,"suffix":""},{"dropping-particle":"","family":"Alexakis","given":"Nicholas","non-dropping-particle":"","parse-names":false,"suffix":""},{"dropping-particle":"","family":"Leandros","given":"Emmanuel","non-dropping-particle":"","parse-names":false,"suffix":""}],"container-title":"The American Journal of Surgery","id":"ITEM-2","issue":"4","issued":{"date-parts":[["2010","10"]]},"page":"519-528","title":"Optimal trocar placement for ergonomic intracorporeal sewing and knotting in laparoscopic hiatal surgery","type":"article-journal","volume":"200"},"uris":["http://www.mendeley.com/documents/?uuid=727809d4-2a23-3cc4-9873-82046e593587"]}],"mendeley":{"formattedCitation":"&lt;sup&gt;[50,51]&lt;/sup&gt;","plainTextFormattedCitation":"[50,51]","previouslyFormattedCitation":"&lt;sup&gt;[50,51]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[50,51]</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Moreover, in operations like fundoplication, where the distance between the operating site and the access point is increased, the working angle further decreases, and with the synchronous alterations of the elevation angle, the derived ergonomic stress further escalates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{"citationItems":[{"id":"ITEM-1","itemData":{"DOI":"10.1007/s12262-016-1445-6","ISSN":"0972-2068","PMID":"28442840","abstract":"The aim of this study is to assess the difficulty of intracorporeal suturing in single-port surgery, using experimental suturing model in dry box. Subjects were divided for three groups: seven experienced laparoscopic surgeons, seven surgical residents, and seven interns. An experimental suturing model is developed, and working angle was set from 0° to 90°. The completion rate in 0° was significantly lower than that in the other angles. Completion rate of group A was higher than that of the other groups. Precision of task in group A was significantly higher than that of group B and group C in 0° and 60°. Stress score in 0° were significantly higher than that in the other angles. Our study demonstrated that intracorporeal suturing in single-port surgery seems to be more difficult than conventional laparoscopic surgery. Our data should be taken the institution under consideration for introduction of single-port surgery.","author":[{"dropping-particle":"","family":"Ishiyama","given":"Yasuhiro","non-dropping-particle":"","parse-names":false,"suffix":""},{"dropping-particle":"","family":"Inaki","given":"Noriyuki","non-dropping-particle":"","parse-names":false,"suffix":""},{"dropping-particle":"","family":"Bando","given":"Hiroyuki","non-dropping-particle":"","parse-names":false,"suffix":""},{"dropping-particle":"","family":"Yamada","given":"Tetsuji","non-dropping-particle":"","parse-names":false,"suffix":""}],"container-title":"The Indian journal of surgery","id":"ITEM-1","issue":"2","issued":{"date-parts":[["2017","4"]]},"page":"137-142","publisher":"Springer","title":"Assessment of Intracorporeal Suturing in Single-Port Surgery Using an Experimental Suturing Model.","type":"article-journal","volume":"79"},"uris":["http://www.mendeley.com/documents/?uuid=8e029ce1-1c6b-362b-991d-bc3eb12ad0fd"]},{"id":"ITEM-2","itemData":{"DOI":"10.1097/SLE.0b013e318274b278","ISSN":"1530-4515","PMID":"23752026","abstract":"It is difficult to perform intracorporeal knot tying in a single-incision laparoscopic surgery. The instruments may not work together willingly in the limited working area. To get the proper triangulation to manipulate the instruments might be the main issue in the process of knot tying. It has been known that the knit stitch might improve knot tying in a conventional laparoscopic surgery. The modified method of knit stitch in this study was performed using a single-incision laparoscopic surgery. To use the half circle of the curved needle in the intracorporeal knot-tying procedure was effective in getting the proper angle for manipulation of rigid instruments. Spinning instrument according to the butt of the curved needle minimized the movement of working instruments. The modified method might be useful in solving the difficulty of the knot tying in a single-incision laparoscopic surgery.","author":[{"dropping-particle":"","family":"Chung","given":"Do Young","non-dropping-particle":"","parse-names":false,"suffix":""}],"container-title":"Surgical Laparoscopy, Endoscopy &amp; Percutaneous Techniques","id":"ITEM-2","issue":"3","issued":{"date-parts":[["2013","6"]]},"page":"e90-e92","title":"The Intracorporeal Knot Tying Using Rigid Instruments in Single-incision Laparoscopic Surgery","type":"article-journal","volume":"23"},"uris":["http://www.mendeley.com/documents/?uuid=adedcf82-ceda-3b20-9640-5c6b50024889"]}],"mendeley":{"formattedCitation":"&lt;sup&gt;[48,49]&lt;/sup&gt;","plainTextFormattedCitation":"[48,49]","previouslyFormattedCitation":"&lt;sup&gt;[48,49]&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[48,49]</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Therefore, in order to technically increase the </w:t>
      </w:r>
      <w:r w:rsidRPr="00192CF1">
        <w:rPr>
          <w:rFonts w:ascii="Book Antiqua" w:hAnsi="Book Antiqua"/>
          <w:bCs/>
          <w:sz w:val="24"/>
          <w:szCs w:val="24"/>
          <w:lang w:val="en-US"/>
        </w:rPr>
        <w:lastRenderedPageBreak/>
        <w:t>manipulation angle, pre bent and articulating instruments have been introduced. Despite the fact that, simulation studies displayed a difficulty of novice surgeons in using articulating instruments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{"citationItems":[{"id":"ITEM-1","itemData":{"DOI":"10.3109/13645706.2014.946426","ISSN":"1364-5706","PMID":"25142199","abstract":"BACKGROUND Single-site surgery improves cosmesis but increases procedural difficulty. Enhanced instruments could improve procedural efficiency leading to better patient outcomes. MATERIAL AND METHODS One pair of non-articulating (straight) and two different pairs of articulating laparoscopic instruments were evaluated using a peg-transfer surgical task simulator by premedical college students. The instruments were comparatively tested using task performance measures, ergonomic measures, and participant questionnaires. RESULTS The straight instrument produced significantly higher task performance scores and lower task times compared to both articulating instruments (p &lt; 0.05). The straight instrument required less muscle activation and less wrist deviation than the articulating instruments to perform the same task. Participants rated the straight instrument significantly easier to use and less difficult to complete the task than with either articulating instrument (p &lt; 0.05 for both). CONCLUSIONS This exploratory study suggests that novices have difficulty using articulating instruments and perform better using straight laparoscopic instruments when first attempting LESS surgical tasks. Although a study with post-graduate medical trainees is needed to confirm these results, trainees should initially practice LESS with non-articulating instruments to gain proficiency at basic laparoscopic tasks. Additionally, redesigning articulating instruments to specifically address the spatial constraints and learning curve of LESS may also improve trainee performance and instrument usability.","author":[{"dropping-particle":"","family":"Riggle","given":"Jakeb D.","non-dropping-particle":"","parse-names":false,"suffix":""},{"dropping-particle":"","family":"Miller","given":"Emily E.","non-dropping-particle":"","parse-names":false,"suffix":""},{"dropping-particle":"","family":"McCrory","given":"Bernadette","non-dropping-particle":"","parse-names":false,"suffix":""},{"dropping-particle":"","family":"Meitl","given":"Alex","non-dropping-particle":"","parse-names":false,"suffix":""},{"dropping-particle":"","family":"Lim","given":"Eric","non-dropping-particle":"","parse-names":false,"suffix":""},{"dropping-particle":"","family":"Hallbeck","given":"M. Susan","non-dropping-particle":"","parse-names":false,"suffix":""},{"dropping-particle":"","family":"LaGrange","given":"Chad A.","non-dropping-particle":"","parse-names":false,"suffix":""}],"container-title":"Minimally Invasive Therapy &amp; Allied Technologies","id":"ITEM-1","issue":"2","issued":{"date-parts":[["2015","3","4"]]},"page":"68-76","title":"Ergonomic comparison of laparoscopic hand instruments in a single site surgery simulator with novices","type":"article-journal","volume":"24"},"uris":["http://www.mendeley.com/documents/?uuid=d06f28c5-d428-3365-ad6a-990ab70f4f0e"]}],"mendeley":{"formattedCitation":"&lt;sup&gt;[52]&lt;/sup&gt;","plainTextFormattedCitation":"[52]","previouslyFormattedCitation":"&lt;sup&gt;[52]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[52]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the combination of an dynamically bending and a pre bent tool minimizes the task completion time</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{"citationItems":[{"id":"ITEM-1","itemData":{"DOI":"10.1007/s00464-013-3337-1","ISSN":"0930-2794","PMID":"24357421","abstract":"BACKGROUND Over the past decades, minimally invasive surgery has undergone continuous development due to the demand for scarless results, with laparo-endoscopic single-site (LESS) surgery constituting one of today's most favored alternatives. In this study, we aim to assess the relative technical difficulty and performance benefits of dynamic articulating and pre-bent instruments, either combined with conventional laparoscopic tools or not, during the completion of two basic tasks hands-on simulator. METHODS A total of 20 surgeons were included and performed two basic simulator tasks-coordination and cutting-carried out using four different combinations of LESS-designed and straight conventional laparoscopy instruments. Assessment took place before and after the completion of a 14-week training program. Performance data were objectively analyzed over video recordings with an adapted global rating scale (a-GRS) for performance evaluation, combined with a registry of total trial completion time. RESULTS In the coordination task, the worst performance scores (p &lt; 0.001) and longest completion times (p &lt; 0.001 on first assessment and p &lt; 0.01 on last assessment) were obtained with the two dynamic articulating tip instruments. On the cut trials, no significant differences between the different setups were found in a-GRS scores. The two dynamic articulating tip instruments also constituted the most time-demanding setup on both assessment trials (p &lt; 0.05). The use of two dynamic articulating tip instruments showed significant improvement with training in all measured parameters except for performance in the cut task, in which the increase in a-GRS score was not significant. CONCLUSIONS We conclude that the least adequate instrument set for initiation in LESS surgery is the one that combines two dynamic articulating tip instruments, as this has consistently obtained the worst results in all trials. Further data on more complex tasks and on a complete learning and skills-acquisition program must be obtained to confirm these findings.","author":[{"dropping-particle":"","family":"Sánchez-Margallo","given":"Francisco Miguel","non-dropping-particle":"","parse-names":false,"suffix":""},{"dropping-particle":"","family":"Matos-Azevedo","given":"Ana Maria","non-dropping-particle":"","parse-names":false,"suffix":""},{"dropping-particle":"","family":"Pérez-Duarte","given":"Francisco Julián","non-dropping-particle":"","parse-names":false,"suffix":""},{"dropping-particle":"","family":"Enciso","given":"Silvia","non-dropping-particle":"","parse-names":false,"suffix":""},{"dropping-particle":"","family":"Martín-Portugués","given":"Idoia Díaz-Guëmes","non-dropping-particle":"","parse-names":false,"suffix":""}],"container-title":"Surgical Endoscopy","id":"ITEM-1","issue":"5","issued":{"date-parts":[["2014","5","20"]]},"page":"1479-1488","title":"Performance analysis on physical simulator of four different instrument setups in laparo-endoscopic single-site (LESS) surgery","type":"article-journal","volume":"28"},"uris":["http://www.mendeley.com/documents/?uuid=40ae002e-329b-3519-bfac-d487913bf74d"]}],"mendeley":{"formattedCitation":"&lt;sup&gt;[53]&lt;/sup&gt;","plainTextFormattedCitation":"[53]","previouslyFormattedCitation":"&lt;sup&gt;[53]&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[53]</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In the setting of SI fundoplication, both the standard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today","id":"ITEM-2","issue":"11","issued":{"date-parts":[["2011","11"]]},"language":"eng","page":"1543-1547","publisher-place":"Japan","title":"Single-incision laparoscopic Heller myotomy and Dor fundoplication for achalasia: report of a case.","type":"article-journal","volume":"41"},"uris":["http://www.mendeley.com/documents/?uuid=847f6bea-4208-41b8-95d2-54e3738d7df1"]},{"id":"ITEM-3","itemData":{"DOI":"10.1016/j.ijscr.2012.09.003","ISSN":"2210-2612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reports","id":"ITEM-3","issue":"1","issued":{"date-parts":[["2013"]]},"language":"eng","page":"1-4","publisher-place":"Netherlands","title":"Single incision laparoscopic approach for esophageal achalasia: A case report.","type":"article-journal","volume":"4"},"uris":["http://www.mendeley.com/documents/?uuid=cbce9c75-a3f5-41c0-94c2-4fb6818b56e4"]},{"id":"ITEM-4","itemData":{"DOI":"10.1007/s10029-016-1512-8","ISSN":"1265-4906","abstract":"Single-incision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L","non-dropping-particle":"","parse-names":false,"suffix":""}],"container-title":"HERNIA","id":"ITEM-4","issue":"5","issued":{"date-parts":[["2016","10"]]},"page":"729-733","publisher":"SPRINGER","publisher-place":"233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laparoscopy","type":"article-journal","volume":"20"},"uris":["http://www.mendeley.com/documents/?uuid=94881e51-2f96-4dc5-b29b-9d44b7d53ce8"]},{"id":"ITEM-5","itemData":{"DOI":"10.1007/s00595-012-0120-1","ISSN":"1436-2813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today","id":"ITEM-5","issue":"6","issued":{"date-parts":[["2012","6"]]},"language":"eng","page":"601-604","publisher-place":"Japan","title":"Early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cases.","type":"article-journal","volume":"42"},"uris":["http://www.mendeley.com/documents/?uuid=ad88e9ed-eae0-489c-af2e-e1273cac8481"]},{"id":"ITEM-6","itemData":{"DOI":"10.5336/medsci.2012-31954","ISSN":"13000292","abstract":"Objective: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Sciences","id":"ITEM-6","issue":"4","issued":{"date-parts":[["2013"]]},"note":"cited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mendeley":{"formattedCitation":"&lt;sup&gt;[14,21,22,27,28,30]&lt;/sup&gt;","plainTextFormattedCitation":"[14,21,22,27,28,30]","previouslyFormattedCitation":"&lt;sup&gt;[14,21,22,27,28,30]&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[14,21,22,27,28,30]</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and the articulating setup</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today","id":"ITEM-3","issue":"11","issued":{"date-parts":[["2011","11"]]},"language":"eng","page":"1543-1547","publisher-place":"Japan","title":"Single-incision laparoscopic Heller myotomy and Dor fundoplication for achalasia: report of a case.","type":"article-journal","volume":"41"},"uris":["http://www.mendeley.com/documents/?uuid=847f6bea-4208-41b8-95d2-54e3738d7df1"]},{"id":"ITEM-4","itemData":{"ISSN":"1555-9823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surgeon","id":"ITEM-4","issue":"8","issued":{"date-parts":[["2013","8"]]},"language":"eng","page":"837-844","publisher-place":"United States","title":"Defining the learning curve of laparoendoscopic single-site Heller myotomy.","type":"article-journal","volume":"79"},"uris":["http://www.mendeley.com/documents/?uuid=0b719385-a29d-4bff-80aa-3252147d9026"]},{"id":"ITEM-5","itemData":{"DOI":"10.5402/2011/347487","ISSN":"2090-4401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gastroenterology","id":"ITEM-5","issued":{"date-parts":[["2011"]]},"language":"eng","page":"347487","publisher-place":"Egypt","title":"Pure SILS Floppy Nissen Fundoplication with Hiatal Repair: A Case Report.","type":"article-journal","volume":"2011"},"uris":["http://www.mendeley.com/documents/?uuid=bb1b6c22-cb01-419a-8aa1-ecc2590e20fb"]}],"mendeley":{"formattedCitation":"&lt;sup&gt;[11,12,18,27,32]&lt;/sup&gt;","plainTextFormattedCitation":"[11,12,18,27,32]","previouslyFormattedCitation":"&lt;sup&gt;[11,12,18,27,32]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[11,12,18,27,32]</w:t>
      </w:r>
      <w:r w:rsidR="00A973CD" w:rsidRPr="00192CF1">
        <w:rPr>
          <w:rFonts w:ascii="Book Antiqua" w:hAnsi="Book Antiqua"/>
          <w:bCs/>
          <w:sz w:val="24"/>
          <w:szCs w:val="24"/>
          <w:lang w:val="en-US"/>
        </w:rPr>
        <w:fldChar w:fldCharType="end"/>
      </w:r>
      <w:r w:rsidR="00192CF1" w:rsidRPr="00192CF1">
        <w:rPr>
          <w:rFonts w:ascii="Book Antiqua" w:hAnsi="Book Antiqua"/>
          <w:bCs/>
          <w:sz w:val="24"/>
          <w:szCs w:val="24"/>
          <w:lang w:val="en-US"/>
        </w:rPr>
        <w:t xml:space="preserve"> has been applied. </w:t>
      </w:r>
      <w:proofErr w:type="spellStart"/>
      <w:r w:rsidR="00192CF1" w:rsidRPr="00192CF1">
        <w:rPr>
          <w:rFonts w:ascii="Book Antiqua" w:hAnsi="Book Antiqua"/>
          <w:bCs/>
          <w:sz w:val="24"/>
          <w:szCs w:val="24"/>
          <w:lang w:val="en-US"/>
        </w:rPr>
        <w:t>Dapri</w:t>
      </w:r>
      <w:proofErr w:type="spellEnd"/>
      <w:r w:rsidR="00192CF1" w:rsidRPr="00192CF1">
        <w:rPr>
          <w:rFonts w:ascii="Book Antiqua" w:hAnsi="Book Antiqua"/>
          <w:bCs/>
          <w:sz w:val="24"/>
          <w:szCs w:val="24"/>
          <w:lang w:val="en-US"/>
        </w:rPr>
        <w:t xml:space="preserve"> </w:t>
      </w:r>
      <w:r w:rsidR="00192CF1"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Instruments","type":"article-journal","volume":"18"},"uris":["http://www.mendeley.com/documents/?uuid=a3f03f90-ca12-4ea3-91d5-c2928549d2c0"]},{"id":"ITEM-2","itemData":{"ISSN":"1090-3941 (Print)","PMID":"21082545","abstract":"In recent years, laparoscopic surgery underwent a huge investment from both the clinical and research points of view to perform classic procedures through a single (S) incision or single port, resulting in the development of different instruments and ports. The main advantage of the S-access laparoscopy (SAL) is cosmesis. Future investigations will provide other potential advantages, such as improvement in postoperative pain and patient satisfaction. We report our initial experience on 115 patients utilizing a SAL (appendectomy, cholecystectomy, incisional hernia repair, Nissen fundoplication, upper gastrointestinal surgery, diagnostic laparoscopy, hepatic resection, splenectomy), along with the new curved reusable instruments (Karl Storz-Endoskope, Tuttlingen, Germany). The curves of the instruments enable the surgeon to work in an ergonomic position similar to classic laparoscopy, establishing a working triangulation inside the abdomen as well as outside. The cost of SAL is similar to classic laparoscopy as only reusable products are used.","author":[{"dropping-particle":"","family":"Dapri","given":"Giovanni","non-dropping-particle":"","parse-names":false,"suffix":""},{"dropping-particle":"","family":"Casali","given":"Lorenzo","non-dropping-particle":"","parse-names":false,"suffix":""},{"dropping-particle":"","family":"Bruyns","given":"Jean","non-dropping-particle":"","parse-names":false,"suffix":""},{"dropping-particle":"","family":"Himpens","given":"Jacques","non-dropping-particle":"","parse-names":false,"suffix":""},{"dropping-particle":"","family":"Cadiere","given":"Guy-Bernard","non-dropping-particle":"","parse-names":false,"suffix":""}],"container-title":"Surgical technology international","id":"ITEM-2","issued":{"date-parts":[["2010","10"]]},"language":"eng","page":"21-35","publisher-place":"United States","title":"Single-access laparoscopic surgery using new curved reusable instruments: initial hundred patients.","type":"article-journal","volume":"20"},"uris":["http://www.mendeley.com/documents/?uuid=bbc0e0cf-eeb1-454c-b443-e2cd705957fb"]}],"mendeley":{"formattedCitation":"&lt;sup&gt;[23,54]&lt;/sup&gt;","plainTextFormattedCitation":"[23,54]","previouslyFormattedCitation":"&lt;sup&gt;[23,54]&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[23,54]</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proposed the use of specialized reusable pre bent instruments that enabled </w:t>
      </w:r>
      <w:proofErr w:type="spellStart"/>
      <w:r w:rsidRPr="00192CF1">
        <w:rPr>
          <w:rFonts w:ascii="Book Antiqua" w:hAnsi="Book Antiqua"/>
          <w:bCs/>
          <w:sz w:val="24"/>
          <w:szCs w:val="24"/>
          <w:lang w:val="en-US"/>
        </w:rPr>
        <w:t>intracorporeal</w:t>
      </w:r>
      <w:proofErr w:type="spellEnd"/>
      <w:r w:rsidRPr="00192CF1">
        <w:rPr>
          <w:rFonts w:ascii="Book Antiqua" w:hAnsi="Book Antiqua"/>
          <w:bCs/>
          <w:sz w:val="24"/>
          <w:szCs w:val="24"/>
          <w:lang w:val="en-US"/>
        </w:rPr>
        <w:t xml:space="preserve"> and extracorporeal triangulation, thus avoiding conflict between the instruments and the scope. </w:t>
      </w:r>
    </w:p>
    <w:p w14:paraId="250C3148" w14:textId="2B13A78B" w:rsidR="003876D5" w:rsidRPr="00192CF1" w:rsidRDefault="003876D5" w:rsidP="00192CF1">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Moreover, adequate exposure of the working field is another important factor for the performance of the operative tasks. The efficient displacement of the left liver lobe is a crucial step in SI fundoplication and therefore numerous techniques have been devised. The most simple method, is the use of a working instrument such as forceps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or graspers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[23]</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Commercially available retractors have been extensively utilized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myotomy.","type":"article-journal","volume":"79"},"uris":["http://www.mendeley.com/documents/?uuid=0b719385-a29d-4bff-80aa-3252147d9026"]},{"id":"ITEM-2","itemData":{"ISSN":"1555-9823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surgeon","id":"ITEM-2","issue":"9","issued":{"date-parts":[["2015","9"]]},"language":"eng","page":"870-875","publisher-place":"United States","title":"Over 250 Laparoendoscopic Single Site (LESS) Fundoplications: Lessons Learned.","type":"article-journal","volume":"81"},"uris":["http://www.mendeley.com/documents/?uuid=1d6c01bf-75fb-41a3-87e3-cff430a8128b"]},{"id":"ITEM-3","itemData":{"DOI":"10.5402/2011/347487","ISSN":"2090-4401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gastroenterology","id":"ITEM-3","issued":{"date-parts":[["2011"]]},"language":"eng","page":"347487","publisher-place":"Egypt","title":"Pure SILS Floppy Nissen Fundoplication with Hiatal Repair: A Case Report.","type":"article-journal","volume":"2011"},"uris":["http://www.mendeley.com/documents/?uuid=bb1b6c22-cb01-419a-8aa1-ecc2590e20fb"]}],"mendeley":{"formattedCitation":"&lt;sup&gt;[17,18,32]&lt;/sup&gt;","plainTextFormattedCitation":"[17,18,32]","previouslyFormattedCitation":"&lt;sup&gt;[17,18,32]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[17,18,32]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w:t>
      </w:r>
      <w:r w:rsidR="004647EC" w:rsidRPr="00192CF1">
        <w:rPr>
          <w:rFonts w:ascii="Book Antiqua" w:hAnsi="Book Antiqua"/>
          <w:bCs/>
          <w:sz w:val="24"/>
          <w:szCs w:val="24"/>
          <w:lang w:val="en-US"/>
        </w:rPr>
        <w:t xml:space="preserve"> </w:t>
      </w:r>
      <w:r w:rsidRPr="00192CF1">
        <w:rPr>
          <w:rFonts w:ascii="Book Antiqua" w:hAnsi="Book Antiqua"/>
          <w:bCs/>
          <w:sz w:val="24"/>
          <w:szCs w:val="24"/>
          <w:lang w:val="en-US"/>
        </w:rPr>
        <w:t xml:space="preserve">A long </w:t>
      </w:r>
      <w:proofErr w:type="spellStart"/>
      <w:r w:rsidRPr="00192CF1">
        <w:rPr>
          <w:rFonts w:ascii="Book Antiqua" w:hAnsi="Book Antiqua"/>
          <w:bCs/>
          <w:sz w:val="24"/>
          <w:szCs w:val="24"/>
          <w:lang w:val="en-US"/>
        </w:rPr>
        <w:t>Veress</w:t>
      </w:r>
      <w:proofErr w:type="spellEnd"/>
      <w:r w:rsidRPr="00192CF1">
        <w:rPr>
          <w:rFonts w:ascii="Book Antiqua" w:hAnsi="Book Antiqua"/>
          <w:bCs/>
          <w:sz w:val="24"/>
          <w:szCs w:val="24"/>
          <w:lang w:val="en-US"/>
        </w:rPr>
        <w:t xml:space="preserve"> needle has been, also, used as a retractor</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Similarly, relocating of left lobe by silicon drains and elastic loops was described in various cases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reports","id":"ITEM-2","issue":"1","issued":{"date-parts":[["2013"]]},"language":"eng","page":"1-4","publisher-place":"Netherlands","title":"Single incision laparoscopic approach for esophageal achalasia: A case report.","type":"article-journal","volume":"4"},"uris":["http://www.mendeley.com/documents/?uuid=cbce9c75-a3f5-41c0-94c2-4fb6818b56e4"]},{"id":"ITEM-3","itemData":{"DOI":"10.1007/s00595-011-0089-1","ISSN":"1436-2813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today","id":"ITEM-3","issue":"3","issued":{"date-parts":[["2012","2"]]},"language":"eng","page":"299-302","publisher-place":"Japan","title":"Single-incision laparoscopic Heller myotomy and Dor fundoplication for achalasia: report of a case.","type":"article-journal","volume":"42"},"uris":["http://www.mendeley.com/documents/?uuid=f0812b93-b43f-4012-9026-6bcb9aee8455"]},{"id":"ITEM-4","itemData":{"DOI":"10.1097/SLE.0b013e318247c45f","ISSN":"1534-4908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techniques","id":"ITEM-4","issue":"3","issued":{"date-parts":[["2012","6"]]},"language":"eng","page":"e118-21","publisher-place":"United States","title":"Single-port laparoscopic surgery of the distal esophagus: initial clinical experience.","type":"article-journal","volume":"22"},"uris":["http://www.mendeley.com/documents/?uuid=5c9b5627-6b69-4214-980f-6e7e266becb2"]},{"id":"ITEM-5","itemData":{"DOI":"10.1007/s00595-012-0120-1","ISSN":"1436-2813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today","id":"ITEM-5","issue":"6","issued":{"date-parts":[["2012","6"]]},"language":"eng","page":"601-604","publisher-place":"Japan","title":"Early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mendeley":{"formattedCitation":"&lt;sup&gt;[14,19,21,28,29]&lt;/sup&gt;","plainTextFormattedCitation":"[14,19,21,28,29]","previouslyFormattedCitation":"&lt;sup&gt;[14,19,21,28,29]&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[14,19,21,28,29]</w:t>
      </w:r>
      <w:r w:rsidR="00A973CD" w:rsidRPr="00192CF1">
        <w:rPr>
          <w:rFonts w:ascii="Book Antiqua" w:hAnsi="Book Antiqua"/>
          <w:bCs/>
          <w:sz w:val="24"/>
          <w:szCs w:val="24"/>
          <w:lang w:val="en-US"/>
        </w:rPr>
        <w:fldChar w:fldCharType="end"/>
      </w:r>
      <w:r w:rsidR="00192CF1" w:rsidRPr="00192CF1">
        <w:rPr>
          <w:rFonts w:ascii="Book Antiqua" w:hAnsi="Book Antiqua"/>
          <w:bCs/>
          <w:sz w:val="24"/>
          <w:szCs w:val="24"/>
          <w:lang w:val="en-US"/>
        </w:rPr>
        <w:t xml:space="preserve">. Nakajima </w:t>
      </w:r>
      <w:r w:rsidR="00192CF1"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today","id":"ITEM-1","issue":"11","issued":{"date-parts":[["2011","11"]]},"language":"eng","page":"1543-1547","publisher-place":"Japan","title":"Single-incision laparoscopic Heller myotomy and Dor fundoplication for achalasia: report of a case.","type":"article-journal","volume":"41"},"uris":["http://www.mendeley.com/documents/?uuid=847f6bea-4208-41b8-95d2-54e3738d7df1"]}],"mendeley":{"formattedCitation":"&lt;sup&gt;[27]&lt;/sup&gt;","plainTextFormattedCitation":"[27]","previouslyFormattedCitation":"&lt;sup&gt;[27]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after applying a silk thread in the left triangular ligament with a suturing device, suspended the liver lobe in the epigastric reg</w:t>
      </w:r>
      <w:r w:rsidR="00192CF1" w:rsidRPr="00192CF1">
        <w:rPr>
          <w:rFonts w:ascii="Book Antiqua" w:hAnsi="Book Antiqua"/>
          <w:bCs/>
          <w:sz w:val="24"/>
          <w:szCs w:val="24"/>
          <w:lang w:val="en-US"/>
        </w:rPr>
        <w:t xml:space="preserve">ion. Furthermore, Galvani </w:t>
      </w:r>
      <w:r w:rsidR="00192CF1"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lt;/sup&gt;","plainTextFormattedCitation":"[24]","previouslyFormattedCitation":"&lt;sup&gt;[24]&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[24]</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used an internal retraction device, which after applying the retraction clip in the pars </w:t>
      </w:r>
      <w:proofErr w:type="spellStart"/>
      <w:r w:rsidRPr="00192CF1">
        <w:rPr>
          <w:rFonts w:ascii="Book Antiqua" w:hAnsi="Book Antiqua"/>
          <w:bCs/>
          <w:sz w:val="24"/>
          <w:szCs w:val="24"/>
          <w:lang w:val="en-US"/>
        </w:rPr>
        <w:t>flaccida</w:t>
      </w:r>
      <w:proofErr w:type="spellEnd"/>
      <w:r w:rsidRPr="00192CF1">
        <w:rPr>
          <w:rFonts w:ascii="Book Antiqua" w:hAnsi="Book Antiqua"/>
          <w:bCs/>
          <w:sz w:val="24"/>
          <w:szCs w:val="24"/>
          <w:lang w:val="en-US"/>
        </w:rPr>
        <w:t>, the hook part was placed in the falciform ligament or the parietal peritoneum. The role of cyanoacrylate glue as a retracting method has been also studied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[25]</w:t>
      </w:r>
      <w:r w:rsidR="00A973CD" w:rsidRPr="00192CF1">
        <w:rPr>
          <w:rFonts w:ascii="Book Antiqua" w:hAnsi="Book Antiqua"/>
          <w:bCs/>
          <w:sz w:val="24"/>
          <w:szCs w:val="24"/>
          <w:lang w:val="en-US"/>
        </w:rPr>
        <w:fldChar w:fldCharType="end"/>
      </w:r>
      <w:r w:rsidR="00192CF1" w:rsidRPr="00192CF1">
        <w:rPr>
          <w:rFonts w:ascii="Book Antiqua" w:hAnsi="Book Antiqua"/>
          <w:bCs/>
          <w:sz w:val="24"/>
          <w:szCs w:val="24"/>
          <w:lang w:val="en-US"/>
        </w:rPr>
        <w:t xml:space="preserve">. According to Wu </w:t>
      </w:r>
      <w:r w:rsidR="00192CF1"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[25]</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the adhesion of the left liver lobe on the diaphragm, using cyanoacrylate glue, is a fast, safe and totally reversible technique.</w:t>
      </w:r>
    </w:p>
    <w:p w14:paraId="5FCB599E" w14:textId="4CD40EE0" w:rsidR="003876D5" w:rsidRPr="00192CF1" w:rsidRDefault="003876D5" w:rsidP="00192CF1">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 xml:space="preserve">Since our study is a systematic review of previously published trials, the validity of its estimations is inherently influenced by the methodology of the eligible studies. In this case, the majority of the included trials consisted of, either case reports, or retrospective analyses and only a few prospective studies were identified. In addition to this, most of these series incorporated a small sample size, thus inhibiting the strength of our results. Due to the fact that the </w:t>
      </w:r>
      <w:r w:rsidRPr="00192CF1">
        <w:rPr>
          <w:rFonts w:ascii="Book Antiqua" w:hAnsi="Book Antiqua"/>
          <w:bCs/>
          <w:sz w:val="24"/>
          <w:szCs w:val="24"/>
          <w:lang w:val="en-US"/>
        </w:rPr>
        <w:lastRenderedPageBreak/>
        <w:t>learning curve is directly associated with the postoperative outcomes, another bias introducing factor could possibly be the inconsistent reporting of the number of the operating surgeons and their experience in single port</w:t>
      </w:r>
      <w:r w:rsidR="004647EC" w:rsidRPr="00192CF1">
        <w:rPr>
          <w:rFonts w:ascii="Book Antiqua" w:hAnsi="Book Antiqua"/>
          <w:bCs/>
          <w:sz w:val="24"/>
          <w:szCs w:val="24"/>
          <w:lang w:val="en-US"/>
        </w:rPr>
        <w:t xml:space="preserve"> </w:t>
      </w:r>
      <w:r w:rsidRPr="00192CF1">
        <w:rPr>
          <w:rFonts w:ascii="Book Antiqua" w:hAnsi="Book Antiqua"/>
          <w:bCs/>
          <w:sz w:val="24"/>
          <w:szCs w:val="24"/>
          <w:lang w:val="en-US"/>
        </w:rPr>
        <w:t xml:space="preserve">surgery. Finally, although the identification of the various technical methodologies was considered as an endpoint in our study, the existence of these variations contributes in the overall heterogeneity levels. </w:t>
      </w:r>
    </w:p>
    <w:p w14:paraId="1739E0A9" w14:textId="77777777" w:rsidR="003876D5" w:rsidRPr="00192CF1" w:rsidRDefault="003876D5" w:rsidP="00192CF1">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Our study is an attempt to provide an overview regarding the application of SI fundoplication. Pooled results validate the safety and efficacy of the single port approach, although the technique is not yet standardized and many methodological variations have been described. The majority of the trials reporting on SI fundoplication were case reports and studies of a low quality level, without a comparison arm of the conventional multi port procedure and other methodological variations. Therefore, further randomized controlled trials, of a larger sample size are required, in order to draw a safe conclusion considering the application of SI fundoplication.</w:t>
      </w:r>
    </w:p>
    <w:p w14:paraId="2705B2B5" w14:textId="77777777" w:rsidR="00016391" w:rsidRPr="00192CF1" w:rsidRDefault="00016391" w:rsidP="004647EC">
      <w:pPr>
        <w:spacing w:after="0" w:line="360" w:lineRule="auto"/>
        <w:jc w:val="both"/>
        <w:rPr>
          <w:rFonts w:ascii="Book Antiqua" w:hAnsi="Book Antiqua"/>
          <w:b/>
          <w:sz w:val="24"/>
          <w:szCs w:val="24"/>
          <w:lang w:val="en-US" w:eastAsia="zh-CN"/>
        </w:rPr>
      </w:pPr>
    </w:p>
    <w:p w14:paraId="377A0A4B" w14:textId="2C0F5AAF" w:rsidR="003E3D46" w:rsidRPr="00192CF1" w:rsidRDefault="003E3D46" w:rsidP="004647EC">
      <w:pPr>
        <w:spacing w:after="0" w:line="360" w:lineRule="auto"/>
        <w:jc w:val="both"/>
        <w:rPr>
          <w:rFonts w:ascii="Book Antiqua" w:hAnsi="Book Antiqua"/>
          <w:b/>
          <w:sz w:val="24"/>
          <w:szCs w:val="24"/>
          <w:lang w:val="en-US" w:eastAsia="zh-CN"/>
        </w:rPr>
      </w:pPr>
      <w:r w:rsidRPr="00192CF1">
        <w:rPr>
          <w:rFonts w:ascii="Book Antiqua" w:hAnsi="Book Antiqua"/>
          <w:b/>
          <w:sz w:val="24"/>
          <w:szCs w:val="24"/>
          <w:lang w:val="en-US"/>
        </w:rPr>
        <w:t>ARTICLE HIGHLIGHTS</w:t>
      </w:r>
    </w:p>
    <w:p w14:paraId="5FE9BCC1" w14:textId="77777777" w:rsidR="003E3D46" w:rsidRPr="00192CF1" w:rsidRDefault="003E3D46" w:rsidP="004647EC">
      <w:pPr>
        <w:spacing w:after="0" w:line="360" w:lineRule="auto"/>
        <w:jc w:val="both"/>
        <w:rPr>
          <w:rFonts w:ascii="Book Antiqua" w:hAnsi="Book Antiqua"/>
          <w:b/>
          <w:i/>
          <w:sz w:val="24"/>
          <w:szCs w:val="24"/>
          <w:lang w:val="en-US"/>
        </w:rPr>
      </w:pPr>
      <w:r w:rsidRPr="00192CF1">
        <w:rPr>
          <w:rFonts w:ascii="Book Antiqua" w:hAnsi="Book Antiqua"/>
          <w:b/>
          <w:i/>
          <w:sz w:val="24"/>
          <w:szCs w:val="24"/>
          <w:lang w:val="en-US"/>
        </w:rPr>
        <w:t>Research background</w:t>
      </w:r>
    </w:p>
    <w:p w14:paraId="24FB2C54" w14:textId="0B8595E4" w:rsidR="003E3D46" w:rsidRDefault="003E3D46" w:rsidP="004647EC">
      <w:pPr>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 xml:space="preserve">The implementation of the minimal invasive principles in fundoplication resulted in reduced length of hospital stay, overall morbidity, and earlier return to daily activities. In order to further enhance the advantages of minimally invasive operations, single incision (SI) laparoscopic fundoplication was introduced. </w:t>
      </w:r>
    </w:p>
    <w:p w14:paraId="6416C796" w14:textId="77777777" w:rsidR="00192CF1" w:rsidRPr="00192CF1" w:rsidRDefault="00192CF1" w:rsidP="004647EC">
      <w:pPr>
        <w:spacing w:after="0" w:line="360" w:lineRule="auto"/>
        <w:jc w:val="both"/>
        <w:rPr>
          <w:rFonts w:ascii="Book Antiqua" w:hAnsi="Book Antiqua"/>
          <w:sz w:val="24"/>
          <w:szCs w:val="24"/>
          <w:lang w:val="en-US" w:eastAsia="zh-CN"/>
        </w:rPr>
      </w:pPr>
    </w:p>
    <w:p w14:paraId="52E061CA" w14:textId="77777777" w:rsidR="003E3D46" w:rsidRPr="00192CF1" w:rsidRDefault="003E3D46" w:rsidP="004647EC">
      <w:pPr>
        <w:spacing w:after="0" w:line="360" w:lineRule="auto"/>
        <w:jc w:val="both"/>
        <w:rPr>
          <w:rFonts w:ascii="Book Antiqua" w:hAnsi="Book Antiqua"/>
          <w:b/>
          <w:i/>
          <w:sz w:val="24"/>
          <w:szCs w:val="24"/>
          <w:lang w:val="en-US"/>
        </w:rPr>
      </w:pPr>
      <w:r w:rsidRPr="00192CF1">
        <w:rPr>
          <w:rFonts w:ascii="Book Antiqua" w:hAnsi="Book Antiqua"/>
          <w:b/>
          <w:i/>
          <w:sz w:val="24"/>
          <w:szCs w:val="24"/>
          <w:lang w:val="en-US"/>
        </w:rPr>
        <w:t>Research motivation</w:t>
      </w:r>
    </w:p>
    <w:p w14:paraId="051462F8" w14:textId="77777777" w:rsidR="003E3D46" w:rsidRDefault="003E3D46" w:rsidP="004647EC">
      <w:pPr>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 xml:space="preserve">Several studies comparing SI laparoscopic </w:t>
      </w:r>
      <w:proofErr w:type="spellStart"/>
      <w:r w:rsidRPr="00192CF1">
        <w:rPr>
          <w:rFonts w:ascii="Book Antiqua" w:hAnsi="Book Antiqua"/>
          <w:bCs/>
          <w:sz w:val="24"/>
          <w:szCs w:val="24"/>
          <w:lang w:val="en-US"/>
        </w:rPr>
        <w:t>fundoplications</w:t>
      </w:r>
      <w:proofErr w:type="spellEnd"/>
      <w:r w:rsidRPr="00192CF1">
        <w:rPr>
          <w:rFonts w:ascii="Book Antiqua" w:hAnsi="Book Antiqua"/>
          <w:bCs/>
          <w:sz w:val="24"/>
          <w:szCs w:val="24"/>
          <w:lang w:val="en-US"/>
        </w:rPr>
        <w:t xml:space="preserve"> to the conventional multiport approaches reported an increased operation duration, and high rates of multiport conversion and incisional hernia. </w:t>
      </w:r>
    </w:p>
    <w:p w14:paraId="58F3A16E" w14:textId="77777777" w:rsidR="00192CF1" w:rsidRPr="00192CF1" w:rsidRDefault="00192CF1" w:rsidP="004647EC">
      <w:pPr>
        <w:spacing w:after="0" w:line="360" w:lineRule="auto"/>
        <w:jc w:val="both"/>
        <w:rPr>
          <w:rFonts w:ascii="Book Antiqua" w:hAnsi="Book Antiqua"/>
          <w:bCs/>
          <w:sz w:val="24"/>
          <w:szCs w:val="24"/>
          <w:lang w:val="en-US" w:eastAsia="zh-CN"/>
        </w:rPr>
      </w:pPr>
    </w:p>
    <w:p w14:paraId="7A257CBC" w14:textId="77777777" w:rsidR="003E3D46" w:rsidRPr="00192CF1" w:rsidRDefault="003E3D46" w:rsidP="004647EC">
      <w:pPr>
        <w:spacing w:after="0" w:line="360" w:lineRule="auto"/>
        <w:jc w:val="both"/>
        <w:rPr>
          <w:rFonts w:ascii="Book Antiqua" w:hAnsi="Book Antiqua"/>
          <w:b/>
          <w:i/>
          <w:sz w:val="24"/>
          <w:szCs w:val="24"/>
          <w:lang w:val="en-US"/>
        </w:rPr>
      </w:pPr>
      <w:r w:rsidRPr="00192CF1">
        <w:rPr>
          <w:rFonts w:ascii="Book Antiqua" w:hAnsi="Book Antiqua"/>
          <w:b/>
          <w:i/>
          <w:sz w:val="24"/>
          <w:szCs w:val="24"/>
          <w:lang w:val="en-US"/>
        </w:rPr>
        <w:t xml:space="preserve">Research objectives </w:t>
      </w:r>
    </w:p>
    <w:p w14:paraId="0B2F44CA" w14:textId="22DCFC8E" w:rsidR="003E3D46" w:rsidRDefault="003E3D46" w:rsidP="004647EC">
      <w:pPr>
        <w:spacing w:after="0" w:line="360" w:lineRule="auto"/>
        <w:jc w:val="both"/>
        <w:rPr>
          <w:rFonts w:ascii="Book Antiqua" w:hAnsi="Book Antiqua"/>
          <w:bCs/>
          <w:sz w:val="24"/>
          <w:szCs w:val="24"/>
          <w:lang w:val="en-US" w:eastAsia="zh-CN"/>
        </w:rPr>
      </w:pPr>
      <w:r w:rsidRPr="00192CF1">
        <w:rPr>
          <w:rFonts w:ascii="Book Antiqua" w:hAnsi="Book Antiqua"/>
          <w:sz w:val="24"/>
          <w:szCs w:val="24"/>
          <w:lang w:val="en-US"/>
        </w:rPr>
        <w:lastRenderedPageBreak/>
        <w:t xml:space="preserve">This study was designed in order to provide </w:t>
      </w:r>
      <w:r w:rsidRPr="00192CF1">
        <w:rPr>
          <w:rFonts w:ascii="Book Antiqua" w:hAnsi="Book Antiqua"/>
          <w:bCs/>
          <w:sz w:val="24"/>
          <w:szCs w:val="24"/>
          <w:lang w:val="en-US"/>
        </w:rPr>
        <w:t xml:space="preserve">a comprehensive appraisal of the intraoperative technical variations and the postoperative outcomes in patients submitted to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fundoplication</w:t>
      </w:r>
      <w:r w:rsidR="00192CF1">
        <w:rPr>
          <w:rFonts w:ascii="Book Antiqua" w:hAnsi="Book Antiqua" w:hint="eastAsia"/>
          <w:bCs/>
          <w:sz w:val="24"/>
          <w:szCs w:val="24"/>
          <w:lang w:val="en-US" w:eastAsia="zh-CN"/>
        </w:rPr>
        <w:t>.</w:t>
      </w:r>
    </w:p>
    <w:p w14:paraId="1584CDEF" w14:textId="77777777" w:rsidR="00192CF1" w:rsidRPr="00192CF1" w:rsidRDefault="00192CF1" w:rsidP="004647EC">
      <w:pPr>
        <w:spacing w:after="0" w:line="360" w:lineRule="auto"/>
        <w:jc w:val="both"/>
        <w:rPr>
          <w:rFonts w:ascii="Book Antiqua" w:hAnsi="Book Antiqua"/>
          <w:b/>
          <w:sz w:val="24"/>
          <w:szCs w:val="24"/>
          <w:lang w:val="en-US" w:eastAsia="zh-CN"/>
        </w:rPr>
      </w:pPr>
    </w:p>
    <w:p w14:paraId="2F6EC30A" w14:textId="77777777" w:rsidR="003E3D46" w:rsidRPr="00192CF1" w:rsidRDefault="003E3D46" w:rsidP="004647EC">
      <w:pPr>
        <w:spacing w:after="0" w:line="360" w:lineRule="auto"/>
        <w:jc w:val="both"/>
        <w:rPr>
          <w:rFonts w:ascii="Book Antiqua" w:hAnsi="Book Antiqua"/>
          <w:b/>
          <w:i/>
          <w:sz w:val="24"/>
          <w:szCs w:val="24"/>
          <w:lang w:val="en-US"/>
        </w:rPr>
      </w:pPr>
      <w:r w:rsidRPr="00192CF1">
        <w:rPr>
          <w:rFonts w:ascii="Book Antiqua" w:hAnsi="Book Antiqua"/>
          <w:b/>
          <w:i/>
          <w:sz w:val="24"/>
          <w:szCs w:val="24"/>
          <w:lang w:val="en-US"/>
        </w:rPr>
        <w:t>Research methods</w:t>
      </w:r>
    </w:p>
    <w:p w14:paraId="473D1F50" w14:textId="3FB67AE2" w:rsidR="003E3D46" w:rsidRDefault="003E3D46" w:rsidP="004647EC">
      <w:pPr>
        <w:spacing w:after="0" w:line="360" w:lineRule="auto"/>
        <w:jc w:val="both"/>
        <w:rPr>
          <w:rFonts w:ascii="Book Antiqua" w:hAnsi="Book Antiqua"/>
          <w:bCs/>
          <w:sz w:val="24"/>
          <w:szCs w:val="24"/>
          <w:lang w:val="en-US" w:eastAsia="zh-CN"/>
        </w:rPr>
      </w:pPr>
      <w:r w:rsidRPr="00192CF1">
        <w:rPr>
          <w:rFonts w:ascii="Book Antiqua" w:hAnsi="Book Antiqua"/>
          <w:sz w:val="24"/>
          <w:szCs w:val="24"/>
          <w:lang w:val="en-US"/>
        </w:rPr>
        <w:t xml:space="preserve">A systematic review </w:t>
      </w:r>
      <w:r w:rsidRPr="00192CF1">
        <w:rPr>
          <w:rFonts w:ascii="Book Antiqua" w:hAnsi="Book Antiqua"/>
          <w:bCs/>
          <w:sz w:val="24"/>
          <w:szCs w:val="24"/>
          <w:lang w:val="en-US"/>
        </w:rPr>
        <w:t>of the literature available, in the electronic scholar databases (Medline, Scopus and Web of Science) was performed</w:t>
      </w:r>
      <w:r w:rsidRPr="00192CF1">
        <w:rPr>
          <w:rFonts w:ascii="Book Antiqua" w:hAnsi="Book Antiqua"/>
          <w:sz w:val="24"/>
          <w:szCs w:val="24"/>
          <w:lang w:val="en-US"/>
        </w:rPr>
        <w:t xml:space="preserve">. </w:t>
      </w:r>
      <w:r w:rsidRPr="00192CF1">
        <w:rPr>
          <w:rFonts w:ascii="Book Antiqua" w:hAnsi="Book Antiqua"/>
          <w:bCs/>
          <w:sz w:val="24"/>
          <w:szCs w:val="24"/>
          <w:lang w:val="en-US"/>
        </w:rPr>
        <w:t xml:space="preserve">All human trials that reported results on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fundoplication, with an adult study population were considered eligible to be included in the study. </w:t>
      </w:r>
    </w:p>
    <w:p w14:paraId="12D185F1" w14:textId="77777777" w:rsidR="00192CF1" w:rsidRPr="00192CF1" w:rsidRDefault="00192CF1" w:rsidP="004647EC">
      <w:pPr>
        <w:spacing w:after="0" w:line="360" w:lineRule="auto"/>
        <w:jc w:val="both"/>
        <w:rPr>
          <w:rFonts w:ascii="Book Antiqua" w:hAnsi="Book Antiqua"/>
          <w:b/>
          <w:sz w:val="24"/>
          <w:szCs w:val="24"/>
          <w:lang w:val="en-US" w:eastAsia="zh-CN"/>
        </w:rPr>
      </w:pPr>
    </w:p>
    <w:p w14:paraId="0EE7213F" w14:textId="77777777" w:rsidR="003E3D46" w:rsidRPr="00192CF1" w:rsidRDefault="003E3D46" w:rsidP="004647EC">
      <w:pPr>
        <w:spacing w:after="0" w:line="360" w:lineRule="auto"/>
        <w:jc w:val="both"/>
        <w:rPr>
          <w:rFonts w:ascii="Book Antiqua" w:hAnsi="Book Antiqua"/>
          <w:b/>
          <w:i/>
          <w:sz w:val="24"/>
          <w:szCs w:val="24"/>
          <w:lang w:val="en-US"/>
        </w:rPr>
      </w:pPr>
      <w:r w:rsidRPr="00192CF1">
        <w:rPr>
          <w:rFonts w:ascii="Book Antiqua" w:hAnsi="Book Antiqua"/>
          <w:b/>
          <w:i/>
          <w:sz w:val="24"/>
          <w:szCs w:val="24"/>
          <w:lang w:val="en-US"/>
        </w:rPr>
        <w:t>Research results</w:t>
      </w:r>
    </w:p>
    <w:p w14:paraId="53F337EA" w14:textId="63656061" w:rsidR="003E3D46" w:rsidRDefault="003E3D46" w:rsidP="004647EC">
      <w:pPr>
        <w:autoSpaceDE w:val="0"/>
        <w:autoSpaceDN w:val="0"/>
        <w:adjustRightInd w:val="0"/>
        <w:spacing w:after="0" w:line="360" w:lineRule="auto"/>
        <w:jc w:val="both"/>
        <w:rPr>
          <w:rFonts w:ascii="Book Antiqua" w:hAnsi="Book Antiqua"/>
          <w:bCs/>
          <w:sz w:val="24"/>
          <w:szCs w:val="24"/>
          <w:lang w:val="en-US" w:eastAsia="zh-CN"/>
        </w:rPr>
      </w:pPr>
      <w:r w:rsidRPr="00192CF1">
        <w:rPr>
          <w:rFonts w:ascii="Book Antiqua" w:hAnsi="Book Antiqua"/>
          <w:sz w:val="24"/>
          <w:szCs w:val="24"/>
          <w:lang w:val="en-US"/>
        </w:rPr>
        <w:t xml:space="preserve">In total, </w:t>
      </w:r>
      <w:r w:rsidRPr="00192CF1">
        <w:rPr>
          <w:rFonts w:ascii="Book Antiqua" w:hAnsi="Book Antiqua"/>
          <w:bCs/>
          <w:sz w:val="24"/>
          <w:szCs w:val="24"/>
          <w:lang w:val="en-US"/>
        </w:rPr>
        <w:t xml:space="preserve">19 studies were included in this systematic review, comprising 266, 137 and 110 SI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Heller and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fundoplications</w:t>
      </w:r>
      <w:proofErr w:type="spellEnd"/>
      <w:r w:rsidRPr="00192CF1">
        <w:rPr>
          <w:rFonts w:ascii="Book Antiqua" w:hAnsi="Book Antiqua"/>
          <w:bCs/>
          <w:sz w:val="24"/>
          <w:szCs w:val="24"/>
          <w:lang w:val="en-US"/>
        </w:rPr>
        <w:t>, respectively. Mean overall operation duration was 136.3 min. The total conversion rate to multiport laparoscopic fundoplication was 12</w:t>
      </w:r>
      <w:r w:rsidR="00192CF1">
        <w:rPr>
          <w:rFonts w:ascii="Book Antiqua" w:hAnsi="Book Antiqua" w:hint="eastAsia"/>
          <w:bCs/>
          <w:sz w:val="24"/>
          <w:szCs w:val="24"/>
          <w:lang w:val="en-US" w:eastAsia="zh-CN"/>
        </w:rPr>
        <w:t>.</w:t>
      </w:r>
      <w:r w:rsidRPr="00192CF1">
        <w:rPr>
          <w:rFonts w:ascii="Book Antiqua" w:hAnsi="Book Antiqua"/>
          <w:bCs/>
          <w:sz w:val="24"/>
          <w:szCs w:val="24"/>
          <w:lang w:val="en-US"/>
        </w:rPr>
        <w:t>9%. Overall complication rate was 5.2%, while the rate of incisional hernia was 0</w:t>
      </w:r>
      <w:r w:rsid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9%. </w:t>
      </w:r>
    </w:p>
    <w:p w14:paraId="0B0C246E" w14:textId="77777777" w:rsidR="00192CF1" w:rsidRPr="00192CF1" w:rsidRDefault="00192CF1" w:rsidP="004647EC">
      <w:pPr>
        <w:autoSpaceDE w:val="0"/>
        <w:autoSpaceDN w:val="0"/>
        <w:adjustRightInd w:val="0"/>
        <w:spacing w:after="0" w:line="360" w:lineRule="auto"/>
        <w:jc w:val="both"/>
        <w:rPr>
          <w:rFonts w:ascii="Book Antiqua" w:hAnsi="Book Antiqua" w:cstheme="minorBidi"/>
          <w:bCs/>
          <w:sz w:val="24"/>
          <w:szCs w:val="24"/>
          <w:lang w:val="en-US" w:eastAsia="zh-CN"/>
        </w:rPr>
      </w:pPr>
    </w:p>
    <w:p w14:paraId="34B4F788" w14:textId="77777777" w:rsidR="003E3D46" w:rsidRPr="00192CF1" w:rsidRDefault="003E3D46" w:rsidP="004647EC">
      <w:pPr>
        <w:spacing w:after="0" w:line="360" w:lineRule="auto"/>
        <w:jc w:val="both"/>
        <w:rPr>
          <w:rFonts w:ascii="Book Antiqua" w:hAnsi="Book Antiqua"/>
          <w:b/>
          <w:i/>
          <w:sz w:val="24"/>
          <w:szCs w:val="24"/>
          <w:lang w:val="en-US"/>
        </w:rPr>
      </w:pPr>
      <w:r w:rsidRPr="00192CF1">
        <w:rPr>
          <w:rFonts w:ascii="Book Antiqua" w:hAnsi="Book Antiqua"/>
          <w:b/>
          <w:i/>
          <w:sz w:val="24"/>
          <w:szCs w:val="24"/>
          <w:lang w:val="en-US"/>
        </w:rPr>
        <w:t>Research conclusions</w:t>
      </w:r>
    </w:p>
    <w:p w14:paraId="1D88E8FC" w14:textId="77777777" w:rsidR="003E3D46" w:rsidRDefault="003E3D46" w:rsidP="004647EC">
      <w:pPr>
        <w:spacing w:after="0" w:line="360" w:lineRule="auto"/>
        <w:jc w:val="both"/>
        <w:rPr>
          <w:rFonts w:ascii="Book Antiqua" w:hAnsi="Book Antiqua"/>
          <w:bCs/>
          <w:sz w:val="24"/>
          <w:szCs w:val="24"/>
          <w:lang w:val="en-US" w:eastAsia="zh-CN"/>
        </w:rPr>
      </w:pPr>
      <w:r w:rsidRPr="00192CF1">
        <w:rPr>
          <w:rFonts w:ascii="Book Antiqua" w:hAnsi="Book Antiqua"/>
          <w:sz w:val="24"/>
          <w:szCs w:val="24"/>
          <w:lang w:val="en-US"/>
        </w:rPr>
        <w:t xml:space="preserve">The results of this systematic review confirm </w:t>
      </w:r>
      <w:r w:rsidRPr="00192CF1">
        <w:rPr>
          <w:rFonts w:ascii="Book Antiqua" w:hAnsi="Book Antiqua"/>
          <w:bCs/>
          <w:sz w:val="24"/>
          <w:szCs w:val="24"/>
          <w:lang w:val="en-US"/>
        </w:rPr>
        <w:t xml:space="preserve">the safety and efficacy of the single port laparoscopic fundoplication, although the technique is not yet standardized. </w:t>
      </w:r>
    </w:p>
    <w:p w14:paraId="432F6013" w14:textId="77777777" w:rsidR="00192CF1" w:rsidRPr="00192CF1" w:rsidRDefault="00192CF1" w:rsidP="004647EC">
      <w:pPr>
        <w:spacing w:after="0" w:line="360" w:lineRule="auto"/>
        <w:jc w:val="both"/>
        <w:rPr>
          <w:rFonts w:ascii="Book Antiqua" w:hAnsi="Book Antiqua"/>
          <w:sz w:val="24"/>
          <w:szCs w:val="24"/>
          <w:lang w:val="en-US" w:eastAsia="zh-CN"/>
        </w:rPr>
      </w:pPr>
    </w:p>
    <w:p w14:paraId="285ED773" w14:textId="77777777" w:rsidR="003E3D46" w:rsidRPr="00192CF1" w:rsidRDefault="003E3D46" w:rsidP="004647EC">
      <w:pPr>
        <w:spacing w:after="0" w:line="360" w:lineRule="auto"/>
        <w:jc w:val="both"/>
        <w:rPr>
          <w:rFonts w:ascii="Book Antiqua" w:hAnsi="Book Antiqua" w:cs="Segoe UI"/>
          <w:b/>
          <w:i/>
          <w:sz w:val="24"/>
          <w:szCs w:val="24"/>
        </w:rPr>
      </w:pPr>
      <w:r w:rsidRPr="00192CF1">
        <w:rPr>
          <w:rFonts w:ascii="Book Antiqua" w:hAnsi="Book Antiqua" w:cs="Segoe UI"/>
          <w:b/>
          <w:i/>
          <w:sz w:val="24"/>
          <w:szCs w:val="24"/>
        </w:rPr>
        <w:t>Research perspectives</w:t>
      </w:r>
    </w:p>
    <w:p w14:paraId="597C30B1" w14:textId="77777777" w:rsidR="003E3D46" w:rsidRPr="00192CF1" w:rsidRDefault="003E3D46" w:rsidP="004647EC">
      <w:pPr>
        <w:spacing w:after="0" w:line="360" w:lineRule="auto"/>
        <w:jc w:val="both"/>
        <w:rPr>
          <w:rFonts w:ascii="Book Antiqua" w:hAnsi="Book Antiqua"/>
          <w:sz w:val="24"/>
          <w:szCs w:val="24"/>
          <w:lang w:val="en-US"/>
        </w:rPr>
      </w:pPr>
      <w:r w:rsidRPr="00192CF1">
        <w:rPr>
          <w:rFonts w:ascii="Book Antiqua" w:hAnsi="Book Antiqua" w:cs="Segoe UI"/>
          <w:sz w:val="24"/>
          <w:szCs w:val="24"/>
          <w:lang w:val="en-US"/>
        </w:rPr>
        <w:t xml:space="preserve">Due to the lack of high-quality studies, further well designed studies are necessary to determine the role of SI fundoplication. </w:t>
      </w:r>
    </w:p>
    <w:p w14:paraId="0C64CEF2" w14:textId="77777777" w:rsidR="005C63BD" w:rsidRPr="00192CF1" w:rsidRDefault="005C63BD" w:rsidP="004647EC">
      <w:pPr>
        <w:autoSpaceDE w:val="0"/>
        <w:autoSpaceDN w:val="0"/>
        <w:adjustRightInd w:val="0"/>
        <w:spacing w:after="0" w:line="360" w:lineRule="auto"/>
        <w:jc w:val="both"/>
        <w:rPr>
          <w:rFonts w:ascii="Book Antiqua" w:hAnsi="Book Antiqua"/>
          <w:b/>
          <w:bCs/>
          <w:sz w:val="24"/>
          <w:szCs w:val="24"/>
          <w:lang w:val="en-US"/>
        </w:rPr>
      </w:pPr>
    </w:p>
    <w:p w14:paraId="485A6976" w14:textId="77777777" w:rsidR="00192CF1" w:rsidRDefault="00192CF1">
      <w:pPr>
        <w:spacing w:after="0" w:line="240" w:lineRule="auto"/>
        <w:rPr>
          <w:rFonts w:ascii="Book Antiqua" w:hAnsi="Book Antiqua"/>
          <w:b/>
          <w:bCs/>
          <w:sz w:val="24"/>
          <w:szCs w:val="24"/>
          <w:lang w:val="en-US"/>
        </w:rPr>
      </w:pPr>
      <w:r>
        <w:rPr>
          <w:rFonts w:ascii="Book Antiqua" w:hAnsi="Book Antiqua"/>
          <w:b/>
          <w:bCs/>
          <w:sz w:val="24"/>
          <w:szCs w:val="24"/>
          <w:lang w:val="en-US"/>
        </w:rPr>
        <w:br w:type="page"/>
      </w:r>
    </w:p>
    <w:p w14:paraId="1263C8D3" w14:textId="2B826C12" w:rsidR="00192CF1" w:rsidRPr="00DB7D82" w:rsidRDefault="005C63BD" w:rsidP="00DB7D82">
      <w:pPr>
        <w:autoSpaceDE w:val="0"/>
        <w:autoSpaceDN w:val="0"/>
        <w:adjustRightInd w:val="0"/>
        <w:spacing w:after="0" w:line="360" w:lineRule="auto"/>
        <w:jc w:val="both"/>
        <w:rPr>
          <w:rFonts w:ascii="Book Antiqua" w:hAnsi="Book Antiqua"/>
          <w:b/>
          <w:bCs/>
          <w:sz w:val="24"/>
          <w:szCs w:val="24"/>
          <w:lang w:val="en-US"/>
        </w:rPr>
      </w:pPr>
      <w:r w:rsidRPr="00DB7D82">
        <w:rPr>
          <w:rFonts w:ascii="Book Antiqua" w:hAnsi="Book Antiqua"/>
          <w:b/>
          <w:bCs/>
          <w:sz w:val="24"/>
          <w:szCs w:val="24"/>
          <w:lang w:val="en-US"/>
        </w:rPr>
        <w:lastRenderedPageBreak/>
        <w:t>REFERENCES</w:t>
      </w:r>
    </w:p>
    <w:p w14:paraId="43C698C4" w14:textId="532FBFEC"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 </w:t>
      </w:r>
      <w:r w:rsidRPr="00DB7D82">
        <w:rPr>
          <w:rFonts w:ascii="Book Antiqua" w:hAnsi="Book Antiqua"/>
          <w:b/>
          <w:sz w:val="24"/>
          <w:szCs w:val="24"/>
        </w:rPr>
        <w:t>Nissen R</w:t>
      </w:r>
      <w:r w:rsidRPr="00DB7D82">
        <w:rPr>
          <w:rFonts w:ascii="Book Antiqua" w:hAnsi="Book Antiqua"/>
          <w:sz w:val="24"/>
          <w:szCs w:val="24"/>
        </w:rPr>
        <w:t xml:space="preserve">. [A simple operation for control of reflux esophagitis]. </w:t>
      </w:r>
      <w:r w:rsidRPr="00DB7D82">
        <w:rPr>
          <w:rFonts w:ascii="Book Antiqua" w:hAnsi="Book Antiqua"/>
          <w:i/>
          <w:sz w:val="24"/>
          <w:szCs w:val="24"/>
        </w:rPr>
        <w:t>Schweiz Med Wochenschr</w:t>
      </w:r>
      <w:r w:rsidRPr="00DB7D82">
        <w:rPr>
          <w:rFonts w:ascii="Book Antiqua" w:hAnsi="Book Antiqua"/>
          <w:sz w:val="24"/>
          <w:szCs w:val="24"/>
        </w:rPr>
        <w:t xml:space="preserve"> 1956; </w:t>
      </w:r>
      <w:r w:rsidRPr="00DB7D82">
        <w:rPr>
          <w:rFonts w:ascii="Book Antiqua" w:hAnsi="Book Antiqua"/>
          <w:b/>
          <w:sz w:val="24"/>
          <w:szCs w:val="24"/>
        </w:rPr>
        <w:t>86</w:t>
      </w:r>
      <w:r w:rsidRPr="00DB7D82">
        <w:rPr>
          <w:rFonts w:ascii="Book Antiqua" w:hAnsi="Book Antiqua"/>
          <w:sz w:val="24"/>
          <w:szCs w:val="24"/>
        </w:rPr>
        <w:t>: 590-592 [PMID: 13337262]</w:t>
      </w:r>
    </w:p>
    <w:p w14:paraId="34DF8101"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 </w:t>
      </w:r>
      <w:r w:rsidRPr="00DB7D82">
        <w:rPr>
          <w:rFonts w:ascii="Book Antiqua" w:hAnsi="Book Antiqua"/>
          <w:b/>
          <w:sz w:val="24"/>
          <w:szCs w:val="24"/>
        </w:rPr>
        <w:t>Iwakiri K</w:t>
      </w:r>
      <w:r w:rsidRPr="00DB7D82">
        <w:rPr>
          <w:rFonts w:ascii="Book Antiqua" w:hAnsi="Book Antiqua"/>
          <w:sz w:val="24"/>
          <w:szCs w:val="24"/>
        </w:rPr>
        <w:t xml:space="preserve">, Kinoshita Y, Habu Y, Oshima T, Manabe N, Fujiwara Y, Nagahara A, Kawamura O, Iwakiri R, Ozawa S, Ashida K, Ohara S, Kashiwagi H, Adachi K, Higuchi K, Miwa H, Fujimoto K, Kusano M, Hoshihara Y, Kawano T, Haruma K, Hongo M, Sugano K, Watanabe M, Shimosegawa T. Evidence-based clinical practice guidelines for gastroesophageal reflux disease 2015. </w:t>
      </w:r>
      <w:r w:rsidRPr="00DB7D82">
        <w:rPr>
          <w:rFonts w:ascii="Book Antiqua" w:hAnsi="Book Antiqua"/>
          <w:i/>
          <w:sz w:val="24"/>
          <w:szCs w:val="24"/>
        </w:rPr>
        <w:t>J Gastroenterol</w:t>
      </w:r>
      <w:r w:rsidRPr="00DB7D82">
        <w:rPr>
          <w:rFonts w:ascii="Book Antiqua" w:hAnsi="Book Antiqua"/>
          <w:sz w:val="24"/>
          <w:szCs w:val="24"/>
        </w:rPr>
        <w:t xml:space="preserve"> 2016; </w:t>
      </w:r>
      <w:r w:rsidRPr="00DB7D82">
        <w:rPr>
          <w:rFonts w:ascii="Book Antiqua" w:hAnsi="Book Antiqua"/>
          <w:b/>
          <w:sz w:val="24"/>
          <w:szCs w:val="24"/>
        </w:rPr>
        <w:t>51</w:t>
      </w:r>
      <w:r w:rsidRPr="00DB7D82">
        <w:rPr>
          <w:rFonts w:ascii="Book Antiqua" w:hAnsi="Book Antiqua"/>
          <w:sz w:val="24"/>
          <w:szCs w:val="24"/>
        </w:rPr>
        <w:t>: 751-767 [PMID: 27325300 DOI: 10.1007/s00535-016-1227-8]</w:t>
      </w:r>
    </w:p>
    <w:p w14:paraId="7D64C91E"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 </w:t>
      </w:r>
      <w:r w:rsidRPr="00DB7D82">
        <w:rPr>
          <w:rFonts w:ascii="Book Antiqua" w:hAnsi="Book Antiqua"/>
          <w:b/>
          <w:sz w:val="24"/>
          <w:szCs w:val="24"/>
        </w:rPr>
        <w:t>Andolfi C</w:t>
      </w:r>
      <w:r w:rsidRPr="00DB7D82">
        <w:rPr>
          <w:rFonts w:ascii="Book Antiqua" w:hAnsi="Book Antiqua"/>
          <w:sz w:val="24"/>
          <w:szCs w:val="24"/>
        </w:rPr>
        <w:t xml:space="preserve">, Plana A, Furno S, Fisichella PM. Paraesophageal Hernia and Reflux Prevention: Is One Fundoplication Better than the Other? </w:t>
      </w:r>
      <w:r w:rsidRPr="00DB7D82">
        <w:rPr>
          <w:rFonts w:ascii="Book Antiqua" w:hAnsi="Book Antiqua"/>
          <w:i/>
          <w:sz w:val="24"/>
          <w:szCs w:val="24"/>
        </w:rPr>
        <w:t>World J Surg</w:t>
      </w:r>
      <w:r w:rsidRPr="00DB7D82">
        <w:rPr>
          <w:rFonts w:ascii="Book Antiqua" w:hAnsi="Book Antiqua"/>
          <w:sz w:val="24"/>
          <w:szCs w:val="24"/>
        </w:rPr>
        <w:t xml:space="preserve"> 2017; </w:t>
      </w:r>
      <w:r w:rsidRPr="00DB7D82">
        <w:rPr>
          <w:rFonts w:ascii="Book Antiqua" w:hAnsi="Book Antiqua"/>
          <w:b/>
          <w:sz w:val="24"/>
          <w:szCs w:val="24"/>
        </w:rPr>
        <w:t>41</w:t>
      </w:r>
      <w:r w:rsidRPr="00DB7D82">
        <w:rPr>
          <w:rFonts w:ascii="Book Antiqua" w:hAnsi="Book Antiqua"/>
          <w:sz w:val="24"/>
          <w:szCs w:val="24"/>
        </w:rPr>
        <w:t>: 2573-2582 [PMID: 28484816 DOI: 10.1007/s00268-017-4040-5]</w:t>
      </w:r>
    </w:p>
    <w:p w14:paraId="1E848839"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 </w:t>
      </w:r>
      <w:r w:rsidRPr="00DB7D82">
        <w:rPr>
          <w:rFonts w:ascii="Book Antiqua" w:hAnsi="Book Antiqua"/>
          <w:b/>
          <w:sz w:val="24"/>
          <w:szCs w:val="24"/>
        </w:rPr>
        <w:t>Amer MA</w:t>
      </w:r>
      <w:r w:rsidRPr="00DB7D82">
        <w:rPr>
          <w:rFonts w:ascii="Book Antiqua" w:hAnsi="Book Antiqua"/>
          <w:sz w:val="24"/>
          <w:szCs w:val="24"/>
        </w:rPr>
        <w:t xml:space="preserve">, Smith MD, Khoo CH, Herbison GP, McCall JL. Network meta-analysis of surgical management of gastro-oesophageal reflux disease in adults. </w:t>
      </w:r>
      <w:r w:rsidRPr="00DB7D82">
        <w:rPr>
          <w:rFonts w:ascii="Book Antiqua" w:hAnsi="Book Antiqua"/>
          <w:i/>
          <w:sz w:val="24"/>
          <w:szCs w:val="24"/>
        </w:rPr>
        <w:t>Br J Surg</w:t>
      </w:r>
      <w:r w:rsidRPr="00DB7D82">
        <w:rPr>
          <w:rFonts w:ascii="Book Antiqua" w:hAnsi="Book Antiqua"/>
          <w:sz w:val="24"/>
          <w:szCs w:val="24"/>
        </w:rPr>
        <w:t xml:space="preserve"> 2018; </w:t>
      </w:r>
      <w:r w:rsidRPr="00DB7D82">
        <w:rPr>
          <w:rFonts w:ascii="Book Antiqua" w:hAnsi="Book Antiqua"/>
          <w:b/>
          <w:sz w:val="24"/>
          <w:szCs w:val="24"/>
        </w:rPr>
        <w:t>105</w:t>
      </w:r>
      <w:r w:rsidRPr="00DB7D82">
        <w:rPr>
          <w:rFonts w:ascii="Book Antiqua" w:hAnsi="Book Antiqua"/>
          <w:sz w:val="24"/>
          <w:szCs w:val="24"/>
        </w:rPr>
        <w:t>: 1398-1407 [PMID: 30004114 DOI: 10.1002/bjs.10924]</w:t>
      </w:r>
    </w:p>
    <w:p w14:paraId="5D6AC427"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5 </w:t>
      </w:r>
      <w:r w:rsidRPr="00DB7D82">
        <w:rPr>
          <w:rFonts w:ascii="Book Antiqua" w:hAnsi="Book Antiqua"/>
          <w:b/>
          <w:sz w:val="24"/>
          <w:szCs w:val="24"/>
        </w:rPr>
        <w:t>Du X</w:t>
      </w:r>
      <w:r w:rsidRPr="00DB7D82">
        <w:rPr>
          <w:rFonts w:ascii="Book Antiqua" w:hAnsi="Book Antiqua"/>
          <w:sz w:val="24"/>
          <w:szCs w:val="24"/>
        </w:rPr>
        <w:t xml:space="preserve">, Wu JM, Hu ZW, Wang F, Wang ZG, Zhang C, Yan C, Chen MP. Laparoscopic Nissen (total) versus anterior 180° fundoplication for gastro-esophageal reflux disease: A meta-analysis and systematic review. </w:t>
      </w:r>
      <w:r w:rsidRPr="00DB7D82">
        <w:rPr>
          <w:rFonts w:ascii="Book Antiqua" w:hAnsi="Book Antiqua"/>
          <w:i/>
          <w:sz w:val="24"/>
          <w:szCs w:val="24"/>
        </w:rPr>
        <w:t xml:space="preserve">Medicine </w:t>
      </w:r>
      <w:r w:rsidRPr="00DB7D82">
        <w:rPr>
          <w:rFonts w:ascii="Book Antiqua" w:hAnsi="Book Antiqua"/>
          <w:sz w:val="24"/>
          <w:szCs w:val="24"/>
        </w:rPr>
        <w:t xml:space="preserve">(Baltimore) 2017; </w:t>
      </w:r>
      <w:r w:rsidRPr="00DB7D82">
        <w:rPr>
          <w:rFonts w:ascii="Book Antiqua" w:hAnsi="Book Antiqua"/>
          <w:b/>
          <w:sz w:val="24"/>
          <w:szCs w:val="24"/>
        </w:rPr>
        <w:t>96</w:t>
      </w:r>
      <w:r w:rsidRPr="00DB7D82">
        <w:rPr>
          <w:rFonts w:ascii="Book Antiqua" w:hAnsi="Book Antiqua"/>
          <w:sz w:val="24"/>
          <w:szCs w:val="24"/>
        </w:rPr>
        <w:t>: e8085 [PMID: 28906412 DOI: 10.1097/MD.0000000000008085]</w:t>
      </w:r>
    </w:p>
    <w:p w14:paraId="63F3F704"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6 </w:t>
      </w:r>
      <w:r w:rsidRPr="00DB7D82">
        <w:rPr>
          <w:rFonts w:ascii="Book Antiqua" w:hAnsi="Book Antiqua"/>
          <w:b/>
          <w:sz w:val="24"/>
          <w:szCs w:val="24"/>
        </w:rPr>
        <w:t>Litle VR</w:t>
      </w:r>
      <w:r w:rsidRPr="00DB7D82">
        <w:rPr>
          <w:rFonts w:ascii="Book Antiqua" w:hAnsi="Book Antiqua"/>
          <w:sz w:val="24"/>
          <w:szCs w:val="24"/>
        </w:rPr>
        <w:t xml:space="preserve">. Laparoscopic Heller myotomy for achalasia: a review of the controversies. </w:t>
      </w:r>
      <w:r w:rsidRPr="00DB7D82">
        <w:rPr>
          <w:rFonts w:ascii="Book Antiqua" w:hAnsi="Book Antiqua"/>
          <w:i/>
          <w:sz w:val="24"/>
          <w:szCs w:val="24"/>
        </w:rPr>
        <w:t>Ann Thorac Surg</w:t>
      </w:r>
      <w:r w:rsidRPr="00DB7D82">
        <w:rPr>
          <w:rFonts w:ascii="Book Antiqua" w:hAnsi="Book Antiqua"/>
          <w:sz w:val="24"/>
          <w:szCs w:val="24"/>
        </w:rPr>
        <w:t xml:space="preserve"> 2008; </w:t>
      </w:r>
      <w:r w:rsidRPr="00DB7D82">
        <w:rPr>
          <w:rFonts w:ascii="Book Antiqua" w:hAnsi="Book Antiqua"/>
          <w:b/>
          <w:sz w:val="24"/>
          <w:szCs w:val="24"/>
        </w:rPr>
        <w:t>85</w:t>
      </w:r>
      <w:r w:rsidRPr="00DB7D82">
        <w:rPr>
          <w:rFonts w:ascii="Book Antiqua" w:hAnsi="Book Antiqua"/>
          <w:sz w:val="24"/>
          <w:szCs w:val="24"/>
        </w:rPr>
        <w:t>: S743-S746 [PMID: 18222208 DOI: 10.1016/j.athoracsur.2007.12.004]</w:t>
      </w:r>
    </w:p>
    <w:p w14:paraId="21582F0B"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7 </w:t>
      </w:r>
      <w:r w:rsidRPr="00DB7D82">
        <w:rPr>
          <w:rFonts w:ascii="Book Antiqua" w:hAnsi="Book Antiqua"/>
          <w:b/>
          <w:sz w:val="24"/>
          <w:szCs w:val="24"/>
        </w:rPr>
        <w:t>Peters MJ</w:t>
      </w:r>
      <w:r w:rsidRPr="00DB7D82">
        <w:rPr>
          <w:rFonts w:ascii="Book Antiqua" w:hAnsi="Book Antiqua"/>
          <w:sz w:val="24"/>
          <w:szCs w:val="24"/>
        </w:rPr>
        <w:t xml:space="preserve">, Mukhtar A, Yunus RM, Khan S, Pappalardo J, Memon B, Memon MA. Meta-analysis of randomized clinical trials comparing open and laparoscopic anti-reflux surgery. </w:t>
      </w:r>
      <w:r w:rsidRPr="00DB7D82">
        <w:rPr>
          <w:rFonts w:ascii="Book Antiqua" w:hAnsi="Book Antiqua"/>
          <w:i/>
          <w:sz w:val="24"/>
          <w:szCs w:val="24"/>
        </w:rPr>
        <w:t>Am J Gastroenterol</w:t>
      </w:r>
      <w:r w:rsidRPr="00DB7D82">
        <w:rPr>
          <w:rFonts w:ascii="Book Antiqua" w:hAnsi="Book Antiqua"/>
          <w:sz w:val="24"/>
          <w:szCs w:val="24"/>
        </w:rPr>
        <w:t xml:space="preserve"> 2009; </w:t>
      </w:r>
      <w:r w:rsidRPr="00DB7D82">
        <w:rPr>
          <w:rFonts w:ascii="Book Antiqua" w:hAnsi="Book Antiqua"/>
          <w:b/>
          <w:sz w:val="24"/>
          <w:szCs w:val="24"/>
        </w:rPr>
        <w:t>104</w:t>
      </w:r>
      <w:r w:rsidRPr="00DB7D82">
        <w:rPr>
          <w:rFonts w:ascii="Book Antiqua" w:hAnsi="Book Antiqua"/>
          <w:sz w:val="24"/>
          <w:szCs w:val="24"/>
        </w:rPr>
        <w:t>: 1548-61; quiz 1547, 1562 [PMID: 19491872 DOI: 10.1038/ajg.2009.176]</w:t>
      </w:r>
    </w:p>
    <w:p w14:paraId="4F1183A0"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8 </w:t>
      </w:r>
      <w:r w:rsidRPr="00DB7D82">
        <w:rPr>
          <w:rFonts w:ascii="Book Antiqua" w:hAnsi="Book Antiqua"/>
          <w:b/>
          <w:sz w:val="24"/>
          <w:szCs w:val="24"/>
        </w:rPr>
        <w:t>Westebring-van der Putten EP</w:t>
      </w:r>
      <w:r w:rsidRPr="00DB7D82">
        <w:rPr>
          <w:rFonts w:ascii="Book Antiqua" w:hAnsi="Book Antiqua"/>
          <w:sz w:val="24"/>
          <w:szCs w:val="24"/>
        </w:rPr>
        <w:t xml:space="preserve">, Goossens RH, Jakimowicz JJ, Dankelman J. Haptics in minimally invasive surgery--a review. </w:t>
      </w:r>
      <w:r w:rsidRPr="00DB7D82">
        <w:rPr>
          <w:rFonts w:ascii="Book Antiqua" w:hAnsi="Book Antiqua"/>
          <w:i/>
          <w:sz w:val="24"/>
          <w:szCs w:val="24"/>
        </w:rPr>
        <w:t>Minim Invasive Ther Allied Technol</w:t>
      </w:r>
      <w:r w:rsidRPr="00DB7D82">
        <w:rPr>
          <w:rFonts w:ascii="Book Antiqua" w:hAnsi="Book Antiqua"/>
          <w:sz w:val="24"/>
          <w:szCs w:val="24"/>
        </w:rPr>
        <w:t xml:space="preserve"> 2008; </w:t>
      </w:r>
      <w:r w:rsidRPr="00DB7D82">
        <w:rPr>
          <w:rFonts w:ascii="Book Antiqua" w:hAnsi="Book Antiqua"/>
          <w:b/>
          <w:sz w:val="24"/>
          <w:szCs w:val="24"/>
        </w:rPr>
        <w:t>17</w:t>
      </w:r>
      <w:r w:rsidRPr="00DB7D82">
        <w:rPr>
          <w:rFonts w:ascii="Book Antiqua" w:hAnsi="Book Antiqua"/>
          <w:sz w:val="24"/>
          <w:szCs w:val="24"/>
        </w:rPr>
        <w:t>: 3-16 [PMID: 18270873 DOI: 10.1080/13645700701820242]</w:t>
      </w:r>
    </w:p>
    <w:p w14:paraId="6DF367AA"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lastRenderedPageBreak/>
        <w:t xml:space="preserve">9 </w:t>
      </w:r>
      <w:r w:rsidRPr="00DB7D82">
        <w:rPr>
          <w:rFonts w:ascii="Book Antiqua" w:hAnsi="Book Antiqua"/>
          <w:b/>
          <w:sz w:val="24"/>
          <w:szCs w:val="24"/>
        </w:rPr>
        <w:t>Allaix ME</w:t>
      </w:r>
      <w:r w:rsidRPr="00DB7D82">
        <w:rPr>
          <w:rFonts w:ascii="Book Antiqua" w:hAnsi="Book Antiqua"/>
          <w:sz w:val="24"/>
          <w:szCs w:val="24"/>
        </w:rPr>
        <w:t xml:space="preserve">, Patti MG. Heller myotomy for achalasia. From the open to the laparoscopic approach. </w:t>
      </w:r>
      <w:r w:rsidRPr="00DB7D82">
        <w:rPr>
          <w:rFonts w:ascii="Book Antiqua" w:hAnsi="Book Antiqua"/>
          <w:i/>
          <w:sz w:val="24"/>
          <w:szCs w:val="24"/>
        </w:rPr>
        <w:t>World J Surg</w:t>
      </w:r>
      <w:r w:rsidRPr="00DB7D82">
        <w:rPr>
          <w:rFonts w:ascii="Book Antiqua" w:hAnsi="Book Antiqua"/>
          <w:sz w:val="24"/>
          <w:szCs w:val="24"/>
        </w:rPr>
        <w:t xml:space="preserve"> 2015; </w:t>
      </w:r>
      <w:r w:rsidRPr="00DB7D82">
        <w:rPr>
          <w:rFonts w:ascii="Book Antiqua" w:hAnsi="Book Antiqua"/>
          <w:b/>
          <w:sz w:val="24"/>
          <w:szCs w:val="24"/>
        </w:rPr>
        <w:t>39</w:t>
      </w:r>
      <w:r w:rsidRPr="00DB7D82">
        <w:rPr>
          <w:rFonts w:ascii="Book Antiqua" w:hAnsi="Book Antiqua"/>
          <w:sz w:val="24"/>
          <w:szCs w:val="24"/>
        </w:rPr>
        <w:t>: 1603-1607 [PMID: 25526923 DOI: 10.1007/s00268-014-2914-3]</w:t>
      </w:r>
    </w:p>
    <w:p w14:paraId="2DDCDD18"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10 </w:t>
      </w:r>
      <w:r w:rsidRPr="00DB7D82">
        <w:rPr>
          <w:rFonts w:ascii="Book Antiqua" w:hAnsi="Book Antiqua"/>
          <w:b/>
          <w:sz w:val="24"/>
          <w:szCs w:val="24"/>
        </w:rPr>
        <w:t>Navarra G</w:t>
      </w:r>
      <w:r w:rsidRPr="00DB7D82">
        <w:rPr>
          <w:rFonts w:ascii="Book Antiqua" w:hAnsi="Book Antiqua"/>
          <w:sz w:val="24"/>
          <w:szCs w:val="24"/>
        </w:rPr>
        <w:t xml:space="preserve">, Pozza E, Occhionorelli S, Carcoforo P, Donini I. One-wound laparoscopic cholecystectomy. </w:t>
      </w:r>
      <w:r w:rsidRPr="00DB7D82">
        <w:rPr>
          <w:rFonts w:ascii="Book Antiqua" w:hAnsi="Book Antiqua"/>
          <w:i/>
          <w:sz w:val="24"/>
          <w:szCs w:val="24"/>
        </w:rPr>
        <w:t>Br J Surg</w:t>
      </w:r>
      <w:r w:rsidRPr="00DB7D82">
        <w:rPr>
          <w:rFonts w:ascii="Book Antiqua" w:hAnsi="Book Antiqua"/>
          <w:sz w:val="24"/>
          <w:szCs w:val="24"/>
        </w:rPr>
        <w:t xml:space="preserve"> 1997; </w:t>
      </w:r>
      <w:r w:rsidRPr="00DB7D82">
        <w:rPr>
          <w:rFonts w:ascii="Book Antiqua" w:hAnsi="Book Antiqua"/>
          <w:b/>
          <w:sz w:val="24"/>
          <w:szCs w:val="24"/>
        </w:rPr>
        <w:t>84</w:t>
      </w:r>
      <w:r w:rsidRPr="00DB7D82">
        <w:rPr>
          <w:rFonts w:ascii="Book Antiqua" w:hAnsi="Book Antiqua"/>
          <w:sz w:val="24"/>
          <w:szCs w:val="24"/>
        </w:rPr>
        <w:t>: 695 [PMID: 9171771 DOI: 10.1002/bjs.1800841126]</w:t>
      </w:r>
    </w:p>
    <w:p w14:paraId="0D1AB0C6"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11 </w:t>
      </w:r>
      <w:r w:rsidRPr="00DB7D82">
        <w:rPr>
          <w:rFonts w:ascii="Book Antiqua" w:hAnsi="Book Antiqua"/>
          <w:b/>
          <w:sz w:val="24"/>
          <w:szCs w:val="24"/>
        </w:rPr>
        <w:t>Hamzaoglu I</w:t>
      </w:r>
      <w:r w:rsidRPr="00DB7D82">
        <w:rPr>
          <w:rFonts w:ascii="Book Antiqua" w:hAnsi="Book Antiqua"/>
          <w:sz w:val="24"/>
          <w:szCs w:val="24"/>
        </w:rPr>
        <w:t xml:space="preserve">, Karahasanoglu T, Aytac E, Karatas A, Baca B. Transumbilical totally laparoscopic single-port Nissen fundoplication: a new method of liver retraction: the Istanbul technique. </w:t>
      </w:r>
      <w:r w:rsidRPr="00DB7D82">
        <w:rPr>
          <w:rFonts w:ascii="Book Antiqua" w:hAnsi="Book Antiqua"/>
          <w:i/>
          <w:sz w:val="24"/>
          <w:szCs w:val="24"/>
        </w:rPr>
        <w:t>J Gastrointest Surg</w:t>
      </w:r>
      <w:r w:rsidRPr="00DB7D82">
        <w:rPr>
          <w:rFonts w:ascii="Book Antiqua" w:hAnsi="Book Antiqua"/>
          <w:sz w:val="24"/>
          <w:szCs w:val="24"/>
        </w:rPr>
        <w:t xml:space="preserve"> 2010; </w:t>
      </w:r>
      <w:r w:rsidRPr="00DB7D82">
        <w:rPr>
          <w:rFonts w:ascii="Book Antiqua" w:hAnsi="Book Antiqua"/>
          <w:b/>
          <w:sz w:val="24"/>
          <w:szCs w:val="24"/>
        </w:rPr>
        <w:t>14</w:t>
      </w:r>
      <w:r w:rsidRPr="00DB7D82">
        <w:rPr>
          <w:rFonts w:ascii="Book Antiqua" w:hAnsi="Book Antiqua"/>
          <w:sz w:val="24"/>
          <w:szCs w:val="24"/>
        </w:rPr>
        <w:t>: 1035-1039 [PMID: 20306152 DOI: 10.1007/s11605-010-1183-1]</w:t>
      </w:r>
    </w:p>
    <w:p w14:paraId="53FC413E"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12 </w:t>
      </w:r>
      <w:r w:rsidRPr="00DB7D82">
        <w:rPr>
          <w:rFonts w:ascii="Book Antiqua" w:hAnsi="Book Antiqua"/>
          <w:b/>
          <w:sz w:val="24"/>
          <w:szCs w:val="24"/>
        </w:rPr>
        <w:t>Hawasli A</w:t>
      </w:r>
      <w:r w:rsidRPr="00DB7D82">
        <w:rPr>
          <w:rFonts w:ascii="Book Antiqua" w:hAnsi="Book Antiqua"/>
          <w:sz w:val="24"/>
          <w:szCs w:val="24"/>
        </w:rPr>
        <w:t xml:space="preserve">, Holman AK. Single incision laparoscopic Nissen fundoplication: step by step. </w:t>
      </w:r>
      <w:r w:rsidRPr="00DB7D82">
        <w:rPr>
          <w:rFonts w:ascii="Book Antiqua" w:hAnsi="Book Antiqua"/>
          <w:i/>
          <w:sz w:val="24"/>
          <w:szCs w:val="24"/>
        </w:rPr>
        <w:t>Surg Laparosc Endosc Percutan Tech</w:t>
      </w:r>
      <w:r w:rsidRPr="00DB7D82">
        <w:rPr>
          <w:rFonts w:ascii="Book Antiqua" w:hAnsi="Book Antiqua"/>
          <w:sz w:val="24"/>
          <w:szCs w:val="24"/>
        </w:rPr>
        <w:t xml:space="preserve"> 2011; </w:t>
      </w:r>
      <w:r w:rsidRPr="00DB7D82">
        <w:rPr>
          <w:rFonts w:ascii="Book Antiqua" w:hAnsi="Book Antiqua"/>
          <w:b/>
          <w:sz w:val="24"/>
          <w:szCs w:val="24"/>
        </w:rPr>
        <w:t>21</w:t>
      </w:r>
      <w:r w:rsidRPr="00DB7D82">
        <w:rPr>
          <w:rFonts w:ascii="Book Antiqua" w:hAnsi="Book Antiqua"/>
          <w:sz w:val="24"/>
          <w:szCs w:val="24"/>
        </w:rPr>
        <w:t>: e78-e80 [PMID: 21471786 DOI: 10.1097/SLE.0b013e31820d6491]</w:t>
      </w:r>
    </w:p>
    <w:p w14:paraId="0F5FD2E6" w14:textId="17135D00"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13 </w:t>
      </w:r>
      <w:r w:rsidRPr="00DB7D82">
        <w:rPr>
          <w:rFonts w:ascii="Book Antiqua" w:hAnsi="Book Antiqua"/>
          <w:b/>
          <w:sz w:val="24"/>
          <w:szCs w:val="24"/>
        </w:rPr>
        <w:t>Sharp NE</w:t>
      </w:r>
      <w:r w:rsidRPr="00DB7D82">
        <w:rPr>
          <w:rFonts w:ascii="Book Antiqua" w:hAnsi="Book Antiqua"/>
          <w:sz w:val="24"/>
          <w:szCs w:val="24"/>
        </w:rPr>
        <w:t xml:space="preserve">, Vassaur J, Buckley FP 3rd. Single-site Nissen fundoplication versus laparoscopic Nissen fundoplication. </w:t>
      </w:r>
      <w:r w:rsidRPr="00DB7D82">
        <w:rPr>
          <w:rFonts w:ascii="Book Antiqua" w:hAnsi="Book Antiqua"/>
          <w:i/>
          <w:sz w:val="24"/>
          <w:szCs w:val="24"/>
        </w:rPr>
        <w:t>JSLS</w:t>
      </w:r>
      <w:r w:rsidRPr="00DB7D82">
        <w:rPr>
          <w:rFonts w:ascii="Book Antiqua" w:hAnsi="Book Antiqua"/>
          <w:sz w:val="24"/>
          <w:szCs w:val="24"/>
        </w:rPr>
        <w:t xml:space="preserve"> 2014; </w:t>
      </w:r>
      <w:r w:rsidRPr="00DB7D82">
        <w:rPr>
          <w:rFonts w:ascii="Book Antiqua" w:hAnsi="Book Antiqua"/>
          <w:b/>
          <w:sz w:val="24"/>
          <w:szCs w:val="24"/>
        </w:rPr>
        <w:t>18</w:t>
      </w:r>
      <w:r w:rsidRPr="00DB7D82">
        <w:rPr>
          <w:rFonts w:ascii="Book Antiqua" w:hAnsi="Book Antiqua"/>
          <w:sz w:val="24"/>
          <w:szCs w:val="24"/>
        </w:rPr>
        <w:t>: pii: e2014.00202 [PMID: 25392613 DOI: 10.4293/JSLS.2014.00202]</w:t>
      </w:r>
    </w:p>
    <w:p w14:paraId="6A2A8031"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14 </w:t>
      </w:r>
      <w:r w:rsidRPr="00DB7D82">
        <w:rPr>
          <w:rFonts w:ascii="Book Antiqua" w:hAnsi="Book Antiqua"/>
          <w:b/>
          <w:sz w:val="24"/>
          <w:szCs w:val="24"/>
        </w:rPr>
        <w:t>Fukuda S</w:t>
      </w:r>
      <w:r w:rsidRPr="00DB7D82">
        <w:rPr>
          <w:rFonts w:ascii="Book Antiqua" w:hAnsi="Book Antiqua"/>
          <w:sz w:val="24"/>
          <w:szCs w:val="24"/>
        </w:rPr>
        <w:t xml:space="preserve">, Nakajima K, Miyazaki Y, Takahashi T, Makino T, Kurokawa Y, Yamasaki M, Miyata H, Takiguchi S, Mori M, Doki Y. Laparoscopic surgery for esophageal achalasia: Multiport vs single-incision approach. </w:t>
      </w:r>
      <w:r w:rsidRPr="00DB7D82">
        <w:rPr>
          <w:rFonts w:ascii="Book Antiqua" w:hAnsi="Book Antiqua"/>
          <w:i/>
          <w:sz w:val="24"/>
          <w:szCs w:val="24"/>
        </w:rPr>
        <w:t>Asian J Endosc Surg</w:t>
      </w:r>
      <w:r w:rsidRPr="00DB7D82">
        <w:rPr>
          <w:rFonts w:ascii="Book Antiqua" w:hAnsi="Book Antiqua"/>
          <w:sz w:val="24"/>
          <w:szCs w:val="24"/>
        </w:rPr>
        <w:t xml:space="preserve"> 2016; </w:t>
      </w:r>
      <w:r w:rsidRPr="00DB7D82">
        <w:rPr>
          <w:rFonts w:ascii="Book Antiqua" w:hAnsi="Book Antiqua"/>
          <w:b/>
          <w:sz w:val="24"/>
          <w:szCs w:val="24"/>
        </w:rPr>
        <w:t>9</w:t>
      </w:r>
      <w:r w:rsidRPr="00DB7D82">
        <w:rPr>
          <w:rFonts w:ascii="Book Antiqua" w:hAnsi="Book Antiqua"/>
          <w:sz w:val="24"/>
          <w:szCs w:val="24"/>
        </w:rPr>
        <w:t>: 14-20 [PMID: 26315292 DOI: 10.1111/ases.12226]</w:t>
      </w:r>
    </w:p>
    <w:p w14:paraId="7B84D24E"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15 </w:t>
      </w:r>
      <w:r w:rsidRPr="00DB7D82">
        <w:rPr>
          <w:rFonts w:ascii="Book Antiqua" w:hAnsi="Book Antiqua"/>
          <w:b/>
          <w:sz w:val="24"/>
          <w:szCs w:val="24"/>
        </w:rPr>
        <w:t>Moher D</w:t>
      </w:r>
      <w:r w:rsidRPr="00DB7D82">
        <w:rPr>
          <w:rFonts w:ascii="Book Antiqua" w:hAnsi="Book Antiqua"/>
          <w:sz w:val="24"/>
          <w:szCs w:val="24"/>
        </w:rPr>
        <w:t xml:space="preserve">, Liberati A, Tetzlaff J, Altman DG; PRISMA Group. Preferred reporting items for systematic reviews and meta-analyses: the PRISMA statement. </w:t>
      </w:r>
      <w:r w:rsidRPr="00DB7D82">
        <w:rPr>
          <w:rFonts w:ascii="Book Antiqua" w:hAnsi="Book Antiqua"/>
          <w:i/>
          <w:sz w:val="24"/>
          <w:szCs w:val="24"/>
        </w:rPr>
        <w:t>PLoS Med</w:t>
      </w:r>
      <w:r w:rsidRPr="00DB7D82">
        <w:rPr>
          <w:rFonts w:ascii="Book Antiqua" w:hAnsi="Book Antiqua"/>
          <w:sz w:val="24"/>
          <w:szCs w:val="24"/>
        </w:rPr>
        <w:t xml:space="preserve"> 2009; </w:t>
      </w:r>
      <w:r w:rsidRPr="00DB7D82">
        <w:rPr>
          <w:rFonts w:ascii="Book Antiqua" w:hAnsi="Book Antiqua"/>
          <w:b/>
          <w:sz w:val="24"/>
          <w:szCs w:val="24"/>
        </w:rPr>
        <w:t>6</w:t>
      </w:r>
      <w:r w:rsidRPr="00DB7D82">
        <w:rPr>
          <w:rFonts w:ascii="Book Antiqua" w:hAnsi="Book Antiqua"/>
          <w:sz w:val="24"/>
          <w:szCs w:val="24"/>
        </w:rPr>
        <w:t>: e1000097 [PMID: 19621072 DOI: 10.1371/journal.pmed.1000097]</w:t>
      </w:r>
    </w:p>
    <w:p w14:paraId="3184F9DD"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16 </w:t>
      </w:r>
      <w:r w:rsidRPr="00DB7D82">
        <w:rPr>
          <w:rFonts w:ascii="Book Antiqua" w:hAnsi="Book Antiqua"/>
          <w:b/>
          <w:sz w:val="24"/>
          <w:szCs w:val="24"/>
        </w:rPr>
        <w:t>Hozo SP</w:t>
      </w:r>
      <w:r w:rsidRPr="00DB7D82">
        <w:rPr>
          <w:rFonts w:ascii="Book Antiqua" w:hAnsi="Book Antiqua"/>
          <w:sz w:val="24"/>
          <w:szCs w:val="24"/>
        </w:rPr>
        <w:t xml:space="preserve">, Djulbegovic B, Hozo I. Estimating the mean and variance from the median, range, and the size of a sample. </w:t>
      </w:r>
      <w:r w:rsidRPr="00DB7D82">
        <w:rPr>
          <w:rFonts w:ascii="Book Antiqua" w:hAnsi="Book Antiqua"/>
          <w:i/>
          <w:sz w:val="24"/>
          <w:szCs w:val="24"/>
        </w:rPr>
        <w:t>BMC Med Res Methodol</w:t>
      </w:r>
      <w:r w:rsidRPr="00DB7D82">
        <w:rPr>
          <w:rFonts w:ascii="Book Antiqua" w:hAnsi="Book Antiqua"/>
          <w:sz w:val="24"/>
          <w:szCs w:val="24"/>
        </w:rPr>
        <w:t xml:space="preserve"> 2005; </w:t>
      </w:r>
      <w:r w:rsidRPr="00DB7D82">
        <w:rPr>
          <w:rFonts w:ascii="Book Antiqua" w:hAnsi="Book Antiqua"/>
          <w:b/>
          <w:sz w:val="24"/>
          <w:szCs w:val="24"/>
        </w:rPr>
        <w:t>5</w:t>
      </w:r>
      <w:r w:rsidRPr="00DB7D82">
        <w:rPr>
          <w:rFonts w:ascii="Book Antiqua" w:hAnsi="Book Antiqua"/>
          <w:sz w:val="24"/>
          <w:szCs w:val="24"/>
        </w:rPr>
        <w:t>: 13 [PMID: 15840177 DOI: 10.1186/1471-2288-5-13]</w:t>
      </w:r>
    </w:p>
    <w:p w14:paraId="5572731E"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17 </w:t>
      </w:r>
      <w:r w:rsidRPr="00DB7D82">
        <w:rPr>
          <w:rFonts w:ascii="Book Antiqua" w:hAnsi="Book Antiqua"/>
          <w:b/>
          <w:sz w:val="24"/>
          <w:szCs w:val="24"/>
        </w:rPr>
        <w:t>Sukharamwala P</w:t>
      </w:r>
      <w:r w:rsidRPr="00DB7D82">
        <w:rPr>
          <w:rFonts w:ascii="Book Antiqua" w:hAnsi="Book Antiqua"/>
          <w:sz w:val="24"/>
          <w:szCs w:val="24"/>
        </w:rPr>
        <w:t xml:space="preserve">, Teta A, Ross S, Co F, Alvarez-Calderon G, Luberice K, Rosemurgy A. Over 250 Laparoendoscopic Single Site (LESS) Fundoplications: Lessons Learned. </w:t>
      </w:r>
      <w:r w:rsidRPr="00DB7D82">
        <w:rPr>
          <w:rFonts w:ascii="Book Antiqua" w:hAnsi="Book Antiqua"/>
          <w:i/>
          <w:sz w:val="24"/>
          <w:szCs w:val="24"/>
        </w:rPr>
        <w:t>Am Surg</w:t>
      </w:r>
      <w:r w:rsidRPr="00DB7D82">
        <w:rPr>
          <w:rFonts w:ascii="Book Antiqua" w:hAnsi="Book Antiqua"/>
          <w:sz w:val="24"/>
          <w:szCs w:val="24"/>
        </w:rPr>
        <w:t xml:space="preserve"> 2015; </w:t>
      </w:r>
      <w:r w:rsidRPr="00DB7D82">
        <w:rPr>
          <w:rFonts w:ascii="Book Antiqua" w:hAnsi="Book Antiqua"/>
          <w:b/>
          <w:sz w:val="24"/>
          <w:szCs w:val="24"/>
        </w:rPr>
        <w:t>81</w:t>
      </w:r>
      <w:r w:rsidRPr="00DB7D82">
        <w:rPr>
          <w:rFonts w:ascii="Book Antiqua" w:hAnsi="Book Antiqua"/>
          <w:sz w:val="24"/>
          <w:szCs w:val="24"/>
        </w:rPr>
        <w:t>: 870-875 [PMID: 26350663]</w:t>
      </w:r>
    </w:p>
    <w:p w14:paraId="22B72BF4"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lastRenderedPageBreak/>
        <w:t xml:space="preserve">18 </w:t>
      </w:r>
      <w:r w:rsidRPr="00DB7D82">
        <w:rPr>
          <w:rFonts w:ascii="Book Antiqua" w:hAnsi="Book Antiqua"/>
          <w:b/>
          <w:sz w:val="24"/>
          <w:szCs w:val="24"/>
        </w:rPr>
        <w:t>Barbaros U</w:t>
      </w:r>
      <w:r w:rsidRPr="00DB7D82">
        <w:rPr>
          <w:rFonts w:ascii="Book Antiqua" w:hAnsi="Book Antiqua"/>
          <w:sz w:val="24"/>
          <w:szCs w:val="24"/>
        </w:rPr>
        <w:t xml:space="preserve">, Demirel T, Sumer A, Deveci U, Tukenmez M, Cansunar MI, Kalayci M, Dınccag A, Seven R, Mercan S. Pure SILS Floppy Nissen Fundoplication with Hiatal Repair: A Case Report. </w:t>
      </w:r>
      <w:r w:rsidRPr="00DB7D82">
        <w:rPr>
          <w:rFonts w:ascii="Book Antiqua" w:hAnsi="Book Antiqua"/>
          <w:i/>
          <w:sz w:val="24"/>
          <w:szCs w:val="24"/>
        </w:rPr>
        <w:t>ISRN Gastroenterol</w:t>
      </w:r>
      <w:r w:rsidRPr="00DB7D82">
        <w:rPr>
          <w:rFonts w:ascii="Book Antiqua" w:hAnsi="Book Antiqua"/>
          <w:sz w:val="24"/>
          <w:szCs w:val="24"/>
        </w:rPr>
        <w:t xml:space="preserve"> 2011; </w:t>
      </w:r>
      <w:r w:rsidRPr="00DB7D82">
        <w:rPr>
          <w:rFonts w:ascii="Book Antiqua" w:hAnsi="Book Antiqua"/>
          <w:b/>
          <w:sz w:val="24"/>
          <w:szCs w:val="24"/>
        </w:rPr>
        <w:t>2011</w:t>
      </w:r>
      <w:r w:rsidRPr="00DB7D82">
        <w:rPr>
          <w:rFonts w:ascii="Book Antiqua" w:hAnsi="Book Antiqua"/>
          <w:sz w:val="24"/>
          <w:szCs w:val="24"/>
        </w:rPr>
        <w:t>: 347487 [PMID: 21991503 DOI: 10.5402/2011/347487]</w:t>
      </w:r>
    </w:p>
    <w:p w14:paraId="681DF240"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19 </w:t>
      </w:r>
      <w:r w:rsidRPr="00DB7D82">
        <w:rPr>
          <w:rFonts w:ascii="Book Antiqua" w:hAnsi="Book Antiqua"/>
          <w:b/>
          <w:sz w:val="24"/>
          <w:szCs w:val="24"/>
        </w:rPr>
        <w:t>Miyazaki Y</w:t>
      </w:r>
      <w:r w:rsidRPr="00DB7D82">
        <w:rPr>
          <w:rFonts w:ascii="Book Antiqua" w:hAnsi="Book Antiqua"/>
          <w:sz w:val="24"/>
          <w:szCs w:val="24"/>
        </w:rPr>
        <w:t xml:space="preserve">, Nakajima K, Yamasaki M, Miyata H, Kurokawa Y, Takiguchi S, Fujiwara Y, Mori M, Doki Y. Single-port laparoscopic surgery of the distal esophagus: initial clinical experience. </w:t>
      </w:r>
      <w:r w:rsidRPr="00DB7D82">
        <w:rPr>
          <w:rFonts w:ascii="Book Antiqua" w:hAnsi="Book Antiqua"/>
          <w:i/>
          <w:sz w:val="24"/>
          <w:szCs w:val="24"/>
        </w:rPr>
        <w:t>Surg Laparosc Endosc Percutan Tech</w:t>
      </w:r>
      <w:r w:rsidRPr="00DB7D82">
        <w:rPr>
          <w:rFonts w:ascii="Book Antiqua" w:hAnsi="Book Antiqua"/>
          <w:sz w:val="24"/>
          <w:szCs w:val="24"/>
        </w:rPr>
        <w:t xml:space="preserve"> 2012; </w:t>
      </w:r>
      <w:r w:rsidRPr="00DB7D82">
        <w:rPr>
          <w:rFonts w:ascii="Book Antiqua" w:hAnsi="Book Antiqua"/>
          <w:b/>
          <w:sz w:val="24"/>
          <w:szCs w:val="24"/>
        </w:rPr>
        <w:t>22</w:t>
      </w:r>
      <w:r w:rsidRPr="00DB7D82">
        <w:rPr>
          <w:rFonts w:ascii="Book Antiqua" w:hAnsi="Book Antiqua"/>
          <w:sz w:val="24"/>
          <w:szCs w:val="24"/>
        </w:rPr>
        <w:t>: e118-e121 [PMID: 22678329 DOI: 10.1097/SLE.0b013e318247c45f]</w:t>
      </w:r>
    </w:p>
    <w:p w14:paraId="5FE36D72"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20 </w:t>
      </w:r>
      <w:r w:rsidRPr="00DB7D82">
        <w:rPr>
          <w:rFonts w:ascii="Book Antiqua" w:hAnsi="Book Antiqua"/>
          <w:b/>
          <w:sz w:val="24"/>
          <w:szCs w:val="24"/>
        </w:rPr>
        <w:t>Eyuboglu E</w:t>
      </w:r>
      <w:r w:rsidRPr="00DB7D82">
        <w:rPr>
          <w:rFonts w:ascii="Book Antiqua" w:hAnsi="Book Antiqua"/>
          <w:sz w:val="24"/>
          <w:szCs w:val="24"/>
        </w:rPr>
        <w:t xml:space="preserve">, Ipek T, Atasoy D. Single-port laparoscopic floppy Nissen fundoplication: a novel technique with the aid of the Cerrahpasa retractor. </w:t>
      </w:r>
      <w:r w:rsidRPr="00DB7D82">
        <w:rPr>
          <w:rFonts w:ascii="Book Antiqua" w:hAnsi="Book Antiqua"/>
          <w:i/>
          <w:sz w:val="24"/>
          <w:szCs w:val="24"/>
        </w:rPr>
        <w:t>J Laparoendosc Adv Surg Tech A</w:t>
      </w:r>
      <w:r w:rsidRPr="00DB7D82">
        <w:rPr>
          <w:rFonts w:ascii="Book Antiqua" w:hAnsi="Book Antiqua"/>
          <w:sz w:val="24"/>
          <w:szCs w:val="24"/>
        </w:rPr>
        <w:t xml:space="preserve"> 2012; </w:t>
      </w:r>
      <w:r w:rsidRPr="00DB7D82">
        <w:rPr>
          <w:rFonts w:ascii="Book Antiqua" w:hAnsi="Book Antiqua"/>
          <w:b/>
          <w:sz w:val="24"/>
          <w:szCs w:val="24"/>
        </w:rPr>
        <w:t>22</w:t>
      </w:r>
      <w:r w:rsidRPr="00DB7D82">
        <w:rPr>
          <w:rFonts w:ascii="Book Antiqua" w:hAnsi="Book Antiqua"/>
          <w:sz w:val="24"/>
          <w:szCs w:val="24"/>
        </w:rPr>
        <w:t>: 173-175 [PMID: 22146016 DOI: 10.1089/lap.2011.0349]</w:t>
      </w:r>
    </w:p>
    <w:p w14:paraId="32EA9358"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21 </w:t>
      </w:r>
      <w:r w:rsidRPr="00DB7D82">
        <w:rPr>
          <w:rFonts w:ascii="Book Antiqua" w:hAnsi="Book Antiqua"/>
          <w:b/>
          <w:sz w:val="24"/>
          <w:szCs w:val="24"/>
        </w:rPr>
        <w:t>Mizuno M</w:t>
      </w:r>
      <w:r w:rsidRPr="00DB7D82">
        <w:rPr>
          <w:rFonts w:ascii="Book Antiqua" w:hAnsi="Book Antiqua"/>
          <w:sz w:val="24"/>
          <w:szCs w:val="24"/>
        </w:rPr>
        <w:t xml:space="preserve">, Kobayashi M, Sasaki A, Nakajima J, Wakabayashi G. Early experience with single-incision laparoscopic Nissen fundoplication for gastroesophageal reflux disease in patients with mental retardation via a gastrostomy site incision: report of five cases. </w:t>
      </w:r>
      <w:r w:rsidRPr="00DB7D82">
        <w:rPr>
          <w:rFonts w:ascii="Book Antiqua" w:hAnsi="Book Antiqua"/>
          <w:i/>
          <w:sz w:val="24"/>
          <w:szCs w:val="24"/>
        </w:rPr>
        <w:t>Surg Today</w:t>
      </w:r>
      <w:r w:rsidRPr="00DB7D82">
        <w:rPr>
          <w:rFonts w:ascii="Book Antiqua" w:hAnsi="Book Antiqua"/>
          <w:sz w:val="24"/>
          <w:szCs w:val="24"/>
        </w:rPr>
        <w:t xml:space="preserve"> 2012; </w:t>
      </w:r>
      <w:r w:rsidRPr="00DB7D82">
        <w:rPr>
          <w:rFonts w:ascii="Book Antiqua" w:hAnsi="Book Antiqua"/>
          <w:b/>
          <w:sz w:val="24"/>
          <w:szCs w:val="24"/>
        </w:rPr>
        <w:t>42</w:t>
      </w:r>
      <w:r w:rsidRPr="00DB7D82">
        <w:rPr>
          <w:rFonts w:ascii="Book Antiqua" w:hAnsi="Book Antiqua"/>
          <w:sz w:val="24"/>
          <w:szCs w:val="24"/>
        </w:rPr>
        <w:t>: 601-604 [PMID: 22278618 DOI: 10.1007/s00595-012-0120-1]</w:t>
      </w:r>
    </w:p>
    <w:p w14:paraId="6C236424" w14:textId="2A5D651E"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22 </w:t>
      </w:r>
      <w:r w:rsidRPr="00DB7D82">
        <w:rPr>
          <w:rFonts w:ascii="Book Antiqua" w:hAnsi="Book Antiqua"/>
          <w:b/>
          <w:sz w:val="24"/>
          <w:szCs w:val="24"/>
        </w:rPr>
        <w:t>Yilmaz H</w:t>
      </w:r>
      <w:r w:rsidRPr="000B677E">
        <w:rPr>
          <w:rFonts w:ascii="Book Antiqua" w:hAnsi="Book Antiqua"/>
          <w:sz w:val="24"/>
          <w:szCs w:val="24"/>
        </w:rPr>
        <w:t>,</w:t>
      </w:r>
      <w:r w:rsidR="000B677E" w:rsidRPr="000B677E">
        <w:rPr>
          <w:rFonts w:ascii="Book Antiqua" w:hAnsi="Book Antiqua"/>
          <w:sz w:val="24"/>
          <w:szCs w:val="24"/>
        </w:rPr>
        <w:t xml:space="preserve"> </w:t>
      </w:r>
      <w:r w:rsidRPr="00DB7D82">
        <w:rPr>
          <w:rFonts w:ascii="Book Antiqua" w:hAnsi="Book Antiqua"/>
          <w:sz w:val="24"/>
          <w:szCs w:val="24"/>
        </w:rPr>
        <w:t xml:space="preserve">Alptekin H, Şahin M. Single-incision laraposcopic Nissen fundoplication for gastroesophageal reflux disease using conventional instruments. </w:t>
      </w:r>
      <w:r w:rsidRPr="000B677E">
        <w:rPr>
          <w:rFonts w:ascii="Book Antiqua" w:hAnsi="Book Antiqua"/>
          <w:i/>
          <w:sz w:val="24"/>
          <w:szCs w:val="24"/>
        </w:rPr>
        <w:t>Turkiye Klin J Med Sci</w:t>
      </w:r>
      <w:r w:rsidRPr="00DB7D82">
        <w:rPr>
          <w:rFonts w:ascii="Book Antiqua" w:hAnsi="Book Antiqua"/>
          <w:sz w:val="24"/>
          <w:szCs w:val="24"/>
        </w:rPr>
        <w:t xml:space="preserve"> 2013; </w:t>
      </w:r>
      <w:r w:rsidRPr="000B677E">
        <w:rPr>
          <w:rFonts w:ascii="Book Antiqua" w:hAnsi="Book Antiqua"/>
          <w:b/>
          <w:sz w:val="24"/>
          <w:szCs w:val="24"/>
        </w:rPr>
        <w:t>33</w:t>
      </w:r>
      <w:r w:rsidRPr="00DB7D82">
        <w:rPr>
          <w:rFonts w:ascii="Book Antiqua" w:hAnsi="Book Antiqua"/>
          <w:sz w:val="24"/>
          <w:szCs w:val="24"/>
        </w:rPr>
        <w:t>: 1022–1027 [DOI: 10.5336/medsci.2012-31954]</w:t>
      </w:r>
    </w:p>
    <w:p w14:paraId="24C5BCBB"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23 </w:t>
      </w:r>
      <w:r w:rsidRPr="00DB7D82">
        <w:rPr>
          <w:rFonts w:ascii="Book Antiqua" w:hAnsi="Book Antiqua"/>
          <w:b/>
          <w:sz w:val="24"/>
          <w:szCs w:val="24"/>
        </w:rPr>
        <w:t>Dapri G</w:t>
      </w:r>
      <w:r w:rsidRPr="00DB7D82">
        <w:rPr>
          <w:rFonts w:ascii="Book Antiqua" w:hAnsi="Book Antiqua"/>
          <w:sz w:val="24"/>
          <w:szCs w:val="24"/>
        </w:rPr>
        <w:t xml:space="preserve">, Bruyns J, Himpens J, Cadière GB. Single-access transumbilical laparoscopic nissen fundoplication performed with new curved reusable instruments. </w:t>
      </w:r>
      <w:r w:rsidRPr="00DB7D82">
        <w:rPr>
          <w:rFonts w:ascii="Book Antiqua" w:hAnsi="Book Antiqua"/>
          <w:i/>
          <w:sz w:val="24"/>
          <w:szCs w:val="24"/>
        </w:rPr>
        <w:t>Surg Innov</w:t>
      </w:r>
      <w:r w:rsidRPr="00DB7D82">
        <w:rPr>
          <w:rFonts w:ascii="Book Antiqua" w:hAnsi="Book Antiqua"/>
          <w:sz w:val="24"/>
          <w:szCs w:val="24"/>
        </w:rPr>
        <w:t xml:space="preserve"> 2011; </w:t>
      </w:r>
      <w:r w:rsidRPr="00DB7D82">
        <w:rPr>
          <w:rFonts w:ascii="Book Antiqua" w:hAnsi="Book Antiqua"/>
          <w:b/>
          <w:sz w:val="24"/>
          <w:szCs w:val="24"/>
        </w:rPr>
        <w:t>18</w:t>
      </w:r>
      <w:r w:rsidRPr="00DB7D82">
        <w:rPr>
          <w:rFonts w:ascii="Book Antiqua" w:hAnsi="Book Antiqua"/>
          <w:sz w:val="24"/>
          <w:szCs w:val="24"/>
        </w:rPr>
        <w:t>: 61-65 [PMID: 21059609 DOI: 10.1177/1553350610384406]</w:t>
      </w:r>
    </w:p>
    <w:p w14:paraId="50E60AF4"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24 </w:t>
      </w:r>
      <w:r w:rsidRPr="00DB7D82">
        <w:rPr>
          <w:rFonts w:ascii="Book Antiqua" w:hAnsi="Book Antiqua"/>
          <w:b/>
          <w:sz w:val="24"/>
          <w:szCs w:val="24"/>
        </w:rPr>
        <w:t>Galvani CA</w:t>
      </w:r>
      <w:r w:rsidRPr="00DB7D82">
        <w:rPr>
          <w:rFonts w:ascii="Book Antiqua" w:hAnsi="Book Antiqua"/>
          <w:sz w:val="24"/>
          <w:szCs w:val="24"/>
        </w:rPr>
        <w:t xml:space="preserve">, Garza U, Echeverria A, Kaul A, Samamé J. Multipurpose internal retractor for Single-incision surgery (SIS): single-institution case series. </w:t>
      </w:r>
      <w:r w:rsidRPr="00DB7D82">
        <w:rPr>
          <w:rFonts w:ascii="Book Antiqua" w:hAnsi="Book Antiqua"/>
          <w:i/>
          <w:sz w:val="24"/>
          <w:szCs w:val="24"/>
        </w:rPr>
        <w:t>Surg Laparosc Endosc Percutan Tech</w:t>
      </w:r>
      <w:r w:rsidRPr="00DB7D82">
        <w:rPr>
          <w:rFonts w:ascii="Book Antiqua" w:hAnsi="Book Antiqua"/>
          <w:sz w:val="24"/>
          <w:szCs w:val="24"/>
        </w:rPr>
        <w:t xml:space="preserve"> 2014; </w:t>
      </w:r>
      <w:r w:rsidRPr="00DB7D82">
        <w:rPr>
          <w:rFonts w:ascii="Book Antiqua" w:hAnsi="Book Antiqua"/>
          <w:b/>
          <w:sz w:val="24"/>
          <w:szCs w:val="24"/>
        </w:rPr>
        <w:t>24</w:t>
      </w:r>
      <w:r w:rsidRPr="00DB7D82">
        <w:rPr>
          <w:rFonts w:ascii="Book Antiqua" w:hAnsi="Book Antiqua"/>
          <w:sz w:val="24"/>
          <w:szCs w:val="24"/>
        </w:rPr>
        <w:t>: e59-e62 [PMID: 24686364 DOI: 10.1097/SLE.0b013e31828f720d]</w:t>
      </w:r>
    </w:p>
    <w:p w14:paraId="243F1540"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lastRenderedPageBreak/>
        <w:t xml:space="preserve">25 </w:t>
      </w:r>
      <w:r w:rsidRPr="00DB7D82">
        <w:rPr>
          <w:rFonts w:ascii="Book Antiqua" w:hAnsi="Book Antiqua"/>
          <w:b/>
          <w:sz w:val="24"/>
          <w:szCs w:val="24"/>
        </w:rPr>
        <w:t>Wu S</w:t>
      </w:r>
      <w:r w:rsidRPr="00DB7D82">
        <w:rPr>
          <w:rFonts w:ascii="Book Antiqua" w:hAnsi="Book Antiqua"/>
          <w:sz w:val="24"/>
          <w:szCs w:val="24"/>
        </w:rPr>
        <w:t xml:space="preserve">, Yu H, Fan Y, Kong J, Yu X. Liver retraction using n-butyl-2-cyanoacrylate glue during single-incision laparoscopic upper abdominal surgery. </w:t>
      </w:r>
      <w:r w:rsidRPr="00DB7D82">
        <w:rPr>
          <w:rFonts w:ascii="Book Antiqua" w:hAnsi="Book Antiqua"/>
          <w:i/>
          <w:sz w:val="24"/>
          <w:szCs w:val="24"/>
        </w:rPr>
        <w:t>Br J Surg</w:t>
      </w:r>
      <w:r w:rsidRPr="00DB7D82">
        <w:rPr>
          <w:rFonts w:ascii="Book Antiqua" w:hAnsi="Book Antiqua"/>
          <w:sz w:val="24"/>
          <w:szCs w:val="24"/>
        </w:rPr>
        <w:t xml:space="preserve"> 2014; </w:t>
      </w:r>
      <w:r w:rsidRPr="00DB7D82">
        <w:rPr>
          <w:rFonts w:ascii="Book Antiqua" w:hAnsi="Book Antiqua"/>
          <w:b/>
          <w:sz w:val="24"/>
          <w:szCs w:val="24"/>
        </w:rPr>
        <w:t>101</w:t>
      </w:r>
      <w:r w:rsidRPr="00DB7D82">
        <w:rPr>
          <w:rFonts w:ascii="Book Antiqua" w:hAnsi="Book Antiqua"/>
          <w:sz w:val="24"/>
          <w:szCs w:val="24"/>
        </w:rPr>
        <w:t>: 546-549 [PMID: 24615563 DOI: 10.1002/bjs.9446]</w:t>
      </w:r>
    </w:p>
    <w:p w14:paraId="231EED3A"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26 </w:t>
      </w:r>
      <w:r w:rsidRPr="00DB7D82">
        <w:rPr>
          <w:rFonts w:ascii="Book Antiqua" w:hAnsi="Book Antiqua"/>
          <w:b/>
          <w:sz w:val="24"/>
          <w:szCs w:val="24"/>
        </w:rPr>
        <w:t>Agaba EA</w:t>
      </w:r>
      <w:r w:rsidRPr="00DB7D82">
        <w:rPr>
          <w:rFonts w:ascii="Book Antiqua" w:hAnsi="Book Antiqua"/>
          <w:sz w:val="24"/>
          <w:szCs w:val="24"/>
        </w:rPr>
        <w:t xml:space="preserve">, Rainville H, Ikedilo O, Vemulapali P. Incidence of port-site incisional hernia after single-incision laparoscopic surgery. </w:t>
      </w:r>
      <w:r w:rsidRPr="00DB7D82">
        <w:rPr>
          <w:rFonts w:ascii="Book Antiqua" w:hAnsi="Book Antiqua"/>
          <w:i/>
          <w:sz w:val="24"/>
          <w:szCs w:val="24"/>
        </w:rPr>
        <w:t>JSLS</w:t>
      </w:r>
      <w:r w:rsidRPr="00DB7D82">
        <w:rPr>
          <w:rFonts w:ascii="Book Antiqua" w:hAnsi="Book Antiqua"/>
          <w:sz w:val="24"/>
          <w:szCs w:val="24"/>
        </w:rPr>
        <w:t xml:space="preserve"> 2014; </w:t>
      </w:r>
      <w:r w:rsidRPr="00DB7D82">
        <w:rPr>
          <w:rFonts w:ascii="Book Antiqua" w:hAnsi="Book Antiqua"/>
          <w:b/>
          <w:sz w:val="24"/>
          <w:szCs w:val="24"/>
        </w:rPr>
        <w:t>18</w:t>
      </w:r>
      <w:r w:rsidRPr="00DB7D82">
        <w:rPr>
          <w:rFonts w:ascii="Book Antiqua" w:hAnsi="Book Antiqua"/>
          <w:sz w:val="24"/>
          <w:szCs w:val="24"/>
        </w:rPr>
        <w:t>: 204-210 [PMID: 24960483 DOI: 10.4293/108680813X13693422518317]</w:t>
      </w:r>
    </w:p>
    <w:p w14:paraId="747F8DA7"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27 </w:t>
      </w:r>
      <w:r w:rsidRPr="00DB7D82">
        <w:rPr>
          <w:rFonts w:ascii="Book Antiqua" w:hAnsi="Book Antiqua"/>
          <w:b/>
          <w:sz w:val="24"/>
          <w:szCs w:val="24"/>
        </w:rPr>
        <w:t>Nakajima J</w:t>
      </w:r>
      <w:r w:rsidRPr="00DB7D82">
        <w:rPr>
          <w:rFonts w:ascii="Book Antiqua" w:hAnsi="Book Antiqua"/>
          <w:sz w:val="24"/>
          <w:szCs w:val="24"/>
        </w:rPr>
        <w:t xml:space="preserve">, Sasaki A, Obuchi T, Baba S, Umemura A, Wakabayashi G. Single-incision laparoscopic Heller myotomy and Dor fundoplication for achalasia: report of a case. </w:t>
      </w:r>
      <w:r w:rsidRPr="00DB7D82">
        <w:rPr>
          <w:rFonts w:ascii="Book Antiqua" w:hAnsi="Book Antiqua"/>
          <w:i/>
          <w:sz w:val="24"/>
          <w:szCs w:val="24"/>
        </w:rPr>
        <w:t>Surg Today</w:t>
      </w:r>
      <w:r w:rsidRPr="00DB7D82">
        <w:rPr>
          <w:rFonts w:ascii="Book Antiqua" w:hAnsi="Book Antiqua"/>
          <w:sz w:val="24"/>
          <w:szCs w:val="24"/>
        </w:rPr>
        <w:t xml:space="preserve"> 2011; </w:t>
      </w:r>
      <w:r w:rsidRPr="00DB7D82">
        <w:rPr>
          <w:rFonts w:ascii="Book Antiqua" w:hAnsi="Book Antiqua"/>
          <w:b/>
          <w:sz w:val="24"/>
          <w:szCs w:val="24"/>
        </w:rPr>
        <w:t>41</w:t>
      </w:r>
      <w:r w:rsidRPr="00DB7D82">
        <w:rPr>
          <w:rFonts w:ascii="Book Antiqua" w:hAnsi="Book Antiqua"/>
          <w:sz w:val="24"/>
          <w:szCs w:val="24"/>
        </w:rPr>
        <w:t>: 1543-1547 [PMID: 21969159 DOI: 10.1007/s00595-010-4533-4]</w:t>
      </w:r>
    </w:p>
    <w:p w14:paraId="5C6A39BA"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28 </w:t>
      </w:r>
      <w:r w:rsidRPr="00DB7D82">
        <w:rPr>
          <w:rFonts w:ascii="Book Antiqua" w:hAnsi="Book Antiqua"/>
          <w:b/>
          <w:sz w:val="24"/>
          <w:szCs w:val="24"/>
        </w:rPr>
        <w:t>Yamada H</w:t>
      </w:r>
      <w:r w:rsidRPr="00DB7D82">
        <w:rPr>
          <w:rFonts w:ascii="Book Antiqua" w:hAnsi="Book Antiqua"/>
          <w:sz w:val="24"/>
          <w:szCs w:val="24"/>
        </w:rPr>
        <w:t xml:space="preserve">, Yano T. Single incision laparoscopic approach for esophageal achalasia: A case report. </w:t>
      </w:r>
      <w:r w:rsidRPr="00DB7D82">
        <w:rPr>
          <w:rFonts w:ascii="Book Antiqua" w:hAnsi="Book Antiqua"/>
          <w:i/>
          <w:sz w:val="24"/>
          <w:szCs w:val="24"/>
        </w:rPr>
        <w:t>Int J Surg Case Rep</w:t>
      </w:r>
      <w:r w:rsidRPr="00DB7D82">
        <w:rPr>
          <w:rFonts w:ascii="Book Antiqua" w:hAnsi="Book Antiqua"/>
          <w:sz w:val="24"/>
          <w:szCs w:val="24"/>
        </w:rPr>
        <w:t xml:space="preserve"> 2013; </w:t>
      </w:r>
      <w:r w:rsidRPr="00DB7D82">
        <w:rPr>
          <w:rFonts w:ascii="Book Antiqua" w:hAnsi="Book Antiqua"/>
          <w:b/>
          <w:sz w:val="24"/>
          <w:szCs w:val="24"/>
        </w:rPr>
        <w:t>4</w:t>
      </w:r>
      <w:r w:rsidRPr="00DB7D82">
        <w:rPr>
          <w:rFonts w:ascii="Book Antiqua" w:hAnsi="Book Antiqua"/>
          <w:sz w:val="24"/>
          <w:szCs w:val="24"/>
        </w:rPr>
        <w:t>: 1-4 [PMID: 23088902 DOI: 10.1016/j.ijscr.2012.09.003]</w:t>
      </w:r>
    </w:p>
    <w:p w14:paraId="72356A5C"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29 </w:t>
      </w:r>
      <w:r w:rsidRPr="00DB7D82">
        <w:rPr>
          <w:rFonts w:ascii="Book Antiqua" w:hAnsi="Book Antiqua"/>
          <w:b/>
          <w:sz w:val="24"/>
          <w:szCs w:val="24"/>
        </w:rPr>
        <w:t>Yano F</w:t>
      </w:r>
      <w:r w:rsidRPr="00DB7D82">
        <w:rPr>
          <w:rFonts w:ascii="Book Antiqua" w:hAnsi="Book Antiqua"/>
          <w:sz w:val="24"/>
          <w:szCs w:val="24"/>
        </w:rPr>
        <w:t xml:space="preserve">, Omura N, Tsuboi K, Hoshino M, Yamamoto SR, Kashiwagi H, Yanaga K. Single-incision laparoscopic Heller myotomy and Dor fundoplication for achalasia: report of a case. </w:t>
      </w:r>
      <w:r w:rsidRPr="00DB7D82">
        <w:rPr>
          <w:rFonts w:ascii="Book Antiqua" w:hAnsi="Book Antiqua"/>
          <w:i/>
          <w:sz w:val="24"/>
          <w:szCs w:val="24"/>
        </w:rPr>
        <w:t>Surg Today</w:t>
      </w:r>
      <w:r w:rsidRPr="00DB7D82">
        <w:rPr>
          <w:rFonts w:ascii="Book Antiqua" w:hAnsi="Book Antiqua"/>
          <w:sz w:val="24"/>
          <w:szCs w:val="24"/>
        </w:rPr>
        <w:t xml:space="preserve"> 2012; </w:t>
      </w:r>
      <w:r w:rsidRPr="00DB7D82">
        <w:rPr>
          <w:rFonts w:ascii="Book Antiqua" w:hAnsi="Book Antiqua"/>
          <w:b/>
          <w:sz w:val="24"/>
          <w:szCs w:val="24"/>
        </w:rPr>
        <w:t>42</w:t>
      </w:r>
      <w:r w:rsidRPr="00DB7D82">
        <w:rPr>
          <w:rFonts w:ascii="Book Antiqua" w:hAnsi="Book Antiqua"/>
          <w:sz w:val="24"/>
          <w:szCs w:val="24"/>
        </w:rPr>
        <w:t>: 299-302 [PMID: 22218875 DOI: 10.1007/s00595-011-0089-1]</w:t>
      </w:r>
    </w:p>
    <w:p w14:paraId="063E4ACE"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30 </w:t>
      </w:r>
      <w:r w:rsidRPr="00DB7D82">
        <w:rPr>
          <w:rFonts w:ascii="Book Antiqua" w:hAnsi="Book Antiqua"/>
          <w:b/>
          <w:sz w:val="24"/>
          <w:szCs w:val="24"/>
        </w:rPr>
        <w:t>Buckley FP 3rd</w:t>
      </w:r>
      <w:r w:rsidRPr="00DB7D82">
        <w:rPr>
          <w:rFonts w:ascii="Book Antiqua" w:hAnsi="Book Antiqua"/>
          <w:sz w:val="24"/>
          <w:szCs w:val="24"/>
        </w:rPr>
        <w:t xml:space="preserve">, Vassaur HE, Jupiter DC, Crosby JH, Wheeless CJ, Vassaur JL. Influencing factors for port-site hernias after single-incision laparoscopy. </w:t>
      </w:r>
      <w:r w:rsidRPr="00DB7D82">
        <w:rPr>
          <w:rFonts w:ascii="Book Antiqua" w:hAnsi="Book Antiqua"/>
          <w:i/>
          <w:sz w:val="24"/>
          <w:szCs w:val="24"/>
        </w:rPr>
        <w:t>Hernia</w:t>
      </w:r>
      <w:r w:rsidRPr="00DB7D82">
        <w:rPr>
          <w:rFonts w:ascii="Book Antiqua" w:hAnsi="Book Antiqua"/>
          <w:sz w:val="24"/>
          <w:szCs w:val="24"/>
        </w:rPr>
        <w:t xml:space="preserve"> 2016; </w:t>
      </w:r>
      <w:r w:rsidRPr="00DB7D82">
        <w:rPr>
          <w:rFonts w:ascii="Book Antiqua" w:hAnsi="Book Antiqua"/>
          <w:b/>
          <w:sz w:val="24"/>
          <w:szCs w:val="24"/>
        </w:rPr>
        <w:t>20</w:t>
      </w:r>
      <w:r w:rsidRPr="00DB7D82">
        <w:rPr>
          <w:rFonts w:ascii="Book Antiqua" w:hAnsi="Book Antiqua"/>
          <w:sz w:val="24"/>
          <w:szCs w:val="24"/>
        </w:rPr>
        <w:t>: 729-733 [PMID: 27417943 DOI: 10.1007/s10029-016-1512-8]</w:t>
      </w:r>
    </w:p>
    <w:p w14:paraId="1EC86C39"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31 </w:t>
      </w:r>
      <w:r w:rsidRPr="00DB7D82">
        <w:rPr>
          <w:rFonts w:ascii="Book Antiqua" w:hAnsi="Book Antiqua"/>
          <w:b/>
          <w:sz w:val="24"/>
          <w:szCs w:val="24"/>
        </w:rPr>
        <w:t>Strzałka M</w:t>
      </w:r>
      <w:r w:rsidRPr="00DB7D82">
        <w:rPr>
          <w:rFonts w:ascii="Book Antiqua" w:hAnsi="Book Antiqua"/>
          <w:sz w:val="24"/>
          <w:szCs w:val="24"/>
        </w:rPr>
        <w:t xml:space="preserve">, Matyja M, Matłok M, Migaczewski M, Budzyński P, Budzyński A. Application of the single access technique in laparoscopic surgery. </w:t>
      </w:r>
      <w:r w:rsidRPr="00DB7D82">
        <w:rPr>
          <w:rFonts w:ascii="Book Antiqua" w:hAnsi="Book Antiqua"/>
          <w:i/>
          <w:sz w:val="24"/>
          <w:szCs w:val="24"/>
        </w:rPr>
        <w:t>Pol Przegl Chir</w:t>
      </w:r>
      <w:r w:rsidRPr="00DB7D82">
        <w:rPr>
          <w:rFonts w:ascii="Book Antiqua" w:hAnsi="Book Antiqua"/>
          <w:sz w:val="24"/>
          <w:szCs w:val="24"/>
        </w:rPr>
        <w:t xml:space="preserve"> 2013; </w:t>
      </w:r>
      <w:r w:rsidRPr="00DB7D82">
        <w:rPr>
          <w:rFonts w:ascii="Book Antiqua" w:hAnsi="Book Antiqua"/>
          <w:b/>
          <w:sz w:val="24"/>
          <w:szCs w:val="24"/>
        </w:rPr>
        <w:t>85</w:t>
      </w:r>
      <w:r w:rsidRPr="00DB7D82">
        <w:rPr>
          <w:rFonts w:ascii="Book Antiqua" w:hAnsi="Book Antiqua"/>
          <w:sz w:val="24"/>
          <w:szCs w:val="24"/>
        </w:rPr>
        <w:t>: 73-77 [PMID: 23585169 DOI: 10.2478/pjs-2013-0013]</w:t>
      </w:r>
    </w:p>
    <w:p w14:paraId="09EC80B5"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32 </w:t>
      </w:r>
      <w:r w:rsidRPr="00DB7D82">
        <w:rPr>
          <w:rFonts w:ascii="Book Antiqua" w:hAnsi="Book Antiqua"/>
          <w:b/>
          <w:sz w:val="24"/>
          <w:szCs w:val="24"/>
        </w:rPr>
        <w:t>Ross SB</w:t>
      </w:r>
      <w:r w:rsidRPr="00DB7D82">
        <w:rPr>
          <w:rFonts w:ascii="Book Antiqua" w:hAnsi="Book Antiqua"/>
          <w:sz w:val="24"/>
          <w:szCs w:val="24"/>
        </w:rPr>
        <w:t xml:space="preserve">, Luberice K, Kurian TJ, Paul H, Rosemurgy AS. Defining the learning curve of laparoendoscopic single-site Heller myotomy. </w:t>
      </w:r>
      <w:r w:rsidRPr="00DB7D82">
        <w:rPr>
          <w:rFonts w:ascii="Book Antiqua" w:hAnsi="Book Antiqua"/>
          <w:i/>
          <w:sz w:val="24"/>
          <w:szCs w:val="24"/>
        </w:rPr>
        <w:t>Am Surg</w:t>
      </w:r>
      <w:r w:rsidRPr="00DB7D82">
        <w:rPr>
          <w:rFonts w:ascii="Book Antiqua" w:hAnsi="Book Antiqua"/>
          <w:sz w:val="24"/>
          <w:szCs w:val="24"/>
        </w:rPr>
        <w:t xml:space="preserve"> 2013; </w:t>
      </w:r>
      <w:r w:rsidRPr="00DB7D82">
        <w:rPr>
          <w:rFonts w:ascii="Book Antiqua" w:hAnsi="Book Antiqua"/>
          <w:b/>
          <w:sz w:val="24"/>
          <w:szCs w:val="24"/>
        </w:rPr>
        <w:t>79</w:t>
      </w:r>
      <w:r w:rsidRPr="00DB7D82">
        <w:rPr>
          <w:rFonts w:ascii="Book Antiqua" w:hAnsi="Book Antiqua"/>
          <w:sz w:val="24"/>
          <w:szCs w:val="24"/>
        </w:rPr>
        <w:t>: 837-844 [PMID: 23896255 DOI: 10.1186/1477-7819-11-171]</w:t>
      </w:r>
    </w:p>
    <w:p w14:paraId="5112437E"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33 </w:t>
      </w:r>
      <w:r w:rsidRPr="00DB7D82">
        <w:rPr>
          <w:rFonts w:ascii="Book Antiqua" w:hAnsi="Book Antiqua"/>
          <w:b/>
          <w:sz w:val="24"/>
          <w:szCs w:val="24"/>
        </w:rPr>
        <w:t>Rosemurgy A</w:t>
      </w:r>
      <w:r w:rsidRPr="00DB7D82">
        <w:rPr>
          <w:rFonts w:ascii="Book Antiqua" w:hAnsi="Book Antiqua"/>
          <w:sz w:val="24"/>
          <w:szCs w:val="24"/>
        </w:rPr>
        <w:t xml:space="preserve">, Paul H, Madison L, Luberice K, Donn N, Vice M, Hernandez J, Ross SB. A single institution's experience and journey with over 1000 laparoscopic fundoplications for gastroesophageal reflux disease. </w:t>
      </w:r>
      <w:r w:rsidRPr="00DB7D82">
        <w:rPr>
          <w:rFonts w:ascii="Book Antiqua" w:hAnsi="Book Antiqua"/>
          <w:i/>
          <w:sz w:val="24"/>
          <w:szCs w:val="24"/>
        </w:rPr>
        <w:t>Am Surg</w:t>
      </w:r>
      <w:r w:rsidRPr="00DB7D82">
        <w:rPr>
          <w:rFonts w:ascii="Book Antiqua" w:hAnsi="Book Antiqua"/>
          <w:sz w:val="24"/>
          <w:szCs w:val="24"/>
        </w:rPr>
        <w:t xml:space="preserve"> 2012; </w:t>
      </w:r>
      <w:r w:rsidRPr="00DB7D82">
        <w:rPr>
          <w:rFonts w:ascii="Book Antiqua" w:hAnsi="Book Antiqua"/>
          <w:b/>
          <w:sz w:val="24"/>
          <w:szCs w:val="24"/>
        </w:rPr>
        <w:t>78</w:t>
      </w:r>
      <w:r w:rsidRPr="00DB7D82">
        <w:rPr>
          <w:rFonts w:ascii="Book Antiqua" w:hAnsi="Book Antiqua"/>
          <w:sz w:val="24"/>
          <w:szCs w:val="24"/>
        </w:rPr>
        <w:t>: 917-925 [PMID: 22964197]</w:t>
      </w:r>
    </w:p>
    <w:p w14:paraId="44B42B44"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lastRenderedPageBreak/>
        <w:t xml:space="preserve">34 </w:t>
      </w:r>
      <w:r w:rsidRPr="00DB7D82">
        <w:rPr>
          <w:rFonts w:ascii="Book Antiqua" w:hAnsi="Book Antiqua"/>
          <w:b/>
          <w:sz w:val="24"/>
          <w:szCs w:val="24"/>
        </w:rPr>
        <w:t>Rao PP</w:t>
      </w:r>
      <w:r w:rsidRPr="00DB7D82">
        <w:rPr>
          <w:rFonts w:ascii="Book Antiqua" w:hAnsi="Book Antiqua"/>
          <w:sz w:val="24"/>
          <w:szCs w:val="24"/>
        </w:rPr>
        <w:t xml:space="preserve">, Rao PP, Bhagwat S. Single-incision laparoscopic surgery - current status and controversies. </w:t>
      </w:r>
      <w:r w:rsidRPr="00DB7D82">
        <w:rPr>
          <w:rFonts w:ascii="Book Antiqua" w:hAnsi="Book Antiqua"/>
          <w:i/>
          <w:sz w:val="24"/>
          <w:szCs w:val="24"/>
        </w:rPr>
        <w:t>J Minim Access Surg</w:t>
      </w:r>
      <w:r w:rsidRPr="00DB7D82">
        <w:rPr>
          <w:rFonts w:ascii="Book Antiqua" w:hAnsi="Book Antiqua"/>
          <w:sz w:val="24"/>
          <w:szCs w:val="24"/>
        </w:rPr>
        <w:t xml:space="preserve"> 2011; </w:t>
      </w:r>
      <w:r w:rsidRPr="00DB7D82">
        <w:rPr>
          <w:rFonts w:ascii="Book Antiqua" w:hAnsi="Book Antiqua"/>
          <w:b/>
          <w:sz w:val="24"/>
          <w:szCs w:val="24"/>
        </w:rPr>
        <w:t>7</w:t>
      </w:r>
      <w:r w:rsidRPr="00DB7D82">
        <w:rPr>
          <w:rFonts w:ascii="Book Antiqua" w:hAnsi="Book Antiqua"/>
          <w:sz w:val="24"/>
          <w:szCs w:val="24"/>
        </w:rPr>
        <w:t>: 6-16 [PMID: 21197236 DOI: 10.4103/0972-9941.72360]</w:t>
      </w:r>
    </w:p>
    <w:p w14:paraId="4EEC9828"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35 </w:t>
      </w:r>
      <w:r w:rsidRPr="00DB7D82">
        <w:rPr>
          <w:rFonts w:ascii="Book Antiqua" w:hAnsi="Book Antiqua"/>
          <w:b/>
          <w:sz w:val="24"/>
          <w:szCs w:val="24"/>
        </w:rPr>
        <w:t>Ramsay CR</w:t>
      </w:r>
      <w:r w:rsidRPr="00DB7D82">
        <w:rPr>
          <w:rFonts w:ascii="Book Antiqua" w:hAnsi="Book Antiqua"/>
          <w:sz w:val="24"/>
          <w:szCs w:val="24"/>
        </w:rPr>
        <w:t xml:space="preserve">, Wallace SA, Garthwaite PH, Monk AF, Russell IT, Grant AM. Assessing the learning curve effect in health technologies. Lessons from the nonclinical literature. </w:t>
      </w:r>
      <w:r w:rsidRPr="00DB7D82">
        <w:rPr>
          <w:rFonts w:ascii="Book Antiqua" w:hAnsi="Book Antiqua"/>
          <w:i/>
          <w:sz w:val="24"/>
          <w:szCs w:val="24"/>
        </w:rPr>
        <w:t>Int J Technol Assess Health Care</w:t>
      </w:r>
      <w:r w:rsidRPr="00DB7D82">
        <w:rPr>
          <w:rFonts w:ascii="Book Antiqua" w:hAnsi="Book Antiqua"/>
          <w:sz w:val="24"/>
          <w:szCs w:val="24"/>
        </w:rPr>
        <w:t xml:space="preserve"> 2002; </w:t>
      </w:r>
      <w:r w:rsidRPr="00DB7D82">
        <w:rPr>
          <w:rFonts w:ascii="Book Antiqua" w:hAnsi="Book Antiqua"/>
          <w:b/>
          <w:sz w:val="24"/>
          <w:szCs w:val="24"/>
        </w:rPr>
        <w:t>18</w:t>
      </w:r>
      <w:r w:rsidRPr="00DB7D82">
        <w:rPr>
          <w:rFonts w:ascii="Book Antiqua" w:hAnsi="Book Antiqua"/>
          <w:sz w:val="24"/>
          <w:szCs w:val="24"/>
        </w:rPr>
        <w:t>: 1-10 [PMID: 11987432]</w:t>
      </w:r>
    </w:p>
    <w:p w14:paraId="6596292B"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36 </w:t>
      </w:r>
      <w:r w:rsidRPr="00DB7D82">
        <w:rPr>
          <w:rFonts w:ascii="Book Antiqua" w:hAnsi="Book Antiqua"/>
          <w:b/>
          <w:sz w:val="24"/>
          <w:szCs w:val="24"/>
        </w:rPr>
        <w:t>Ferrarese A</w:t>
      </w:r>
      <w:r w:rsidRPr="00DB7D82">
        <w:rPr>
          <w:rFonts w:ascii="Book Antiqua" w:hAnsi="Book Antiqua"/>
          <w:sz w:val="24"/>
          <w:szCs w:val="24"/>
        </w:rPr>
        <w:t xml:space="preserve">, Gentile V, Bindi M, Rivelli M, Cumbo J, Solej M, Enrico S, Martino V. The learning curve of laparoscopic holecystectomy in general surgery resident training: old age of the patient may be a risk factor? </w:t>
      </w:r>
      <w:r w:rsidRPr="00DB7D82">
        <w:rPr>
          <w:rFonts w:ascii="Book Antiqua" w:hAnsi="Book Antiqua"/>
          <w:i/>
          <w:sz w:val="24"/>
          <w:szCs w:val="24"/>
        </w:rPr>
        <w:t>Open Med</w:t>
      </w:r>
      <w:r w:rsidRPr="000B677E">
        <w:rPr>
          <w:rFonts w:ascii="Book Antiqua" w:hAnsi="Book Antiqua"/>
          <w:sz w:val="24"/>
          <w:szCs w:val="24"/>
        </w:rPr>
        <w:t xml:space="preserve"> (Wars) </w:t>
      </w:r>
      <w:r w:rsidRPr="00DB7D82">
        <w:rPr>
          <w:rFonts w:ascii="Book Antiqua" w:hAnsi="Book Antiqua"/>
          <w:sz w:val="24"/>
          <w:szCs w:val="24"/>
        </w:rPr>
        <w:t xml:space="preserve">2016; </w:t>
      </w:r>
      <w:r w:rsidRPr="00DB7D82">
        <w:rPr>
          <w:rFonts w:ascii="Book Antiqua" w:hAnsi="Book Antiqua"/>
          <w:b/>
          <w:sz w:val="24"/>
          <w:szCs w:val="24"/>
        </w:rPr>
        <w:t>11</w:t>
      </w:r>
      <w:r w:rsidRPr="00DB7D82">
        <w:rPr>
          <w:rFonts w:ascii="Book Antiqua" w:hAnsi="Book Antiqua"/>
          <w:sz w:val="24"/>
          <w:szCs w:val="24"/>
        </w:rPr>
        <w:t>: 489-496 [PMID: 28352841 DOI: 10.1515/med-2016-0086]</w:t>
      </w:r>
    </w:p>
    <w:p w14:paraId="4CB65360"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37 </w:t>
      </w:r>
      <w:r w:rsidRPr="00DB7D82">
        <w:rPr>
          <w:rFonts w:ascii="Book Antiqua" w:hAnsi="Book Antiqua"/>
          <w:b/>
          <w:sz w:val="24"/>
          <w:szCs w:val="24"/>
        </w:rPr>
        <w:t>Tekkis PP</w:t>
      </w:r>
      <w:r w:rsidRPr="00DB7D82">
        <w:rPr>
          <w:rFonts w:ascii="Book Antiqua" w:hAnsi="Book Antiqua"/>
          <w:sz w:val="24"/>
          <w:szCs w:val="24"/>
        </w:rPr>
        <w:t xml:space="preserve">, Senagore AJ, Delaney CP, Fazio VW. Evaluation of the learning curve in laparoscopic colorectal surgery: comparison of right-sided and left-sided resections. </w:t>
      </w:r>
      <w:r w:rsidRPr="00DB7D82">
        <w:rPr>
          <w:rFonts w:ascii="Book Antiqua" w:hAnsi="Book Antiqua"/>
          <w:i/>
          <w:sz w:val="24"/>
          <w:szCs w:val="24"/>
        </w:rPr>
        <w:t>Ann Surg</w:t>
      </w:r>
      <w:r w:rsidRPr="00DB7D82">
        <w:rPr>
          <w:rFonts w:ascii="Book Antiqua" w:hAnsi="Book Antiqua"/>
          <w:sz w:val="24"/>
          <w:szCs w:val="24"/>
        </w:rPr>
        <w:t xml:space="preserve"> 2005; </w:t>
      </w:r>
      <w:r w:rsidRPr="00DB7D82">
        <w:rPr>
          <w:rFonts w:ascii="Book Antiqua" w:hAnsi="Book Antiqua"/>
          <w:b/>
          <w:sz w:val="24"/>
          <w:szCs w:val="24"/>
        </w:rPr>
        <w:t>242</w:t>
      </w:r>
      <w:r w:rsidRPr="00DB7D82">
        <w:rPr>
          <w:rFonts w:ascii="Book Antiqua" w:hAnsi="Book Antiqua"/>
          <w:sz w:val="24"/>
          <w:szCs w:val="24"/>
        </w:rPr>
        <w:t>: 83-91 [PMID: 15973105 DOI: 10.1097/01.SLA.0000167857.14690.68]</w:t>
      </w:r>
    </w:p>
    <w:p w14:paraId="09A97447"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38 </w:t>
      </w:r>
      <w:r w:rsidRPr="00DB7D82">
        <w:rPr>
          <w:rFonts w:ascii="Book Antiqua" w:hAnsi="Book Antiqua"/>
          <w:b/>
          <w:sz w:val="24"/>
          <w:szCs w:val="24"/>
        </w:rPr>
        <w:t>Hopper AN</w:t>
      </w:r>
      <w:r w:rsidRPr="00DB7D82">
        <w:rPr>
          <w:rFonts w:ascii="Book Antiqua" w:hAnsi="Book Antiqua"/>
          <w:sz w:val="24"/>
          <w:szCs w:val="24"/>
        </w:rPr>
        <w:t xml:space="preserve">, Jamison MH, Lewis WG. Learning curves in surgical practice. </w:t>
      </w:r>
      <w:r w:rsidRPr="00DB7D82">
        <w:rPr>
          <w:rFonts w:ascii="Book Antiqua" w:hAnsi="Book Antiqua"/>
          <w:i/>
          <w:sz w:val="24"/>
          <w:szCs w:val="24"/>
        </w:rPr>
        <w:t>Postgrad Med J</w:t>
      </w:r>
      <w:r w:rsidRPr="00DB7D82">
        <w:rPr>
          <w:rFonts w:ascii="Book Antiqua" w:hAnsi="Book Antiqua"/>
          <w:sz w:val="24"/>
          <w:szCs w:val="24"/>
        </w:rPr>
        <w:t xml:space="preserve"> 2007; </w:t>
      </w:r>
      <w:r w:rsidRPr="00DB7D82">
        <w:rPr>
          <w:rFonts w:ascii="Book Antiqua" w:hAnsi="Book Antiqua"/>
          <w:b/>
          <w:sz w:val="24"/>
          <w:szCs w:val="24"/>
        </w:rPr>
        <w:t>83</w:t>
      </w:r>
      <w:r w:rsidRPr="00DB7D82">
        <w:rPr>
          <w:rFonts w:ascii="Book Antiqua" w:hAnsi="Book Antiqua"/>
          <w:sz w:val="24"/>
          <w:szCs w:val="24"/>
        </w:rPr>
        <w:t>: 777-779 [PMID: 18057179 DOI: 10.1136/pgmj.2007.057190]</w:t>
      </w:r>
    </w:p>
    <w:p w14:paraId="44DE7892"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39 </w:t>
      </w:r>
      <w:r w:rsidRPr="00DB7D82">
        <w:rPr>
          <w:rFonts w:ascii="Book Antiqua" w:hAnsi="Book Antiqua"/>
          <w:b/>
          <w:sz w:val="24"/>
          <w:szCs w:val="24"/>
        </w:rPr>
        <w:t>Yano F</w:t>
      </w:r>
      <w:r w:rsidRPr="00DB7D82">
        <w:rPr>
          <w:rFonts w:ascii="Book Antiqua" w:hAnsi="Book Antiqua"/>
          <w:sz w:val="24"/>
          <w:szCs w:val="24"/>
        </w:rPr>
        <w:t xml:space="preserve">, Omura N, Tsuboi K, Hoshino M, Yamamoto S, Akimoto S, Masuda T, Kashiwagi H, Yanaga K. Learning curve for laparoscopic Heller myotomy and Dor fundoplication for achalasia. </w:t>
      </w:r>
      <w:r w:rsidRPr="00DB7D82">
        <w:rPr>
          <w:rFonts w:ascii="Book Antiqua" w:hAnsi="Book Antiqua"/>
          <w:i/>
          <w:sz w:val="24"/>
          <w:szCs w:val="24"/>
        </w:rPr>
        <w:t>PLoS One</w:t>
      </w:r>
      <w:r w:rsidRPr="00DB7D82">
        <w:rPr>
          <w:rFonts w:ascii="Book Antiqua" w:hAnsi="Book Antiqua"/>
          <w:sz w:val="24"/>
          <w:szCs w:val="24"/>
        </w:rPr>
        <w:t xml:space="preserve"> 2017; </w:t>
      </w:r>
      <w:r w:rsidRPr="00DB7D82">
        <w:rPr>
          <w:rFonts w:ascii="Book Antiqua" w:hAnsi="Book Antiqua"/>
          <w:b/>
          <w:sz w:val="24"/>
          <w:szCs w:val="24"/>
        </w:rPr>
        <w:t>12</w:t>
      </w:r>
      <w:r w:rsidRPr="00DB7D82">
        <w:rPr>
          <w:rFonts w:ascii="Book Antiqua" w:hAnsi="Book Antiqua"/>
          <w:sz w:val="24"/>
          <w:szCs w:val="24"/>
        </w:rPr>
        <w:t>: e0180515 [PMID: 28686640 DOI: 10.1371/journal.pone.0180515]</w:t>
      </w:r>
    </w:p>
    <w:p w14:paraId="25C45C65"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40 </w:t>
      </w:r>
      <w:r w:rsidRPr="00DB7D82">
        <w:rPr>
          <w:rFonts w:ascii="Book Antiqua" w:hAnsi="Book Antiqua"/>
          <w:b/>
          <w:sz w:val="24"/>
          <w:szCs w:val="24"/>
        </w:rPr>
        <w:t>Okrainec A</w:t>
      </w:r>
      <w:r w:rsidRPr="00DB7D82">
        <w:rPr>
          <w:rFonts w:ascii="Book Antiqua" w:hAnsi="Book Antiqua"/>
          <w:sz w:val="24"/>
          <w:szCs w:val="24"/>
        </w:rPr>
        <w:t xml:space="preserve">, Ferri LE, Feldman LS, Fried GM. Defining the learning curve in laparoscopic paraesophageal hernia repair: a CUSUM analysis. </w:t>
      </w:r>
      <w:r w:rsidRPr="00DB7D82">
        <w:rPr>
          <w:rFonts w:ascii="Book Antiqua" w:hAnsi="Book Antiqua"/>
          <w:i/>
          <w:sz w:val="24"/>
          <w:szCs w:val="24"/>
        </w:rPr>
        <w:t>Surg Endosc</w:t>
      </w:r>
      <w:r w:rsidRPr="00DB7D82">
        <w:rPr>
          <w:rFonts w:ascii="Book Antiqua" w:hAnsi="Book Antiqua"/>
          <w:sz w:val="24"/>
          <w:szCs w:val="24"/>
        </w:rPr>
        <w:t xml:space="preserve"> 2011; </w:t>
      </w:r>
      <w:r w:rsidRPr="00DB7D82">
        <w:rPr>
          <w:rFonts w:ascii="Book Antiqua" w:hAnsi="Book Antiqua"/>
          <w:b/>
          <w:sz w:val="24"/>
          <w:szCs w:val="24"/>
        </w:rPr>
        <w:t>25</w:t>
      </w:r>
      <w:r w:rsidRPr="00DB7D82">
        <w:rPr>
          <w:rFonts w:ascii="Book Antiqua" w:hAnsi="Book Antiqua"/>
          <w:sz w:val="24"/>
          <w:szCs w:val="24"/>
        </w:rPr>
        <w:t>: 1083-1087 [PMID: 20835725 DOI: 10.1007/s00464-010-1321-6]</w:t>
      </w:r>
    </w:p>
    <w:p w14:paraId="791962FC"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41 </w:t>
      </w:r>
      <w:r w:rsidRPr="00DB7D82">
        <w:rPr>
          <w:rFonts w:ascii="Book Antiqua" w:hAnsi="Book Antiqua"/>
          <w:b/>
          <w:sz w:val="24"/>
          <w:szCs w:val="24"/>
        </w:rPr>
        <w:t>Ross SB</w:t>
      </w:r>
      <w:r w:rsidRPr="00DB7D82">
        <w:rPr>
          <w:rFonts w:ascii="Book Antiqua" w:hAnsi="Book Antiqua"/>
          <w:sz w:val="24"/>
          <w:szCs w:val="24"/>
        </w:rPr>
        <w:t xml:space="preserve">, Choung E, Teta AF, Colibao L, Luberice K, Paul H, Rosemurgy AS. The learning curve of laparoendoscopic single-Site (LESS) fundoplication: definable, short, and safe. </w:t>
      </w:r>
      <w:r w:rsidRPr="00DB7D82">
        <w:rPr>
          <w:rFonts w:ascii="Book Antiqua" w:hAnsi="Book Antiqua"/>
          <w:i/>
          <w:sz w:val="24"/>
          <w:szCs w:val="24"/>
        </w:rPr>
        <w:t>JSLS</w:t>
      </w:r>
      <w:r w:rsidRPr="00DB7D82">
        <w:rPr>
          <w:rFonts w:ascii="Book Antiqua" w:hAnsi="Book Antiqua"/>
          <w:sz w:val="24"/>
          <w:szCs w:val="24"/>
        </w:rPr>
        <w:t xml:space="preserve"> 2013; </w:t>
      </w:r>
      <w:r w:rsidRPr="00DB7D82">
        <w:rPr>
          <w:rFonts w:ascii="Book Antiqua" w:hAnsi="Book Antiqua"/>
          <w:b/>
          <w:sz w:val="24"/>
          <w:szCs w:val="24"/>
        </w:rPr>
        <w:t>17</w:t>
      </w:r>
      <w:r w:rsidRPr="00DB7D82">
        <w:rPr>
          <w:rFonts w:ascii="Book Antiqua" w:hAnsi="Book Antiqua"/>
          <w:sz w:val="24"/>
          <w:szCs w:val="24"/>
        </w:rPr>
        <w:t>: 376-384 [PMID: 24018072 DOI: 10.4293/108680813X13654754535359]</w:t>
      </w:r>
    </w:p>
    <w:p w14:paraId="5DF744A6"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lastRenderedPageBreak/>
        <w:t xml:space="preserve">42 </w:t>
      </w:r>
      <w:r w:rsidRPr="00DB7D82">
        <w:rPr>
          <w:rFonts w:ascii="Book Antiqua" w:hAnsi="Book Antiqua"/>
          <w:b/>
          <w:sz w:val="24"/>
          <w:szCs w:val="24"/>
        </w:rPr>
        <w:t>Amortegui JD</w:t>
      </w:r>
      <w:r w:rsidRPr="00DB7D82">
        <w:rPr>
          <w:rFonts w:ascii="Book Antiqua" w:hAnsi="Book Antiqua"/>
          <w:sz w:val="24"/>
          <w:szCs w:val="24"/>
        </w:rPr>
        <w:t xml:space="preserve">, Restrepo H. Knot security in laparoscopic surgery. A comparative study with conventional knots. </w:t>
      </w:r>
      <w:r w:rsidRPr="00DB7D82">
        <w:rPr>
          <w:rFonts w:ascii="Book Antiqua" w:hAnsi="Book Antiqua"/>
          <w:i/>
          <w:sz w:val="24"/>
          <w:szCs w:val="24"/>
        </w:rPr>
        <w:t>Surg Endosc</w:t>
      </w:r>
      <w:r w:rsidRPr="00DB7D82">
        <w:rPr>
          <w:rFonts w:ascii="Book Antiqua" w:hAnsi="Book Antiqua"/>
          <w:sz w:val="24"/>
          <w:szCs w:val="24"/>
        </w:rPr>
        <w:t xml:space="preserve"> 2002; </w:t>
      </w:r>
      <w:r w:rsidRPr="00DB7D82">
        <w:rPr>
          <w:rFonts w:ascii="Book Antiqua" w:hAnsi="Book Antiqua"/>
          <w:b/>
          <w:sz w:val="24"/>
          <w:szCs w:val="24"/>
        </w:rPr>
        <w:t>16</w:t>
      </w:r>
      <w:r w:rsidRPr="00DB7D82">
        <w:rPr>
          <w:rFonts w:ascii="Book Antiqua" w:hAnsi="Book Antiqua"/>
          <w:sz w:val="24"/>
          <w:szCs w:val="24"/>
        </w:rPr>
        <w:t>: 1598-1602 [PMID: 12085155 DOI: 10.1007/s00464-002-8545-z]</w:t>
      </w:r>
    </w:p>
    <w:p w14:paraId="72116BBE" w14:textId="29703BDE"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43 </w:t>
      </w:r>
      <w:r w:rsidRPr="00DB7D82">
        <w:rPr>
          <w:rFonts w:ascii="Book Antiqua" w:hAnsi="Book Antiqua"/>
          <w:b/>
          <w:sz w:val="24"/>
          <w:szCs w:val="24"/>
        </w:rPr>
        <w:t>Lim S</w:t>
      </w:r>
      <w:r w:rsidRPr="00DB7D82">
        <w:rPr>
          <w:rFonts w:ascii="Book Antiqua" w:hAnsi="Book Antiqua"/>
          <w:sz w:val="24"/>
          <w:szCs w:val="24"/>
        </w:rPr>
        <w:t xml:space="preserve">, Ghosh S, Niklewski P, Roy S. Laparoscopic Suturing as a Barrier to Broader Adoption of Laparoscopic Surgery. </w:t>
      </w:r>
      <w:r w:rsidRPr="00DB7D82">
        <w:rPr>
          <w:rFonts w:ascii="Book Antiqua" w:hAnsi="Book Antiqua"/>
          <w:i/>
          <w:sz w:val="24"/>
          <w:szCs w:val="24"/>
        </w:rPr>
        <w:t>JSLS</w:t>
      </w:r>
      <w:r w:rsidRPr="00DB7D82">
        <w:rPr>
          <w:rFonts w:ascii="Book Antiqua" w:hAnsi="Book Antiqua"/>
          <w:sz w:val="24"/>
          <w:szCs w:val="24"/>
        </w:rPr>
        <w:t xml:space="preserve"> 2017; </w:t>
      </w:r>
      <w:r w:rsidRPr="00DB7D82">
        <w:rPr>
          <w:rFonts w:ascii="Book Antiqua" w:hAnsi="Book Antiqua"/>
          <w:b/>
          <w:sz w:val="24"/>
          <w:szCs w:val="24"/>
        </w:rPr>
        <w:t>21</w:t>
      </w:r>
      <w:r w:rsidRPr="00DB7D82">
        <w:rPr>
          <w:rFonts w:ascii="Book Antiqua" w:hAnsi="Book Antiqua"/>
          <w:sz w:val="24"/>
          <w:szCs w:val="24"/>
        </w:rPr>
        <w:t xml:space="preserve">: </w:t>
      </w:r>
      <w:r w:rsidR="000B677E" w:rsidRPr="000B677E">
        <w:rPr>
          <w:rFonts w:ascii="Book Antiqua" w:hAnsi="Book Antiqua"/>
          <w:sz w:val="24"/>
          <w:szCs w:val="24"/>
        </w:rPr>
        <w:t>pii: e2017.00021</w:t>
      </w:r>
      <w:r w:rsidRPr="00DB7D82">
        <w:rPr>
          <w:rFonts w:ascii="Book Antiqua" w:hAnsi="Book Antiqua"/>
          <w:sz w:val="24"/>
          <w:szCs w:val="24"/>
        </w:rPr>
        <w:t xml:space="preserve"> [PMID: 28694682 DOI: 10.4293/JSLS.2017.00021]</w:t>
      </w:r>
    </w:p>
    <w:p w14:paraId="215F5741"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44 </w:t>
      </w:r>
      <w:r w:rsidRPr="00DB7D82">
        <w:rPr>
          <w:rFonts w:ascii="Book Antiqua" w:hAnsi="Book Antiqua"/>
          <w:b/>
          <w:sz w:val="24"/>
          <w:szCs w:val="24"/>
        </w:rPr>
        <w:t>Coleman KA</w:t>
      </w:r>
      <w:r w:rsidRPr="00DB7D82">
        <w:rPr>
          <w:rFonts w:ascii="Book Antiqua" w:hAnsi="Book Antiqua"/>
          <w:sz w:val="24"/>
          <w:szCs w:val="24"/>
        </w:rPr>
        <w:t xml:space="preserve">, Adams S, Smeak DD, Monnet E. Laparoscopic Gastropexy Using Knotless Unidirectional Suture and an Articulated Endoscopic Suturing Device: Seven Cases. </w:t>
      </w:r>
      <w:r w:rsidRPr="00DB7D82">
        <w:rPr>
          <w:rFonts w:ascii="Book Antiqua" w:hAnsi="Book Antiqua"/>
          <w:i/>
          <w:sz w:val="24"/>
          <w:szCs w:val="24"/>
        </w:rPr>
        <w:t>Vet Surg</w:t>
      </w:r>
      <w:r w:rsidRPr="00DB7D82">
        <w:rPr>
          <w:rFonts w:ascii="Book Antiqua" w:hAnsi="Book Antiqua"/>
          <w:sz w:val="24"/>
          <w:szCs w:val="24"/>
        </w:rPr>
        <w:t xml:space="preserve"> 2016; </w:t>
      </w:r>
      <w:r w:rsidRPr="00DB7D82">
        <w:rPr>
          <w:rFonts w:ascii="Book Antiqua" w:hAnsi="Book Antiqua"/>
          <w:b/>
          <w:sz w:val="24"/>
          <w:szCs w:val="24"/>
        </w:rPr>
        <w:t>45</w:t>
      </w:r>
      <w:r w:rsidRPr="00DB7D82">
        <w:rPr>
          <w:rFonts w:ascii="Book Antiqua" w:hAnsi="Book Antiqua"/>
          <w:sz w:val="24"/>
          <w:szCs w:val="24"/>
        </w:rPr>
        <w:t>: O95-O101 [PMID: 27731517 DOI: 10.1111/vsu.12570]</w:t>
      </w:r>
    </w:p>
    <w:p w14:paraId="61A31C92"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45 </w:t>
      </w:r>
      <w:r w:rsidRPr="00DB7D82">
        <w:rPr>
          <w:rFonts w:ascii="Book Antiqua" w:hAnsi="Book Antiqua"/>
          <w:b/>
          <w:sz w:val="24"/>
          <w:szCs w:val="24"/>
        </w:rPr>
        <w:t>Bermas H</w:t>
      </w:r>
      <w:r w:rsidRPr="00DB7D82">
        <w:rPr>
          <w:rFonts w:ascii="Book Antiqua" w:hAnsi="Book Antiqua"/>
          <w:sz w:val="24"/>
          <w:szCs w:val="24"/>
        </w:rPr>
        <w:t xml:space="preserve">, Fenoglio M, Haun W, Moore JT. Laparoscopic suturing and knot tying: a comparison of standard techniques to a mechanical assist device. </w:t>
      </w:r>
      <w:r w:rsidRPr="00DB7D82">
        <w:rPr>
          <w:rFonts w:ascii="Book Antiqua" w:hAnsi="Book Antiqua"/>
          <w:i/>
          <w:sz w:val="24"/>
          <w:szCs w:val="24"/>
        </w:rPr>
        <w:t>JSLS</w:t>
      </w:r>
      <w:r w:rsidRPr="00DB7D82">
        <w:rPr>
          <w:rFonts w:ascii="Book Antiqua" w:hAnsi="Book Antiqua"/>
          <w:sz w:val="24"/>
          <w:szCs w:val="24"/>
        </w:rPr>
        <w:t xml:space="preserve"> 2004; </w:t>
      </w:r>
      <w:r w:rsidRPr="00DB7D82">
        <w:rPr>
          <w:rFonts w:ascii="Book Antiqua" w:hAnsi="Book Antiqua"/>
          <w:b/>
          <w:sz w:val="24"/>
          <w:szCs w:val="24"/>
        </w:rPr>
        <w:t>8</w:t>
      </w:r>
      <w:r w:rsidRPr="00DB7D82">
        <w:rPr>
          <w:rFonts w:ascii="Book Antiqua" w:hAnsi="Book Antiqua"/>
          <w:sz w:val="24"/>
          <w:szCs w:val="24"/>
        </w:rPr>
        <w:t>: 187-189 [PMID: 15119668]</w:t>
      </w:r>
    </w:p>
    <w:p w14:paraId="498C0393"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46 </w:t>
      </w:r>
      <w:r w:rsidRPr="00DB7D82">
        <w:rPr>
          <w:rFonts w:ascii="Book Antiqua" w:hAnsi="Book Antiqua"/>
          <w:b/>
          <w:sz w:val="24"/>
          <w:szCs w:val="24"/>
        </w:rPr>
        <w:t>Coleman KA</w:t>
      </w:r>
      <w:r w:rsidRPr="00DB7D82">
        <w:rPr>
          <w:rFonts w:ascii="Book Antiqua" w:hAnsi="Book Antiqua"/>
          <w:sz w:val="24"/>
          <w:szCs w:val="24"/>
        </w:rPr>
        <w:t xml:space="preserve">, Monnet E. Comparison of laparoscopic gastropexy performed via intracorporeal suturing with knotless unidirectional barbed suture using a needle driver versus a roticulated endoscopic suturing device: 30 cases. </w:t>
      </w:r>
      <w:r w:rsidRPr="00DB7D82">
        <w:rPr>
          <w:rFonts w:ascii="Book Antiqua" w:hAnsi="Book Antiqua"/>
          <w:i/>
          <w:sz w:val="24"/>
          <w:szCs w:val="24"/>
        </w:rPr>
        <w:t>Vet Surg</w:t>
      </w:r>
      <w:r w:rsidRPr="00DB7D82">
        <w:rPr>
          <w:rFonts w:ascii="Book Antiqua" w:hAnsi="Book Antiqua"/>
          <w:sz w:val="24"/>
          <w:szCs w:val="24"/>
        </w:rPr>
        <w:t xml:space="preserve"> 2017; </w:t>
      </w:r>
      <w:r w:rsidRPr="00DB7D82">
        <w:rPr>
          <w:rFonts w:ascii="Book Antiqua" w:hAnsi="Book Antiqua"/>
          <w:b/>
          <w:sz w:val="24"/>
          <w:szCs w:val="24"/>
        </w:rPr>
        <w:t>46</w:t>
      </w:r>
      <w:r w:rsidRPr="00DB7D82">
        <w:rPr>
          <w:rFonts w:ascii="Book Antiqua" w:hAnsi="Book Antiqua"/>
          <w:sz w:val="24"/>
          <w:szCs w:val="24"/>
        </w:rPr>
        <w:t>: 1002-1007 [PMID: 28921666 DOI: 10.1111/vsu.12722]</w:t>
      </w:r>
    </w:p>
    <w:p w14:paraId="1B7205E2"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47 </w:t>
      </w:r>
      <w:r w:rsidRPr="00DB7D82">
        <w:rPr>
          <w:rFonts w:ascii="Book Antiqua" w:hAnsi="Book Antiqua"/>
          <w:b/>
          <w:sz w:val="24"/>
          <w:szCs w:val="24"/>
        </w:rPr>
        <w:t>Ekçi B</w:t>
      </w:r>
      <w:r w:rsidRPr="00DB7D82">
        <w:rPr>
          <w:rFonts w:ascii="Book Antiqua" w:hAnsi="Book Antiqua"/>
          <w:sz w:val="24"/>
          <w:szCs w:val="24"/>
        </w:rPr>
        <w:t xml:space="preserve">. A simple technique for knot tying in single incision laparoscopic surgery (SILS). </w:t>
      </w:r>
      <w:r w:rsidRPr="00DB7D82">
        <w:rPr>
          <w:rFonts w:ascii="Book Antiqua" w:hAnsi="Book Antiqua"/>
          <w:i/>
          <w:sz w:val="24"/>
          <w:szCs w:val="24"/>
        </w:rPr>
        <w:t xml:space="preserve">Clinics </w:t>
      </w:r>
      <w:r w:rsidRPr="000B677E">
        <w:rPr>
          <w:rFonts w:ascii="Book Antiqua" w:hAnsi="Book Antiqua"/>
          <w:sz w:val="24"/>
          <w:szCs w:val="24"/>
        </w:rPr>
        <w:t xml:space="preserve">(Sao Paulo) </w:t>
      </w:r>
      <w:r w:rsidRPr="00DB7D82">
        <w:rPr>
          <w:rFonts w:ascii="Book Antiqua" w:hAnsi="Book Antiqua"/>
          <w:sz w:val="24"/>
          <w:szCs w:val="24"/>
        </w:rPr>
        <w:t xml:space="preserve">2010; </w:t>
      </w:r>
      <w:r w:rsidRPr="00DB7D82">
        <w:rPr>
          <w:rFonts w:ascii="Book Antiqua" w:hAnsi="Book Antiqua"/>
          <w:b/>
          <w:sz w:val="24"/>
          <w:szCs w:val="24"/>
        </w:rPr>
        <w:t>65</w:t>
      </w:r>
      <w:r w:rsidRPr="00DB7D82">
        <w:rPr>
          <w:rFonts w:ascii="Book Antiqua" w:hAnsi="Book Antiqua"/>
          <w:sz w:val="24"/>
          <w:szCs w:val="24"/>
        </w:rPr>
        <w:t>: 1055-1057 [PMID: 21120311 DOI: 10.1590/S1807-59322010001000023]</w:t>
      </w:r>
    </w:p>
    <w:p w14:paraId="00585CAA"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48 </w:t>
      </w:r>
      <w:r w:rsidRPr="00DB7D82">
        <w:rPr>
          <w:rFonts w:ascii="Book Antiqua" w:hAnsi="Book Antiqua"/>
          <w:b/>
          <w:sz w:val="24"/>
          <w:szCs w:val="24"/>
        </w:rPr>
        <w:t>Ishiyama Y</w:t>
      </w:r>
      <w:r w:rsidRPr="00DB7D82">
        <w:rPr>
          <w:rFonts w:ascii="Book Antiqua" w:hAnsi="Book Antiqua"/>
          <w:sz w:val="24"/>
          <w:szCs w:val="24"/>
        </w:rPr>
        <w:t xml:space="preserve">, Inaki N, Bando H, Yamada T. Assessment of Intracorporeal Suturing in Single-Port Surgery Using an Experimental Suturing Model. </w:t>
      </w:r>
      <w:r w:rsidRPr="00DB7D82">
        <w:rPr>
          <w:rFonts w:ascii="Book Antiqua" w:hAnsi="Book Antiqua"/>
          <w:i/>
          <w:sz w:val="24"/>
          <w:szCs w:val="24"/>
        </w:rPr>
        <w:t>Indian J Surg</w:t>
      </w:r>
      <w:r w:rsidRPr="00DB7D82">
        <w:rPr>
          <w:rFonts w:ascii="Book Antiqua" w:hAnsi="Book Antiqua"/>
          <w:sz w:val="24"/>
          <w:szCs w:val="24"/>
        </w:rPr>
        <w:t xml:space="preserve"> 2017; </w:t>
      </w:r>
      <w:r w:rsidRPr="00DB7D82">
        <w:rPr>
          <w:rFonts w:ascii="Book Antiqua" w:hAnsi="Book Antiqua"/>
          <w:b/>
          <w:sz w:val="24"/>
          <w:szCs w:val="24"/>
        </w:rPr>
        <w:t>79</w:t>
      </w:r>
      <w:r w:rsidRPr="00DB7D82">
        <w:rPr>
          <w:rFonts w:ascii="Book Antiqua" w:hAnsi="Book Antiqua"/>
          <w:sz w:val="24"/>
          <w:szCs w:val="24"/>
        </w:rPr>
        <w:t>: 137-142 [PMID: 28442840 DOI: 10.1007/s12262-016-1445-6]</w:t>
      </w:r>
    </w:p>
    <w:p w14:paraId="58E783A7"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49 </w:t>
      </w:r>
      <w:r w:rsidRPr="00DB7D82">
        <w:rPr>
          <w:rFonts w:ascii="Book Antiqua" w:hAnsi="Book Antiqua"/>
          <w:b/>
          <w:sz w:val="24"/>
          <w:szCs w:val="24"/>
        </w:rPr>
        <w:t>Chung do Y</w:t>
      </w:r>
      <w:r w:rsidRPr="00DB7D82">
        <w:rPr>
          <w:rFonts w:ascii="Book Antiqua" w:hAnsi="Book Antiqua"/>
          <w:sz w:val="24"/>
          <w:szCs w:val="24"/>
        </w:rPr>
        <w:t xml:space="preserve">. The intracorporeal knot tying using rigid instruments in single-incision laparoscopic surgery. </w:t>
      </w:r>
      <w:r w:rsidRPr="00DB7D82">
        <w:rPr>
          <w:rFonts w:ascii="Book Antiqua" w:hAnsi="Book Antiqua"/>
          <w:i/>
          <w:sz w:val="24"/>
          <w:szCs w:val="24"/>
        </w:rPr>
        <w:t>Surg Laparosc Endosc Percutan Tech</w:t>
      </w:r>
      <w:r w:rsidRPr="00DB7D82">
        <w:rPr>
          <w:rFonts w:ascii="Book Antiqua" w:hAnsi="Book Antiqua"/>
          <w:sz w:val="24"/>
          <w:szCs w:val="24"/>
        </w:rPr>
        <w:t xml:space="preserve"> 2013; </w:t>
      </w:r>
      <w:r w:rsidRPr="00DB7D82">
        <w:rPr>
          <w:rFonts w:ascii="Book Antiqua" w:hAnsi="Book Antiqua"/>
          <w:b/>
          <w:sz w:val="24"/>
          <w:szCs w:val="24"/>
        </w:rPr>
        <w:t>23</w:t>
      </w:r>
      <w:r w:rsidRPr="00DB7D82">
        <w:rPr>
          <w:rFonts w:ascii="Book Antiqua" w:hAnsi="Book Antiqua"/>
          <w:sz w:val="24"/>
          <w:szCs w:val="24"/>
        </w:rPr>
        <w:t>: e90-e92 [PMID: 23752026 DOI: 10.1097/SLE.0b013e318274b278]</w:t>
      </w:r>
    </w:p>
    <w:p w14:paraId="44B289B7"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50 </w:t>
      </w:r>
      <w:r w:rsidRPr="00DB7D82">
        <w:rPr>
          <w:rFonts w:ascii="Book Antiqua" w:hAnsi="Book Antiqua"/>
          <w:b/>
          <w:sz w:val="24"/>
          <w:szCs w:val="24"/>
        </w:rPr>
        <w:t>Meng WC</w:t>
      </w:r>
      <w:r w:rsidRPr="00DB7D82">
        <w:rPr>
          <w:rFonts w:ascii="Book Antiqua" w:hAnsi="Book Antiqua"/>
          <w:sz w:val="24"/>
          <w:szCs w:val="24"/>
        </w:rPr>
        <w:t xml:space="preserve">, Kwok SP, Leung KL, Chung CC, Lau WY, Li AK. Optimal position of working ports in laparoscopic surgery: an in vitro study. </w:t>
      </w:r>
      <w:r w:rsidRPr="00DB7D82">
        <w:rPr>
          <w:rFonts w:ascii="Book Antiqua" w:hAnsi="Book Antiqua"/>
          <w:i/>
          <w:sz w:val="24"/>
          <w:szCs w:val="24"/>
        </w:rPr>
        <w:t>Surg Laparosc Endosc</w:t>
      </w:r>
      <w:r w:rsidRPr="00DB7D82">
        <w:rPr>
          <w:rFonts w:ascii="Book Antiqua" w:hAnsi="Book Antiqua"/>
          <w:sz w:val="24"/>
          <w:szCs w:val="24"/>
        </w:rPr>
        <w:t xml:space="preserve"> 1996; </w:t>
      </w:r>
      <w:r w:rsidRPr="00DB7D82">
        <w:rPr>
          <w:rFonts w:ascii="Book Antiqua" w:hAnsi="Book Antiqua"/>
          <w:b/>
          <w:sz w:val="24"/>
          <w:szCs w:val="24"/>
        </w:rPr>
        <w:t>6</w:t>
      </w:r>
      <w:r w:rsidRPr="00DB7D82">
        <w:rPr>
          <w:rFonts w:ascii="Book Antiqua" w:hAnsi="Book Antiqua"/>
          <w:sz w:val="24"/>
          <w:szCs w:val="24"/>
        </w:rPr>
        <w:t>: 278-281 [PMID: 8840449 DOI: 10.1097/00019509-199608000-00006]</w:t>
      </w:r>
    </w:p>
    <w:p w14:paraId="105A16DD"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lastRenderedPageBreak/>
        <w:t xml:space="preserve">51 </w:t>
      </w:r>
      <w:r w:rsidRPr="00DB7D82">
        <w:rPr>
          <w:rFonts w:ascii="Book Antiqua" w:hAnsi="Book Antiqua"/>
          <w:b/>
          <w:sz w:val="24"/>
          <w:szCs w:val="24"/>
        </w:rPr>
        <w:t>Fingerhut A</w:t>
      </w:r>
      <w:r w:rsidRPr="00DB7D82">
        <w:rPr>
          <w:rFonts w:ascii="Book Antiqua" w:hAnsi="Book Antiqua"/>
          <w:sz w:val="24"/>
          <w:szCs w:val="24"/>
        </w:rPr>
        <w:t xml:space="preserve">, Hanna GB, Veyrie N, Ferzli G, Millat B, Alexakis N, Leandros E. Optimal trocar placement for ergonomic intracorporeal sewing and knotting in laparoscopic hiatal surgery. </w:t>
      </w:r>
      <w:r w:rsidRPr="00DB7D82">
        <w:rPr>
          <w:rFonts w:ascii="Book Antiqua" w:hAnsi="Book Antiqua"/>
          <w:i/>
          <w:sz w:val="24"/>
          <w:szCs w:val="24"/>
        </w:rPr>
        <w:t>Am J Surg</w:t>
      </w:r>
      <w:r w:rsidRPr="00DB7D82">
        <w:rPr>
          <w:rFonts w:ascii="Book Antiqua" w:hAnsi="Book Antiqua"/>
          <w:sz w:val="24"/>
          <w:szCs w:val="24"/>
        </w:rPr>
        <w:t xml:space="preserve"> 2010; </w:t>
      </w:r>
      <w:r w:rsidRPr="00DB7D82">
        <w:rPr>
          <w:rFonts w:ascii="Book Antiqua" w:hAnsi="Book Antiqua"/>
          <w:b/>
          <w:sz w:val="24"/>
          <w:szCs w:val="24"/>
        </w:rPr>
        <w:t>200</w:t>
      </w:r>
      <w:r w:rsidRPr="00DB7D82">
        <w:rPr>
          <w:rFonts w:ascii="Book Antiqua" w:hAnsi="Book Antiqua"/>
          <w:sz w:val="24"/>
          <w:szCs w:val="24"/>
        </w:rPr>
        <w:t>: 519-528 [PMID: 20638045 DOI: 10.1016/j.amjsurg.2010.01.029]</w:t>
      </w:r>
    </w:p>
    <w:p w14:paraId="6B2BC68B"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52 </w:t>
      </w:r>
      <w:r w:rsidRPr="00DB7D82">
        <w:rPr>
          <w:rFonts w:ascii="Book Antiqua" w:hAnsi="Book Antiqua"/>
          <w:b/>
          <w:sz w:val="24"/>
          <w:szCs w:val="24"/>
        </w:rPr>
        <w:t>Riggle JD</w:t>
      </w:r>
      <w:r w:rsidRPr="00DB7D82">
        <w:rPr>
          <w:rFonts w:ascii="Book Antiqua" w:hAnsi="Book Antiqua"/>
          <w:sz w:val="24"/>
          <w:szCs w:val="24"/>
        </w:rPr>
        <w:t xml:space="preserve">, Miller EE, McCrory B, Meitl A, Lim E, Hallbeck MS, LaGrange CA. Ergonomic comparison of laparoscopic hand instruments in a single site surgery simulator with novices. </w:t>
      </w:r>
      <w:r w:rsidRPr="00DB7D82">
        <w:rPr>
          <w:rFonts w:ascii="Book Antiqua" w:hAnsi="Book Antiqua"/>
          <w:i/>
          <w:sz w:val="24"/>
          <w:szCs w:val="24"/>
        </w:rPr>
        <w:t>Minim Invasive Ther Allied Technol</w:t>
      </w:r>
      <w:r w:rsidRPr="00DB7D82">
        <w:rPr>
          <w:rFonts w:ascii="Book Antiqua" w:hAnsi="Book Antiqua"/>
          <w:sz w:val="24"/>
          <w:szCs w:val="24"/>
        </w:rPr>
        <w:t xml:space="preserve"> 2015; </w:t>
      </w:r>
      <w:r w:rsidRPr="00DB7D82">
        <w:rPr>
          <w:rFonts w:ascii="Book Antiqua" w:hAnsi="Book Antiqua"/>
          <w:b/>
          <w:sz w:val="24"/>
          <w:szCs w:val="24"/>
        </w:rPr>
        <w:t>24</w:t>
      </w:r>
      <w:r w:rsidRPr="00DB7D82">
        <w:rPr>
          <w:rFonts w:ascii="Book Antiqua" w:hAnsi="Book Antiqua"/>
          <w:sz w:val="24"/>
          <w:szCs w:val="24"/>
        </w:rPr>
        <w:t>: 68-76 [PMID: 25142199 DOI: 10.3109/13645706.2014.946426]</w:t>
      </w:r>
    </w:p>
    <w:p w14:paraId="096CAD6C"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53 </w:t>
      </w:r>
      <w:r w:rsidRPr="00DB7D82">
        <w:rPr>
          <w:rFonts w:ascii="Book Antiqua" w:hAnsi="Book Antiqua"/>
          <w:b/>
          <w:sz w:val="24"/>
          <w:szCs w:val="24"/>
        </w:rPr>
        <w:t>Sánchez-Margallo FM</w:t>
      </w:r>
      <w:r w:rsidRPr="00DB7D82">
        <w:rPr>
          <w:rFonts w:ascii="Book Antiqua" w:hAnsi="Book Antiqua"/>
          <w:sz w:val="24"/>
          <w:szCs w:val="24"/>
        </w:rPr>
        <w:t xml:space="preserve">, Matos-Azevedo AM, Pérez-Duarte FJ, Enciso S, Martín-Portugués ID. Performance analysis on physical simulator of four different instrument setups in laparo-endoscopic single-site (LESS) surgery. </w:t>
      </w:r>
      <w:r w:rsidRPr="00DB7D82">
        <w:rPr>
          <w:rFonts w:ascii="Book Antiqua" w:hAnsi="Book Antiqua"/>
          <w:i/>
          <w:sz w:val="24"/>
          <w:szCs w:val="24"/>
        </w:rPr>
        <w:t>Surg Endosc</w:t>
      </w:r>
      <w:r w:rsidRPr="00DB7D82">
        <w:rPr>
          <w:rFonts w:ascii="Book Antiqua" w:hAnsi="Book Antiqua"/>
          <w:sz w:val="24"/>
          <w:szCs w:val="24"/>
        </w:rPr>
        <w:t xml:space="preserve"> 2014; </w:t>
      </w:r>
      <w:r w:rsidRPr="00DB7D82">
        <w:rPr>
          <w:rFonts w:ascii="Book Antiqua" w:hAnsi="Book Antiqua"/>
          <w:b/>
          <w:sz w:val="24"/>
          <w:szCs w:val="24"/>
        </w:rPr>
        <w:t>28</w:t>
      </w:r>
      <w:r w:rsidRPr="00DB7D82">
        <w:rPr>
          <w:rFonts w:ascii="Book Antiqua" w:hAnsi="Book Antiqua"/>
          <w:sz w:val="24"/>
          <w:szCs w:val="24"/>
        </w:rPr>
        <w:t>: 1479-1488 [PMID: 24357421 DOI: 10.1007/s00464-013-3337-1]</w:t>
      </w:r>
    </w:p>
    <w:p w14:paraId="2945C381" w14:textId="77777777"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54 </w:t>
      </w:r>
      <w:r w:rsidRPr="00DB7D82">
        <w:rPr>
          <w:rFonts w:ascii="Book Antiqua" w:hAnsi="Book Antiqua"/>
          <w:b/>
          <w:sz w:val="24"/>
          <w:szCs w:val="24"/>
        </w:rPr>
        <w:t>Dapri G</w:t>
      </w:r>
      <w:r w:rsidRPr="00DB7D82">
        <w:rPr>
          <w:rFonts w:ascii="Book Antiqua" w:hAnsi="Book Antiqua"/>
          <w:sz w:val="24"/>
          <w:szCs w:val="24"/>
        </w:rPr>
        <w:t xml:space="preserve">, Casali L, Bruyns J, Himpens J, Cadiere GB. Single-access laparoscopic surgery using new curved reusable instruments: initial hundred patients. </w:t>
      </w:r>
      <w:r w:rsidRPr="00DB7D82">
        <w:rPr>
          <w:rFonts w:ascii="Book Antiqua" w:hAnsi="Book Antiqua"/>
          <w:i/>
          <w:sz w:val="24"/>
          <w:szCs w:val="24"/>
        </w:rPr>
        <w:t>Surg Technol Int</w:t>
      </w:r>
      <w:r w:rsidRPr="00DB7D82">
        <w:rPr>
          <w:rFonts w:ascii="Book Antiqua" w:hAnsi="Book Antiqua"/>
          <w:sz w:val="24"/>
          <w:szCs w:val="24"/>
        </w:rPr>
        <w:t xml:space="preserve"> 2010; </w:t>
      </w:r>
      <w:r w:rsidRPr="00DB7D82">
        <w:rPr>
          <w:rFonts w:ascii="Book Antiqua" w:hAnsi="Book Antiqua"/>
          <w:b/>
          <w:sz w:val="24"/>
          <w:szCs w:val="24"/>
        </w:rPr>
        <w:t>20</w:t>
      </w:r>
      <w:r w:rsidRPr="00DB7D82">
        <w:rPr>
          <w:rFonts w:ascii="Book Antiqua" w:hAnsi="Book Antiqua"/>
          <w:sz w:val="24"/>
          <w:szCs w:val="24"/>
        </w:rPr>
        <w:t>: 21-35 [PMID: 21082545 DOI: 10.1007/s00464-011-1678-1]</w:t>
      </w:r>
    </w:p>
    <w:p w14:paraId="4BD4FDC2" w14:textId="2776531A" w:rsidR="00045198" w:rsidRPr="00DB7D82" w:rsidRDefault="00045198" w:rsidP="00DB7D82">
      <w:pPr>
        <w:spacing w:after="0" w:line="360" w:lineRule="auto"/>
        <w:jc w:val="both"/>
        <w:rPr>
          <w:rFonts w:ascii="Book Antiqua" w:hAnsi="Book Antiqua"/>
          <w:b/>
          <w:bCs/>
          <w:sz w:val="24"/>
          <w:szCs w:val="24"/>
          <w:lang w:val="en-US"/>
        </w:rPr>
      </w:pPr>
    </w:p>
    <w:p w14:paraId="3BACE0F7" w14:textId="70525062" w:rsidR="00192CF1" w:rsidRPr="000B677E" w:rsidRDefault="00192CF1" w:rsidP="000B677E">
      <w:pPr>
        <w:pStyle w:val="PlainText"/>
        <w:spacing w:line="360" w:lineRule="auto"/>
        <w:jc w:val="right"/>
        <w:rPr>
          <w:rFonts w:ascii="Book Antiqua" w:hAnsi="Book Antiqua"/>
          <w:b/>
          <w:sz w:val="24"/>
          <w:szCs w:val="24"/>
        </w:rPr>
      </w:pPr>
      <w:r w:rsidRPr="000B677E">
        <w:rPr>
          <w:rFonts w:ascii="Book Antiqua" w:hAnsi="Book Antiqua"/>
          <w:b/>
          <w:sz w:val="24"/>
          <w:szCs w:val="24"/>
        </w:rPr>
        <w:t xml:space="preserve">P-Reviewer: </w:t>
      </w:r>
      <w:proofErr w:type="spellStart"/>
      <w:r w:rsidR="001E159B" w:rsidRPr="000B677E">
        <w:rPr>
          <w:rFonts w:ascii="Book Antiqua" w:hAnsi="Book Antiqua"/>
          <w:color w:val="000000"/>
          <w:sz w:val="24"/>
          <w:szCs w:val="24"/>
        </w:rPr>
        <w:t>Amornyotin</w:t>
      </w:r>
      <w:proofErr w:type="spellEnd"/>
      <w:r w:rsidR="001E159B" w:rsidRPr="000B677E">
        <w:rPr>
          <w:rFonts w:ascii="Book Antiqua" w:hAnsi="Book Antiqua"/>
          <w:color w:val="000000"/>
          <w:sz w:val="24"/>
          <w:szCs w:val="24"/>
        </w:rPr>
        <w:t xml:space="preserve"> S, </w:t>
      </w:r>
      <w:proofErr w:type="spellStart"/>
      <w:r w:rsidR="001E159B" w:rsidRPr="000B677E">
        <w:rPr>
          <w:rFonts w:ascii="Book Antiqua" w:hAnsi="Book Antiqua"/>
          <w:color w:val="000000"/>
          <w:sz w:val="24"/>
          <w:szCs w:val="24"/>
        </w:rPr>
        <w:t>Morini</w:t>
      </w:r>
      <w:proofErr w:type="spellEnd"/>
      <w:r w:rsidR="001E159B" w:rsidRPr="000B677E">
        <w:rPr>
          <w:rFonts w:ascii="Book Antiqua" w:hAnsi="Book Antiqua"/>
          <w:color w:val="000000"/>
          <w:sz w:val="24"/>
          <w:szCs w:val="24"/>
        </w:rPr>
        <w:t xml:space="preserve"> S </w:t>
      </w:r>
      <w:r w:rsidRPr="000B677E">
        <w:rPr>
          <w:rFonts w:ascii="Book Antiqua" w:hAnsi="Book Antiqua"/>
          <w:b/>
          <w:sz w:val="24"/>
          <w:szCs w:val="24"/>
        </w:rPr>
        <w:t xml:space="preserve">S-Editor: </w:t>
      </w:r>
      <w:r w:rsidRPr="000B677E">
        <w:rPr>
          <w:rFonts w:ascii="Book Antiqua" w:hAnsi="Book Antiqua"/>
          <w:sz w:val="24"/>
          <w:szCs w:val="24"/>
        </w:rPr>
        <w:t>Ji FF</w:t>
      </w:r>
      <w:r w:rsidRPr="000B677E">
        <w:rPr>
          <w:rFonts w:ascii="Book Antiqua" w:hAnsi="Book Antiqua"/>
          <w:b/>
          <w:sz w:val="24"/>
          <w:szCs w:val="24"/>
        </w:rPr>
        <w:t xml:space="preserve"> L-Editor: E-Editor: </w:t>
      </w:r>
    </w:p>
    <w:p w14:paraId="723F315A" w14:textId="77777777" w:rsidR="00192CF1" w:rsidRPr="00DB7D82" w:rsidRDefault="00192CF1" w:rsidP="00DB7D82">
      <w:pPr>
        <w:pStyle w:val="PlainText"/>
        <w:spacing w:line="360" w:lineRule="auto"/>
        <w:rPr>
          <w:rFonts w:ascii="Book Antiqua" w:hAnsi="Book Antiqua"/>
          <w:b/>
          <w:sz w:val="24"/>
          <w:szCs w:val="24"/>
        </w:rPr>
      </w:pPr>
      <w:r w:rsidRPr="00DB7D82">
        <w:rPr>
          <w:rFonts w:ascii="Book Antiqua" w:hAnsi="Book Antiqua"/>
          <w:b/>
          <w:sz w:val="24"/>
          <w:szCs w:val="24"/>
        </w:rPr>
        <w:t xml:space="preserve"> </w:t>
      </w:r>
    </w:p>
    <w:p w14:paraId="7D5550CA" w14:textId="77777777" w:rsidR="00192CF1" w:rsidRPr="00DB7D82" w:rsidRDefault="00192CF1" w:rsidP="00DB7D82">
      <w:pPr>
        <w:snapToGrid w:val="0"/>
        <w:spacing w:after="0" w:line="360" w:lineRule="auto"/>
        <w:jc w:val="both"/>
        <w:rPr>
          <w:rFonts w:ascii="Book Antiqua" w:hAnsi="Book Antiqua" w:cs="Helvetica"/>
          <w:b/>
          <w:sz w:val="24"/>
          <w:szCs w:val="24"/>
        </w:rPr>
      </w:pPr>
      <w:r w:rsidRPr="00DB7D82">
        <w:rPr>
          <w:rFonts w:ascii="Book Antiqua" w:hAnsi="Book Antiqua" w:cs="Helvetica"/>
          <w:b/>
          <w:sz w:val="24"/>
          <w:szCs w:val="24"/>
        </w:rPr>
        <w:t xml:space="preserve">Specialty type: </w:t>
      </w:r>
      <w:r w:rsidRPr="00DB7D82">
        <w:rPr>
          <w:rFonts w:ascii="Book Antiqua" w:hAnsi="Book Antiqua" w:cs="Helvetica"/>
          <w:sz w:val="24"/>
          <w:szCs w:val="24"/>
        </w:rPr>
        <w:t>Gastroenterology and hepatology</w:t>
      </w:r>
    </w:p>
    <w:p w14:paraId="4D094267" w14:textId="7CECBC72" w:rsidR="00192CF1" w:rsidRPr="00DB7D82" w:rsidRDefault="00192CF1" w:rsidP="00DB7D82">
      <w:pPr>
        <w:snapToGrid w:val="0"/>
        <w:spacing w:after="0" w:line="360" w:lineRule="auto"/>
        <w:jc w:val="both"/>
        <w:rPr>
          <w:rFonts w:ascii="Book Antiqua" w:hAnsi="Book Antiqua" w:cs="Helvetica"/>
          <w:b/>
          <w:sz w:val="24"/>
          <w:szCs w:val="24"/>
        </w:rPr>
      </w:pPr>
      <w:r w:rsidRPr="00DB7D82">
        <w:rPr>
          <w:rFonts w:ascii="Book Antiqua" w:hAnsi="Book Antiqua" w:cs="Helvetica"/>
          <w:b/>
          <w:sz w:val="24"/>
          <w:szCs w:val="24"/>
        </w:rPr>
        <w:t xml:space="preserve">Country of origin: </w:t>
      </w:r>
      <w:r w:rsidR="001E159B" w:rsidRPr="00DB7D82">
        <w:rPr>
          <w:rFonts w:ascii="Book Antiqua" w:hAnsi="Book Antiqua"/>
          <w:sz w:val="24"/>
          <w:szCs w:val="24"/>
        </w:rPr>
        <w:t>Greece</w:t>
      </w:r>
    </w:p>
    <w:p w14:paraId="77454E58" w14:textId="77777777" w:rsidR="00192CF1" w:rsidRPr="00DB7D82" w:rsidRDefault="00192CF1" w:rsidP="00DB7D82">
      <w:pPr>
        <w:snapToGrid w:val="0"/>
        <w:spacing w:after="0" w:line="360" w:lineRule="auto"/>
        <w:jc w:val="both"/>
        <w:rPr>
          <w:rFonts w:ascii="Book Antiqua" w:hAnsi="Book Antiqua" w:cs="Helvetica"/>
          <w:b/>
          <w:sz w:val="24"/>
          <w:szCs w:val="24"/>
        </w:rPr>
      </w:pPr>
      <w:r w:rsidRPr="00DB7D82">
        <w:rPr>
          <w:rFonts w:ascii="Book Antiqua" w:hAnsi="Book Antiqua" w:cs="Helvetica"/>
          <w:b/>
          <w:sz w:val="24"/>
          <w:szCs w:val="24"/>
        </w:rPr>
        <w:t>Peer-review report classification</w:t>
      </w:r>
    </w:p>
    <w:p w14:paraId="38DB7982" w14:textId="0BBF28E1" w:rsidR="00192CF1" w:rsidRPr="00DB7D82" w:rsidRDefault="00192CF1" w:rsidP="00DB7D82">
      <w:pPr>
        <w:snapToGrid w:val="0"/>
        <w:spacing w:after="0" w:line="360" w:lineRule="auto"/>
        <w:jc w:val="both"/>
        <w:rPr>
          <w:rFonts w:ascii="Book Antiqua" w:hAnsi="Book Antiqua" w:cs="Helvetica"/>
          <w:sz w:val="24"/>
          <w:szCs w:val="24"/>
          <w:lang w:eastAsia="zh-CN"/>
        </w:rPr>
      </w:pPr>
      <w:r w:rsidRPr="00DB7D82">
        <w:rPr>
          <w:rFonts w:ascii="Book Antiqua" w:hAnsi="Book Antiqua" w:cs="Helvetica"/>
          <w:sz w:val="24"/>
          <w:szCs w:val="24"/>
        </w:rPr>
        <w:t xml:space="preserve">Grade A (Excellent): </w:t>
      </w:r>
      <w:r w:rsidR="001E159B" w:rsidRPr="00DB7D82">
        <w:rPr>
          <w:rFonts w:ascii="Book Antiqua" w:hAnsi="Book Antiqua" w:cs="Helvetica"/>
          <w:sz w:val="24"/>
          <w:szCs w:val="24"/>
          <w:lang w:eastAsia="zh-CN"/>
        </w:rPr>
        <w:t>0</w:t>
      </w:r>
    </w:p>
    <w:p w14:paraId="56D14DA9" w14:textId="0E478F9E" w:rsidR="00192CF1" w:rsidRPr="00DB7D82" w:rsidRDefault="00192CF1" w:rsidP="00DB7D82">
      <w:pPr>
        <w:snapToGrid w:val="0"/>
        <w:spacing w:after="0" w:line="360" w:lineRule="auto"/>
        <w:jc w:val="both"/>
        <w:rPr>
          <w:rFonts w:ascii="Book Antiqua" w:hAnsi="Book Antiqua" w:cs="Helvetica"/>
          <w:sz w:val="24"/>
          <w:szCs w:val="24"/>
          <w:lang w:eastAsia="zh-CN"/>
        </w:rPr>
      </w:pPr>
      <w:r w:rsidRPr="00DB7D82">
        <w:rPr>
          <w:rFonts w:ascii="Book Antiqua" w:hAnsi="Book Antiqua" w:cs="Helvetica"/>
          <w:sz w:val="24"/>
          <w:szCs w:val="24"/>
        </w:rPr>
        <w:t xml:space="preserve">Grade B (Very good): </w:t>
      </w:r>
      <w:r w:rsidR="001E159B" w:rsidRPr="00DB7D82">
        <w:rPr>
          <w:rFonts w:ascii="Book Antiqua" w:hAnsi="Book Antiqua" w:cs="Helvetica"/>
          <w:sz w:val="24"/>
          <w:szCs w:val="24"/>
          <w:lang w:eastAsia="zh-CN"/>
        </w:rPr>
        <w:t>0</w:t>
      </w:r>
    </w:p>
    <w:p w14:paraId="369D39A4" w14:textId="6A5D4928" w:rsidR="00192CF1" w:rsidRPr="00DB7D82" w:rsidRDefault="00192CF1" w:rsidP="00DB7D82">
      <w:pPr>
        <w:snapToGrid w:val="0"/>
        <w:spacing w:after="0" w:line="360" w:lineRule="auto"/>
        <w:jc w:val="both"/>
        <w:rPr>
          <w:rFonts w:ascii="Book Antiqua" w:hAnsi="Book Antiqua" w:cs="Helvetica"/>
          <w:sz w:val="24"/>
          <w:szCs w:val="24"/>
          <w:lang w:eastAsia="zh-CN"/>
        </w:rPr>
      </w:pPr>
      <w:r w:rsidRPr="00DB7D82">
        <w:rPr>
          <w:rFonts w:ascii="Book Antiqua" w:hAnsi="Book Antiqua" w:cs="Helvetica"/>
          <w:sz w:val="24"/>
          <w:szCs w:val="24"/>
        </w:rPr>
        <w:t>Grade C (Good): C</w:t>
      </w:r>
      <w:r w:rsidR="001E159B" w:rsidRPr="00DB7D82">
        <w:rPr>
          <w:rFonts w:ascii="Book Antiqua" w:hAnsi="Book Antiqua" w:cs="Helvetica"/>
          <w:sz w:val="24"/>
          <w:szCs w:val="24"/>
          <w:lang w:eastAsia="zh-CN"/>
        </w:rPr>
        <w:t>, C</w:t>
      </w:r>
    </w:p>
    <w:p w14:paraId="48B91BF9" w14:textId="77777777" w:rsidR="00192CF1" w:rsidRPr="00DB7D82" w:rsidRDefault="00192CF1" w:rsidP="00DB7D82">
      <w:pPr>
        <w:snapToGrid w:val="0"/>
        <w:spacing w:after="0" w:line="360" w:lineRule="auto"/>
        <w:jc w:val="both"/>
        <w:rPr>
          <w:rFonts w:ascii="Book Antiqua" w:hAnsi="Book Antiqua" w:cs="Helvetica"/>
          <w:sz w:val="24"/>
          <w:szCs w:val="24"/>
        </w:rPr>
      </w:pPr>
      <w:r w:rsidRPr="00DB7D82">
        <w:rPr>
          <w:rFonts w:ascii="Book Antiqua" w:hAnsi="Book Antiqua" w:cs="Helvetica"/>
          <w:sz w:val="24"/>
          <w:szCs w:val="24"/>
        </w:rPr>
        <w:t xml:space="preserve">Grade D (Fair): 0 </w:t>
      </w:r>
    </w:p>
    <w:p w14:paraId="4517E653" w14:textId="0072FFAB" w:rsidR="006E1453" w:rsidRPr="00DB7D82" w:rsidRDefault="00192CF1" w:rsidP="00DB7D82">
      <w:pPr>
        <w:spacing w:after="0" w:line="360" w:lineRule="auto"/>
        <w:jc w:val="both"/>
        <w:rPr>
          <w:rFonts w:ascii="Book Antiqua" w:hAnsi="Book Antiqua"/>
          <w:b/>
          <w:bCs/>
          <w:sz w:val="24"/>
          <w:szCs w:val="24"/>
          <w:lang w:val="en-US"/>
        </w:rPr>
      </w:pPr>
      <w:r w:rsidRPr="00DB7D82">
        <w:rPr>
          <w:rFonts w:ascii="Book Antiqua" w:hAnsi="Book Antiqua" w:cs="Helvetica"/>
          <w:sz w:val="24"/>
          <w:szCs w:val="24"/>
        </w:rPr>
        <w:t>Grade E (Poor): 0</w:t>
      </w:r>
    </w:p>
    <w:p w14:paraId="1021E178" w14:textId="77777777" w:rsidR="006E1453" w:rsidRPr="001E159B" w:rsidRDefault="00C360E9" w:rsidP="004647EC">
      <w:pPr>
        <w:autoSpaceDE w:val="0"/>
        <w:autoSpaceDN w:val="0"/>
        <w:adjustRightInd w:val="0"/>
        <w:spacing w:after="0" w:line="360" w:lineRule="auto"/>
        <w:jc w:val="both"/>
        <w:rPr>
          <w:rFonts w:ascii="Book Antiqua" w:hAnsi="Book Antiqua"/>
          <w:b/>
          <w:bCs/>
          <w:sz w:val="21"/>
          <w:szCs w:val="21"/>
          <w:lang w:val="en-US"/>
        </w:rPr>
      </w:pPr>
      <w:r w:rsidRPr="001E159B">
        <w:rPr>
          <w:rFonts w:ascii="Book Antiqua" w:hAnsi="Book Antiqua"/>
          <w:b/>
          <w:bCs/>
          <w:sz w:val="21"/>
          <w:szCs w:val="21"/>
          <w:lang w:val="en-US"/>
        </w:rPr>
        <w:br w:type="page"/>
      </w:r>
    </w:p>
    <w:p w14:paraId="3166E2EE" w14:textId="77777777" w:rsidR="001E159B" w:rsidRPr="00951F70" w:rsidRDefault="006C269C" w:rsidP="001E159B">
      <w:pPr>
        <w:rPr>
          <w:lang w:val="en-US"/>
        </w:rPr>
      </w:pPr>
      <w:r>
        <w:rPr>
          <w:noProof/>
          <w:sz w:val="24"/>
          <w:szCs w:val="24"/>
          <w:lang w:eastAsia="el-GR"/>
        </w:rPr>
        <w:lastRenderedPageBreak/>
        <mc:AlternateContent>
          <mc:Choice Requires="wps">
            <w:drawing>
              <wp:anchor distT="36575" distB="36575" distL="36576" distR="36576" simplePos="0" relativeHeight="251673600" behindDoc="0" locked="0" layoutInCell="1" allowOverlap="1" wp14:anchorId="70675CD5">
                <wp:simplePos x="0" y="0"/>
                <wp:positionH relativeFrom="column">
                  <wp:posOffset>3578225</wp:posOffset>
                </wp:positionH>
                <wp:positionV relativeFrom="paragraph">
                  <wp:posOffset>4665979</wp:posOffset>
                </wp:positionV>
                <wp:extent cx="756285" cy="0"/>
                <wp:effectExtent l="0" t="63500" r="0" b="63500"/>
                <wp:wrapNone/>
                <wp:docPr id="19" name="Ευθύγραμμο βέλος σύνδεσης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628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DC2EC9" id="_x0000_t32" coordsize="21600,21600" o:spt="32" o:oned="t" path="m,l21600,21600e" filled="f">
                <v:path arrowok="t" fillok="f" o:connecttype="none"/>
                <o:lock v:ext="edit" shapetype="t"/>
              </v:shapetype>
              <v:shape id="Ευθύγραμμο βέλος σύνδεσης 19" o:spid="_x0000_s1026" type="#_x0000_t32" style="position:absolute;margin-left:281.75pt;margin-top:367.4pt;width:59.55pt;height:0;z-index:25167360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">
                <v:stroke endarrow="block"/>
                <v:shadow color="#ccc"/>
                <o:lock v:ext="edit" shapetype="f"/>
              </v:shape>
            </w:pict>
          </mc:Fallback>
        </mc:AlternateContent>
      </w:r>
      <w:r>
        <w:rPr>
          <w:noProof/>
          <w:sz w:val="24"/>
          <w:szCs w:val="24"/>
          <w:lang w:eastAsia="el-GR"/>
        </w:rPr>
        <mc:AlternateContent>
          <mc:Choice Requires="wps">
            <w:drawing>
              <wp:anchor distT="36575" distB="36575" distL="36576" distR="36576" simplePos="0" relativeHeight="251672576" behindDoc="0" locked="0" layoutInCell="1" allowOverlap="1" wp14:anchorId="48614872">
                <wp:simplePos x="0" y="0"/>
                <wp:positionH relativeFrom="column">
                  <wp:posOffset>3556000</wp:posOffset>
                </wp:positionH>
                <wp:positionV relativeFrom="paragraph">
                  <wp:posOffset>3094989</wp:posOffset>
                </wp:positionV>
                <wp:extent cx="778510" cy="0"/>
                <wp:effectExtent l="0" t="63500" r="0" b="63500"/>
                <wp:wrapNone/>
                <wp:docPr id="18" name="Ευθύγραμμο βέλος σύνδεσης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85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A465EE" id="Ευθύγραμμο βέλος σύνδεσης 18" o:spid="_x0000_s1026" type="#_x0000_t32" style="position:absolute;margin-left:280pt;margin-top:243.7pt;width:61.3pt;height:0;z-index:25167257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">
                <v:stroke endarrow="block"/>
                <v:shadow color="#ccc"/>
                <o:lock v:ext="edit" shapetype="f"/>
              </v:shape>
            </w:pict>
          </mc:Fallback>
        </mc:AlternateContent>
      </w:r>
      <w:r>
        <w:rPr>
          <w:noProof/>
          <w:sz w:val="24"/>
          <w:szCs w:val="24"/>
          <w:lang w:eastAsia="el-GR"/>
        </w:rPr>
        <mc:AlternateContent>
          <mc:Choice Requires="wps">
            <w:drawing>
              <wp:anchor distT="36576" distB="36576" distL="36575" distR="36575" simplePos="0" relativeHeight="251669504" behindDoc="0" locked="0" layoutInCell="1" allowOverlap="1" wp14:anchorId="57251B00">
                <wp:simplePos x="0" y="0"/>
                <wp:positionH relativeFrom="column">
                  <wp:posOffset>2720974</wp:posOffset>
                </wp:positionH>
                <wp:positionV relativeFrom="paragraph">
                  <wp:posOffset>2419985</wp:posOffset>
                </wp:positionV>
                <wp:extent cx="0" cy="372110"/>
                <wp:effectExtent l="63500" t="0" r="25400" b="21590"/>
                <wp:wrapNone/>
                <wp:docPr id="17" name="Ευθύγραμμο βέλος σύνδεσης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721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F6A3BB" id="Ευθύγραμμο βέλος σύνδεσης 17" o:spid="_x0000_s1026" type="#_x0000_t32" style="position:absolute;margin-left:214.25pt;margin-top:190.55pt;width:0;height:29.3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">
                <v:stroke endarrow="block"/>
                <v:shadow color="#ccc"/>
                <o:lock v:ext="edit" shapetype="f"/>
              </v:shape>
            </w:pict>
          </mc:Fallback>
        </mc:AlternateContent>
      </w:r>
      <w:r>
        <w:rPr>
          <w:noProof/>
          <w:sz w:val="24"/>
          <w:szCs w:val="24"/>
          <w:lang w:eastAsia="el-GR"/>
        </w:rPr>
        <mc:AlternateContent>
          <mc:Choice Requires="wps">
            <w:drawing>
              <wp:anchor distT="0" distB="0" distL="114300" distR="114300" simplePos="0" relativeHeight="251664384" behindDoc="0" locked="0" layoutInCell="1" allowOverlap="1" wp14:anchorId="4589A3D2">
                <wp:simplePos x="0" y="0"/>
                <wp:positionH relativeFrom="column">
                  <wp:posOffset>1885950</wp:posOffset>
                </wp:positionH>
                <wp:positionV relativeFrom="paragraph">
                  <wp:posOffset>2792095</wp:posOffset>
                </wp:positionV>
                <wp:extent cx="1670050" cy="571500"/>
                <wp:effectExtent l="0" t="0" r="6350" b="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0A0EC5F0" w14:textId="0330174D" w:rsidR="00BA4F98" w:rsidRPr="001E159B" w:rsidRDefault="00BA4F98" w:rsidP="001E159B">
                            <w:pPr>
                              <w:jc w:val="center"/>
                              <w:rPr>
                                <w:rFonts w:ascii="Book Antiqua" w:hAnsi="Book Antiqua"/>
                              </w:rPr>
                            </w:pPr>
                            <w:r w:rsidRPr="001E159B">
                              <w:rPr>
                                <w:rFonts w:ascii="Book Antiqua" w:hAnsi="Book Antiqua"/>
                              </w:rPr>
                              <w:t xml:space="preserve">Records screened </w:t>
                            </w:r>
                            <w:r w:rsidRPr="001E159B">
                              <w:rPr>
                                <w:rFonts w:ascii="Book Antiqua" w:hAnsi="Book Antiqua"/>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rPr>
                              <w:t>1444)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9A3D2" id="Ορθογώνιο 16" o:spid="_x0000_s1026" style="position:absolute;margin-left:148.5pt;margin-top:219.85pt;width:131.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">
                <v:path arrowok="t"/>
                <v:textbox inset=",7.2pt,,7.2pt">
                  <w:txbxContent>
                    <w:p w14:paraId="0A0EC5F0" w14:textId="0330174D" w:rsidR="00BA4F98" w:rsidRPr="001E159B" w:rsidRDefault="00BA4F98" w:rsidP="001E159B">
                      <w:pPr>
                        <w:jc w:val="center"/>
                        <w:rPr>
                          <w:rFonts w:ascii="Book Antiqua" w:hAnsi="Book Antiqua"/>
                        </w:rPr>
                      </w:pPr>
                      <w:r w:rsidRPr="001E159B">
                        <w:rPr>
                          <w:rFonts w:ascii="Book Antiqua" w:hAnsi="Book Antiqua"/>
                        </w:rPr>
                        <w:t xml:space="preserve">Records screened </w:t>
                      </w:r>
                      <w:r w:rsidRPr="001E159B">
                        <w:rPr>
                          <w:rFonts w:ascii="Book Antiqua" w:hAnsi="Book Antiqua"/>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rPr>
                        <w:t>1444)</w:t>
                      </w:r>
                    </w:p>
                  </w:txbxContent>
                </v:textbox>
              </v:rect>
            </w:pict>
          </mc:Fallback>
        </mc:AlternateContent>
      </w:r>
      <w:r>
        <w:rPr>
          <w:noProof/>
          <w:sz w:val="24"/>
          <w:szCs w:val="24"/>
          <w:lang w:eastAsia="el-GR"/>
        </w:rPr>
        <mc:AlternateContent>
          <mc:Choice Requires="wps">
            <w:drawing>
              <wp:anchor distT="36576" distB="36576" distL="36575" distR="36575" simplePos="0" relativeHeight="251670528" behindDoc="0" locked="0" layoutInCell="1" allowOverlap="1" wp14:anchorId="4C5E7A71">
                <wp:simplePos x="0" y="0"/>
                <wp:positionH relativeFrom="column">
                  <wp:posOffset>2720974</wp:posOffset>
                </wp:positionH>
                <wp:positionV relativeFrom="paragraph">
                  <wp:posOffset>3363595</wp:posOffset>
                </wp:positionV>
                <wp:extent cx="0" cy="970280"/>
                <wp:effectExtent l="63500" t="0" r="25400" b="20320"/>
                <wp:wrapNone/>
                <wp:docPr id="15" name="Ευθύγραμμο βέλος σύνδεσης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702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2B0231" id="Ευθύγραμμο βέλος σύνδεσης 15" o:spid="_x0000_s1026" type="#_x0000_t32" style="position:absolute;margin-left:214.25pt;margin-top:264.85pt;width:0;height:76.4pt;z-index:2516705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">
                <v:stroke endarrow="block"/>
                <v:shadow color="#ccc"/>
                <o:lock v:ext="edit" shapetype="f"/>
              </v:shape>
            </w:pict>
          </mc:Fallback>
        </mc:AlternateContent>
      </w:r>
      <w:r>
        <w:rPr>
          <w:noProof/>
          <w:sz w:val="24"/>
          <w:szCs w:val="24"/>
          <w:lang w:eastAsia="el-GR"/>
        </w:rPr>
        <mc:AlternateContent>
          <mc:Choice Requires="wps">
            <w:drawing>
              <wp:anchor distT="36576" distB="36576" distL="36575" distR="36575" simplePos="0" relativeHeight="251661312" behindDoc="0" locked="0" layoutInCell="1" allowOverlap="1" wp14:anchorId="5F8C2202">
                <wp:simplePos x="0" y="0"/>
                <wp:positionH relativeFrom="column">
                  <wp:posOffset>3886199</wp:posOffset>
                </wp:positionH>
                <wp:positionV relativeFrom="paragraph">
                  <wp:posOffset>1391285</wp:posOffset>
                </wp:positionV>
                <wp:extent cx="0" cy="457200"/>
                <wp:effectExtent l="63500" t="0" r="50800" b="25400"/>
                <wp:wrapNone/>
                <wp:docPr id="14" name="Ευθύγραμμο βέλος σύνδεσης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1159F7" id="Ευθύγραμμο βέλος σύνδεσης 14" o:spid="_x0000_s1026" type="#_x0000_t32" style="position:absolute;margin-left:306pt;margin-top:109.55pt;width:0;height:36pt;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">
                <v:stroke endarrow="block"/>
                <v:shadow color="#ccc"/>
                <o:lock v:ext="edit" shapetype="f"/>
              </v:shape>
            </w:pict>
          </mc:Fallback>
        </mc:AlternateContent>
      </w:r>
      <w:r>
        <w:rPr>
          <w:noProof/>
          <w:sz w:val="24"/>
          <w:szCs w:val="24"/>
          <w:lang w:eastAsia="el-GR"/>
        </w:rPr>
        <mc:AlternateContent>
          <mc:Choice Requires="wps">
            <w:drawing>
              <wp:anchor distT="36576" distB="36576" distL="36575" distR="36575" simplePos="0" relativeHeight="251660288" behindDoc="0" locked="0" layoutInCell="1" allowOverlap="1" wp14:anchorId="1E018237">
                <wp:simplePos x="0" y="0"/>
                <wp:positionH relativeFrom="column">
                  <wp:posOffset>1600199</wp:posOffset>
                </wp:positionH>
                <wp:positionV relativeFrom="paragraph">
                  <wp:posOffset>1372235</wp:posOffset>
                </wp:positionV>
                <wp:extent cx="0" cy="457200"/>
                <wp:effectExtent l="63500" t="0" r="50800" b="25400"/>
                <wp:wrapNone/>
                <wp:docPr id="12" name="Ευθύγραμμο βέλος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E60562" id="Ευθύγραμμο βέλος σύνδεσης 12" o:spid="_x0000_s1026" type="#_x0000_t32" style="position:absolute;margin-left:126pt;margin-top:108.05pt;width:0;height:36pt;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">
                <v:stroke endarrow="block"/>
                <v:shadow color="#ccc"/>
                <o:lock v:ext="edit" shapetype="f"/>
              </v:shape>
            </w:pict>
          </mc:Fallback>
        </mc:AlternateContent>
      </w:r>
      <w:r>
        <w:rPr>
          <w:noProof/>
          <w:sz w:val="24"/>
          <w:szCs w:val="24"/>
          <w:lang w:eastAsia="el-GR"/>
        </w:rPr>
        <mc:AlternateContent>
          <mc:Choice Requires="wps">
            <w:drawing>
              <wp:anchor distT="0" distB="0" distL="114300" distR="114300" simplePos="0" relativeHeight="251663360" behindDoc="0" locked="0" layoutInCell="1" allowOverlap="1" wp14:anchorId="3AED4981">
                <wp:simplePos x="0" y="0"/>
                <wp:positionH relativeFrom="column">
                  <wp:posOffset>1356995</wp:posOffset>
                </wp:positionH>
                <wp:positionV relativeFrom="paragraph">
                  <wp:posOffset>1848485</wp:posOffset>
                </wp:positionV>
                <wp:extent cx="2771775" cy="571500"/>
                <wp:effectExtent l="0" t="0" r="0" b="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3CC4F71" w14:textId="26BB4CEC" w:rsidR="00BA4F98" w:rsidRPr="001E159B" w:rsidRDefault="00BA4F98" w:rsidP="001E159B">
                            <w:pPr>
                              <w:jc w:val="center"/>
                              <w:rPr>
                                <w:rFonts w:ascii="Book Antiqua" w:hAnsi="Book Antiqua"/>
                              </w:rPr>
                            </w:pPr>
                            <w:r w:rsidRPr="001E159B">
                              <w:rPr>
                                <w:rFonts w:ascii="Book Antiqua" w:hAnsi="Book Antiqua"/>
                                <w:lang w:val="en-US"/>
                              </w:rPr>
                              <w:t xml:space="preserve">Records after duplicates removed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596)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4981" id="Ορθογώνιο 10" o:spid="_x0000_s1027" style="position:absolute;margin-left:106.85pt;margin-top:145.55pt;width:218.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">
                <v:path arrowok="t"/>
                <v:textbox inset=",7.2pt,,7.2pt">
                  <w:txbxContent>
                    <w:p w14:paraId="73CC4F71" w14:textId="26BB4CEC" w:rsidR="00BA4F98" w:rsidRPr="001E159B" w:rsidRDefault="00BA4F98" w:rsidP="001E159B">
                      <w:pPr>
                        <w:jc w:val="center"/>
                        <w:rPr>
                          <w:rFonts w:ascii="Book Antiqua" w:hAnsi="Book Antiqua"/>
                        </w:rPr>
                      </w:pPr>
                      <w:r w:rsidRPr="001E159B">
                        <w:rPr>
                          <w:rFonts w:ascii="Book Antiqua" w:hAnsi="Book Antiqua"/>
                          <w:lang w:val="en-US"/>
                        </w:rPr>
                        <w:t xml:space="preserve">Records after duplicates removed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596)</w:t>
                      </w:r>
                    </w:p>
                  </w:txbxContent>
                </v:textbox>
              </v:rect>
            </w:pict>
          </mc:Fallback>
        </mc:AlternateContent>
      </w:r>
      <w:r>
        <w:rPr>
          <w:noProof/>
          <w:sz w:val="24"/>
          <w:szCs w:val="24"/>
          <w:lang w:eastAsia="el-GR"/>
        </w:rPr>
        <mc:AlternateContent>
          <mc:Choice Requires="wps">
            <w:drawing>
              <wp:anchor distT="0" distB="0" distL="114300" distR="114300" simplePos="0" relativeHeight="251665408" behindDoc="0" locked="0" layoutInCell="1" allowOverlap="1" wp14:anchorId="3C29A551">
                <wp:simplePos x="0" y="0"/>
                <wp:positionH relativeFrom="column">
                  <wp:posOffset>4356735</wp:posOffset>
                </wp:positionH>
                <wp:positionV relativeFrom="paragraph">
                  <wp:posOffset>2292350</wp:posOffset>
                </wp:positionV>
                <wp:extent cx="1974850" cy="1605280"/>
                <wp:effectExtent l="0" t="0" r="6350" b="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0" cy="1605280"/>
                        </a:xfrm>
                        <a:prstGeom prst="rect">
                          <a:avLst/>
                        </a:prstGeom>
                        <a:solidFill>
                          <a:srgbClr val="FFFFFF"/>
                        </a:solidFill>
                        <a:ln w="9525">
                          <a:solidFill>
                            <a:srgbClr val="000000"/>
                          </a:solidFill>
                          <a:miter lim="800000"/>
                          <a:headEnd/>
                          <a:tailEnd/>
                        </a:ln>
                      </wps:spPr>
                      <wps:txbx>
                        <w:txbxContent>
                          <w:p w14:paraId="0010984B" w14:textId="35E84EC4" w:rsidR="00BA4F98" w:rsidRPr="001E159B" w:rsidRDefault="00BA4F98" w:rsidP="001E159B">
                            <w:pPr>
                              <w:jc w:val="center"/>
                              <w:rPr>
                                <w:rFonts w:ascii="Book Antiqua" w:hAnsi="Book Antiqua"/>
                              </w:rPr>
                            </w:pPr>
                            <w:r w:rsidRPr="001E159B">
                              <w:rPr>
                                <w:rFonts w:ascii="Book Antiqua" w:hAnsi="Book Antiqua"/>
                              </w:rPr>
                              <w:t xml:space="preserve">Records excluded </w:t>
                            </w:r>
                            <w:r w:rsidRPr="001E159B">
                              <w:rPr>
                                <w:rFonts w:ascii="Book Antiqua" w:hAnsi="Book Antiqua"/>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rPr>
                              <w:t>1404)</w:t>
                            </w:r>
                          </w:p>
                          <w:p w14:paraId="17AF1AA3"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5 conference abstacts/letters</w:t>
                            </w:r>
                          </w:p>
                          <w:p w14:paraId="339DAB32"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10 non human studies</w:t>
                            </w:r>
                          </w:p>
                          <w:p w14:paraId="42BD6557"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86 reviews/meta-analyses</w:t>
                            </w:r>
                          </w:p>
                          <w:p w14:paraId="76E58980" w14:textId="77777777" w:rsidR="00BA4F98" w:rsidRPr="001E159B" w:rsidRDefault="00BA4F98" w:rsidP="001E159B">
                            <w:pPr>
                              <w:numPr>
                                <w:ilvl w:val="0"/>
                                <w:numId w:val="7"/>
                              </w:numPr>
                              <w:spacing w:after="0" w:line="240" w:lineRule="auto"/>
                              <w:rPr>
                                <w:rFonts w:ascii="Book Antiqua" w:hAnsi="Book Antiqua"/>
                              </w:rPr>
                            </w:pPr>
                            <w:r w:rsidRPr="001E159B">
                              <w:rPr>
                                <w:rFonts w:ascii="Book Antiqua" w:hAnsi="Book Antiqua"/>
                              </w:rPr>
                              <w:t>1303 irrelevant records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9A551" id="Ορθογώνιο 6" o:spid="_x0000_s1028" style="position:absolute;margin-left:343.05pt;margin-top:180.5pt;width:155.5pt;height:1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">
                <v:path arrowok="t"/>
                <v:textbox inset=",7.2pt,,7.2pt">
                  <w:txbxContent>
                    <w:p w14:paraId="0010984B" w14:textId="35E84EC4" w:rsidR="00BA4F98" w:rsidRPr="001E159B" w:rsidRDefault="00BA4F98" w:rsidP="001E159B">
                      <w:pPr>
                        <w:jc w:val="center"/>
                        <w:rPr>
                          <w:rFonts w:ascii="Book Antiqua" w:hAnsi="Book Antiqua"/>
                        </w:rPr>
                      </w:pPr>
                      <w:r w:rsidRPr="001E159B">
                        <w:rPr>
                          <w:rFonts w:ascii="Book Antiqua" w:hAnsi="Book Antiqua"/>
                        </w:rPr>
                        <w:t xml:space="preserve">Records excluded </w:t>
                      </w:r>
                      <w:r w:rsidRPr="001E159B">
                        <w:rPr>
                          <w:rFonts w:ascii="Book Antiqua" w:hAnsi="Book Antiqua"/>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rPr>
                        <w:t>1404)</w:t>
                      </w:r>
                    </w:p>
                    <w:p w14:paraId="17AF1AA3"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5 conference abstacts/letters</w:t>
                      </w:r>
                    </w:p>
                    <w:p w14:paraId="339DAB32"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10 non human studies</w:t>
                      </w:r>
                    </w:p>
                    <w:p w14:paraId="42BD6557"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86 reviews/meta-analyses</w:t>
                      </w:r>
                    </w:p>
                    <w:p w14:paraId="76E58980" w14:textId="77777777" w:rsidR="00BA4F98" w:rsidRPr="001E159B" w:rsidRDefault="00BA4F98" w:rsidP="001E159B">
                      <w:pPr>
                        <w:numPr>
                          <w:ilvl w:val="0"/>
                          <w:numId w:val="7"/>
                        </w:numPr>
                        <w:spacing w:after="0" w:line="240" w:lineRule="auto"/>
                        <w:rPr>
                          <w:rFonts w:ascii="Book Antiqua" w:hAnsi="Book Antiqua"/>
                        </w:rPr>
                      </w:pPr>
                      <w:r w:rsidRPr="001E159B">
                        <w:rPr>
                          <w:rFonts w:ascii="Book Antiqua" w:hAnsi="Book Antiqua"/>
                        </w:rPr>
                        <w:t>1303 irrelevant records</w:t>
                      </w:r>
                    </w:p>
                  </w:txbxContent>
                </v:textbox>
              </v:rect>
            </w:pict>
          </mc:Fallback>
        </mc:AlternateContent>
      </w:r>
    </w:p>
    <w:p w14:paraId="531CA0B2" w14:textId="77777777" w:rsidR="001E159B" w:rsidRDefault="001E159B" w:rsidP="001E159B">
      <w:pPr>
        <w:spacing w:after="0" w:line="240" w:lineRule="auto"/>
        <w:rPr>
          <w:rFonts w:ascii="Times New Roman" w:eastAsia="Times New Roman" w:hAnsi="Times New Roman"/>
          <w:sz w:val="24"/>
          <w:szCs w:val="24"/>
          <w:lang w:val="en-US"/>
        </w:rPr>
      </w:pPr>
    </w:p>
    <w:p w14:paraId="0C4DBD82" w14:textId="77777777" w:rsidR="001E159B" w:rsidRDefault="001E159B" w:rsidP="001E159B">
      <w:pPr>
        <w:spacing w:after="0" w:line="240" w:lineRule="auto"/>
        <w:rPr>
          <w:rFonts w:ascii="Times New Roman" w:eastAsia="Times New Roman" w:hAnsi="Times New Roman"/>
          <w:sz w:val="24"/>
          <w:szCs w:val="24"/>
          <w:lang w:val="en-US"/>
        </w:rPr>
      </w:pPr>
      <w:r w:rsidRPr="001E159B">
        <w:rPr>
          <w:rFonts w:ascii="Book Antiqua" w:eastAsia="Times New Roman" w:hAnsi="Book Antiqua"/>
          <w:noProof/>
          <w:sz w:val="24"/>
          <w:szCs w:val="24"/>
          <w:lang w:val="en-US" w:eastAsia="zh-CN"/>
        </w:rPr>
        <w:drawing>
          <wp:anchor distT="0" distB="0" distL="114300" distR="114300" simplePos="0" relativeHeight="251674624" behindDoc="0" locked="0" layoutInCell="1" allowOverlap="1" wp14:anchorId="6834F572" wp14:editId="52B91651">
            <wp:simplePos x="0" y="0"/>
            <wp:positionH relativeFrom="column">
              <wp:posOffset>-473075</wp:posOffset>
            </wp:positionH>
            <wp:positionV relativeFrom="paragraph">
              <wp:posOffset>137160</wp:posOffset>
            </wp:positionV>
            <wp:extent cx="323850" cy="1400175"/>
            <wp:effectExtent l="0" t="0" r="0" b="9525"/>
            <wp:wrapSquare wrapText="bothSides"/>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1400175"/>
                    </a:xfrm>
                    <a:prstGeom prst="rect">
                      <a:avLst/>
                    </a:prstGeom>
                    <a:noFill/>
                  </pic:spPr>
                </pic:pic>
              </a:graphicData>
            </a:graphic>
          </wp:anchor>
        </w:drawing>
      </w:r>
      <w:r w:rsidR="006C269C">
        <w:rPr>
          <w:noProof/>
          <w:sz w:val="24"/>
          <w:szCs w:val="24"/>
          <w:lang w:eastAsia="el-GR"/>
        </w:rPr>
        <mc:AlternateContent>
          <mc:Choice Requires="wps">
            <w:drawing>
              <wp:anchor distT="0" distB="0" distL="114300" distR="114300" simplePos="0" relativeHeight="251658240" behindDoc="0" locked="0" layoutInCell="1" allowOverlap="1" wp14:anchorId="24B7EAE5">
                <wp:simplePos x="0" y="0"/>
                <wp:positionH relativeFrom="column">
                  <wp:posOffset>342900</wp:posOffset>
                </wp:positionH>
                <wp:positionV relativeFrom="paragraph">
                  <wp:posOffset>140970</wp:posOffset>
                </wp:positionV>
                <wp:extent cx="2228850" cy="733425"/>
                <wp:effectExtent l="0" t="0" r="6350" b="3175"/>
                <wp:wrapNone/>
                <wp:docPr id="11"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733425"/>
                        </a:xfrm>
                        <a:prstGeom prst="rect">
                          <a:avLst/>
                        </a:prstGeom>
                        <a:solidFill>
                          <a:srgbClr val="FFFFFF"/>
                        </a:solidFill>
                        <a:ln w="9525">
                          <a:solidFill>
                            <a:srgbClr val="000000"/>
                          </a:solidFill>
                          <a:miter lim="800000"/>
                          <a:headEnd/>
                          <a:tailEnd/>
                        </a:ln>
                      </wps:spPr>
                      <wps:txbx>
                        <w:txbxContent>
                          <w:p w14:paraId="5ED8FDF7" w14:textId="6F168360" w:rsidR="00BA4F98" w:rsidRPr="001E159B" w:rsidRDefault="00BA4F98" w:rsidP="001E159B">
                            <w:pPr>
                              <w:jc w:val="center"/>
                              <w:rPr>
                                <w:rFonts w:ascii="Book Antiqua" w:hAnsi="Book Antiqua"/>
                              </w:rPr>
                            </w:pPr>
                            <w:r w:rsidRPr="001E159B">
                              <w:rPr>
                                <w:rFonts w:ascii="Book Antiqua" w:hAnsi="Book Antiqua"/>
                                <w:lang w:val="en-US"/>
                              </w:rPr>
                              <w:t xml:space="preserve">Records identified through Medline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746)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7EAE5" id="Ορθογώνιο 11" o:spid="_x0000_s1029" style="position:absolute;margin-left:27pt;margin-top:11.1pt;width:175.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">
                <v:path arrowok="t"/>
                <v:textbox inset=",7.2pt,,7.2pt">
                  <w:txbxContent>
                    <w:p w14:paraId="5ED8FDF7" w14:textId="6F168360" w:rsidR="00BA4F98" w:rsidRPr="001E159B" w:rsidRDefault="00BA4F98" w:rsidP="001E159B">
                      <w:pPr>
                        <w:jc w:val="center"/>
                        <w:rPr>
                          <w:rFonts w:ascii="Book Antiqua" w:hAnsi="Book Antiqua"/>
                        </w:rPr>
                      </w:pPr>
                      <w:r w:rsidRPr="001E159B">
                        <w:rPr>
                          <w:rFonts w:ascii="Book Antiqua" w:hAnsi="Book Antiqua"/>
                          <w:lang w:val="en-US"/>
                        </w:rPr>
                        <w:t xml:space="preserve">Records identified through Medline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746)</w:t>
                      </w:r>
                    </w:p>
                  </w:txbxContent>
                </v:textbox>
              </v:rect>
            </w:pict>
          </mc:Fallback>
        </mc:AlternateContent>
      </w:r>
      <w:r w:rsidR="006C269C">
        <w:rPr>
          <w:noProof/>
          <w:sz w:val="24"/>
          <w:szCs w:val="24"/>
          <w:lang w:eastAsia="el-GR"/>
        </w:rPr>
        <mc:AlternateContent>
          <mc:Choice Requires="wps">
            <w:drawing>
              <wp:anchor distT="0" distB="0" distL="114300" distR="114300" simplePos="0" relativeHeight="251662336" behindDoc="0" locked="0" layoutInCell="1" allowOverlap="1" wp14:anchorId="3EBB1E32">
                <wp:simplePos x="0" y="0"/>
                <wp:positionH relativeFrom="column">
                  <wp:posOffset>2914650</wp:posOffset>
                </wp:positionH>
                <wp:positionV relativeFrom="paragraph">
                  <wp:posOffset>112395</wp:posOffset>
                </wp:positionV>
                <wp:extent cx="2228850" cy="762000"/>
                <wp:effectExtent l="0" t="0" r="6350" b="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762000"/>
                        </a:xfrm>
                        <a:prstGeom prst="rect">
                          <a:avLst/>
                        </a:prstGeom>
                        <a:solidFill>
                          <a:srgbClr val="FFFFFF"/>
                        </a:solidFill>
                        <a:ln w="9525">
                          <a:solidFill>
                            <a:srgbClr val="000000"/>
                          </a:solidFill>
                          <a:miter lim="800000"/>
                          <a:headEnd/>
                          <a:tailEnd/>
                        </a:ln>
                      </wps:spPr>
                      <wps:txbx>
                        <w:txbxContent>
                          <w:p w14:paraId="4593E058" w14:textId="1387F34D" w:rsidR="00BA4F98" w:rsidRPr="001E159B" w:rsidRDefault="00BA4F98" w:rsidP="001E159B">
                            <w:pPr>
                              <w:jc w:val="center"/>
                              <w:rPr>
                                <w:rFonts w:ascii="Book Antiqua" w:hAnsi="Book Antiqua"/>
                              </w:rPr>
                            </w:pPr>
                            <w:r w:rsidRPr="001E159B">
                              <w:rPr>
                                <w:rFonts w:ascii="Book Antiqua" w:hAnsi="Book Antiqua"/>
                                <w:lang w:val="en-US"/>
                              </w:rPr>
                              <w:t xml:space="preserve">Additional records identified through Web of science, Scopus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Pr>
                                <w:rFonts w:ascii="Book Antiqua" w:hAnsi="Book Antiqua" w:hint="eastAsia"/>
                                <w:lang w:val="en-US" w:eastAsia="zh-CN"/>
                              </w:rPr>
                              <w:t xml:space="preserve"> </w:t>
                            </w:r>
                            <w:r w:rsidRPr="001E159B">
                              <w:rPr>
                                <w:rFonts w:ascii="Book Antiqua" w:hAnsi="Book Antiqua"/>
                                <w:lang w:val="en-US"/>
                              </w:rPr>
                              <w:t>1294)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B1E32" id="Ορθογώνιο 13" o:spid="_x0000_s1030" style="position:absolute;margin-left:229.5pt;margin-top:8.85pt;width:175.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">
                <v:path arrowok="t"/>
                <v:textbox inset=",7.2pt,,7.2pt">
                  <w:txbxContent>
                    <w:p w14:paraId="4593E058" w14:textId="1387F34D" w:rsidR="00BA4F98" w:rsidRPr="001E159B" w:rsidRDefault="00BA4F98" w:rsidP="001E159B">
                      <w:pPr>
                        <w:jc w:val="center"/>
                        <w:rPr>
                          <w:rFonts w:ascii="Book Antiqua" w:hAnsi="Book Antiqua"/>
                        </w:rPr>
                      </w:pPr>
                      <w:r w:rsidRPr="001E159B">
                        <w:rPr>
                          <w:rFonts w:ascii="Book Antiqua" w:hAnsi="Book Antiqua"/>
                          <w:lang w:val="en-US"/>
                        </w:rPr>
                        <w:t xml:space="preserve">Additional records identified through Web of science, Scopus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Pr>
                          <w:rFonts w:ascii="Book Antiqua" w:hAnsi="Book Antiqua" w:hint="eastAsia"/>
                          <w:lang w:val="en-US" w:eastAsia="zh-CN"/>
                        </w:rPr>
                        <w:t xml:space="preserve"> </w:t>
                      </w:r>
                      <w:r w:rsidRPr="001E159B">
                        <w:rPr>
                          <w:rFonts w:ascii="Book Antiqua" w:hAnsi="Book Antiqua"/>
                          <w:lang w:val="en-US"/>
                        </w:rPr>
                        <w:t>1294)</w:t>
                      </w:r>
                    </w:p>
                  </w:txbxContent>
                </v:textbox>
              </v:rect>
            </w:pict>
          </mc:Fallback>
        </mc:AlternateContent>
      </w:r>
    </w:p>
    <w:p w14:paraId="1D6BECD6" w14:textId="77777777" w:rsidR="001E159B" w:rsidRDefault="001E159B" w:rsidP="001E159B">
      <w:pPr>
        <w:spacing w:after="0" w:line="240" w:lineRule="auto"/>
        <w:rPr>
          <w:rFonts w:ascii="Times New Roman" w:eastAsia="Times New Roman" w:hAnsi="Times New Roman"/>
          <w:sz w:val="24"/>
          <w:szCs w:val="24"/>
          <w:lang w:val="en-US"/>
        </w:rPr>
      </w:pPr>
    </w:p>
    <w:p w14:paraId="50698198" w14:textId="77777777" w:rsidR="001E159B" w:rsidRDefault="001E159B" w:rsidP="001E159B">
      <w:pPr>
        <w:spacing w:after="0" w:line="240" w:lineRule="auto"/>
        <w:rPr>
          <w:rFonts w:ascii="Times New Roman" w:eastAsia="Times New Roman" w:hAnsi="Times New Roman"/>
          <w:sz w:val="24"/>
          <w:szCs w:val="24"/>
          <w:lang w:val="en-US"/>
        </w:rPr>
      </w:pPr>
    </w:p>
    <w:p w14:paraId="7A9D725E" w14:textId="77777777" w:rsidR="001E159B" w:rsidRDefault="001E159B" w:rsidP="001E159B">
      <w:pPr>
        <w:spacing w:after="0" w:line="240" w:lineRule="auto"/>
        <w:rPr>
          <w:rFonts w:ascii="Times New Roman" w:eastAsia="Times New Roman" w:hAnsi="Times New Roman"/>
          <w:sz w:val="24"/>
          <w:szCs w:val="24"/>
          <w:lang w:val="en-US"/>
        </w:rPr>
      </w:pPr>
    </w:p>
    <w:p w14:paraId="05396B4D" w14:textId="77777777" w:rsidR="001E159B" w:rsidRDefault="001E159B" w:rsidP="001E159B">
      <w:pPr>
        <w:spacing w:after="0" w:line="240" w:lineRule="auto"/>
        <w:rPr>
          <w:rFonts w:ascii="Times New Roman" w:eastAsia="Times New Roman" w:hAnsi="Times New Roman"/>
          <w:sz w:val="24"/>
          <w:szCs w:val="24"/>
          <w:lang w:val="en-US"/>
        </w:rPr>
      </w:pPr>
    </w:p>
    <w:p w14:paraId="06D612DD" w14:textId="77777777" w:rsidR="001E159B" w:rsidRDefault="001E159B" w:rsidP="001E159B">
      <w:pPr>
        <w:spacing w:after="0" w:line="240" w:lineRule="auto"/>
        <w:rPr>
          <w:rFonts w:ascii="Times New Roman" w:eastAsia="Times New Roman" w:hAnsi="Times New Roman"/>
          <w:sz w:val="24"/>
          <w:szCs w:val="24"/>
          <w:lang w:val="en-US"/>
        </w:rPr>
      </w:pPr>
    </w:p>
    <w:p w14:paraId="5D9E4A00" w14:textId="77777777" w:rsidR="001E159B" w:rsidRDefault="001E159B" w:rsidP="001E159B">
      <w:pPr>
        <w:spacing w:after="0" w:line="240" w:lineRule="auto"/>
        <w:rPr>
          <w:rFonts w:ascii="Times New Roman" w:eastAsia="Times New Roman" w:hAnsi="Times New Roman"/>
          <w:sz w:val="24"/>
          <w:szCs w:val="24"/>
          <w:lang w:val="en-US"/>
        </w:rPr>
      </w:pPr>
    </w:p>
    <w:p w14:paraId="1C89D82A" w14:textId="77777777" w:rsidR="001E159B" w:rsidRDefault="001E159B" w:rsidP="001E159B">
      <w:pPr>
        <w:spacing w:after="0" w:line="240" w:lineRule="auto"/>
        <w:rPr>
          <w:rFonts w:ascii="Times New Roman" w:eastAsia="Times New Roman" w:hAnsi="Times New Roman"/>
          <w:sz w:val="24"/>
          <w:szCs w:val="24"/>
          <w:lang w:val="en-US"/>
        </w:rPr>
      </w:pPr>
    </w:p>
    <w:p w14:paraId="6F3687E4" w14:textId="77777777" w:rsidR="001E159B" w:rsidRDefault="001E159B" w:rsidP="001E159B">
      <w:pPr>
        <w:spacing w:after="0" w:line="240" w:lineRule="auto"/>
        <w:rPr>
          <w:rFonts w:ascii="Times New Roman" w:eastAsia="Times New Roman" w:hAnsi="Times New Roman"/>
          <w:sz w:val="24"/>
          <w:szCs w:val="24"/>
          <w:lang w:val="en-US"/>
        </w:rPr>
      </w:pPr>
    </w:p>
    <w:p w14:paraId="1A081E5B" w14:textId="77777777" w:rsidR="001E159B" w:rsidRDefault="001E159B" w:rsidP="001E159B">
      <w:pPr>
        <w:spacing w:after="0" w:line="240" w:lineRule="auto"/>
        <w:rPr>
          <w:rFonts w:ascii="Times New Roman" w:eastAsia="Times New Roman" w:hAnsi="Times New Roman"/>
          <w:sz w:val="24"/>
          <w:szCs w:val="24"/>
          <w:lang w:val="en-US"/>
        </w:rPr>
      </w:pPr>
    </w:p>
    <w:p w14:paraId="44814B85" w14:textId="77777777" w:rsidR="001E159B" w:rsidRDefault="001E159B" w:rsidP="001E159B">
      <w:pPr>
        <w:spacing w:after="0" w:line="240" w:lineRule="auto"/>
        <w:rPr>
          <w:rFonts w:ascii="Times New Roman" w:eastAsia="Times New Roman" w:hAnsi="Times New Roman"/>
          <w:sz w:val="24"/>
          <w:szCs w:val="24"/>
          <w:lang w:val="en-US"/>
        </w:rPr>
      </w:pPr>
      <w:r w:rsidRPr="001E159B">
        <w:rPr>
          <w:rFonts w:ascii="Book Antiqua" w:eastAsia="Times New Roman" w:hAnsi="Book Antiqua"/>
          <w:noProof/>
          <w:sz w:val="24"/>
          <w:szCs w:val="24"/>
          <w:lang w:val="en-US" w:eastAsia="zh-CN"/>
        </w:rPr>
        <w:drawing>
          <wp:anchor distT="0" distB="0" distL="114300" distR="114300" simplePos="0" relativeHeight="251675648" behindDoc="0" locked="0" layoutInCell="1" allowOverlap="1" wp14:anchorId="2199FD97" wp14:editId="2BA24D5E">
            <wp:simplePos x="0" y="0"/>
            <wp:positionH relativeFrom="column">
              <wp:posOffset>-489585</wp:posOffset>
            </wp:positionH>
            <wp:positionV relativeFrom="paragraph">
              <wp:posOffset>7620</wp:posOffset>
            </wp:positionV>
            <wp:extent cx="333375" cy="1400175"/>
            <wp:effectExtent l="0" t="0" r="9525" b="9525"/>
            <wp:wrapSquare wrapText="bothSides"/>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1400175"/>
                    </a:xfrm>
                    <a:prstGeom prst="rect">
                      <a:avLst/>
                    </a:prstGeom>
                    <a:noFill/>
                  </pic:spPr>
                </pic:pic>
              </a:graphicData>
            </a:graphic>
          </wp:anchor>
        </w:drawing>
      </w:r>
    </w:p>
    <w:p w14:paraId="2F3B0B94" w14:textId="77777777" w:rsidR="001E159B" w:rsidRDefault="001E159B" w:rsidP="001E159B">
      <w:pPr>
        <w:spacing w:after="0" w:line="240" w:lineRule="auto"/>
        <w:rPr>
          <w:rFonts w:ascii="Times New Roman" w:eastAsia="Times New Roman" w:hAnsi="Times New Roman"/>
          <w:sz w:val="24"/>
          <w:szCs w:val="24"/>
          <w:lang w:val="en-US"/>
        </w:rPr>
      </w:pPr>
    </w:p>
    <w:p w14:paraId="0737F394" w14:textId="77777777" w:rsidR="001E159B" w:rsidRDefault="001E159B" w:rsidP="001E159B">
      <w:pPr>
        <w:spacing w:after="0" w:line="240" w:lineRule="auto"/>
        <w:rPr>
          <w:rFonts w:ascii="Times New Roman" w:eastAsia="Times New Roman" w:hAnsi="Times New Roman"/>
          <w:sz w:val="24"/>
          <w:szCs w:val="24"/>
          <w:lang w:val="en-US"/>
        </w:rPr>
      </w:pPr>
    </w:p>
    <w:p w14:paraId="08881AD5" w14:textId="77777777" w:rsidR="001E159B" w:rsidRDefault="001E159B" w:rsidP="001E159B">
      <w:pPr>
        <w:spacing w:after="0" w:line="240" w:lineRule="auto"/>
        <w:rPr>
          <w:rFonts w:ascii="Times New Roman" w:eastAsia="Times New Roman" w:hAnsi="Times New Roman"/>
          <w:sz w:val="24"/>
          <w:szCs w:val="24"/>
          <w:lang w:val="en-US"/>
        </w:rPr>
      </w:pPr>
    </w:p>
    <w:p w14:paraId="687A1B58" w14:textId="77777777" w:rsidR="001E159B" w:rsidRDefault="001E159B" w:rsidP="001E159B">
      <w:pPr>
        <w:spacing w:after="0" w:line="240" w:lineRule="auto"/>
        <w:rPr>
          <w:rFonts w:ascii="Times New Roman" w:eastAsia="Times New Roman" w:hAnsi="Times New Roman"/>
          <w:sz w:val="24"/>
          <w:szCs w:val="24"/>
          <w:lang w:val="en-US"/>
        </w:rPr>
      </w:pPr>
    </w:p>
    <w:p w14:paraId="2F77E120" w14:textId="77777777" w:rsidR="001E159B" w:rsidRDefault="001E159B" w:rsidP="001E159B">
      <w:pPr>
        <w:spacing w:after="0" w:line="240" w:lineRule="auto"/>
        <w:rPr>
          <w:rFonts w:ascii="Times New Roman" w:eastAsia="Times New Roman" w:hAnsi="Times New Roman"/>
          <w:sz w:val="24"/>
          <w:szCs w:val="24"/>
          <w:lang w:val="en-US"/>
        </w:rPr>
      </w:pPr>
    </w:p>
    <w:p w14:paraId="25046085" w14:textId="77777777" w:rsidR="001E159B" w:rsidRDefault="001E159B" w:rsidP="001E159B">
      <w:pPr>
        <w:spacing w:after="0" w:line="240" w:lineRule="auto"/>
        <w:rPr>
          <w:rFonts w:ascii="Times New Roman" w:eastAsia="Times New Roman" w:hAnsi="Times New Roman"/>
          <w:sz w:val="24"/>
          <w:szCs w:val="24"/>
          <w:lang w:val="en-US"/>
        </w:rPr>
      </w:pPr>
    </w:p>
    <w:p w14:paraId="33F78444" w14:textId="77777777" w:rsidR="001E159B" w:rsidRDefault="001E159B" w:rsidP="001E159B">
      <w:pPr>
        <w:spacing w:after="0" w:line="240" w:lineRule="auto"/>
        <w:rPr>
          <w:rFonts w:ascii="Times New Roman" w:eastAsia="Times New Roman" w:hAnsi="Times New Roman"/>
          <w:sz w:val="24"/>
          <w:szCs w:val="24"/>
          <w:lang w:val="en-US"/>
        </w:rPr>
      </w:pPr>
    </w:p>
    <w:p w14:paraId="3999F627" w14:textId="77777777" w:rsidR="001E159B" w:rsidRDefault="001E159B" w:rsidP="001E159B">
      <w:pPr>
        <w:spacing w:after="0" w:line="240" w:lineRule="auto"/>
        <w:rPr>
          <w:rFonts w:ascii="Times New Roman" w:eastAsia="Times New Roman" w:hAnsi="Times New Roman"/>
          <w:sz w:val="24"/>
          <w:szCs w:val="24"/>
          <w:lang w:val="en-US"/>
        </w:rPr>
      </w:pPr>
      <w:r w:rsidRPr="001E159B">
        <w:rPr>
          <w:rFonts w:ascii="Book Antiqua" w:eastAsia="Times New Roman" w:hAnsi="Book Antiqua"/>
          <w:noProof/>
          <w:sz w:val="24"/>
          <w:szCs w:val="24"/>
          <w:lang w:val="en-US" w:eastAsia="zh-CN"/>
        </w:rPr>
        <w:drawing>
          <wp:anchor distT="0" distB="0" distL="114300" distR="114300" simplePos="0" relativeHeight="251676672" behindDoc="0" locked="0" layoutInCell="1" allowOverlap="1" wp14:anchorId="0C7EDBE1" wp14:editId="79C5FA36">
            <wp:simplePos x="0" y="0"/>
            <wp:positionH relativeFrom="column">
              <wp:posOffset>-485775</wp:posOffset>
            </wp:positionH>
            <wp:positionV relativeFrom="paragraph">
              <wp:posOffset>130175</wp:posOffset>
            </wp:positionV>
            <wp:extent cx="323850" cy="1400175"/>
            <wp:effectExtent l="0" t="0" r="0" b="9525"/>
            <wp:wrapSquare wrapText="bothSides"/>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1400175"/>
                    </a:xfrm>
                    <a:prstGeom prst="rect">
                      <a:avLst/>
                    </a:prstGeom>
                    <a:noFill/>
                  </pic:spPr>
                </pic:pic>
              </a:graphicData>
            </a:graphic>
          </wp:anchor>
        </w:drawing>
      </w:r>
    </w:p>
    <w:p w14:paraId="6284FAA7" w14:textId="77777777" w:rsidR="001E159B" w:rsidRDefault="001E159B" w:rsidP="001E159B">
      <w:pPr>
        <w:spacing w:after="0" w:line="240" w:lineRule="auto"/>
        <w:rPr>
          <w:rFonts w:ascii="Times New Roman" w:eastAsia="Times New Roman" w:hAnsi="Times New Roman"/>
          <w:sz w:val="24"/>
          <w:szCs w:val="24"/>
          <w:lang w:val="en-US"/>
        </w:rPr>
      </w:pPr>
    </w:p>
    <w:p w14:paraId="2290B342" w14:textId="77777777" w:rsidR="001E159B" w:rsidRDefault="001E159B" w:rsidP="001E159B">
      <w:pPr>
        <w:spacing w:after="0" w:line="240" w:lineRule="auto"/>
        <w:rPr>
          <w:rFonts w:ascii="Times New Roman" w:eastAsia="Times New Roman" w:hAnsi="Times New Roman"/>
          <w:sz w:val="24"/>
          <w:szCs w:val="24"/>
          <w:lang w:val="en-US"/>
        </w:rPr>
      </w:pPr>
    </w:p>
    <w:p w14:paraId="2439B59B" w14:textId="77777777" w:rsidR="001E159B" w:rsidRDefault="006C269C" w:rsidP="001E159B">
      <w:pPr>
        <w:spacing w:after="0" w:line="240" w:lineRule="auto"/>
        <w:rPr>
          <w:rFonts w:ascii="Times New Roman" w:eastAsia="Times New Roman" w:hAnsi="Times New Roman"/>
          <w:sz w:val="24"/>
          <w:szCs w:val="24"/>
          <w:lang w:val="en-US"/>
        </w:rPr>
      </w:pPr>
      <w:r>
        <w:rPr>
          <w:noProof/>
          <w:sz w:val="24"/>
          <w:szCs w:val="24"/>
          <w:lang w:eastAsia="el-GR"/>
        </w:rPr>
        <mc:AlternateContent>
          <mc:Choice Requires="wps">
            <w:drawing>
              <wp:anchor distT="0" distB="0" distL="114300" distR="114300" simplePos="0" relativeHeight="251666432" behindDoc="0" locked="0" layoutInCell="1" allowOverlap="1" wp14:anchorId="2B823730">
                <wp:simplePos x="0" y="0"/>
                <wp:positionH relativeFrom="column">
                  <wp:posOffset>1866900</wp:posOffset>
                </wp:positionH>
                <wp:positionV relativeFrom="paragraph">
                  <wp:posOffset>156210</wp:posOffset>
                </wp:positionV>
                <wp:extent cx="1714500" cy="733425"/>
                <wp:effectExtent l="0" t="0" r="0" b="3175"/>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33425"/>
                        </a:xfrm>
                        <a:prstGeom prst="rect">
                          <a:avLst/>
                        </a:prstGeom>
                        <a:solidFill>
                          <a:srgbClr val="FFFFFF"/>
                        </a:solidFill>
                        <a:ln w="9525">
                          <a:solidFill>
                            <a:srgbClr val="000000"/>
                          </a:solidFill>
                          <a:miter lim="800000"/>
                          <a:headEnd/>
                          <a:tailEnd/>
                        </a:ln>
                      </wps:spPr>
                      <wps:txbx>
                        <w:txbxContent>
                          <w:p w14:paraId="55127439" w14:textId="243AE875" w:rsidR="00BA4F98" w:rsidRPr="001E159B" w:rsidRDefault="00BA4F98" w:rsidP="001E159B">
                            <w:pPr>
                              <w:jc w:val="center"/>
                              <w:rPr>
                                <w:rFonts w:ascii="Book Antiqua" w:hAnsi="Book Antiqua"/>
                              </w:rPr>
                            </w:pPr>
                            <w:r w:rsidRPr="001E159B">
                              <w:rPr>
                                <w:rFonts w:ascii="Book Antiqua" w:hAnsi="Book Antiqua"/>
                                <w:lang w:val="en-US"/>
                              </w:rPr>
                              <w:t xml:space="preserve">Full-text articles assessed for eligibility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40 )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23730" id="Ορθογώνιο 7" o:spid="_x0000_s1031" style="position:absolute;margin-left:147pt;margin-top:12.3pt;width:13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">
                <v:path arrowok="t"/>
                <v:textbox inset=",7.2pt,,7.2pt">
                  <w:txbxContent>
                    <w:p w14:paraId="55127439" w14:textId="243AE875" w:rsidR="00BA4F98" w:rsidRPr="001E159B" w:rsidRDefault="00BA4F98" w:rsidP="001E159B">
                      <w:pPr>
                        <w:jc w:val="center"/>
                        <w:rPr>
                          <w:rFonts w:ascii="Book Antiqua" w:hAnsi="Book Antiqua"/>
                        </w:rPr>
                      </w:pPr>
                      <w:r w:rsidRPr="001E159B">
                        <w:rPr>
                          <w:rFonts w:ascii="Book Antiqua" w:hAnsi="Book Antiqua"/>
                          <w:lang w:val="en-US"/>
                        </w:rPr>
                        <w:t xml:space="preserve">Full-text articles assessed for eligibility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40 )</w:t>
                      </w:r>
                    </w:p>
                  </w:txbxContent>
                </v:textbox>
              </v:rect>
            </w:pict>
          </mc:Fallback>
        </mc:AlternateContent>
      </w:r>
      <w:r>
        <w:rPr>
          <w:noProof/>
          <w:sz w:val="24"/>
          <w:szCs w:val="24"/>
          <w:lang w:eastAsia="el-GR"/>
        </w:rPr>
        <mc:AlternateContent>
          <mc:Choice Requires="wps">
            <w:drawing>
              <wp:anchor distT="0" distB="0" distL="114300" distR="114300" simplePos="0" relativeHeight="251667456" behindDoc="0" locked="0" layoutInCell="1" allowOverlap="1" wp14:anchorId="3D8BE9CE">
                <wp:simplePos x="0" y="0"/>
                <wp:positionH relativeFrom="column">
                  <wp:posOffset>4333875</wp:posOffset>
                </wp:positionH>
                <wp:positionV relativeFrom="paragraph">
                  <wp:posOffset>99695</wp:posOffset>
                </wp:positionV>
                <wp:extent cx="2038350" cy="1571625"/>
                <wp:effectExtent l="0" t="0" r="6350" b="3175"/>
                <wp:wrapNone/>
                <wp:docPr id="20" name="Ορθογώνιο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1571625"/>
                        </a:xfrm>
                        <a:prstGeom prst="rect">
                          <a:avLst/>
                        </a:prstGeom>
                        <a:solidFill>
                          <a:srgbClr val="FFFFFF"/>
                        </a:solidFill>
                        <a:ln w="9525">
                          <a:solidFill>
                            <a:srgbClr val="000000"/>
                          </a:solidFill>
                          <a:miter lim="800000"/>
                          <a:headEnd/>
                          <a:tailEnd/>
                        </a:ln>
                      </wps:spPr>
                      <wps:txbx>
                        <w:txbxContent>
                          <w:p w14:paraId="400189E5" w14:textId="40F0F78B" w:rsidR="00BA4F98" w:rsidRPr="001E159B" w:rsidRDefault="00BA4F98" w:rsidP="001E159B">
                            <w:pPr>
                              <w:jc w:val="center"/>
                              <w:rPr>
                                <w:rFonts w:ascii="Book Antiqua" w:hAnsi="Book Antiqua"/>
                                <w:lang w:val="en-US"/>
                              </w:rPr>
                            </w:pPr>
                            <w:r w:rsidRPr="001E159B">
                              <w:rPr>
                                <w:rFonts w:ascii="Book Antiqua" w:hAnsi="Book Antiqua"/>
                                <w:lang w:val="en-US"/>
                              </w:rPr>
                              <w:t>Full-text articles excluded, with reasons (</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21)</w:t>
                            </w:r>
                          </w:p>
                          <w:p w14:paraId="1613F235"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2 studies with inadequate data</w:t>
                            </w:r>
                          </w:p>
                          <w:p w14:paraId="163F90D5"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8 trials with duplicate data</w:t>
                            </w:r>
                          </w:p>
                          <w:p w14:paraId="1FA3E9FD"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11 irrelevant studies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BE9CE" id="Ορθογώνιο 20" o:spid="_x0000_s1032" style="position:absolute;margin-left:341.25pt;margin-top:7.85pt;width:160.5pt;height:1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">
                <v:path arrowok="t"/>
                <v:textbox inset=",7.2pt,,7.2pt">
                  <w:txbxContent>
                    <w:p w14:paraId="400189E5" w14:textId="40F0F78B" w:rsidR="00BA4F98" w:rsidRPr="001E159B" w:rsidRDefault="00BA4F98" w:rsidP="001E159B">
                      <w:pPr>
                        <w:jc w:val="center"/>
                        <w:rPr>
                          <w:rFonts w:ascii="Book Antiqua" w:hAnsi="Book Antiqua"/>
                          <w:lang w:val="en-US"/>
                        </w:rPr>
                      </w:pPr>
                      <w:r w:rsidRPr="001E159B">
                        <w:rPr>
                          <w:rFonts w:ascii="Book Antiqua" w:hAnsi="Book Antiqua"/>
                          <w:lang w:val="en-US"/>
                        </w:rPr>
                        <w:t>Full-text articles excluded, with reasons (</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21)</w:t>
                      </w:r>
                    </w:p>
                    <w:p w14:paraId="1613F235"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2 studies with inadequate data</w:t>
                      </w:r>
                    </w:p>
                    <w:p w14:paraId="163F90D5"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8 trials with duplicate data</w:t>
                      </w:r>
                    </w:p>
                    <w:p w14:paraId="1FA3E9FD"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11 irrelevant studies</w:t>
                      </w:r>
                    </w:p>
                  </w:txbxContent>
                </v:textbox>
              </v:rect>
            </w:pict>
          </mc:Fallback>
        </mc:AlternateContent>
      </w:r>
    </w:p>
    <w:p w14:paraId="54F8D1DA" w14:textId="77777777" w:rsidR="001E159B" w:rsidRPr="00C43966" w:rsidRDefault="001E159B" w:rsidP="001E159B">
      <w:pPr>
        <w:spacing w:after="0" w:line="240" w:lineRule="auto"/>
        <w:rPr>
          <w:rFonts w:ascii="Times New Roman" w:eastAsia="Times New Roman" w:hAnsi="Times New Roman"/>
          <w:sz w:val="24"/>
          <w:szCs w:val="24"/>
          <w:lang w:val="en-US"/>
        </w:rPr>
      </w:pPr>
      <w:r w:rsidRPr="00C43966">
        <w:rPr>
          <w:rFonts w:ascii="Times New Roman" w:eastAsia="Times New Roman" w:hAnsi="Times New Roman"/>
          <w:sz w:val="24"/>
          <w:szCs w:val="24"/>
          <w:lang w:val="en-US"/>
        </w:rPr>
        <w:fldChar w:fldCharType="begin"/>
      </w:r>
      <w:r>
        <w:rPr>
          <w:rFonts w:ascii="Times New Roman" w:eastAsia="Times New Roman" w:hAnsi="Times New Roman"/>
          <w:sz w:val="24"/>
          <w:szCs w:val="24"/>
          <w:lang w:val="en-US"/>
        </w:rPr>
        <w:instrText xml:space="preserve"> INCLUDEPICTURE "C:\\var\\folders\\bw\\bfdc2qvx0yjdtq12qj1dl0bw0000gn\\T\\com.microsoft.Word\\WebArchiveCopyPasteTempFiles\\page1image56872336" \* MERGEFORMAT </w:instrText>
      </w:r>
      <w:r w:rsidRPr="00C43966">
        <w:rPr>
          <w:rFonts w:ascii="Times New Roman" w:eastAsia="Times New Roman" w:hAnsi="Times New Roman"/>
          <w:sz w:val="24"/>
          <w:szCs w:val="24"/>
          <w:lang w:val="en-US"/>
        </w:rPr>
        <w:fldChar w:fldCharType="end"/>
      </w:r>
    </w:p>
    <w:p w14:paraId="68976A2A" w14:textId="77777777" w:rsidR="001E159B" w:rsidRPr="00712DBA" w:rsidRDefault="001E159B" w:rsidP="001E159B">
      <w:pPr>
        <w:autoSpaceDE w:val="0"/>
        <w:autoSpaceDN w:val="0"/>
        <w:adjustRightInd w:val="0"/>
        <w:spacing w:after="0" w:line="360" w:lineRule="auto"/>
        <w:rPr>
          <w:rFonts w:ascii="Book Antiqua" w:hAnsi="Book Antiqua"/>
          <w:b/>
          <w:sz w:val="24"/>
          <w:szCs w:val="24"/>
          <w:lang w:val="en-US"/>
        </w:rPr>
      </w:pPr>
    </w:p>
    <w:p w14:paraId="13D0C286" w14:textId="77777777" w:rsidR="001E159B" w:rsidRDefault="006C269C" w:rsidP="001E159B">
      <w:pPr>
        <w:autoSpaceDE w:val="0"/>
        <w:autoSpaceDN w:val="0"/>
        <w:adjustRightInd w:val="0"/>
        <w:spacing w:after="0" w:line="360" w:lineRule="auto"/>
        <w:rPr>
          <w:rFonts w:ascii="Book Antiqua" w:hAnsi="Book Antiqua"/>
          <w:b/>
          <w:sz w:val="24"/>
          <w:szCs w:val="24"/>
          <w:lang w:val="en-US"/>
        </w:rPr>
      </w:pPr>
      <w:r>
        <w:rPr>
          <w:noProof/>
          <w:sz w:val="24"/>
          <w:szCs w:val="24"/>
          <w:lang w:eastAsia="el-GR"/>
        </w:rPr>
        <mc:AlternateContent>
          <mc:Choice Requires="wps">
            <w:drawing>
              <wp:anchor distT="36576" distB="36576" distL="36575" distR="36575" simplePos="0" relativeHeight="251671552" behindDoc="0" locked="0" layoutInCell="1" allowOverlap="1" wp14:anchorId="3B95549C">
                <wp:simplePos x="0" y="0"/>
                <wp:positionH relativeFrom="column">
                  <wp:posOffset>2724149</wp:posOffset>
                </wp:positionH>
                <wp:positionV relativeFrom="paragraph">
                  <wp:posOffset>216535</wp:posOffset>
                </wp:positionV>
                <wp:extent cx="0" cy="638175"/>
                <wp:effectExtent l="63500" t="0" r="38100" b="22225"/>
                <wp:wrapNone/>
                <wp:docPr id="9" name="Ευθύγραμμο βέλος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381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8640A3" id="Ευθύγραμμο βέλος σύνδεσης 9" o:spid="_x0000_s1026" type="#_x0000_t32" style="position:absolute;margin-left:214.5pt;margin-top:17.05pt;width:0;height:50.25pt;z-index:25167155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">
                <v:stroke endarrow="block"/>
                <v:shadow color="#ccc"/>
                <o:lock v:ext="edit" shapetype="f"/>
              </v:shape>
            </w:pict>
          </mc:Fallback>
        </mc:AlternateContent>
      </w:r>
    </w:p>
    <w:p w14:paraId="4AC34C6C" w14:textId="77777777" w:rsidR="001E159B" w:rsidRDefault="001E159B" w:rsidP="001E159B">
      <w:pPr>
        <w:autoSpaceDE w:val="0"/>
        <w:autoSpaceDN w:val="0"/>
        <w:adjustRightInd w:val="0"/>
        <w:spacing w:after="0" w:line="360" w:lineRule="auto"/>
        <w:rPr>
          <w:rFonts w:ascii="Book Antiqua" w:hAnsi="Book Antiqua"/>
          <w:b/>
          <w:sz w:val="24"/>
          <w:szCs w:val="24"/>
          <w:lang w:val="en-US"/>
        </w:rPr>
      </w:pPr>
      <w:r w:rsidRPr="001E159B">
        <w:rPr>
          <w:rFonts w:ascii="Book Antiqua" w:hAnsi="Book Antiqua"/>
          <w:b/>
          <w:noProof/>
          <w:sz w:val="24"/>
          <w:szCs w:val="24"/>
          <w:lang w:val="en-US" w:eastAsia="zh-CN"/>
        </w:rPr>
        <w:drawing>
          <wp:anchor distT="0" distB="0" distL="114300" distR="114300" simplePos="0" relativeHeight="251677696" behindDoc="0" locked="0" layoutInCell="1" allowOverlap="1" wp14:anchorId="3B1CE1A7" wp14:editId="5E099D35">
            <wp:simplePos x="0" y="0"/>
            <wp:positionH relativeFrom="column">
              <wp:posOffset>-485775</wp:posOffset>
            </wp:positionH>
            <wp:positionV relativeFrom="paragraph">
              <wp:posOffset>198120</wp:posOffset>
            </wp:positionV>
            <wp:extent cx="323850" cy="1400175"/>
            <wp:effectExtent l="0" t="0" r="0" b="9525"/>
            <wp:wrapSquare wrapText="bothSides"/>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400175"/>
                    </a:xfrm>
                    <a:prstGeom prst="rect">
                      <a:avLst/>
                    </a:prstGeom>
                    <a:noFill/>
                  </pic:spPr>
                </pic:pic>
              </a:graphicData>
            </a:graphic>
          </wp:anchor>
        </w:drawing>
      </w:r>
    </w:p>
    <w:p w14:paraId="4157987C" w14:textId="77777777" w:rsidR="001E159B" w:rsidRDefault="001E159B" w:rsidP="001E159B">
      <w:pPr>
        <w:autoSpaceDE w:val="0"/>
        <w:autoSpaceDN w:val="0"/>
        <w:adjustRightInd w:val="0"/>
        <w:spacing w:after="0" w:line="360" w:lineRule="auto"/>
        <w:rPr>
          <w:rFonts w:ascii="Book Antiqua" w:hAnsi="Book Antiqua"/>
          <w:b/>
          <w:sz w:val="24"/>
          <w:szCs w:val="24"/>
          <w:lang w:val="en-US"/>
        </w:rPr>
      </w:pPr>
    </w:p>
    <w:p w14:paraId="5881B14D" w14:textId="77777777" w:rsidR="001E159B" w:rsidRDefault="006C269C" w:rsidP="001E159B">
      <w:pPr>
        <w:autoSpaceDE w:val="0"/>
        <w:autoSpaceDN w:val="0"/>
        <w:adjustRightInd w:val="0"/>
        <w:spacing w:after="0" w:line="360" w:lineRule="auto"/>
        <w:rPr>
          <w:rFonts w:ascii="Book Antiqua" w:hAnsi="Book Antiqua"/>
          <w:b/>
          <w:sz w:val="24"/>
          <w:szCs w:val="24"/>
          <w:lang w:val="en-US"/>
        </w:rPr>
      </w:pPr>
      <w:r>
        <w:rPr>
          <w:noProof/>
          <w:sz w:val="24"/>
          <w:szCs w:val="24"/>
          <w:lang w:eastAsia="el-GR"/>
        </w:rPr>
        <mc:AlternateContent>
          <mc:Choice Requires="wps">
            <w:drawing>
              <wp:anchor distT="0" distB="0" distL="114300" distR="114300" simplePos="0" relativeHeight="251668480" behindDoc="0" locked="0" layoutInCell="1" allowOverlap="1" wp14:anchorId="6ADBB72A">
                <wp:simplePos x="0" y="0"/>
                <wp:positionH relativeFrom="column">
                  <wp:posOffset>1885950</wp:posOffset>
                </wp:positionH>
                <wp:positionV relativeFrom="paragraph">
                  <wp:posOffset>27940</wp:posOffset>
                </wp:positionV>
                <wp:extent cx="1714500" cy="762000"/>
                <wp:effectExtent l="0" t="0" r="0" b="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62000"/>
                        </a:xfrm>
                        <a:prstGeom prst="rect">
                          <a:avLst/>
                        </a:prstGeom>
                        <a:solidFill>
                          <a:srgbClr val="FFFFFF"/>
                        </a:solidFill>
                        <a:ln w="9525">
                          <a:solidFill>
                            <a:srgbClr val="000000"/>
                          </a:solidFill>
                          <a:miter lim="800000"/>
                          <a:headEnd/>
                          <a:tailEnd/>
                        </a:ln>
                      </wps:spPr>
                      <wps:txbx>
                        <w:txbxContent>
                          <w:p w14:paraId="6E5441A2" w14:textId="3D48E49E" w:rsidR="00BA4F98" w:rsidRPr="001E159B" w:rsidRDefault="00BA4F98" w:rsidP="001E159B">
                            <w:pPr>
                              <w:jc w:val="center"/>
                              <w:rPr>
                                <w:rFonts w:ascii="Book Antiqua" w:hAnsi="Book Antiqua"/>
                              </w:rPr>
                            </w:pPr>
                            <w:r w:rsidRPr="001E159B">
                              <w:rPr>
                                <w:rFonts w:ascii="Book Antiqua" w:hAnsi="Book Antiqua"/>
                                <w:lang w:val="en-US"/>
                              </w:rPr>
                              <w:t xml:space="preserve">Studies included in qualitative synthesis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 </w:t>
                            </w:r>
                            <w:r w:rsidRPr="001E159B">
                              <w:rPr>
                                <w:rFonts w:ascii="Book Antiqua" w:hAnsi="Book Antiqua"/>
                                <w:lang w:val="en-US"/>
                              </w:rPr>
                              <w:t>19 )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B72A" id="Ορθογώνιο 8" o:spid="_x0000_s1033" style="position:absolute;margin-left:148.5pt;margin-top:2.2pt;width:13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">
                <v:path arrowok="t"/>
                <v:textbox inset=",7.2pt,,7.2pt">
                  <w:txbxContent>
                    <w:p w14:paraId="6E5441A2" w14:textId="3D48E49E" w:rsidR="00BA4F98" w:rsidRPr="001E159B" w:rsidRDefault="00BA4F98" w:rsidP="001E159B">
                      <w:pPr>
                        <w:jc w:val="center"/>
                        <w:rPr>
                          <w:rFonts w:ascii="Book Antiqua" w:hAnsi="Book Antiqua"/>
                        </w:rPr>
                      </w:pPr>
                      <w:r w:rsidRPr="001E159B">
                        <w:rPr>
                          <w:rFonts w:ascii="Book Antiqua" w:hAnsi="Book Antiqua"/>
                          <w:lang w:val="en-US"/>
                        </w:rPr>
                        <w:t xml:space="preserve">Studies included in qualitative synthesis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 </w:t>
                      </w:r>
                      <w:r w:rsidRPr="001E159B">
                        <w:rPr>
                          <w:rFonts w:ascii="Book Antiqua" w:hAnsi="Book Antiqua"/>
                          <w:lang w:val="en-US"/>
                        </w:rPr>
                        <w:t>19 )</w:t>
                      </w:r>
                    </w:p>
                  </w:txbxContent>
                </v:textbox>
              </v:rect>
            </w:pict>
          </mc:Fallback>
        </mc:AlternateContent>
      </w:r>
    </w:p>
    <w:p w14:paraId="027BB22A" w14:textId="77777777" w:rsidR="001E159B" w:rsidRDefault="001E159B" w:rsidP="001E159B">
      <w:pPr>
        <w:autoSpaceDE w:val="0"/>
        <w:autoSpaceDN w:val="0"/>
        <w:adjustRightInd w:val="0"/>
        <w:spacing w:after="0" w:line="360" w:lineRule="auto"/>
        <w:rPr>
          <w:rFonts w:ascii="Book Antiqua" w:hAnsi="Book Antiqua"/>
          <w:b/>
          <w:sz w:val="24"/>
          <w:szCs w:val="24"/>
          <w:lang w:val="en-US"/>
        </w:rPr>
      </w:pPr>
    </w:p>
    <w:p w14:paraId="5E6EAAE8" w14:textId="77777777" w:rsidR="001E159B" w:rsidRDefault="001E159B" w:rsidP="001E159B">
      <w:pPr>
        <w:autoSpaceDE w:val="0"/>
        <w:autoSpaceDN w:val="0"/>
        <w:adjustRightInd w:val="0"/>
        <w:spacing w:after="0" w:line="360" w:lineRule="auto"/>
        <w:rPr>
          <w:rFonts w:ascii="Book Antiqua" w:hAnsi="Book Antiqua"/>
          <w:b/>
          <w:sz w:val="24"/>
          <w:szCs w:val="24"/>
          <w:lang w:val="en-US"/>
        </w:rPr>
      </w:pPr>
    </w:p>
    <w:p w14:paraId="569F6238" w14:textId="77777777" w:rsidR="001E159B" w:rsidRDefault="001E159B" w:rsidP="001E159B">
      <w:pPr>
        <w:autoSpaceDE w:val="0"/>
        <w:autoSpaceDN w:val="0"/>
        <w:adjustRightInd w:val="0"/>
        <w:spacing w:after="0" w:line="360" w:lineRule="auto"/>
        <w:rPr>
          <w:rFonts w:ascii="Book Antiqua" w:hAnsi="Book Antiqua"/>
          <w:b/>
          <w:sz w:val="24"/>
          <w:szCs w:val="24"/>
          <w:lang w:val="en-US"/>
        </w:rPr>
      </w:pPr>
    </w:p>
    <w:p w14:paraId="5B97FA3A" w14:textId="77777777" w:rsidR="001E159B" w:rsidRDefault="001E159B" w:rsidP="004647EC">
      <w:pPr>
        <w:autoSpaceDE w:val="0"/>
        <w:autoSpaceDN w:val="0"/>
        <w:adjustRightInd w:val="0"/>
        <w:spacing w:after="0" w:line="360" w:lineRule="auto"/>
        <w:jc w:val="both"/>
        <w:rPr>
          <w:rFonts w:ascii="Book Antiqua" w:hAnsi="Book Antiqua"/>
          <w:b/>
          <w:sz w:val="24"/>
          <w:szCs w:val="24"/>
          <w:lang w:val="en-US" w:eastAsia="zh-CN"/>
        </w:rPr>
      </w:pPr>
    </w:p>
    <w:p w14:paraId="0C515A40" w14:textId="03369312" w:rsidR="006E1453" w:rsidRPr="00192CF1" w:rsidRDefault="001E159B" w:rsidP="004647EC">
      <w:pPr>
        <w:autoSpaceDE w:val="0"/>
        <w:autoSpaceDN w:val="0"/>
        <w:adjustRightIn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Figure 1</w:t>
      </w:r>
      <w:r w:rsidR="006E1453" w:rsidRPr="00192CF1">
        <w:rPr>
          <w:rFonts w:ascii="Book Antiqua" w:hAnsi="Book Antiqua"/>
          <w:b/>
          <w:sz w:val="24"/>
          <w:szCs w:val="24"/>
          <w:lang w:val="en-US"/>
        </w:rPr>
        <w:t xml:space="preserve"> Study</w:t>
      </w:r>
      <w:r w:rsidRPr="00192CF1">
        <w:rPr>
          <w:rFonts w:ascii="Book Antiqua" w:hAnsi="Book Antiqua"/>
          <w:b/>
          <w:sz w:val="24"/>
          <w:szCs w:val="24"/>
          <w:lang w:val="en-US"/>
        </w:rPr>
        <w:t xml:space="preserve"> flow diagram</w:t>
      </w:r>
      <w:r>
        <w:rPr>
          <w:rFonts w:ascii="Book Antiqua" w:hAnsi="Book Antiqua"/>
          <w:b/>
          <w:sz w:val="24"/>
          <w:szCs w:val="24"/>
          <w:lang w:val="en-US" w:eastAsia="zh-CN"/>
        </w:rPr>
        <w:t>.</w:t>
      </w:r>
    </w:p>
    <w:p w14:paraId="27FFF862" w14:textId="77777777" w:rsidR="006E1453" w:rsidRPr="00192CF1" w:rsidRDefault="006E1453" w:rsidP="004647EC">
      <w:pPr>
        <w:autoSpaceDE w:val="0"/>
        <w:autoSpaceDN w:val="0"/>
        <w:adjustRightInd w:val="0"/>
        <w:spacing w:after="0" w:line="360" w:lineRule="auto"/>
        <w:jc w:val="both"/>
        <w:rPr>
          <w:rFonts w:ascii="Book Antiqua" w:hAnsi="Book Antiqua"/>
          <w:b/>
          <w:sz w:val="24"/>
          <w:szCs w:val="24"/>
          <w:lang w:val="en-US"/>
        </w:rPr>
      </w:pPr>
    </w:p>
    <w:p w14:paraId="21E884BF" w14:textId="0F83FC8C" w:rsidR="001E159B" w:rsidRDefault="001E159B">
      <w:pPr>
        <w:spacing w:after="0" w:line="240" w:lineRule="auto"/>
        <w:rPr>
          <w:rFonts w:ascii="Book Antiqua" w:hAnsi="Book Antiqua"/>
          <w:b/>
          <w:sz w:val="24"/>
          <w:szCs w:val="24"/>
          <w:lang w:val="en-US"/>
        </w:rPr>
      </w:pPr>
      <w:r>
        <w:rPr>
          <w:rFonts w:ascii="Book Antiqua" w:hAnsi="Book Antiqua"/>
          <w:b/>
          <w:sz w:val="24"/>
          <w:szCs w:val="24"/>
          <w:lang w:val="en-US"/>
        </w:rPr>
        <w:br w:type="page"/>
      </w:r>
    </w:p>
    <w:p w14:paraId="784B2D53" w14:textId="0B3F078B" w:rsidR="001E159B" w:rsidRPr="00192CF1" w:rsidRDefault="001E159B" w:rsidP="001E159B">
      <w:pPr>
        <w:autoSpaceDE w:val="0"/>
        <w:autoSpaceDN w:val="0"/>
        <w:adjustRightInd w:val="0"/>
        <w:spacing w:after="0" w:line="360" w:lineRule="auto"/>
        <w:jc w:val="both"/>
        <w:rPr>
          <w:rFonts w:ascii="Book Antiqua" w:hAnsi="Book Antiqua"/>
          <w:b/>
          <w:sz w:val="24"/>
          <w:szCs w:val="24"/>
          <w:lang w:val="en-US"/>
        </w:rPr>
      </w:pPr>
      <w:r>
        <w:rPr>
          <w:rFonts w:ascii="Book Antiqua" w:hAnsi="Book Antiqua"/>
          <w:b/>
          <w:sz w:val="24"/>
          <w:szCs w:val="24"/>
          <w:lang w:val="en-US"/>
        </w:rPr>
        <w:lastRenderedPageBreak/>
        <w:t>Table 1</w:t>
      </w:r>
      <w:r w:rsidRPr="00192CF1">
        <w:rPr>
          <w:rFonts w:ascii="Book Antiqua" w:hAnsi="Book Antiqua"/>
          <w:b/>
          <w:sz w:val="24"/>
          <w:szCs w:val="24"/>
          <w:lang w:val="en-US"/>
        </w:rPr>
        <w:t xml:space="preserve"> Included studies</w:t>
      </w:r>
    </w:p>
    <w:p w14:paraId="18D29D12" w14:textId="77777777" w:rsidR="001E159B" w:rsidRPr="00192CF1" w:rsidRDefault="001E159B" w:rsidP="004647EC">
      <w:pPr>
        <w:autoSpaceDE w:val="0"/>
        <w:autoSpaceDN w:val="0"/>
        <w:adjustRightInd w:val="0"/>
        <w:spacing w:after="0" w:line="360" w:lineRule="auto"/>
        <w:jc w:val="both"/>
        <w:rPr>
          <w:rFonts w:ascii="Book Antiqua" w:hAnsi="Book Antiqua"/>
          <w:b/>
          <w:i/>
          <w:sz w:val="24"/>
          <w:szCs w:val="24"/>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833"/>
        <w:gridCol w:w="590"/>
        <w:gridCol w:w="618"/>
        <w:gridCol w:w="577"/>
        <w:gridCol w:w="347"/>
        <w:gridCol w:w="655"/>
        <w:gridCol w:w="600"/>
        <w:gridCol w:w="533"/>
        <w:gridCol w:w="435"/>
        <w:gridCol w:w="610"/>
        <w:gridCol w:w="496"/>
        <w:gridCol w:w="496"/>
        <w:gridCol w:w="524"/>
      </w:tblGrid>
      <w:tr w:rsidR="004647EC" w:rsidRPr="00192CF1" w14:paraId="2ACFAD4D" w14:textId="77777777" w:rsidTr="00C43966">
        <w:trPr>
          <w:trHeight w:val="260"/>
        </w:trPr>
        <w:tc>
          <w:tcPr>
            <w:tcW w:w="5000" w:type="pct"/>
            <w:gridSpan w:val="14"/>
            <w:shd w:val="clear" w:color="auto" w:fill="auto"/>
            <w:noWrap/>
            <w:hideMark/>
          </w:tcPr>
          <w:p w14:paraId="61A24F79" w14:textId="7F0C6998"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b/>
                <w:sz w:val="24"/>
                <w:szCs w:val="24"/>
                <w:lang w:val="en-US"/>
              </w:rPr>
              <w:t>I</w:t>
            </w:r>
            <w:r w:rsidR="00450BF2" w:rsidRPr="00192CF1">
              <w:rPr>
                <w:rFonts w:ascii="Book Antiqua" w:eastAsia="Times New Roman" w:hAnsi="Book Antiqua"/>
                <w:b/>
                <w:sz w:val="24"/>
                <w:szCs w:val="24"/>
                <w:lang w:val="en-US"/>
              </w:rPr>
              <w:t>ncluded studies</w:t>
            </w:r>
          </w:p>
        </w:tc>
      </w:tr>
      <w:tr w:rsidR="00450BF2" w:rsidRPr="00192CF1" w14:paraId="3FD130EF" w14:textId="77777777" w:rsidTr="00C43966">
        <w:trPr>
          <w:trHeight w:val="260"/>
        </w:trPr>
        <w:tc>
          <w:tcPr>
            <w:tcW w:w="575" w:type="pct"/>
            <w:shd w:val="clear" w:color="auto" w:fill="auto"/>
            <w:noWrap/>
            <w:hideMark/>
          </w:tcPr>
          <w:p w14:paraId="7C381C5D" w14:textId="77777777"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ID</w:t>
            </w:r>
          </w:p>
        </w:tc>
        <w:tc>
          <w:tcPr>
            <w:tcW w:w="456" w:type="pct"/>
            <w:shd w:val="clear" w:color="auto" w:fill="auto"/>
            <w:noWrap/>
            <w:hideMark/>
          </w:tcPr>
          <w:p w14:paraId="0FA5213C" w14:textId="2E2BD5DA" w:rsidR="002B5612" w:rsidRPr="00450BF2" w:rsidRDefault="00450BF2" w:rsidP="004647EC">
            <w:pPr>
              <w:spacing w:after="0" w:line="360" w:lineRule="auto"/>
              <w:jc w:val="both"/>
              <w:rPr>
                <w:rFonts w:ascii="Book Antiqua" w:hAnsi="Book Antiqua"/>
                <w:b/>
                <w:bCs/>
                <w:sz w:val="24"/>
                <w:szCs w:val="24"/>
                <w:lang w:val="en-US" w:eastAsia="zh-CN"/>
              </w:rPr>
            </w:pPr>
            <w:r>
              <w:rPr>
                <w:rFonts w:ascii="Book Antiqua" w:hAnsi="Book Antiqua" w:hint="eastAsia"/>
                <w:b/>
                <w:bCs/>
                <w:sz w:val="24"/>
                <w:szCs w:val="24"/>
                <w:lang w:val="en-US" w:eastAsia="zh-CN"/>
              </w:rPr>
              <w:t>R</w:t>
            </w:r>
            <w:r>
              <w:rPr>
                <w:rFonts w:ascii="Book Antiqua" w:hAnsi="Book Antiqua"/>
                <w:b/>
                <w:bCs/>
                <w:sz w:val="24"/>
                <w:szCs w:val="24"/>
                <w:lang w:val="en-US" w:eastAsia="zh-CN"/>
              </w:rPr>
              <w:t>ef</w:t>
            </w:r>
            <w:r>
              <w:rPr>
                <w:rFonts w:ascii="Book Antiqua" w:hAnsi="Book Antiqua" w:hint="eastAsia"/>
                <w:b/>
                <w:bCs/>
                <w:sz w:val="24"/>
                <w:szCs w:val="24"/>
                <w:lang w:val="en-US" w:eastAsia="zh-CN"/>
              </w:rPr>
              <w:t>.</w:t>
            </w:r>
          </w:p>
        </w:tc>
        <w:tc>
          <w:tcPr>
            <w:tcW w:w="309" w:type="pct"/>
            <w:shd w:val="clear" w:color="auto" w:fill="auto"/>
            <w:noWrap/>
            <w:hideMark/>
          </w:tcPr>
          <w:p w14:paraId="4CF8C19B" w14:textId="407461CF"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C</w:t>
            </w:r>
            <w:r w:rsidR="00450BF2" w:rsidRPr="00192CF1">
              <w:rPr>
                <w:rFonts w:ascii="Book Antiqua" w:eastAsia="Times New Roman" w:hAnsi="Book Antiqua"/>
                <w:b/>
                <w:bCs/>
                <w:sz w:val="24"/>
                <w:szCs w:val="24"/>
                <w:lang w:val="en-US"/>
              </w:rPr>
              <w:t>ountry</w:t>
            </w:r>
          </w:p>
        </w:tc>
        <w:tc>
          <w:tcPr>
            <w:tcW w:w="417" w:type="pct"/>
            <w:shd w:val="clear" w:color="auto" w:fill="auto"/>
            <w:noWrap/>
            <w:hideMark/>
          </w:tcPr>
          <w:p w14:paraId="7E2823BB" w14:textId="62B3C1B3"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T</w:t>
            </w:r>
            <w:r w:rsidR="00450BF2" w:rsidRPr="00192CF1">
              <w:rPr>
                <w:rFonts w:ascii="Book Antiqua" w:eastAsia="Times New Roman" w:hAnsi="Book Antiqua"/>
                <w:b/>
                <w:bCs/>
                <w:sz w:val="24"/>
                <w:szCs w:val="24"/>
                <w:lang w:val="en-US"/>
              </w:rPr>
              <w:t>ype of study</w:t>
            </w:r>
          </w:p>
        </w:tc>
        <w:tc>
          <w:tcPr>
            <w:tcW w:w="323" w:type="pct"/>
            <w:shd w:val="clear" w:color="auto" w:fill="auto"/>
            <w:noWrap/>
            <w:hideMark/>
          </w:tcPr>
          <w:p w14:paraId="64EFC7A0" w14:textId="136DF0E8"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C</w:t>
            </w:r>
            <w:r w:rsidR="00450BF2" w:rsidRPr="00192CF1">
              <w:rPr>
                <w:rFonts w:ascii="Book Antiqua" w:eastAsia="Times New Roman" w:hAnsi="Book Antiqua"/>
                <w:b/>
                <w:bCs/>
                <w:sz w:val="24"/>
                <w:szCs w:val="24"/>
                <w:lang w:val="en-US"/>
              </w:rPr>
              <w:t>enter</w:t>
            </w:r>
          </w:p>
        </w:tc>
        <w:tc>
          <w:tcPr>
            <w:tcW w:w="215" w:type="pct"/>
            <w:shd w:val="clear" w:color="auto" w:fill="auto"/>
            <w:noWrap/>
            <w:hideMark/>
          </w:tcPr>
          <w:p w14:paraId="5DCA275B" w14:textId="01295F73"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Y</w:t>
            </w:r>
            <w:r w:rsidR="00450BF2" w:rsidRPr="00192CF1">
              <w:rPr>
                <w:rFonts w:ascii="Book Antiqua" w:eastAsia="Times New Roman" w:hAnsi="Book Antiqua"/>
                <w:b/>
                <w:bCs/>
                <w:sz w:val="24"/>
                <w:szCs w:val="24"/>
                <w:lang w:val="en-US"/>
              </w:rPr>
              <w:t>ear</w:t>
            </w:r>
          </w:p>
        </w:tc>
        <w:tc>
          <w:tcPr>
            <w:tcW w:w="459" w:type="pct"/>
            <w:shd w:val="clear" w:color="auto" w:fill="auto"/>
            <w:noWrap/>
            <w:hideMark/>
          </w:tcPr>
          <w:p w14:paraId="2F54ACEB" w14:textId="395198D8"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O</w:t>
            </w:r>
            <w:r w:rsidR="00450BF2" w:rsidRPr="00192CF1">
              <w:rPr>
                <w:rFonts w:ascii="Book Antiqua" w:eastAsia="Times New Roman" w:hAnsi="Book Antiqua"/>
                <w:b/>
                <w:bCs/>
                <w:sz w:val="24"/>
                <w:szCs w:val="24"/>
                <w:lang w:val="en-US"/>
              </w:rPr>
              <w:t>peration type</w:t>
            </w:r>
          </w:p>
        </w:tc>
        <w:tc>
          <w:tcPr>
            <w:tcW w:w="337" w:type="pct"/>
            <w:shd w:val="clear" w:color="auto" w:fill="auto"/>
            <w:noWrap/>
            <w:hideMark/>
          </w:tcPr>
          <w:p w14:paraId="5E7A8B8F" w14:textId="543D0994"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S</w:t>
            </w:r>
            <w:r w:rsidR="00450BF2" w:rsidRPr="00192CF1">
              <w:rPr>
                <w:rFonts w:ascii="Book Antiqua" w:eastAsia="Times New Roman" w:hAnsi="Book Antiqua"/>
                <w:b/>
                <w:bCs/>
                <w:sz w:val="24"/>
                <w:szCs w:val="24"/>
                <w:lang w:val="en-US"/>
              </w:rPr>
              <w:t>urgeons</w:t>
            </w:r>
          </w:p>
        </w:tc>
        <w:tc>
          <w:tcPr>
            <w:tcW w:w="355" w:type="pct"/>
            <w:shd w:val="clear" w:color="auto" w:fill="auto"/>
            <w:noWrap/>
            <w:hideMark/>
          </w:tcPr>
          <w:p w14:paraId="1E48E523" w14:textId="181BFE15"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E</w:t>
            </w:r>
            <w:r w:rsidR="00450BF2" w:rsidRPr="00192CF1">
              <w:rPr>
                <w:rFonts w:ascii="Book Antiqua" w:eastAsia="Times New Roman" w:hAnsi="Book Antiqua"/>
                <w:b/>
                <w:bCs/>
                <w:sz w:val="24"/>
                <w:szCs w:val="24"/>
                <w:lang w:val="en-US"/>
              </w:rPr>
              <w:t>xperience</w:t>
            </w:r>
          </w:p>
        </w:tc>
        <w:tc>
          <w:tcPr>
            <w:tcW w:w="271" w:type="pct"/>
            <w:shd w:val="clear" w:color="auto" w:fill="auto"/>
            <w:noWrap/>
            <w:hideMark/>
          </w:tcPr>
          <w:p w14:paraId="6D8B30AD" w14:textId="65975452"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S</w:t>
            </w:r>
            <w:r w:rsidR="00450BF2" w:rsidRPr="00192CF1">
              <w:rPr>
                <w:rFonts w:ascii="Book Antiqua" w:eastAsia="Times New Roman" w:hAnsi="Book Antiqua"/>
                <w:b/>
                <w:bCs/>
                <w:sz w:val="24"/>
                <w:szCs w:val="24"/>
                <w:lang w:val="en-US"/>
              </w:rPr>
              <w:t>ample</w:t>
            </w:r>
          </w:p>
        </w:tc>
        <w:tc>
          <w:tcPr>
            <w:tcW w:w="386" w:type="pct"/>
            <w:shd w:val="clear" w:color="auto" w:fill="auto"/>
            <w:noWrap/>
            <w:hideMark/>
          </w:tcPr>
          <w:p w14:paraId="0FD74932" w14:textId="5C6C6230"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G</w:t>
            </w:r>
            <w:r w:rsidR="00450BF2" w:rsidRPr="00192CF1">
              <w:rPr>
                <w:rFonts w:ascii="Book Antiqua" w:eastAsia="Times New Roman" w:hAnsi="Book Antiqua"/>
                <w:b/>
                <w:bCs/>
                <w:sz w:val="24"/>
                <w:szCs w:val="24"/>
                <w:lang w:val="en-US"/>
              </w:rPr>
              <w:t>ender</w:t>
            </w:r>
            <w:r w:rsidRPr="00192CF1">
              <w:rPr>
                <w:rFonts w:ascii="Book Antiqua" w:eastAsia="Times New Roman" w:hAnsi="Book Antiqua"/>
                <w:b/>
                <w:bCs/>
                <w:sz w:val="24"/>
                <w:szCs w:val="24"/>
                <w:lang w:val="en-US"/>
              </w:rPr>
              <w:t xml:space="preserve"> (M/F)</w:t>
            </w:r>
          </w:p>
        </w:tc>
        <w:tc>
          <w:tcPr>
            <w:tcW w:w="269" w:type="pct"/>
            <w:shd w:val="clear" w:color="auto" w:fill="auto"/>
            <w:noWrap/>
            <w:hideMark/>
          </w:tcPr>
          <w:p w14:paraId="511FCFD1" w14:textId="1E7FE5F3"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A</w:t>
            </w:r>
            <w:r w:rsidR="00450BF2" w:rsidRPr="00192CF1">
              <w:rPr>
                <w:rFonts w:ascii="Book Antiqua" w:eastAsia="Times New Roman" w:hAnsi="Book Antiqua"/>
                <w:b/>
                <w:bCs/>
                <w:sz w:val="24"/>
                <w:szCs w:val="24"/>
                <w:lang w:val="en-US"/>
              </w:rPr>
              <w:t>ge</w:t>
            </w:r>
          </w:p>
        </w:tc>
        <w:tc>
          <w:tcPr>
            <w:tcW w:w="269" w:type="pct"/>
            <w:shd w:val="clear" w:color="auto" w:fill="auto"/>
            <w:noWrap/>
            <w:hideMark/>
          </w:tcPr>
          <w:p w14:paraId="4C7457CC" w14:textId="77777777"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BMI</w:t>
            </w:r>
          </w:p>
        </w:tc>
        <w:tc>
          <w:tcPr>
            <w:tcW w:w="359" w:type="pct"/>
            <w:shd w:val="clear" w:color="auto" w:fill="auto"/>
            <w:noWrap/>
            <w:hideMark/>
          </w:tcPr>
          <w:p w14:paraId="265902E7" w14:textId="03012ECD"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F</w:t>
            </w:r>
            <w:r w:rsidR="00450BF2" w:rsidRPr="00192CF1">
              <w:rPr>
                <w:rFonts w:ascii="Book Antiqua" w:eastAsia="Times New Roman" w:hAnsi="Book Antiqua"/>
                <w:b/>
                <w:bCs/>
                <w:sz w:val="24"/>
                <w:szCs w:val="24"/>
                <w:lang w:val="en-US"/>
              </w:rPr>
              <w:t>ollow up</w:t>
            </w:r>
          </w:p>
        </w:tc>
      </w:tr>
      <w:tr w:rsidR="00450BF2" w:rsidRPr="00192CF1" w14:paraId="2FC4299D" w14:textId="77777777" w:rsidTr="00C43966">
        <w:trPr>
          <w:trHeight w:val="260"/>
        </w:trPr>
        <w:tc>
          <w:tcPr>
            <w:tcW w:w="575" w:type="pct"/>
            <w:shd w:val="clear" w:color="auto" w:fill="auto"/>
            <w:noWrap/>
            <w:hideMark/>
          </w:tcPr>
          <w:p w14:paraId="574F129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27417943</w:t>
            </w:r>
          </w:p>
        </w:tc>
        <w:tc>
          <w:tcPr>
            <w:tcW w:w="456" w:type="pct"/>
            <w:shd w:val="clear" w:color="auto" w:fill="auto"/>
            <w:noWrap/>
            <w:hideMark/>
          </w:tcPr>
          <w:p w14:paraId="0F884B66" w14:textId="7D49F3C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Buckley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L","non-dropping-particle":"","parse-names":false,"suffix":""}],"container-title":"HERNIA","id":"ITEM-1","issue":"5","issued":{"date-parts":[["2016","10"]]},"page":"729-733","publisher":"SPRINGER","publisher-place":"233 SPRING ST, NEW YORK, NY 10013 USA","title":"Influencing factors for port-site hernias after single-incision laparoscopy","type":"article-journal","volume":"20"},"uris":["http://www.mendeley.com/documents/?uuid=94881e51-2f96-4dc5-b29b-9d44b7d53ce8"]}],"mendeley":{"formattedCitation":"&lt;sup&gt;[30]&lt;/sup&gt;","plainTextFormattedCitation":"[30]","previouslyFormattedCitation":"&lt;sup&gt;[30]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[30]</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7AC15228" w14:textId="2CF0832D" w:rsidR="002B5612" w:rsidRPr="00450BF2" w:rsidRDefault="002B5612" w:rsidP="004647EC">
            <w:pPr>
              <w:spacing w:after="0" w:line="360" w:lineRule="auto"/>
              <w:jc w:val="both"/>
              <w:rPr>
                <w:rFonts w:ascii="Book Antiqua" w:hAnsi="Book Antiqua"/>
                <w:sz w:val="24"/>
                <w:szCs w:val="24"/>
                <w:lang w:val="en-US" w:eastAsia="zh-CN"/>
              </w:rPr>
            </w:pPr>
            <w:r w:rsidRPr="00192CF1">
              <w:rPr>
                <w:rFonts w:ascii="Book Antiqua" w:eastAsia="Times New Roman" w:hAnsi="Book Antiqua"/>
                <w:sz w:val="24"/>
                <w:szCs w:val="24"/>
                <w:lang w:val="en-US"/>
              </w:rPr>
              <w:t>U</w:t>
            </w:r>
            <w:r w:rsidR="00450BF2">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sidR="00450BF2">
              <w:rPr>
                <w:rFonts w:ascii="Book Antiqua" w:hAnsi="Book Antiqua" w:hint="eastAsia"/>
                <w:sz w:val="24"/>
                <w:szCs w:val="24"/>
                <w:lang w:val="en-US" w:eastAsia="zh-CN"/>
              </w:rPr>
              <w:t>tates</w:t>
            </w:r>
          </w:p>
        </w:tc>
        <w:tc>
          <w:tcPr>
            <w:tcW w:w="417" w:type="pct"/>
            <w:shd w:val="clear" w:color="auto" w:fill="auto"/>
            <w:noWrap/>
            <w:hideMark/>
          </w:tcPr>
          <w:p w14:paraId="6579BB05" w14:textId="66100A18"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14:paraId="0A089DA4" w14:textId="513DE0E8"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Single center</w:t>
            </w:r>
          </w:p>
        </w:tc>
        <w:tc>
          <w:tcPr>
            <w:tcW w:w="215" w:type="pct"/>
            <w:shd w:val="clear" w:color="auto" w:fill="auto"/>
            <w:noWrap/>
            <w:hideMark/>
          </w:tcPr>
          <w:p w14:paraId="0794427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2016</w:t>
            </w:r>
          </w:p>
        </w:tc>
        <w:tc>
          <w:tcPr>
            <w:tcW w:w="459" w:type="pct"/>
            <w:shd w:val="clear" w:color="auto" w:fill="auto"/>
            <w:noWrap/>
            <w:hideMark/>
          </w:tcPr>
          <w:p w14:paraId="5DC7B22A"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14:paraId="510ADFA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w:t>
            </w:r>
          </w:p>
        </w:tc>
        <w:tc>
          <w:tcPr>
            <w:tcW w:w="355" w:type="pct"/>
            <w:shd w:val="clear" w:color="auto" w:fill="auto"/>
            <w:noWrap/>
            <w:hideMark/>
          </w:tcPr>
          <w:p w14:paraId="2933072D" w14:textId="233CEEA7"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No</w:t>
            </w:r>
          </w:p>
        </w:tc>
        <w:tc>
          <w:tcPr>
            <w:tcW w:w="271" w:type="pct"/>
            <w:shd w:val="clear" w:color="auto" w:fill="auto"/>
            <w:noWrap/>
            <w:hideMark/>
          </w:tcPr>
          <w:p w14:paraId="25A7065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21</w:t>
            </w:r>
          </w:p>
        </w:tc>
        <w:tc>
          <w:tcPr>
            <w:tcW w:w="386" w:type="pct"/>
            <w:shd w:val="clear" w:color="auto" w:fill="auto"/>
            <w:noWrap/>
            <w:hideMark/>
          </w:tcPr>
          <w:p w14:paraId="13AB0BE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14:paraId="23F45DA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14:paraId="70B9CD7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14:paraId="230C73D3" w14:textId="4DFD7E6D"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34</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 xml:space="preserve">(8.3) </w:t>
            </w:r>
            <w:proofErr w:type="spellStart"/>
            <w:r w:rsidRPr="00192CF1">
              <w:rPr>
                <w:rFonts w:ascii="Book Antiqua" w:eastAsia="Times New Roman" w:hAnsi="Book Antiqua"/>
                <w:sz w:val="24"/>
                <w:szCs w:val="24"/>
                <w:lang w:val="en-US"/>
              </w:rPr>
              <w:t>mo</w:t>
            </w:r>
            <w:proofErr w:type="spellEnd"/>
          </w:p>
        </w:tc>
      </w:tr>
      <w:tr w:rsidR="00450BF2" w:rsidRPr="00192CF1" w14:paraId="02246CB9" w14:textId="77777777" w:rsidTr="00C43966">
        <w:trPr>
          <w:trHeight w:val="500"/>
        </w:trPr>
        <w:tc>
          <w:tcPr>
            <w:tcW w:w="575" w:type="pct"/>
            <w:shd w:val="clear" w:color="auto" w:fill="auto"/>
            <w:noWrap/>
            <w:hideMark/>
          </w:tcPr>
          <w:p w14:paraId="137D3C3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26350663</w:t>
            </w:r>
          </w:p>
        </w:tc>
        <w:tc>
          <w:tcPr>
            <w:tcW w:w="456" w:type="pct"/>
            <w:shd w:val="clear" w:color="auto" w:fill="auto"/>
            <w:noWrap/>
            <w:hideMark/>
          </w:tcPr>
          <w:p w14:paraId="467BA4BB" w14:textId="34D931C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eviouslyFormattedCitation":"&lt;sup&gt;[17]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106B6DDB" w14:textId="1AC9E6C4"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U</w:t>
            </w:r>
            <w:r>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Pr>
                <w:rFonts w:ascii="Book Antiqua" w:hAnsi="Book Antiqua" w:hint="eastAsia"/>
                <w:sz w:val="24"/>
                <w:szCs w:val="24"/>
                <w:lang w:val="en-US" w:eastAsia="zh-CN"/>
              </w:rPr>
              <w:t>tates</w:t>
            </w:r>
          </w:p>
        </w:tc>
        <w:tc>
          <w:tcPr>
            <w:tcW w:w="417" w:type="pct"/>
            <w:shd w:val="clear" w:color="auto" w:fill="auto"/>
            <w:noWrap/>
            <w:hideMark/>
          </w:tcPr>
          <w:p w14:paraId="04622ED2" w14:textId="2EF60D65"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Prospective</w:t>
            </w:r>
          </w:p>
        </w:tc>
        <w:tc>
          <w:tcPr>
            <w:tcW w:w="323" w:type="pct"/>
            <w:shd w:val="clear" w:color="auto" w:fill="auto"/>
            <w:noWrap/>
            <w:hideMark/>
          </w:tcPr>
          <w:p w14:paraId="45AAF3F9" w14:textId="51F65CB0"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4A5E6E7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2015</w:t>
            </w:r>
          </w:p>
        </w:tc>
        <w:tc>
          <w:tcPr>
            <w:tcW w:w="459" w:type="pct"/>
            <w:shd w:val="clear" w:color="auto" w:fill="auto"/>
            <w:noWrap/>
            <w:hideMark/>
          </w:tcPr>
          <w:p w14:paraId="23C00733"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14:paraId="18E0E5B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14:paraId="06D8EA6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4AA469B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190</w:t>
            </w:r>
          </w:p>
        </w:tc>
        <w:tc>
          <w:tcPr>
            <w:tcW w:w="386" w:type="pct"/>
            <w:shd w:val="clear" w:color="auto" w:fill="auto"/>
            <w:noWrap/>
            <w:hideMark/>
          </w:tcPr>
          <w:p w14:paraId="2078B9E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67/123</w:t>
            </w:r>
          </w:p>
        </w:tc>
        <w:tc>
          <w:tcPr>
            <w:tcW w:w="269" w:type="pct"/>
            <w:shd w:val="clear" w:color="auto" w:fill="auto"/>
            <w:noWrap/>
            <w:hideMark/>
          </w:tcPr>
          <w:p w14:paraId="528152C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55(14.7)</w:t>
            </w:r>
          </w:p>
        </w:tc>
        <w:tc>
          <w:tcPr>
            <w:tcW w:w="269" w:type="pct"/>
            <w:shd w:val="clear" w:color="auto" w:fill="auto"/>
            <w:noWrap/>
            <w:hideMark/>
          </w:tcPr>
          <w:p w14:paraId="4652419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27(3.9)</w:t>
            </w:r>
          </w:p>
        </w:tc>
        <w:tc>
          <w:tcPr>
            <w:tcW w:w="359" w:type="pct"/>
            <w:shd w:val="clear" w:color="auto" w:fill="auto"/>
            <w:noWrap/>
            <w:hideMark/>
          </w:tcPr>
          <w:p w14:paraId="5CAA08E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14:paraId="31798927" w14:textId="77777777" w:rsidTr="00C43966">
        <w:trPr>
          <w:trHeight w:val="260"/>
        </w:trPr>
        <w:tc>
          <w:tcPr>
            <w:tcW w:w="575" w:type="pct"/>
            <w:shd w:val="clear" w:color="auto" w:fill="auto"/>
            <w:noWrap/>
            <w:hideMark/>
          </w:tcPr>
          <w:p w14:paraId="4A6BB0C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24960483</w:t>
            </w:r>
          </w:p>
        </w:tc>
        <w:tc>
          <w:tcPr>
            <w:tcW w:w="456" w:type="pct"/>
            <w:shd w:val="clear" w:color="auto" w:fill="auto"/>
            <w:noWrap/>
            <w:hideMark/>
          </w:tcPr>
          <w:p w14:paraId="20698549" w14:textId="347E8E28"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Agaba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mendeley":{"formattedCitation":"&lt;sup&gt;[26]&lt;/sup&gt;","plainTextFormattedCitation":"[26]","previouslyFormattedCitation":"&lt;sup&gt;[26]&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[26]</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309" w:type="pct"/>
            <w:shd w:val="clear" w:color="auto" w:fill="auto"/>
            <w:noWrap/>
            <w:hideMark/>
          </w:tcPr>
          <w:p w14:paraId="0B2AF479" w14:textId="6D600E7D"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U</w:t>
            </w:r>
            <w:r>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Pr>
                <w:rFonts w:ascii="Book Antiqua" w:hAnsi="Book Antiqua" w:hint="eastAsia"/>
                <w:sz w:val="24"/>
                <w:szCs w:val="24"/>
                <w:lang w:val="en-US" w:eastAsia="zh-CN"/>
              </w:rPr>
              <w:t>tates</w:t>
            </w:r>
          </w:p>
        </w:tc>
        <w:tc>
          <w:tcPr>
            <w:tcW w:w="417" w:type="pct"/>
            <w:shd w:val="clear" w:color="auto" w:fill="auto"/>
            <w:noWrap/>
            <w:hideMark/>
          </w:tcPr>
          <w:p w14:paraId="09F18D38" w14:textId="299CA797"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14:paraId="12C346DB" w14:textId="24579308"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68820B2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2014</w:t>
            </w:r>
          </w:p>
        </w:tc>
        <w:tc>
          <w:tcPr>
            <w:tcW w:w="459" w:type="pct"/>
            <w:shd w:val="clear" w:color="auto" w:fill="auto"/>
            <w:noWrap/>
            <w:hideMark/>
          </w:tcPr>
          <w:p w14:paraId="5FF3084C"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14:paraId="099234B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55" w:type="pct"/>
            <w:shd w:val="clear" w:color="auto" w:fill="auto"/>
            <w:noWrap/>
            <w:hideMark/>
          </w:tcPr>
          <w:p w14:paraId="48FDE411" w14:textId="60444FDA"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Yes</w:t>
            </w:r>
          </w:p>
        </w:tc>
        <w:tc>
          <w:tcPr>
            <w:tcW w:w="271" w:type="pct"/>
            <w:shd w:val="clear" w:color="auto" w:fill="auto"/>
            <w:noWrap/>
            <w:hideMark/>
          </w:tcPr>
          <w:p w14:paraId="4F233CD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w:t>
            </w:r>
          </w:p>
        </w:tc>
        <w:tc>
          <w:tcPr>
            <w:tcW w:w="386" w:type="pct"/>
            <w:shd w:val="clear" w:color="auto" w:fill="auto"/>
            <w:noWrap/>
            <w:hideMark/>
          </w:tcPr>
          <w:p w14:paraId="15E2B83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14:paraId="35C1C5D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14:paraId="65D0656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14:paraId="06CE3FFD" w14:textId="37B854F5"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60 </w:t>
            </w:r>
            <w:proofErr w:type="spellStart"/>
            <w:r w:rsidRPr="00192CF1">
              <w:rPr>
                <w:rFonts w:ascii="Book Antiqua" w:eastAsia="Times New Roman" w:hAnsi="Book Antiqua"/>
                <w:sz w:val="24"/>
                <w:szCs w:val="24"/>
                <w:lang w:val="en-US"/>
              </w:rPr>
              <w:t>mo</w:t>
            </w:r>
            <w:proofErr w:type="spellEnd"/>
          </w:p>
        </w:tc>
      </w:tr>
      <w:tr w:rsidR="00450BF2" w:rsidRPr="00192CF1" w14:paraId="33872691" w14:textId="77777777" w:rsidTr="00C43966">
        <w:trPr>
          <w:trHeight w:val="260"/>
        </w:trPr>
        <w:tc>
          <w:tcPr>
            <w:tcW w:w="575" w:type="pct"/>
            <w:shd w:val="clear" w:color="auto" w:fill="auto"/>
            <w:noWrap/>
            <w:hideMark/>
          </w:tcPr>
          <w:p w14:paraId="1E8F788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24686364</w:t>
            </w:r>
          </w:p>
        </w:tc>
        <w:tc>
          <w:tcPr>
            <w:tcW w:w="456" w:type="pct"/>
            <w:shd w:val="clear" w:color="auto" w:fill="auto"/>
            <w:noWrap/>
            <w:hideMark/>
          </w:tcPr>
          <w:p w14:paraId="010ED6D1" w14:textId="52AA818A"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Galvani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lt;/sup&gt;","plainTextFormattedCitation":"[24]","previouslyFormattedCitation":"&lt;sup&gt;[24]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[24]</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3153BD42" w14:textId="687342AD"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U</w:t>
            </w:r>
            <w:r>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Pr>
                <w:rFonts w:ascii="Book Antiqua" w:hAnsi="Book Antiqua" w:hint="eastAsia"/>
                <w:sz w:val="24"/>
                <w:szCs w:val="24"/>
                <w:lang w:val="en-US" w:eastAsia="zh-CN"/>
              </w:rPr>
              <w:t>tates</w:t>
            </w:r>
          </w:p>
        </w:tc>
        <w:tc>
          <w:tcPr>
            <w:tcW w:w="417" w:type="pct"/>
            <w:shd w:val="clear" w:color="auto" w:fill="auto"/>
            <w:noWrap/>
            <w:hideMark/>
          </w:tcPr>
          <w:p w14:paraId="749062B1" w14:textId="58B9DABC"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14:paraId="62272436" w14:textId="186A697B"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12A5104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2014</w:t>
            </w:r>
          </w:p>
        </w:tc>
        <w:tc>
          <w:tcPr>
            <w:tcW w:w="459" w:type="pct"/>
            <w:shd w:val="clear" w:color="auto" w:fill="auto"/>
            <w:noWrap/>
            <w:hideMark/>
          </w:tcPr>
          <w:p w14:paraId="616D188D"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14:paraId="3153C6F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55" w:type="pct"/>
            <w:shd w:val="clear" w:color="auto" w:fill="auto"/>
            <w:noWrap/>
            <w:hideMark/>
          </w:tcPr>
          <w:p w14:paraId="7605DC15" w14:textId="28516C9E"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Yes</w:t>
            </w:r>
          </w:p>
        </w:tc>
        <w:tc>
          <w:tcPr>
            <w:tcW w:w="271" w:type="pct"/>
            <w:shd w:val="clear" w:color="auto" w:fill="auto"/>
            <w:noWrap/>
            <w:hideMark/>
          </w:tcPr>
          <w:p w14:paraId="59D8FB5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86" w:type="pct"/>
            <w:shd w:val="clear" w:color="auto" w:fill="auto"/>
            <w:noWrap/>
            <w:hideMark/>
          </w:tcPr>
          <w:p w14:paraId="742F90E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0/2</w:t>
            </w:r>
          </w:p>
        </w:tc>
        <w:tc>
          <w:tcPr>
            <w:tcW w:w="269" w:type="pct"/>
            <w:shd w:val="clear" w:color="auto" w:fill="auto"/>
            <w:noWrap/>
            <w:hideMark/>
          </w:tcPr>
          <w:p w14:paraId="5FD796C8" w14:textId="56C0B35A"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43.4</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(4)</w:t>
            </w:r>
          </w:p>
        </w:tc>
        <w:tc>
          <w:tcPr>
            <w:tcW w:w="269" w:type="pct"/>
            <w:shd w:val="clear" w:color="auto" w:fill="auto"/>
            <w:noWrap/>
            <w:hideMark/>
          </w:tcPr>
          <w:p w14:paraId="6CC069F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22(3)</w:t>
            </w:r>
          </w:p>
        </w:tc>
        <w:tc>
          <w:tcPr>
            <w:tcW w:w="359" w:type="pct"/>
            <w:shd w:val="clear" w:color="auto" w:fill="auto"/>
            <w:noWrap/>
            <w:hideMark/>
          </w:tcPr>
          <w:p w14:paraId="2CAE3DD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14:paraId="6C848683" w14:textId="77777777" w:rsidTr="00C43966">
        <w:trPr>
          <w:trHeight w:val="260"/>
        </w:trPr>
        <w:tc>
          <w:tcPr>
            <w:tcW w:w="575" w:type="pct"/>
            <w:shd w:val="clear" w:color="auto" w:fill="auto"/>
            <w:noWrap/>
            <w:hideMark/>
          </w:tcPr>
          <w:p w14:paraId="62DF4AC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24615563</w:t>
            </w:r>
          </w:p>
        </w:tc>
        <w:tc>
          <w:tcPr>
            <w:tcW w:w="456" w:type="pct"/>
            <w:shd w:val="clear" w:color="auto" w:fill="auto"/>
            <w:noWrap/>
            <w:hideMark/>
          </w:tcPr>
          <w:p w14:paraId="2B43FC9F" w14:textId="7AAE5D4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6A3F3B2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China</w:t>
            </w:r>
          </w:p>
        </w:tc>
        <w:tc>
          <w:tcPr>
            <w:tcW w:w="417" w:type="pct"/>
            <w:shd w:val="clear" w:color="auto" w:fill="auto"/>
            <w:noWrap/>
            <w:hideMark/>
          </w:tcPr>
          <w:p w14:paraId="16CDF7E7" w14:textId="4C852FF3"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w:t>
            </w:r>
            <w:r w:rsidRPr="00192CF1">
              <w:rPr>
                <w:rFonts w:ascii="Book Antiqua" w:eastAsia="Times New Roman" w:hAnsi="Book Antiqua"/>
                <w:sz w:val="24"/>
                <w:szCs w:val="24"/>
                <w:lang w:val="en-US"/>
              </w:rPr>
              <w:lastRenderedPageBreak/>
              <w:t>pective</w:t>
            </w:r>
          </w:p>
        </w:tc>
        <w:tc>
          <w:tcPr>
            <w:tcW w:w="323" w:type="pct"/>
            <w:shd w:val="clear" w:color="auto" w:fill="auto"/>
            <w:noWrap/>
            <w:hideMark/>
          </w:tcPr>
          <w:p w14:paraId="76AC287D" w14:textId="432EE446"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Single </w:t>
            </w:r>
            <w:r w:rsidR="002B5612" w:rsidRPr="00192CF1">
              <w:rPr>
                <w:rFonts w:ascii="Book Antiqua" w:eastAsia="Times New Roman" w:hAnsi="Book Antiqua"/>
                <w:sz w:val="24"/>
                <w:szCs w:val="24"/>
                <w:lang w:val="en-US"/>
              </w:rPr>
              <w:t>ce</w:t>
            </w:r>
            <w:r w:rsidR="002B5612" w:rsidRPr="00192CF1">
              <w:rPr>
                <w:rFonts w:ascii="Book Antiqua" w:eastAsia="Times New Roman" w:hAnsi="Book Antiqua"/>
                <w:sz w:val="24"/>
                <w:szCs w:val="24"/>
                <w:lang w:val="en-US"/>
              </w:rPr>
              <w:lastRenderedPageBreak/>
              <w:t>nter</w:t>
            </w:r>
          </w:p>
        </w:tc>
        <w:tc>
          <w:tcPr>
            <w:tcW w:w="215" w:type="pct"/>
            <w:shd w:val="clear" w:color="auto" w:fill="auto"/>
            <w:noWrap/>
            <w:hideMark/>
          </w:tcPr>
          <w:p w14:paraId="459A3FD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20</w:t>
            </w:r>
            <w:r w:rsidRPr="00192CF1">
              <w:rPr>
                <w:rFonts w:ascii="Book Antiqua" w:eastAsia="Times New Roman" w:hAnsi="Book Antiqua"/>
                <w:sz w:val="24"/>
                <w:szCs w:val="24"/>
                <w:lang w:val="en-US"/>
              </w:rPr>
              <w:lastRenderedPageBreak/>
              <w:t>14</w:t>
            </w:r>
          </w:p>
        </w:tc>
        <w:tc>
          <w:tcPr>
            <w:tcW w:w="459" w:type="pct"/>
            <w:shd w:val="clear" w:color="auto" w:fill="auto"/>
            <w:noWrap/>
            <w:hideMark/>
          </w:tcPr>
          <w:p w14:paraId="4990F63F"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lastRenderedPageBreak/>
              <w:t>Nissen</w:t>
            </w:r>
            <w:proofErr w:type="spellEnd"/>
          </w:p>
        </w:tc>
        <w:tc>
          <w:tcPr>
            <w:tcW w:w="337" w:type="pct"/>
            <w:shd w:val="clear" w:color="auto" w:fill="auto"/>
            <w:noWrap/>
            <w:hideMark/>
          </w:tcPr>
          <w:p w14:paraId="5943BD7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14:paraId="16C8F56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367BECA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w:t>
            </w:r>
          </w:p>
        </w:tc>
        <w:tc>
          <w:tcPr>
            <w:tcW w:w="386" w:type="pct"/>
            <w:shd w:val="clear" w:color="auto" w:fill="auto"/>
            <w:noWrap/>
            <w:hideMark/>
          </w:tcPr>
          <w:p w14:paraId="4B319F6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14:paraId="49BCEDC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14:paraId="6FFA264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14:paraId="6A9B8D31" w14:textId="78F8184F"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1 </w:t>
            </w:r>
            <w:proofErr w:type="spellStart"/>
            <w:r w:rsidRPr="00192CF1">
              <w:rPr>
                <w:rFonts w:ascii="Book Antiqua" w:eastAsia="Times New Roman" w:hAnsi="Book Antiqua"/>
                <w:sz w:val="24"/>
                <w:szCs w:val="24"/>
                <w:lang w:val="en-US"/>
              </w:rPr>
              <w:t>mo</w:t>
            </w:r>
            <w:proofErr w:type="spellEnd"/>
          </w:p>
        </w:tc>
      </w:tr>
      <w:tr w:rsidR="00450BF2" w:rsidRPr="00192CF1" w14:paraId="52304E91" w14:textId="77777777" w:rsidTr="00C43966">
        <w:trPr>
          <w:trHeight w:val="260"/>
        </w:trPr>
        <w:tc>
          <w:tcPr>
            <w:tcW w:w="575" w:type="pct"/>
            <w:shd w:val="clear" w:color="auto" w:fill="auto"/>
            <w:noWrap/>
            <w:hideMark/>
          </w:tcPr>
          <w:p w14:paraId="3329372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23585169</w:t>
            </w:r>
          </w:p>
        </w:tc>
        <w:tc>
          <w:tcPr>
            <w:tcW w:w="456" w:type="pct"/>
            <w:shd w:val="clear" w:color="auto" w:fill="auto"/>
            <w:noWrap/>
            <w:hideMark/>
          </w:tcPr>
          <w:p w14:paraId="4F353B1E" w14:textId="7EA6A335"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Strzalka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chirurgiczny","id":"ITEM-1","issue":"2","issued":{"date-parts":[["2013","2"]]},"language":"eng","page":"73-77","publisher-place":"Poland","title":"Application of the single access technique in laparoscopic surgery.","type":"article-journal","volume":"85"},"uris":["http://www.mendeley.com/documents/?uuid=f8c6e7b5-682a-48da-9065-b921584683d9"]}],"mendeley":{"formattedCitation":"&lt;sup&gt;[31]&lt;/sup&gt;","plainTextFormattedCitation":"[31]","previouslyFormattedCitation":"&lt;sup&gt;[31]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[31]</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4829BBF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Poland</w:t>
            </w:r>
          </w:p>
        </w:tc>
        <w:tc>
          <w:tcPr>
            <w:tcW w:w="417" w:type="pct"/>
            <w:shd w:val="clear" w:color="auto" w:fill="auto"/>
            <w:noWrap/>
            <w:hideMark/>
          </w:tcPr>
          <w:p w14:paraId="041D23A4" w14:textId="2E84D0CA"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14:paraId="6CECF86F" w14:textId="20C9F691"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5A039A7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2013</w:t>
            </w:r>
          </w:p>
        </w:tc>
        <w:tc>
          <w:tcPr>
            <w:tcW w:w="459" w:type="pct"/>
            <w:shd w:val="clear" w:color="auto" w:fill="auto"/>
            <w:noWrap/>
            <w:hideMark/>
          </w:tcPr>
          <w:p w14:paraId="57495624"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14:paraId="337A828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14:paraId="7DEEAB5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4830262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86" w:type="pct"/>
            <w:shd w:val="clear" w:color="auto" w:fill="auto"/>
            <w:noWrap/>
            <w:hideMark/>
          </w:tcPr>
          <w:p w14:paraId="7A35C36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14:paraId="7B95F03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14:paraId="422DC8B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14:paraId="7179369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14:paraId="16404586" w14:textId="77777777" w:rsidTr="00C43966">
        <w:trPr>
          <w:trHeight w:val="260"/>
        </w:trPr>
        <w:tc>
          <w:tcPr>
            <w:tcW w:w="575" w:type="pct"/>
            <w:shd w:val="clear" w:color="auto" w:fill="auto"/>
            <w:noWrap/>
            <w:hideMark/>
          </w:tcPr>
          <w:p w14:paraId="2242F98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10.5336/medsci.2012-31954</w:t>
            </w:r>
          </w:p>
        </w:tc>
        <w:tc>
          <w:tcPr>
            <w:tcW w:w="456" w:type="pct"/>
            <w:shd w:val="clear" w:color="auto" w:fill="auto"/>
            <w:noWrap/>
            <w:hideMark/>
          </w:tcPr>
          <w:p w14:paraId="7E6A81C2" w14:textId="21878402"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Yilmaz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[22]</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5700DCA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Turkey</w:t>
            </w:r>
          </w:p>
        </w:tc>
        <w:tc>
          <w:tcPr>
            <w:tcW w:w="417" w:type="pct"/>
            <w:shd w:val="clear" w:color="auto" w:fill="auto"/>
            <w:noWrap/>
            <w:hideMark/>
          </w:tcPr>
          <w:p w14:paraId="571D98CE" w14:textId="792F4246"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14:paraId="257C0223" w14:textId="33E5B812"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216AB06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2013</w:t>
            </w:r>
          </w:p>
        </w:tc>
        <w:tc>
          <w:tcPr>
            <w:tcW w:w="459" w:type="pct"/>
            <w:shd w:val="clear" w:color="auto" w:fill="auto"/>
            <w:noWrap/>
            <w:hideMark/>
          </w:tcPr>
          <w:p w14:paraId="14FD9E3C"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14:paraId="60AC163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55" w:type="pct"/>
            <w:shd w:val="clear" w:color="auto" w:fill="auto"/>
            <w:noWrap/>
            <w:hideMark/>
          </w:tcPr>
          <w:p w14:paraId="44DD6BE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7D81B65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p>
        </w:tc>
        <w:tc>
          <w:tcPr>
            <w:tcW w:w="386" w:type="pct"/>
            <w:shd w:val="clear" w:color="auto" w:fill="auto"/>
            <w:noWrap/>
            <w:hideMark/>
          </w:tcPr>
          <w:p w14:paraId="743DFD2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3/7</w:t>
            </w:r>
          </w:p>
        </w:tc>
        <w:tc>
          <w:tcPr>
            <w:tcW w:w="269" w:type="pct"/>
            <w:shd w:val="clear" w:color="auto" w:fill="auto"/>
            <w:noWrap/>
            <w:hideMark/>
          </w:tcPr>
          <w:p w14:paraId="0924B1D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35(8.5)</w:t>
            </w:r>
          </w:p>
        </w:tc>
        <w:tc>
          <w:tcPr>
            <w:tcW w:w="269" w:type="pct"/>
            <w:shd w:val="clear" w:color="auto" w:fill="auto"/>
            <w:noWrap/>
            <w:hideMark/>
          </w:tcPr>
          <w:p w14:paraId="5FC6FFEF" w14:textId="0ED34FC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24.6</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(3)</w:t>
            </w:r>
          </w:p>
        </w:tc>
        <w:tc>
          <w:tcPr>
            <w:tcW w:w="359" w:type="pct"/>
            <w:shd w:val="clear" w:color="auto" w:fill="auto"/>
            <w:noWrap/>
            <w:hideMark/>
          </w:tcPr>
          <w:p w14:paraId="70555F9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14:paraId="508BA9CC" w14:textId="77777777" w:rsidTr="00C43966">
        <w:trPr>
          <w:trHeight w:val="560"/>
        </w:trPr>
        <w:tc>
          <w:tcPr>
            <w:tcW w:w="575" w:type="pct"/>
            <w:shd w:val="clear" w:color="auto" w:fill="auto"/>
            <w:noWrap/>
            <w:hideMark/>
          </w:tcPr>
          <w:p w14:paraId="3AB7E54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22146016</w:t>
            </w:r>
          </w:p>
        </w:tc>
        <w:tc>
          <w:tcPr>
            <w:tcW w:w="456" w:type="pct"/>
            <w:shd w:val="clear" w:color="auto" w:fill="auto"/>
            <w:noWrap/>
            <w:hideMark/>
          </w:tcPr>
          <w:p w14:paraId="3BE45041" w14:textId="3CF52F08"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Eyuboglu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TECHNIQUES","id":"ITEM-1","issue":"2","issued":{"date-parts":[["2012","3"]]},"language":"eng","note":"From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mendeley":{"formattedCitation":"&lt;sup&gt;[20]&lt;/sup&gt;","plainTextFormattedCitation":"[20]","previouslyFormattedCitation":"&lt;sup&gt;[20]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[20]</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40E7979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Turkey</w:t>
            </w:r>
          </w:p>
        </w:tc>
        <w:tc>
          <w:tcPr>
            <w:tcW w:w="417" w:type="pct"/>
            <w:shd w:val="clear" w:color="auto" w:fill="auto"/>
            <w:noWrap/>
            <w:hideMark/>
          </w:tcPr>
          <w:p w14:paraId="0FAE7A3C" w14:textId="5EA53A1A"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14:paraId="3393FA22" w14:textId="7E24EE69"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4EEFB5E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2012</w:t>
            </w:r>
          </w:p>
        </w:tc>
        <w:tc>
          <w:tcPr>
            <w:tcW w:w="459" w:type="pct"/>
            <w:shd w:val="clear" w:color="auto" w:fill="auto"/>
            <w:noWrap/>
            <w:hideMark/>
          </w:tcPr>
          <w:p w14:paraId="5D21562C"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14:paraId="62F3C33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14:paraId="3C9581D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4EA2823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w:t>
            </w:r>
          </w:p>
        </w:tc>
        <w:tc>
          <w:tcPr>
            <w:tcW w:w="386" w:type="pct"/>
            <w:shd w:val="clear" w:color="auto" w:fill="auto"/>
            <w:noWrap/>
            <w:hideMark/>
          </w:tcPr>
          <w:p w14:paraId="4B6AA73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5/17</w:t>
            </w:r>
          </w:p>
        </w:tc>
        <w:tc>
          <w:tcPr>
            <w:tcW w:w="269" w:type="pct"/>
            <w:shd w:val="clear" w:color="auto" w:fill="auto"/>
            <w:noWrap/>
            <w:hideMark/>
          </w:tcPr>
          <w:p w14:paraId="559EA38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28(5.75)</w:t>
            </w:r>
          </w:p>
        </w:tc>
        <w:tc>
          <w:tcPr>
            <w:tcW w:w="269" w:type="pct"/>
            <w:shd w:val="clear" w:color="auto" w:fill="auto"/>
            <w:noWrap/>
            <w:hideMark/>
          </w:tcPr>
          <w:p w14:paraId="41F4601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14:paraId="57180BDB" w14:textId="69DB3F88"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8 </w:t>
            </w:r>
            <w:proofErr w:type="spellStart"/>
            <w:r w:rsidRPr="00192CF1">
              <w:rPr>
                <w:rFonts w:ascii="Book Antiqua" w:eastAsia="Times New Roman" w:hAnsi="Book Antiqua"/>
                <w:sz w:val="24"/>
                <w:szCs w:val="24"/>
                <w:lang w:val="en-US"/>
              </w:rPr>
              <w:t>mo</w:t>
            </w:r>
            <w:proofErr w:type="spellEnd"/>
          </w:p>
        </w:tc>
      </w:tr>
      <w:tr w:rsidR="00450BF2" w:rsidRPr="00192CF1" w14:paraId="3B1341F4" w14:textId="77777777" w:rsidTr="00C43966">
        <w:trPr>
          <w:trHeight w:val="560"/>
        </w:trPr>
        <w:tc>
          <w:tcPr>
            <w:tcW w:w="575" w:type="pct"/>
            <w:shd w:val="clear" w:color="auto" w:fill="auto"/>
            <w:noWrap/>
            <w:hideMark/>
          </w:tcPr>
          <w:p w14:paraId="18FDDDC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20306152</w:t>
            </w:r>
          </w:p>
        </w:tc>
        <w:tc>
          <w:tcPr>
            <w:tcW w:w="456" w:type="pct"/>
            <w:shd w:val="clear" w:color="auto" w:fill="auto"/>
            <w:noWrap/>
            <w:hideMark/>
          </w:tcPr>
          <w:p w14:paraId="5E3155D5" w14:textId="4D581319" w:rsidR="002B5612" w:rsidRPr="00BA4F98" w:rsidRDefault="002B5612" w:rsidP="00BA4F98">
            <w:pPr>
              <w:spacing w:after="0" w:line="360" w:lineRule="auto"/>
              <w:jc w:val="both"/>
              <w:rPr>
                <w:rFonts w:ascii="Book Antiqua" w:hAnsi="Book Antiqua"/>
                <w:sz w:val="24"/>
                <w:szCs w:val="24"/>
                <w:lang w:val="en-US" w:eastAsia="zh-CN"/>
              </w:rPr>
            </w:pPr>
            <w:r w:rsidRPr="00192CF1">
              <w:rPr>
                <w:rFonts w:ascii="Book Antiqua" w:eastAsia="Times New Roman" w:hAnsi="Book Antiqua"/>
                <w:sz w:val="24"/>
                <w:szCs w:val="24"/>
                <w:lang w:val="en-US"/>
              </w:rPr>
              <w:t xml:space="preserve">Miyazaki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techniques","id":"ITEM-1","issue":"3","issued":{"date-parts":[["2012","6"]]},"language":"eng","page":"e118-21","publisher-place":"United States","title":"Single-port laparoscopic surgery of the distal esophagus: initial clinical experience.","type":"article-journal","volume":"22"},"uris":["http://www.mendeley.com/documents/?uuid=5c9b5627-6b69-4214-980f-6e7e266becb2"]}],"mendeley":{"formattedCitation":"&lt;sup&gt;[19]&lt;/sup&gt;","plainTextFormattedCitation":"[19]","previouslyFormattedCitation":"&lt;sup&gt;[19]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[19]</w:t>
            </w:r>
            <w:r w:rsidR="00A973CD" w:rsidRPr="00192CF1">
              <w:rPr>
                <w:rFonts w:ascii="Book Antiqua" w:eastAsia="Times New Roman" w:hAnsi="Book Antiqua"/>
                <w:sz w:val="24"/>
                <w:szCs w:val="24"/>
                <w:lang w:val="en-US"/>
              </w:rPr>
              <w:fldChar w:fldCharType="end"/>
            </w:r>
            <w:r w:rsidR="00BA4F98" w:rsidRPr="00BA4F98">
              <w:rPr>
                <w:rFonts w:ascii="Book Antiqua" w:hAnsi="Book Antiqua" w:hint="eastAsia"/>
                <w:sz w:val="24"/>
                <w:szCs w:val="24"/>
                <w:vertAlign w:val="superscript"/>
                <w:lang w:val="en-US" w:eastAsia="zh-CN"/>
              </w:rPr>
              <w:t>1</w:t>
            </w:r>
          </w:p>
        </w:tc>
        <w:tc>
          <w:tcPr>
            <w:tcW w:w="309" w:type="pct"/>
            <w:shd w:val="clear" w:color="auto" w:fill="auto"/>
            <w:noWrap/>
            <w:hideMark/>
          </w:tcPr>
          <w:p w14:paraId="25B6BDF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Japan</w:t>
            </w:r>
          </w:p>
        </w:tc>
        <w:tc>
          <w:tcPr>
            <w:tcW w:w="417" w:type="pct"/>
            <w:shd w:val="clear" w:color="auto" w:fill="auto"/>
            <w:noWrap/>
            <w:hideMark/>
          </w:tcPr>
          <w:p w14:paraId="6EA2BB04" w14:textId="64ED7661"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14:paraId="73ED862E" w14:textId="1F0A9982"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7A418B1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2012</w:t>
            </w:r>
          </w:p>
        </w:tc>
        <w:tc>
          <w:tcPr>
            <w:tcW w:w="459" w:type="pct"/>
            <w:shd w:val="clear" w:color="auto" w:fill="auto"/>
            <w:noWrap/>
            <w:hideMark/>
          </w:tcPr>
          <w:p w14:paraId="3F82FA34"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14:paraId="1EC583EB" w14:textId="160AA108"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Surgical </w:t>
            </w:r>
            <w:r w:rsidR="002B5612" w:rsidRPr="00192CF1">
              <w:rPr>
                <w:rFonts w:ascii="Book Antiqua" w:eastAsia="Times New Roman" w:hAnsi="Book Antiqua"/>
                <w:sz w:val="24"/>
                <w:szCs w:val="24"/>
                <w:lang w:val="en-US"/>
              </w:rPr>
              <w:t>team</w:t>
            </w:r>
          </w:p>
        </w:tc>
        <w:tc>
          <w:tcPr>
            <w:tcW w:w="355" w:type="pct"/>
            <w:shd w:val="clear" w:color="auto" w:fill="auto"/>
            <w:noWrap/>
            <w:hideMark/>
          </w:tcPr>
          <w:p w14:paraId="1A629ED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5474A17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4</w:t>
            </w:r>
          </w:p>
        </w:tc>
        <w:tc>
          <w:tcPr>
            <w:tcW w:w="386" w:type="pct"/>
            <w:shd w:val="clear" w:color="auto" w:fill="auto"/>
            <w:noWrap/>
            <w:hideMark/>
          </w:tcPr>
          <w:p w14:paraId="1962C8F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w:t>
            </w:r>
          </w:p>
        </w:tc>
        <w:tc>
          <w:tcPr>
            <w:tcW w:w="269" w:type="pct"/>
            <w:shd w:val="clear" w:color="auto" w:fill="auto"/>
            <w:noWrap/>
            <w:hideMark/>
          </w:tcPr>
          <w:p w14:paraId="7DC38B4E" w14:textId="4644EF7B"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52.5</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(11.7)</w:t>
            </w:r>
          </w:p>
        </w:tc>
        <w:tc>
          <w:tcPr>
            <w:tcW w:w="269" w:type="pct"/>
            <w:shd w:val="clear" w:color="auto" w:fill="auto"/>
            <w:noWrap/>
            <w:hideMark/>
          </w:tcPr>
          <w:p w14:paraId="51C433A9" w14:textId="30D0687A"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20.9</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(1.1)</w:t>
            </w:r>
          </w:p>
        </w:tc>
        <w:tc>
          <w:tcPr>
            <w:tcW w:w="359" w:type="pct"/>
            <w:shd w:val="clear" w:color="auto" w:fill="auto"/>
            <w:noWrap/>
            <w:hideMark/>
          </w:tcPr>
          <w:p w14:paraId="6EFEABD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14:paraId="2BD75E21" w14:textId="77777777" w:rsidTr="00C43966">
        <w:trPr>
          <w:trHeight w:val="260"/>
        </w:trPr>
        <w:tc>
          <w:tcPr>
            <w:tcW w:w="575" w:type="pct"/>
            <w:shd w:val="clear" w:color="auto" w:fill="auto"/>
            <w:noWrap/>
            <w:hideMark/>
          </w:tcPr>
          <w:p w14:paraId="6CD6086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22278618</w:t>
            </w:r>
          </w:p>
        </w:tc>
        <w:tc>
          <w:tcPr>
            <w:tcW w:w="456" w:type="pct"/>
            <w:shd w:val="clear" w:color="auto" w:fill="auto"/>
            <w:noWrap/>
            <w:hideMark/>
          </w:tcPr>
          <w:p w14:paraId="6A0C49CD" w14:textId="633DAAA3" w:rsidR="002B5612" w:rsidRPr="00BA4F98" w:rsidRDefault="002B5612" w:rsidP="00BA4F98">
            <w:pPr>
              <w:spacing w:after="0" w:line="360" w:lineRule="auto"/>
              <w:jc w:val="both"/>
              <w:rPr>
                <w:rFonts w:ascii="Book Antiqua" w:hAnsi="Book Antiqua"/>
                <w:sz w:val="24"/>
                <w:szCs w:val="24"/>
                <w:lang w:val="en-US" w:eastAsia="zh-CN"/>
              </w:rPr>
            </w:pPr>
            <w:r w:rsidRPr="00192CF1">
              <w:rPr>
                <w:rFonts w:ascii="Book Antiqua" w:eastAsia="Times New Roman" w:hAnsi="Book Antiqua"/>
                <w:sz w:val="24"/>
                <w:szCs w:val="24"/>
                <w:lang w:val="en-US"/>
              </w:rPr>
              <w:t xml:space="preserve">Mizuno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today","id":"ITEM-1","issue":"6","issued":{"date-parts":[["2012","6"]]},"language":"eng","page":"601-604","publisher-place":"Japan","title":"Early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mendeley":{"formattedCitation":"&lt;sup&gt;[21]&lt;/sup&gt;","plainTextFormattedCitation":"[21]","previouslyFormattedCitation":"&lt;sup&gt;[21]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[21]</w:t>
            </w:r>
            <w:r w:rsidR="00A973CD" w:rsidRPr="00192CF1">
              <w:rPr>
                <w:rFonts w:ascii="Book Antiqua" w:eastAsia="Times New Roman" w:hAnsi="Book Antiqua"/>
                <w:sz w:val="24"/>
                <w:szCs w:val="24"/>
                <w:lang w:val="en-US"/>
              </w:rPr>
              <w:fldChar w:fldCharType="end"/>
            </w:r>
            <w:r w:rsidR="00BA4F98" w:rsidRPr="00BA4F98">
              <w:rPr>
                <w:rFonts w:ascii="Book Antiqua" w:hAnsi="Book Antiqua" w:hint="eastAsia"/>
                <w:sz w:val="24"/>
                <w:szCs w:val="24"/>
                <w:vertAlign w:val="superscript"/>
                <w:lang w:val="en-US" w:eastAsia="zh-CN"/>
              </w:rPr>
              <w:t>2</w:t>
            </w:r>
          </w:p>
        </w:tc>
        <w:tc>
          <w:tcPr>
            <w:tcW w:w="309" w:type="pct"/>
            <w:shd w:val="clear" w:color="auto" w:fill="auto"/>
            <w:noWrap/>
            <w:hideMark/>
          </w:tcPr>
          <w:p w14:paraId="7478324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Japan</w:t>
            </w:r>
          </w:p>
        </w:tc>
        <w:tc>
          <w:tcPr>
            <w:tcW w:w="417" w:type="pct"/>
            <w:shd w:val="clear" w:color="auto" w:fill="auto"/>
            <w:noWrap/>
            <w:hideMark/>
          </w:tcPr>
          <w:p w14:paraId="422DFB2D" w14:textId="79EF0A4D"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14:paraId="7909D379" w14:textId="4109B472"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0902B8E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2012</w:t>
            </w:r>
          </w:p>
        </w:tc>
        <w:tc>
          <w:tcPr>
            <w:tcW w:w="459" w:type="pct"/>
            <w:shd w:val="clear" w:color="auto" w:fill="auto"/>
            <w:noWrap/>
            <w:hideMark/>
          </w:tcPr>
          <w:p w14:paraId="487C37C8"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14:paraId="6074C08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14:paraId="7A0B092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146C198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86" w:type="pct"/>
            <w:shd w:val="clear" w:color="auto" w:fill="auto"/>
            <w:noWrap/>
            <w:hideMark/>
          </w:tcPr>
          <w:p w14:paraId="121B440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1/1</w:t>
            </w:r>
          </w:p>
        </w:tc>
        <w:tc>
          <w:tcPr>
            <w:tcW w:w="269" w:type="pct"/>
            <w:shd w:val="clear" w:color="auto" w:fill="auto"/>
            <w:noWrap/>
            <w:hideMark/>
          </w:tcPr>
          <w:p w14:paraId="3B0CA18C" w14:textId="6B23EB1B"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65.5</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(13.4)</w:t>
            </w:r>
          </w:p>
        </w:tc>
        <w:tc>
          <w:tcPr>
            <w:tcW w:w="269" w:type="pct"/>
            <w:shd w:val="clear" w:color="auto" w:fill="auto"/>
            <w:noWrap/>
            <w:hideMark/>
          </w:tcPr>
          <w:p w14:paraId="6E9E40C3" w14:textId="2C5C4731"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30.5</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(0.7)</w:t>
            </w:r>
          </w:p>
        </w:tc>
        <w:tc>
          <w:tcPr>
            <w:tcW w:w="359" w:type="pct"/>
            <w:shd w:val="clear" w:color="auto" w:fill="auto"/>
            <w:noWrap/>
            <w:hideMark/>
          </w:tcPr>
          <w:p w14:paraId="48276EED" w14:textId="5BFF4F83"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18 </w:t>
            </w:r>
            <w:proofErr w:type="spellStart"/>
            <w:r w:rsidRPr="00192CF1">
              <w:rPr>
                <w:rFonts w:ascii="Book Antiqua" w:eastAsia="Times New Roman" w:hAnsi="Book Antiqua"/>
                <w:sz w:val="24"/>
                <w:szCs w:val="24"/>
                <w:lang w:val="en-US"/>
              </w:rPr>
              <w:t>mo</w:t>
            </w:r>
            <w:proofErr w:type="spellEnd"/>
          </w:p>
        </w:tc>
      </w:tr>
      <w:tr w:rsidR="00450BF2" w:rsidRPr="00192CF1" w14:paraId="5103F4E5" w14:textId="77777777" w:rsidTr="00C43966">
        <w:trPr>
          <w:trHeight w:val="260"/>
        </w:trPr>
        <w:tc>
          <w:tcPr>
            <w:tcW w:w="575" w:type="pct"/>
            <w:shd w:val="clear" w:color="auto" w:fill="auto"/>
            <w:noWrap/>
            <w:hideMark/>
          </w:tcPr>
          <w:p w14:paraId="0042DE4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21991503</w:t>
            </w:r>
          </w:p>
        </w:tc>
        <w:tc>
          <w:tcPr>
            <w:tcW w:w="456" w:type="pct"/>
            <w:shd w:val="clear" w:color="auto" w:fill="auto"/>
            <w:noWrap/>
            <w:hideMark/>
          </w:tcPr>
          <w:p w14:paraId="2055E572" w14:textId="7DABCAFF"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Barbaros</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gastroenterology","id":"ITEM-1","issued":{"date-parts":[["2011"]]},"language":"eng","page":"347487","publisher-place":"Egypt","title":"Pure SILS Floppy Nissen Fundoplication with Hiatal Repair: A Case Report.","type":"article-journal","volume":"2011"},"uris":["http://www.mendeley.com/documents/?uuid=bb1b6c22-cb01-419a-8aa1-ecc2590e20fb"]}],"mendeley":{"formattedCitation":"&lt;sup&gt;[18]&lt;/sup&gt;","plainTextFormattedCitation":"[18]","previouslyFormattedCitation":"&lt;sup&gt;[18]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[18]</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1A4FFAD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Turkey</w:t>
            </w:r>
          </w:p>
        </w:tc>
        <w:tc>
          <w:tcPr>
            <w:tcW w:w="417" w:type="pct"/>
            <w:shd w:val="clear" w:color="auto" w:fill="auto"/>
            <w:noWrap/>
            <w:hideMark/>
          </w:tcPr>
          <w:p w14:paraId="0957DE35" w14:textId="72ABFB5A"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Case </w:t>
            </w:r>
            <w:r w:rsidR="002B5612" w:rsidRPr="00192CF1">
              <w:rPr>
                <w:rFonts w:ascii="Book Antiqua" w:eastAsia="Times New Roman" w:hAnsi="Book Antiqua"/>
                <w:sz w:val="24"/>
                <w:szCs w:val="24"/>
                <w:lang w:val="en-US"/>
              </w:rPr>
              <w:t>report</w:t>
            </w:r>
          </w:p>
        </w:tc>
        <w:tc>
          <w:tcPr>
            <w:tcW w:w="323" w:type="pct"/>
            <w:shd w:val="clear" w:color="auto" w:fill="auto"/>
            <w:noWrap/>
            <w:hideMark/>
          </w:tcPr>
          <w:p w14:paraId="0AF45CA4" w14:textId="2939E08B"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w:t>
            </w:r>
            <w:r w:rsidR="002B5612" w:rsidRPr="00192CF1">
              <w:rPr>
                <w:rFonts w:ascii="Book Antiqua" w:eastAsia="Times New Roman" w:hAnsi="Book Antiqua"/>
                <w:sz w:val="24"/>
                <w:szCs w:val="24"/>
                <w:lang w:val="en-US"/>
              </w:rPr>
              <w:lastRenderedPageBreak/>
              <w:t>nter</w:t>
            </w:r>
          </w:p>
        </w:tc>
        <w:tc>
          <w:tcPr>
            <w:tcW w:w="215" w:type="pct"/>
            <w:shd w:val="clear" w:color="auto" w:fill="auto"/>
            <w:noWrap/>
            <w:hideMark/>
          </w:tcPr>
          <w:p w14:paraId="5B92BAB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2011</w:t>
            </w:r>
          </w:p>
        </w:tc>
        <w:tc>
          <w:tcPr>
            <w:tcW w:w="459" w:type="pct"/>
            <w:shd w:val="clear" w:color="auto" w:fill="auto"/>
            <w:noWrap/>
            <w:hideMark/>
          </w:tcPr>
          <w:p w14:paraId="27112492"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14:paraId="57B4A9B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14:paraId="48DF9F8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45F8EEC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86" w:type="pct"/>
            <w:shd w:val="clear" w:color="auto" w:fill="auto"/>
            <w:noWrap/>
            <w:hideMark/>
          </w:tcPr>
          <w:p w14:paraId="79ECA96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p>
        </w:tc>
        <w:tc>
          <w:tcPr>
            <w:tcW w:w="269" w:type="pct"/>
            <w:shd w:val="clear" w:color="auto" w:fill="auto"/>
            <w:noWrap/>
            <w:hideMark/>
          </w:tcPr>
          <w:p w14:paraId="072C745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29</w:t>
            </w:r>
          </w:p>
        </w:tc>
        <w:tc>
          <w:tcPr>
            <w:tcW w:w="269" w:type="pct"/>
            <w:shd w:val="clear" w:color="auto" w:fill="auto"/>
            <w:noWrap/>
            <w:hideMark/>
          </w:tcPr>
          <w:p w14:paraId="4F7915C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14:paraId="73459F7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14:paraId="6DE7EC21" w14:textId="77777777" w:rsidTr="00C43966">
        <w:trPr>
          <w:trHeight w:val="260"/>
        </w:trPr>
        <w:tc>
          <w:tcPr>
            <w:tcW w:w="575" w:type="pct"/>
            <w:shd w:val="clear" w:color="auto" w:fill="auto"/>
            <w:noWrap/>
            <w:hideMark/>
          </w:tcPr>
          <w:p w14:paraId="1FD6CC7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21059609</w:t>
            </w:r>
          </w:p>
        </w:tc>
        <w:tc>
          <w:tcPr>
            <w:tcW w:w="456" w:type="pct"/>
            <w:shd w:val="clear" w:color="auto" w:fill="auto"/>
            <w:noWrap/>
            <w:hideMark/>
          </w:tcPr>
          <w:p w14:paraId="0E6F7BFB" w14:textId="4ECC0AE3"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Dapri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65F3F1D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Belgium</w:t>
            </w:r>
          </w:p>
        </w:tc>
        <w:tc>
          <w:tcPr>
            <w:tcW w:w="417" w:type="pct"/>
            <w:shd w:val="clear" w:color="auto" w:fill="auto"/>
            <w:noWrap/>
            <w:hideMark/>
          </w:tcPr>
          <w:p w14:paraId="5A92DFDC" w14:textId="2D657D27"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Case </w:t>
            </w:r>
            <w:r w:rsidR="002B5612" w:rsidRPr="00192CF1">
              <w:rPr>
                <w:rFonts w:ascii="Book Antiqua" w:eastAsia="Times New Roman" w:hAnsi="Book Antiqua"/>
                <w:sz w:val="24"/>
                <w:szCs w:val="24"/>
                <w:lang w:val="en-US"/>
              </w:rPr>
              <w:t>report</w:t>
            </w:r>
          </w:p>
        </w:tc>
        <w:tc>
          <w:tcPr>
            <w:tcW w:w="323" w:type="pct"/>
            <w:shd w:val="clear" w:color="auto" w:fill="auto"/>
            <w:noWrap/>
            <w:hideMark/>
          </w:tcPr>
          <w:p w14:paraId="4FA2F1AF" w14:textId="074286B2"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391E9C9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2011</w:t>
            </w:r>
          </w:p>
        </w:tc>
        <w:tc>
          <w:tcPr>
            <w:tcW w:w="459" w:type="pct"/>
            <w:shd w:val="clear" w:color="auto" w:fill="auto"/>
            <w:noWrap/>
            <w:hideMark/>
          </w:tcPr>
          <w:p w14:paraId="666A3AC6"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14:paraId="145DA9A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14:paraId="6843335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7515036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86" w:type="pct"/>
            <w:shd w:val="clear" w:color="auto" w:fill="auto"/>
            <w:noWrap/>
            <w:hideMark/>
          </w:tcPr>
          <w:p w14:paraId="4230FAE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0/1</w:t>
            </w:r>
          </w:p>
        </w:tc>
        <w:tc>
          <w:tcPr>
            <w:tcW w:w="269" w:type="pct"/>
            <w:shd w:val="clear" w:color="auto" w:fill="auto"/>
            <w:noWrap/>
            <w:hideMark/>
          </w:tcPr>
          <w:p w14:paraId="6C168AC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21</w:t>
            </w:r>
          </w:p>
        </w:tc>
        <w:tc>
          <w:tcPr>
            <w:tcW w:w="269" w:type="pct"/>
            <w:shd w:val="clear" w:color="auto" w:fill="auto"/>
            <w:noWrap/>
            <w:hideMark/>
          </w:tcPr>
          <w:p w14:paraId="37D778E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14:paraId="6045B970" w14:textId="1E35FDE2"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6 </w:t>
            </w:r>
            <w:proofErr w:type="spellStart"/>
            <w:r w:rsidRPr="00192CF1">
              <w:rPr>
                <w:rFonts w:ascii="Book Antiqua" w:eastAsia="Times New Roman" w:hAnsi="Book Antiqua"/>
                <w:sz w:val="24"/>
                <w:szCs w:val="24"/>
                <w:lang w:val="en-US"/>
              </w:rPr>
              <w:t>mo</w:t>
            </w:r>
            <w:proofErr w:type="spellEnd"/>
          </w:p>
        </w:tc>
      </w:tr>
      <w:tr w:rsidR="00450BF2" w:rsidRPr="00192CF1" w14:paraId="34198946" w14:textId="77777777" w:rsidTr="00C43966">
        <w:trPr>
          <w:trHeight w:val="260"/>
        </w:trPr>
        <w:tc>
          <w:tcPr>
            <w:tcW w:w="575" w:type="pct"/>
            <w:shd w:val="clear" w:color="auto" w:fill="auto"/>
            <w:noWrap/>
            <w:hideMark/>
          </w:tcPr>
          <w:p w14:paraId="755AA42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21471786</w:t>
            </w:r>
          </w:p>
        </w:tc>
        <w:tc>
          <w:tcPr>
            <w:tcW w:w="456" w:type="pct"/>
            <w:shd w:val="clear" w:color="auto" w:fill="auto"/>
            <w:noWrap/>
            <w:hideMark/>
          </w:tcPr>
          <w:p w14:paraId="315830E1" w14:textId="6783A3B0"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Hawasli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1F57F0F2" w14:textId="1540EA6D"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U</w:t>
            </w:r>
            <w:r>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Pr>
                <w:rFonts w:ascii="Book Antiqua" w:hAnsi="Book Antiqua" w:hint="eastAsia"/>
                <w:sz w:val="24"/>
                <w:szCs w:val="24"/>
                <w:lang w:val="en-US" w:eastAsia="zh-CN"/>
              </w:rPr>
              <w:t>tates</w:t>
            </w:r>
          </w:p>
        </w:tc>
        <w:tc>
          <w:tcPr>
            <w:tcW w:w="417" w:type="pct"/>
            <w:shd w:val="clear" w:color="auto" w:fill="auto"/>
            <w:noWrap/>
            <w:hideMark/>
          </w:tcPr>
          <w:p w14:paraId="0BC33927" w14:textId="3DE278DE"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Case </w:t>
            </w:r>
            <w:r w:rsidR="002B5612" w:rsidRPr="00192CF1">
              <w:rPr>
                <w:rFonts w:ascii="Book Antiqua" w:eastAsia="Times New Roman" w:hAnsi="Book Antiqua"/>
                <w:sz w:val="24"/>
                <w:szCs w:val="24"/>
                <w:lang w:val="en-US"/>
              </w:rPr>
              <w:t>report</w:t>
            </w:r>
          </w:p>
        </w:tc>
        <w:tc>
          <w:tcPr>
            <w:tcW w:w="323" w:type="pct"/>
            <w:shd w:val="clear" w:color="auto" w:fill="auto"/>
            <w:noWrap/>
            <w:hideMark/>
          </w:tcPr>
          <w:p w14:paraId="5B743A59" w14:textId="224FC705"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14EF567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2011</w:t>
            </w:r>
          </w:p>
        </w:tc>
        <w:tc>
          <w:tcPr>
            <w:tcW w:w="459" w:type="pct"/>
            <w:shd w:val="clear" w:color="auto" w:fill="auto"/>
            <w:noWrap/>
            <w:hideMark/>
          </w:tcPr>
          <w:p w14:paraId="3CD5609C"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14:paraId="60E815C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14:paraId="4298CD6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7B0D059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86" w:type="pct"/>
            <w:shd w:val="clear" w:color="auto" w:fill="auto"/>
            <w:noWrap/>
            <w:hideMark/>
          </w:tcPr>
          <w:p w14:paraId="3D9D5B6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0/1</w:t>
            </w:r>
          </w:p>
        </w:tc>
        <w:tc>
          <w:tcPr>
            <w:tcW w:w="269" w:type="pct"/>
            <w:shd w:val="clear" w:color="auto" w:fill="auto"/>
            <w:noWrap/>
            <w:hideMark/>
          </w:tcPr>
          <w:p w14:paraId="58C7A87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36</w:t>
            </w:r>
          </w:p>
        </w:tc>
        <w:tc>
          <w:tcPr>
            <w:tcW w:w="269" w:type="pct"/>
            <w:shd w:val="clear" w:color="auto" w:fill="auto"/>
            <w:noWrap/>
            <w:hideMark/>
          </w:tcPr>
          <w:p w14:paraId="7E971D0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29</w:t>
            </w:r>
          </w:p>
        </w:tc>
        <w:tc>
          <w:tcPr>
            <w:tcW w:w="359" w:type="pct"/>
            <w:shd w:val="clear" w:color="auto" w:fill="auto"/>
            <w:noWrap/>
            <w:hideMark/>
          </w:tcPr>
          <w:p w14:paraId="06422F34" w14:textId="29BD3EF0" w:rsidR="002B5612" w:rsidRPr="00192CF1" w:rsidRDefault="00450BF2" w:rsidP="004647EC">
            <w:pPr>
              <w:spacing w:after="0" w:line="360" w:lineRule="auto"/>
              <w:jc w:val="both"/>
              <w:rPr>
                <w:rFonts w:ascii="Book Antiqua" w:eastAsia="Times New Roman" w:hAnsi="Book Antiqua"/>
                <w:sz w:val="24"/>
                <w:szCs w:val="24"/>
                <w:lang w:val="en-US"/>
              </w:rPr>
            </w:pPr>
            <w:r>
              <w:rPr>
                <w:rFonts w:ascii="Book Antiqua" w:eastAsia="Times New Roman" w:hAnsi="Book Antiqua"/>
                <w:sz w:val="24"/>
                <w:szCs w:val="24"/>
                <w:lang w:val="en-US"/>
              </w:rPr>
              <w:t xml:space="preserve">1 </w:t>
            </w:r>
            <w:proofErr w:type="spellStart"/>
            <w:r>
              <w:rPr>
                <w:rFonts w:ascii="Book Antiqua" w:eastAsia="Times New Roman" w:hAnsi="Book Antiqua"/>
                <w:sz w:val="24"/>
                <w:szCs w:val="24"/>
                <w:lang w:val="en-US"/>
              </w:rPr>
              <w:t>w</w:t>
            </w:r>
            <w:r w:rsidR="002B5612" w:rsidRPr="00192CF1">
              <w:rPr>
                <w:rFonts w:ascii="Book Antiqua" w:eastAsia="Times New Roman" w:hAnsi="Book Antiqua"/>
                <w:sz w:val="24"/>
                <w:szCs w:val="24"/>
                <w:lang w:val="en-US"/>
              </w:rPr>
              <w:t>k</w:t>
            </w:r>
            <w:proofErr w:type="spellEnd"/>
          </w:p>
        </w:tc>
      </w:tr>
      <w:tr w:rsidR="00450BF2" w:rsidRPr="00192CF1" w14:paraId="7A3EADF9" w14:textId="77777777" w:rsidTr="00C43966">
        <w:trPr>
          <w:trHeight w:val="260"/>
        </w:trPr>
        <w:tc>
          <w:tcPr>
            <w:tcW w:w="575" w:type="pct"/>
            <w:shd w:val="clear" w:color="auto" w:fill="auto"/>
            <w:noWrap/>
            <w:hideMark/>
          </w:tcPr>
          <w:p w14:paraId="52B422C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20306152</w:t>
            </w:r>
          </w:p>
        </w:tc>
        <w:tc>
          <w:tcPr>
            <w:tcW w:w="456" w:type="pct"/>
            <w:shd w:val="clear" w:color="auto" w:fill="auto"/>
            <w:noWrap/>
            <w:hideMark/>
          </w:tcPr>
          <w:p w14:paraId="63A7697C" w14:textId="5FC89A7C"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Hamzaoglu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2886AC8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Turkey</w:t>
            </w:r>
          </w:p>
        </w:tc>
        <w:tc>
          <w:tcPr>
            <w:tcW w:w="417" w:type="pct"/>
            <w:shd w:val="clear" w:color="auto" w:fill="auto"/>
            <w:noWrap/>
            <w:hideMark/>
          </w:tcPr>
          <w:p w14:paraId="5195F296" w14:textId="7714D144"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Case </w:t>
            </w:r>
            <w:r w:rsidR="002B5612" w:rsidRPr="00192CF1">
              <w:rPr>
                <w:rFonts w:ascii="Book Antiqua" w:eastAsia="Times New Roman" w:hAnsi="Book Antiqua"/>
                <w:sz w:val="24"/>
                <w:szCs w:val="24"/>
                <w:lang w:val="en-US"/>
              </w:rPr>
              <w:t>series</w:t>
            </w:r>
          </w:p>
        </w:tc>
        <w:tc>
          <w:tcPr>
            <w:tcW w:w="323" w:type="pct"/>
            <w:shd w:val="clear" w:color="auto" w:fill="auto"/>
            <w:noWrap/>
            <w:hideMark/>
          </w:tcPr>
          <w:p w14:paraId="00885723" w14:textId="30332119"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098389B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2010</w:t>
            </w:r>
          </w:p>
        </w:tc>
        <w:tc>
          <w:tcPr>
            <w:tcW w:w="459" w:type="pct"/>
            <w:shd w:val="clear" w:color="auto" w:fill="auto"/>
            <w:noWrap/>
            <w:hideMark/>
          </w:tcPr>
          <w:p w14:paraId="1648286D"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14:paraId="694399E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14:paraId="6173186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177B15E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w:t>
            </w:r>
          </w:p>
        </w:tc>
        <w:tc>
          <w:tcPr>
            <w:tcW w:w="386" w:type="pct"/>
            <w:shd w:val="clear" w:color="auto" w:fill="auto"/>
            <w:noWrap/>
            <w:hideMark/>
          </w:tcPr>
          <w:p w14:paraId="680448D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w:t>
            </w:r>
          </w:p>
        </w:tc>
        <w:tc>
          <w:tcPr>
            <w:tcW w:w="269" w:type="pct"/>
            <w:shd w:val="clear" w:color="auto" w:fill="auto"/>
            <w:noWrap/>
            <w:hideMark/>
          </w:tcPr>
          <w:p w14:paraId="076C092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40(17.5)</w:t>
            </w:r>
          </w:p>
        </w:tc>
        <w:tc>
          <w:tcPr>
            <w:tcW w:w="269" w:type="pct"/>
            <w:shd w:val="clear" w:color="auto" w:fill="auto"/>
            <w:noWrap/>
            <w:hideMark/>
          </w:tcPr>
          <w:p w14:paraId="56A6C500" w14:textId="348991BA"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26.3</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(4.93)</w:t>
            </w:r>
          </w:p>
        </w:tc>
        <w:tc>
          <w:tcPr>
            <w:tcW w:w="359" w:type="pct"/>
            <w:shd w:val="clear" w:color="auto" w:fill="auto"/>
            <w:noWrap/>
            <w:hideMark/>
          </w:tcPr>
          <w:p w14:paraId="56E06990" w14:textId="404A8BB5" w:rsidR="002B5612" w:rsidRPr="00192CF1" w:rsidRDefault="00450BF2" w:rsidP="004647EC">
            <w:pPr>
              <w:spacing w:after="0" w:line="360" w:lineRule="auto"/>
              <w:jc w:val="both"/>
              <w:rPr>
                <w:rFonts w:ascii="Book Antiqua" w:eastAsia="Times New Roman" w:hAnsi="Book Antiqua"/>
                <w:sz w:val="24"/>
                <w:szCs w:val="24"/>
                <w:lang w:val="en-US"/>
              </w:rPr>
            </w:pPr>
            <w:r>
              <w:rPr>
                <w:rFonts w:ascii="Book Antiqua" w:eastAsia="Times New Roman" w:hAnsi="Book Antiqua"/>
                <w:sz w:val="24"/>
                <w:szCs w:val="24"/>
                <w:lang w:val="en-US"/>
              </w:rPr>
              <w:t xml:space="preserve">1 </w:t>
            </w:r>
            <w:proofErr w:type="spellStart"/>
            <w:r>
              <w:rPr>
                <w:rFonts w:ascii="Book Antiqua" w:eastAsia="Times New Roman" w:hAnsi="Book Antiqua"/>
                <w:sz w:val="24"/>
                <w:szCs w:val="24"/>
                <w:lang w:val="en-US"/>
              </w:rPr>
              <w:t>w</w:t>
            </w:r>
            <w:r w:rsidR="002B5612" w:rsidRPr="00192CF1">
              <w:rPr>
                <w:rFonts w:ascii="Book Antiqua" w:eastAsia="Times New Roman" w:hAnsi="Book Antiqua"/>
                <w:sz w:val="24"/>
                <w:szCs w:val="24"/>
                <w:lang w:val="en-US"/>
              </w:rPr>
              <w:t>k</w:t>
            </w:r>
            <w:proofErr w:type="spellEnd"/>
          </w:p>
        </w:tc>
      </w:tr>
      <w:tr w:rsidR="00450BF2" w:rsidRPr="00192CF1" w14:paraId="0F069394" w14:textId="77777777" w:rsidTr="00C43966">
        <w:trPr>
          <w:trHeight w:val="260"/>
        </w:trPr>
        <w:tc>
          <w:tcPr>
            <w:tcW w:w="575" w:type="pct"/>
            <w:shd w:val="clear" w:color="auto" w:fill="auto"/>
            <w:noWrap/>
            <w:hideMark/>
          </w:tcPr>
          <w:p w14:paraId="51A5228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Total</w:t>
            </w:r>
          </w:p>
        </w:tc>
        <w:tc>
          <w:tcPr>
            <w:tcW w:w="2871" w:type="pct"/>
            <w:gridSpan w:val="8"/>
            <w:shd w:val="clear" w:color="auto" w:fill="auto"/>
            <w:noWrap/>
            <w:hideMark/>
          </w:tcPr>
          <w:p w14:paraId="472AF65A"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c>
          <w:tcPr>
            <w:tcW w:w="271" w:type="pct"/>
            <w:shd w:val="clear" w:color="auto" w:fill="auto"/>
            <w:noWrap/>
            <w:hideMark/>
          </w:tcPr>
          <w:p w14:paraId="5639BBF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266</w:t>
            </w:r>
          </w:p>
        </w:tc>
        <w:tc>
          <w:tcPr>
            <w:tcW w:w="386" w:type="pct"/>
            <w:shd w:val="clear" w:color="auto" w:fill="auto"/>
            <w:noWrap/>
            <w:hideMark/>
          </w:tcPr>
          <w:p w14:paraId="7FEC50A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79/156</w:t>
            </w:r>
          </w:p>
        </w:tc>
        <w:tc>
          <w:tcPr>
            <w:tcW w:w="269" w:type="pct"/>
            <w:shd w:val="clear" w:color="auto" w:fill="auto"/>
            <w:noWrap/>
            <w:hideMark/>
          </w:tcPr>
          <w:p w14:paraId="27DE649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51.05</w:t>
            </w:r>
          </w:p>
        </w:tc>
        <w:tc>
          <w:tcPr>
            <w:tcW w:w="269" w:type="pct"/>
            <w:shd w:val="clear" w:color="auto" w:fill="auto"/>
            <w:noWrap/>
            <w:hideMark/>
          </w:tcPr>
          <w:p w14:paraId="19C6CE5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26.75</w:t>
            </w:r>
          </w:p>
        </w:tc>
        <w:tc>
          <w:tcPr>
            <w:tcW w:w="359" w:type="pct"/>
            <w:shd w:val="clear" w:color="auto" w:fill="auto"/>
            <w:noWrap/>
            <w:hideMark/>
          </w:tcPr>
          <w:p w14:paraId="7AE71B1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19.27</w:t>
            </w:r>
          </w:p>
        </w:tc>
      </w:tr>
      <w:tr w:rsidR="00450BF2" w:rsidRPr="00192CF1" w14:paraId="7EC5E937" w14:textId="77777777" w:rsidTr="00C43966">
        <w:trPr>
          <w:trHeight w:val="560"/>
        </w:trPr>
        <w:tc>
          <w:tcPr>
            <w:tcW w:w="575" w:type="pct"/>
            <w:shd w:val="clear" w:color="auto" w:fill="auto"/>
            <w:noWrap/>
            <w:hideMark/>
          </w:tcPr>
          <w:p w14:paraId="0A5848F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26315292</w:t>
            </w:r>
          </w:p>
        </w:tc>
        <w:tc>
          <w:tcPr>
            <w:tcW w:w="456" w:type="pct"/>
            <w:shd w:val="clear" w:color="auto" w:fill="auto"/>
            <w:noWrap/>
            <w:hideMark/>
          </w:tcPr>
          <w:p w14:paraId="77F502E6" w14:textId="58E09F6E"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Fukuda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0D7D2E7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Japan</w:t>
            </w:r>
          </w:p>
        </w:tc>
        <w:tc>
          <w:tcPr>
            <w:tcW w:w="417" w:type="pct"/>
            <w:shd w:val="clear" w:color="auto" w:fill="auto"/>
            <w:noWrap/>
            <w:hideMark/>
          </w:tcPr>
          <w:p w14:paraId="166C36EB" w14:textId="1FDC2FDC"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14:paraId="508384E0" w14:textId="6666D830"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608D655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2016</w:t>
            </w:r>
          </w:p>
        </w:tc>
        <w:tc>
          <w:tcPr>
            <w:tcW w:w="459" w:type="pct"/>
            <w:shd w:val="clear" w:color="auto" w:fill="auto"/>
            <w:noWrap/>
            <w:hideMark/>
          </w:tcPr>
          <w:p w14:paraId="2B76480D" w14:textId="6C6350F9"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450BF2">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37" w:type="pct"/>
            <w:shd w:val="clear" w:color="auto" w:fill="auto"/>
            <w:noWrap/>
            <w:hideMark/>
          </w:tcPr>
          <w:p w14:paraId="73B6D517" w14:textId="0DE46156"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Surgical </w:t>
            </w:r>
            <w:r w:rsidR="002B5612" w:rsidRPr="00192CF1">
              <w:rPr>
                <w:rFonts w:ascii="Book Antiqua" w:eastAsia="Times New Roman" w:hAnsi="Book Antiqua"/>
                <w:sz w:val="24"/>
                <w:szCs w:val="24"/>
                <w:lang w:val="en-US"/>
              </w:rPr>
              <w:t>team</w:t>
            </w:r>
          </w:p>
        </w:tc>
        <w:tc>
          <w:tcPr>
            <w:tcW w:w="355" w:type="pct"/>
            <w:shd w:val="clear" w:color="auto" w:fill="auto"/>
            <w:noWrap/>
            <w:hideMark/>
          </w:tcPr>
          <w:p w14:paraId="4819C04D" w14:textId="26064497"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No</w:t>
            </w:r>
          </w:p>
        </w:tc>
        <w:tc>
          <w:tcPr>
            <w:tcW w:w="271" w:type="pct"/>
            <w:shd w:val="clear" w:color="auto" w:fill="auto"/>
            <w:noWrap/>
            <w:hideMark/>
          </w:tcPr>
          <w:p w14:paraId="1EF3280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p>
        </w:tc>
        <w:tc>
          <w:tcPr>
            <w:tcW w:w="386" w:type="pct"/>
            <w:shd w:val="clear" w:color="auto" w:fill="auto"/>
            <w:noWrap/>
            <w:hideMark/>
          </w:tcPr>
          <w:p w14:paraId="7152ACF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1/9</w:t>
            </w:r>
          </w:p>
        </w:tc>
        <w:tc>
          <w:tcPr>
            <w:tcW w:w="269" w:type="pct"/>
            <w:shd w:val="clear" w:color="auto" w:fill="auto"/>
            <w:noWrap/>
            <w:hideMark/>
          </w:tcPr>
          <w:p w14:paraId="0BC36511" w14:textId="70496B39"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53.6</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(18.3)</w:t>
            </w:r>
          </w:p>
        </w:tc>
        <w:tc>
          <w:tcPr>
            <w:tcW w:w="269" w:type="pct"/>
            <w:shd w:val="clear" w:color="auto" w:fill="auto"/>
            <w:noWrap/>
            <w:hideMark/>
          </w:tcPr>
          <w:p w14:paraId="6208FA17" w14:textId="5982216E"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19.7</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w:t>
            </w:r>
          </w:p>
        </w:tc>
        <w:tc>
          <w:tcPr>
            <w:tcW w:w="359" w:type="pct"/>
            <w:shd w:val="clear" w:color="auto" w:fill="auto"/>
            <w:noWrap/>
            <w:hideMark/>
          </w:tcPr>
          <w:p w14:paraId="0D6F380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14:paraId="1F1D781F" w14:textId="77777777" w:rsidTr="00C43966">
        <w:trPr>
          <w:trHeight w:val="260"/>
        </w:trPr>
        <w:tc>
          <w:tcPr>
            <w:tcW w:w="575" w:type="pct"/>
            <w:shd w:val="clear" w:color="auto" w:fill="auto"/>
            <w:noWrap/>
            <w:hideMark/>
          </w:tcPr>
          <w:p w14:paraId="0990E06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24615563</w:t>
            </w:r>
          </w:p>
        </w:tc>
        <w:tc>
          <w:tcPr>
            <w:tcW w:w="456" w:type="pct"/>
            <w:shd w:val="clear" w:color="auto" w:fill="auto"/>
            <w:noWrap/>
            <w:hideMark/>
          </w:tcPr>
          <w:p w14:paraId="15FDF8AF" w14:textId="1158FDCF"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4B3A119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China</w:t>
            </w:r>
          </w:p>
        </w:tc>
        <w:tc>
          <w:tcPr>
            <w:tcW w:w="417" w:type="pct"/>
            <w:shd w:val="clear" w:color="auto" w:fill="auto"/>
            <w:noWrap/>
            <w:hideMark/>
          </w:tcPr>
          <w:p w14:paraId="0DC09FCD" w14:textId="5725C130"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14:paraId="31BF30D3" w14:textId="3573A55B"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0EC0CEB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2014</w:t>
            </w:r>
          </w:p>
        </w:tc>
        <w:tc>
          <w:tcPr>
            <w:tcW w:w="459" w:type="pct"/>
            <w:shd w:val="clear" w:color="auto" w:fill="auto"/>
            <w:noWrap/>
            <w:hideMark/>
          </w:tcPr>
          <w:p w14:paraId="15C727F0" w14:textId="5330609E"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450BF2">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37" w:type="pct"/>
            <w:shd w:val="clear" w:color="auto" w:fill="auto"/>
            <w:noWrap/>
            <w:hideMark/>
          </w:tcPr>
          <w:p w14:paraId="1453D36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14:paraId="6EE2704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7FFB68A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4</w:t>
            </w:r>
          </w:p>
        </w:tc>
        <w:tc>
          <w:tcPr>
            <w:tcW w:w="386" w:type="pct"/>
            <w:shd w:val="clear" w:color="auto" w:fill="auto"/>
            <w:noWrap/>
            <w:hideMark/>
          </w:tcPr>
          <w:p w14:paraId="6AE9D1E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14:paraId="2726C75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14:paraId="15BB0E0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14:paraId="44161B2D" w14:textId="01F77028"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1 </w:t>
            </w:r>
            <w:proofErr w:type="spellStart"/>
            <w:r w:rsidRPr="00192CF1">
              <w:rPr>
                <w:rFonts w:ascii="Book Antiqua" w:eastAsia="Times New Roman" w:hAnsi="Book Antiqua"/>
                <w:sz w:val="24"/>
                <w:szCs w:val="24"/>
                <w:lang w:val="en-US"/>
              </w:rPr>
              <w:t>mo</w:t>
            </w:r>
            <w:proofErr w:type="spellEnd"/>
          </w:p>
        </w:tc>
      </w:tr>
      <w:tr w:rsidR="00450BF2" w:rsidRPr="00192CF1" w14:paraId="0FE2C91E" w14:textId="77777777" w:rsidTr="00C43966">
        <w:trPr>
          <w:trHeight w:val="560"/>
        </w:trPr>
        <w:tc>
          <w:tcPr>
            <w:tcW w:w="575" w:type="pct"/>
            <w:shd w:val="clear" w:color="auto" w:fill="auto"/>
            <w:noWrap/>
            <w:hideMark/>
          </w:tcPr>
          <w:p w14:paraId="489610E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23896255</w:t>
            </w:r>
          </w:p>
        </w:tc>
        <w:tc>
          <w:tcPr>
            <w:tcW w:w="456" w:type="pct"/>
            <w:shd w:val="clear" w:color="auto" w:fill="auto"/>
            <w:noWrap/>
            <w:hideMark/>
          </w:tcPr>
          <w:p w14:paraId="40127CDA" w14:textId="0ADDE896"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Ross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mendeley":{"formattedCitation":"&lt;sup&gt;[32]&lt;/sup&gt;","plainTextFormattedCitation":"[32]","previouslyFormattedCitation":"&lt;sup&gt;[32]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[32]</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204C8D5D" w14:textId="79326C79"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U</w:t>
            </w:r>
            <w:r>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Pr>
                <w:rFonts w:ascii="Book Antiqua" w:hAnsi="Book Antiqua" w:hint="eastAsia"/>
                <w:sz w:val="24"/>
                <w:szCs w:val="24"/>
                <w:lang w:val="en-US" w:eastAsia="zh-CN"/>
              </w:rPr>
              <w:t>tates</w:t>
            </w:r>
          </w:p>
        </w:tc>
        <w:tc>
          <w:tcPr>
            <w:tcW w:w="417" w:type="pct"/>
            <w:shd w:val="clear" w:color="auto" w:fill="auto"/>
            <w:noWrap/>
            <w:hideMark/>
          </w:tcPr>
          <w:p w14:paraId="33D7FE48" w14:textId="72A527EA"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Prospective</w:t>
            </w:r>
          </w:p>
        </w:tc>
        <w:tc>
          <w:tcPr>
            <w:tcW w:w="323" w:type="pct"/>
            <w:shd w:val="clear" w:color="auto" w:fill="auto"/>
            <w:noWrap/>
            <w:hideMark/>
          </w:tcPr>
          <w:p w14:paraId="0042CD4D" w14:textId="7DC17816"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1DCABED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2013</w:t>
            </w:r>
          </w:p>
        </w:tc>
        <w:tc>
          <w:tcPr>
            <w:tcW w:w="459" w:type="pct"/>
            <w:shd w:val="clear" w:color="auto" w:fill="auto"/>
            <w:noWrap/>
            <w:hideMark/>
          </w:tcPr>
          <w:p w14:paraId="06081CF8" w14:textId="028ADDC4"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450BF2">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37" w:type="pct"/>
            <w:shd w:val="clear" w:color="auto" w:fill="auto"/>
            <w:noWrap/>
            <w:hideMark/>
          </w:tcPr>
          <w:p w14:paraId="004C1650" w14:textId="1C2F5BBA"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Surgical </w:t>
            </w:r>
            <w:r w:rsidR="002B5612" w:rsidRPr="00192CF1">
              <w:rPr>
                <w:rFonts w:ascii="Book Antiqua" w:eastAsia="Times New Roman" w:hAnsi="Book Antiqua"/>
                <w:sz w:val="24"/>
                <w:szCs w:val="24"/>
                <w:lang w:val="en-US"/>
              </w:rPr>
              <w:t>team</w:t>
            </w:r>
          </w:p>
        </w:tc>
        <w:tc>
          <w:tcPr>
            <w:tcW w:w="355" w:type="pct"/>
            <w:shd w:val="clear" w:color="auto" w:fill="auto"/>
            <w:noWrap/>
            <w:hideMark/>
          </w:tcPr>
          <w:p w14:paraId="0200A1BB" w14:textId="284B6F16"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No</w:t>
            </w:r>
          </w:p>
        </w:tc>
        <w:tc>
          <w:tcPr>
            <w:tcW w:w="271" w:type="pct"/>
            <w:shd w:val="clear" w:color="auto" w:fill="auto"/>
            <w:noWrap/>
            <w:hideMark/>
          </w:tcPr>
          <w:p w14:paraId="6D492BE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120</w:t>
            </w:r>
          </w:p>
        </w:tc>
        <w:tc>
          <w:tcPr>
            <w:tcW w:w="386" w:type="pct"/>
            <w:shd w:val="clear" w:color="auto" w:fill="auto"/>
            <w:noWrap/>
            <w:hideMark/>
          </w:tcPr>
          <w:p w14:paraId="2B26CC4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56/64</w:t>
            </w:r>
          </w:p>
        </w:tc>
        <w:tc>
          <w:tcPr>
            <w:tcW w:w="269" w:type="pct"/>
            <w:shd w:val="clear" w:color="auto" w:fill="auto"/>
            <w:noWrap/>
            <w:hideMark/>
          </w:tcPr>
          <w:p w14:paraId="0A7855D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53(17.4)</w:t>
            </w:r>
          </w:p>
        </w:tc>
        <w:tc>
          <w:tcPr>
            <w:tcW w:w="269" w:type="pct"/>
            <w:shd w:val="clear" w:color="auto" w:fill="auto"/>
            <w:noWrap/>
            <w:hideMark/>
          </w:tcPr>
          <w:p w14:paraId="458268A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25(4.7)</w:t>
            </w:r>
          </w:p>
        </w:tc>
        <w:tc>
          <w:tcPr>
            <w:tcW w:w="359" w:type="pct"/>
            <w:shd w:val="clear" w:color="auto" w:fill="auto"/>
            <w:noWrap/>
            <w:hideMark/>
          </w:tcPr>
          <w:p w14:paraId="36F5D46A" w14:textId="760C6AB8"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33</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 xml:space="preserve">(7.9) </w:t>
            </w:r>
            <w:proofErr w:type="spellStart"/>
            <w:r w:rsidRPr="00192CF1">
              <w:rPr>
                <w:rFonts w:ascii="Book Antiqua" w:eastAsia="Times New Roman" w:hAnsi="Book Antiqua"/>
                <w:sz w:val="24"/>
                <w:szCs w:val="24"/>
                <w:lang w:val="en-US"/>
              </w:rPr>
              <w:t>mo</w:t>
            </w:r>
            <w:proofErr w:type="spellEnd"/>
          </w:p>
        </w:tc>
      </w:tr>
      <w:tr w:rsidR="00450BF2" w:rsidRPr="00192CF1" w14:paraId="0BBB1FC1" w14:textId="77777777" w:rsidTr="00C43966">
        <w:trPr>
          <w:trHeight w:val="280"/>
        </w:trPr>
        <w:tc>
          <w:tcPr>
            <w:tcW w:w="575" w:type="pct"/>
            <w:shd w:val="clear" w:color="auto" w:fill="auto"/>
            <w:noWrap/>
            <w:hideMark/>
          </w:tcPr>
          <w:p w14:paraId="0A4A38E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23088902</w:t>
            </w:r>
          </w:p>
        </w:tc>
        <w:tc>
          <w:tcPr>
            <w:tcW w:w="456" w:type="pct"/>
            <w:shd w:val="clear" w:color="auto" w:fill="auto"/>
            <w:noWrap/>
            <w:hideMark/>
          </w:tcPr>
          <w:p w14:paraId="5C74ACF5" w14:textId="233BE780"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Yamada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mendeley":{"formattedCitation":"&lt;sup&gt;[28]&lt;/sup&gt;","plainTextFormattedCitation":"[28]","previouslyFormattedCitation":"&lt;sup&gt;[28]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[28]</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031C2D1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Japan</w:t>
            </w:r>
          </w:p>
        </w:tc>
        <w:tc>
          <w:tcPr>
            <w:tcW w:w="417" w:type="pct"/>
            <w:shd w:val="clear" w:color="auto" w:fill="auto"/>
            <w:noWrap/>
            <w:hideMark/>
          </w:tcPr>
          <w:p w14:paraId="6AF99487" w14:textId="6C26DB8E"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Case </w:t>
            </w:r>
            <w:r w:rsidR="002B5612" w:rsidRPr="00192CF1">
              <w:rPr>
                <w:rFonts w:ascii="Book Antiqua" w:eastAsia="Times New Roman" w:hAnsi="Book Antiqua"/>
                <w:sz w:val="24"/>
                <w:szCs w:val="24"/>
                <w:lang w:val="en-US"/>
              </w:rPr>
              <w:t>report</w:t>
            </w:r>
          </w:p>
        </w:tc>
        <w:tc>
          <w:tcPr>
            <w:tcW w:w="323" w:type="pct"/>
            <w:shd w:val="clear" w:color="auto" w:fill="auto"/>
            <w:noWrap/>
            <w:hideMark/>
          </w:tcPr>
          <w:p w14:paraId="03C3F776" w14:textId="0B378245"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0FF90A0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2013</w:t>
            </w:r>
          </w:p>
        </w:tc>
        <w:tc>
          <w:tcPr>
            <w:tcW w:w="459" w:type="pct"/>
            <w:shd w:val="clear" w:color="auto" w:fill="auto"/>
            <w:noWrap/>
            <w:hideMark/>
          </w:tcPr>
          <w:p w14:paraId="6001EC01" w14:textId="4C6397D3"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450BF2">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37" w:type="pct"/>
            <w:shd w:val="clear" w:color="auto" w:fill="auto"/>
            <w:noWrap/>
            <w:hideMark/>
          </w:tcPr>
          <w:p w14:paraId="44C7D72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14:paraId="4196BA0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4E6A9E5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86" w:type="pct"/>
            <w:shd w:val="clear" w:color="auto" w:fill="auto"/>
            <w:noWrap/>
            <w:hideMark/>
          </w:tcPr>
          <w:p w14:paraId="6B49519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0/1</w:t>
            </w:r>
          </w:p>
        </w:tc>
        <w:tc>
          <w:tcPr>
            <w:tcW w:w="269" w:type="pct"/>
            <w:shd w:val="clear" w:color="auto" w:fill="auto"/>
            <w:noWrap/>
            <w:hideMark/>
          </w:tcPr>
          <w:p w14:paraId="76CCBDF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56</w:t>
            </w:r>
          </w:p>
        </w:tc>
        <w:tc>
          <w:tcPr>
            <w:tcW w:w="269" w:type="pct"/>
            <w:shd w:val="clear" w:color="auto" w:fill="auto"/>
            <w:noWrap/>
            <w:hideMark/>
          </w:tcPr>
          <w:p w14:paraId="27A1778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14:paraId="7873C0DF" w14:textId="6B8D4C42"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12 </w:t>
            </w:r>
            <w:proofErr w:type="spellStart"/>
            <w:r w:rsidRPr="00192CF1">
              <w:rPr>
                <w:rFonts w:ascii="Book Antiqua" w:eastAsia="Times New Roman" w:hAnsi="Book Antiqua"/>
                <w:sz w:val="24"/>
                <w:szCs w:val="24"/>
                <w:lang w:val="en-US"/>
              </w:rPr>
              <w:t>mo</w:t>
            </w:r>
            <w:proofErr w:type="spellEnd"/>
          </w:p>
        </w:tc>
      </w:tr>
      <w:tr w:rsidR="00450BF2" w:rsidRPr="00192CF1" w14:paraId="767C7A39" w14:textId="77777777" w:rsidTr="00C43966">
        <w:trPr>
          <w:trHeight w:val="280"/>
        </w:trPr>
        <w:tc>
          <w:tcPr>
            <w:tcW w:w="575" w:type="pct"/>
            <w:shd w:val="clear" w:color="auto" w:fill="auto"/>
            <w:noWrap/>
            <w:hideMark/>
          </w:tcPr>
          <w:p w14:paraId="24BDE29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22218875</w:t>
            </w:r>
          </w:p>
        </w:tc>
        <w:tc>
          <w:tcPr>
            <w:tcW w:w="456" w:type="pct"/>
            <w:shd w:val="clear" w:color="auto" w:fill="auto"/>
            <w:noWrap/>
            <w:hideMark/>
          </w:tcPr>
          <w:p w14:paraId="23AA8C88" w14:textId="72F6287B"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Yano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today","id":"ITEM-1","issue":"3","issued":{"date-parts":[["2012","2"]]},"language":"eng","page":"299-302","publisher-place":"Japan","title":"Single-incision laparoscopic Heller myotomy and Dor fundoplication for achalasia: report of a case.","type":"article-journal","volume":"42"},"uris":["http://www.mendeley.com/documents/?uuid=f0812b93-b43f-4012-9026-6bcb9aee8455"]}],"mendeley":{"formattedCitation":"&lt;sup&gt;[29]&lt;/sup&gt;","plainTextFormattedCitation":"[29]","previouslyFormattedCitation":"&lt;sup&gt;[29]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[29]</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60DDF06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Japan</w:t>
            </w:r>
          </w:p>
        </w:tc>
        <w:tc>
          <w:tcPr>
            <w:tcW w:w="417" w:type="pct"/>
            <w:shd w:val="clear" w:color="auto" w:fill="auto"/>
            <w:noWrap/>
            <w:hideMark/>
          </w:tcPr>
          <w:p w14:paraId="3D5DA08D" w14:textId="3D1A4213"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Case </w:t>
            </w:r>
            <w:r w:rsidR="002B5612" w:rsidRPr="00192CF1">
              <w:rPr>
                <w:rFonts w:ascii="Book Antiqua" w:eastAsia="Times New Roman" w:hAnsi="Book Antiqua"/>
                <w:sz w:val="24"/>
                <w:szCs w:val="24"/>
                <w:lang w:val="en-US"/>
              </w:rPr>
              <w:t>report</w:t>
            </w:r>
          </w:p>
        </w:tc>
        <w:tc>
          <w:tcPr>
            <w:tcW w:w="323" w:type="pct"/>
            <w:shd w:val="clear" w:color="auto" w:fill="auto"/>
            <w:noWrap/>
            <w:hideMark/>
          </w:tcPr>
          <w:p w14:paraId="4BE50CFA" w14:textId="6080D119"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w:t>
            </w:r>
            <w:r w:rsidR="00450BF2" w:rsidRPr="00192CF1">
              <w:rPr>
                <w:rFonts w:ascii="Book Antiqua" w:eastAsia="Times New Roman" w:hAnsi="Book Antiqua"/>
                <w:sz w:val="24"/>
                <w:szCs w:val="24"/>
                <w:lang w:val="en-US"/>
              </w:rPr>
              <w:t>I</w:t>
            </w:r>
            <w:r w:rsidRPr="00192CF1">
              <w:rPr>
                <w:rFonts w:ascii="Book Antiqua" w:eastAsia="Times New Roman" w:hAnsi="Book Antiqua"/>
                <w:sz w:val="24"/>
                <w:szCs w:val="24"/>
                <w:lang w:val="en-US"/>
              </w:rPr>
              <w:t>ngle</w:t>
            </w:r>
            <w:proofErr w:type="spellEnd"/>
            <w:r w:rsidRPr="00192CF1">
              <w:rPr>
                <w:rFonts w:ascii="Book Antiqua" w:eastAsia="Times New Roman" w:hAnsi="Book Antiqua"/>
                <w:sz w:val="24"/>
                <w:szCs w:val="24"/>
                <w:lang w:val="en-US"/>
              </w:rPr>
              <w:t xml:space="preserve"> center</w:t>
            </w:r>
          </w:p>
        </w:tc>
        <w:tc>
          <w:tcPr>
            <w:tcW w:w="215" w:type="pct"/>
            <w:shd w:val="clear" w:color="auto" w:fill="auto"/>
            <w:noWrap/>
            <w:hideMark/>
          </w:tcPr>
          <w:p w14:paraId="2D2F9EC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2012</w:t>
            </w:r>
          </w:p>
        </w:tc>
        <w:tc>
          <w:tcPr>
            <w:tcW w:w="459" w:type="pct"/>
            <w:shd w:val="clear" w:color="auto" w:fill="auto"/>
            <w:noWrap/>
            <w:hideMark/>
          </w:tcPr>
          <w:p w14:paraId="16EBD8FF" w14:textId="35805D2D"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450BF2">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37" w:type="pct"/>
            <w:shd w:val="clear" w:color="auto" w:fill="auto"/>
            <w:noWrap/>
            <w:hideMark/>
          </w:tcPr>
          <w:p w14:paraId="70F05CC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14:paraId="5024AD6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2A1CA07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86" w:type="pct"/>
            <w:shd w:val="clear" w:color="auto" w:fill="auto"/>
            <w:noWrap/>
            <w:hideMark/>
          </w:tcPr>
          <w:p w14:paraId="27456FA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p>
        </w:tc>
        <w:tc>
          <w:tcPr>
            <w:tcW w:w="269" w:type="pct"/>
            <w:shd w:val="clear" w:color="auto" w:fill="auto"/>
            <w:noWrap/>
            <w:hideMark/>
          </w:tcPr>
          <w:p w14:paraId="2DD8C21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31</w:t>
            </w:r>
          </w:p>
        </w:tc>
        <w:tc>
          <w:tcPr>
            <w:tcW w:w="269" w:type="pct"/>
            <w:shd w:val="clear" w:color="auto" w:fill="auto"/>
            <w:noWrap/>
            <w:hideMark/>
          </w:tcPr>
          <w:p w14:paraId="6F99D7B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14:paraId="7BF4B97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14:paraId="7F499EDA" w14:textId="77777777" w:rsidTr="00C43966">
        <w:trPr>
          <w:trHeight w:val="260"/>
        </w:trPr>
        <w:tc>
          <w:tcPr>
            <w:tcW w:w="575" w:type="pct"/>
            <w:shd w:val="clear" w:color="auto" w:fill="auto"/>
            <w:noWrap/>
            <w:hideMark/>
          </w:tcPr>
          <w:p w14:paraId="2069D51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21969159</w:t>
            </w:r>
          </w:p>
        </w:tc>
        <w:tc>
          <w:tcPr>
            <w:tcW w:w="456" w:type="pct"/>
            <w:shd w:val="clear" w:color="auto" w:fill="auto"/>
            <w:noWrap/>
            <w:hideMark/>
          </w:tcPr>
          <w:p w14:paraId="1721B5D8" w14:textId="778FEAA3"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Nakajima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today","id":"ITEM-1","issue":"11","issued":{"date-parts":[["2011","11"]]},"language":"eng","page":"1543-1547","publisher-place":"Japan","title":"Single-incision laparoscopic Heller myotomy and Dor fundoplication for achalasia: report of a case.","type":"article-journal","volume":"41"},"uris":["http://www.mendeley.com/documents/?uuid=847f6bea-4208-41b8-95d2-54e3738d7df1"]}],"mendeley":{"formattedCitation":"&lt;sup&gt;[27]&lt;/sup&gt;","plainTextFormattedCitation":"[27]","previouslyFormattedCitation":"&lt;sup&gt;[27]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[27]</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0349E01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Japan</w:t>
            </w:r>
          </w:p>
        </w:tc>
        <w:tc>
          <w:tcPr>
            <w:tcW w:w="417" w:type="pct"/>
            <w:shd w:val="clear" w:color="auto" w:fill="auto"/>
            <w:noWrap/>
            <w:hideMark/>
          </w:tcPr>
          <w:p w14:paraId="442568F4" w14:textId="7F320E46"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Case </w:t>
            </w:r>
            <w:r w:rsidR="002B5612" w:rsidRPr="00192CF1">
              <w:rPr>
                <w:rFonts w:ascii="Book Antiqua" w:eastAsia="Times New Roman" w:hAnsi="Book Antiqua"/>
                <w:sz w:val="24"/>
                <w:szCs w:val="24"/>
                <w:lang w:val="en-US"/>
              </w:rPr>
              <w:t>report</w:t>
            </w:r>
          </w:p>
        </w:tc>
        <w:tc>
          <w:tcPr>
            <w:tcW w:w="323" w:type="pct"/>
            <w:shd w:val="clear" w:color="auto" w:fill="auto"/>
            <w:noWrap/>
            <w:hideMark/>
          </w:tcPr>
          <w:p w14:paraId="6A3839BF" w14:textId="35CFC927"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0A0C54D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2011</w:t>
            </w:r>
          </w:p>
        </w:tc>
        <w:tc>
          <w:tcPr>
            <w:tcW w:w="459" w:type="pct"/>
            <w:shd w:val="clear" w:color="auto" w:fill="auto"/>
            <w:noWrap/>
            <w:hideMark/>
          </w:tcPr>
          <w:p w14:paraId="161E9624" w14:textId="5260E0D8"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450BF2">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37" w:type="pct"/>
            <w:shd w:val="clear" w:color="auto" w:fill="auto"/>
            <w:noWrap/>
            <w:hideMark/>
          </w:tcPr>
          <w:p w14:paraId="2E72B01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55" w:type="pct"/>
            <w:shd w:val="clear" w:color="auto" w:fill="auto"/>
            <w:noWrap/>
            <w:hideMark/>
          </w:tcPr>
          <w:p w14:paraId="00DACB2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yes</w:t>
            </w:r>
          </w:p>
        </w:tc>
        <w:tc>
          <w:tcPr>
            <w:tcW w:w="271" w:type="pct"/>
            <w:shd w:val="clear" w:color="auto" w:fill="auto"/>
            <w:noWrap/>
            <w:hideMark/>
          </w:tcPr>
          <w:p w14:paraId="64B0A51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86" w:type="pct"/>
            <w:shd w:val="clear" w:color="auto" w:fill="auto"/>
            <w:noWrap/>
            <w:hideMark/>
          </w:tcPr>
          <w:p w14:paraId="67B9F18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p>
        </w:tc>
        <w:tc>
          <w:tcPr>
            <w:tcW w:w="269" w:type="pct"/>
            <w:shd w:val="clear" w:color="auto" w:fill="auto"/>
            <w:noWrap/>
            <w:hideMark/>
          </w:tcPr>
          <w:p w14:paraId="637346E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58</w:t>
            </w:r>
          </w:p>
        </w:tc>
        <w:tc>
          <w:tcPr>
            <w:tcW w:w="269" w:type="pct"/>
            <w:shd w:val="clear" w:color="auto" w:fill="auto"/>
            <w:noWrap/>
            <w:hideMark/>
          </w:tcPr>
          <w:p w14:paraId="587489C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14:paraId="09D65A0F" w14:textId="699E8EDD"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1 </w:t>
            </w:r>
            <w:proofErr w:type="spellStart"/>
            <w:r w:rsidRPr="00192CF1">
              <w:rPr>
                <w:rFonts w:ascii="Book Antiqua" w:eastAsia="Times New Roman" w:hAnsi="Book Antiqua"/>
                <w:sz w:val="24"/>
                <w:szCs w:val="24"/>
                <w:lang w:val="en-US"/>
              </w:rPr>
              <w:t>mo</w:t>
            </w:r>
            <w:proofErr w:type="spellEnd"/>
          </w:p>
        </w:tc>
      </w:tr>
      <w:tr w:rsidR="00450BF2" w:rsidRPr="00192CF1" w14:paraId="6D988001" w14:textId="77777777" w:rsidTr="00C43966">
        <w:trPr>
          <w:trHeight w:val="260"/>
        </w:trPr>
        <w:tc>
          <w:tcPr>
            <w:tcW w:w="575" w:type="pct"/>
            <w:shd w:val="clear" w:color="auto" w:fill="auto"/>
            <w:noWrap/>
            <w:hideMark/>
          </w:tcPr>
          <w:p w14:paraId="4660143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Total</w:t>
            </w:r>
          </w:p>
        </w:tc>
        <w:tc>
          <w:tcPr>
            <w:tcW w:w="2871" w:type="pct"/>
            <w:gridSpan w:val="8"/>
            <w:shd w:val="clear" w:color="auto" w:fill="auto"/>
            <w:noWrap/>
            <w:hideMark/>
          </w:tcPr>
          <w:p w14:paraId="6EF582E2"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c>
          <w:tcPr>
            <w:tcW w:w="271" w:type="pct"/>
            <w:shd w:val="clear" w:color="auto" w:fill="auto"/>
            <w:noWrap/>
            <w:hideMark/>
          </w:tcPr>
          <w:p w14:paraId="5BAB1BA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137</w:t>
            </w:r>
          </w:p>
        </w:tc>
        <w:tc>
          <w:tcPr>
            <w:tcW w:w="386" w:type="pct"/>
            <w:shd w:val="clear" w:color="auto" w:fill="auto"/>
            <w:noWrap/>
            <w:hideMark/>
          </w:tcPr>
          <w:p w14:paraId="4E51943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59/74</w:t>
            </w:r>
          </w:p>
        </w:tc>
        <w:tc>
          <w:tcPr>
            <w:tcW w:w="269" w:type="pct"/>
            <w:shd w:val="clear" w:color="auto" w:fill="auto"/>
            <w:noWrap/>
            <w:hideMark/>
          </w:tcPr>
          <w:p w14:paraId="2AAED53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52.9</w:t>
            </w:r>
          </w:p>
        </w:tc>
        <w:tc>
          <w:tcPr>
            <w:tcW w:w="269" w:type="pct"/>
            <w:shd w:val="clear" w:color="auto" w:fill="auto"/>
            <w:noWrap/>
            <w:hideMark/>
          </w:tcPr>
          <w:p w14:paraId="1035BE4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24.59</w:t>
            </w:r>
          </w:p>
        </w:tc>
        <w:tc>
          <w:tcPr>
            <w:tcW w:w="359" w:type="pct"/>
            <w:shd w:val="clear" w:color="auto" w:fill="auto"/>
            <w:noWrap/>
            <w:hideMark/>
          </w:tcPr>
          <w:p w14:paraId="78D063F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31.5</w:t>
            </w:r>
          </w:p>
        </w:tc>
      </w:tr>
      <w:tr w:rsidR="00450BF2" w:rsidRPr="00192CF1" w14:paraId="6E199CD8" w14:textId="77777777" w:rsidTr="00C43966">
        <w:trPr>
          <w:trHeight w:val="560"/>
        </w:trPr>
        <w:tc>
          <w:tcPr>
            <w:tcW w:w="575" w:type="pct"/>
            <w:shd w:val="clear" w:color="auto" w:fill="auto"/>
            <w:noWrap/>
            <w:hideMark/>
          </w:tcPr>
          <w:p w14:paraId="0E738EE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26350663</w:t>
            </w:r>
          </w:p>
        </w:tc>
        <w:tc>
          <w:tcPr>
            <w:tcW w:w="456" w:type="pct"/>
            <w:shd w:val="clear" w:color="auto" w:fill="auto"/>
            <w:noWrap/>
            <w:hideMark/>
          </w:tcPr>
          <w:p w14:paraId="023D834B" w14:textId="3CE8FEEE"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14:paraId="0CE28C25" w14:textId="09B8A88B"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U</w:t>
            </w:r>
            <w:r>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Pr>
                <w:rFonts w:ascii="Book Antiqua" w:hAnsi="Book Antiqua" w:hint="eastAsia"/>
                <w:sz w:val="24"/>
                <w:szCs w:val="24"/>
                <w:lang w:val="en-US" w:eastAsia="zh-CN"/>
              </w:rPr>
              <w:t>tates</w:t>
            </w:r>
          </w:p>
        </w:tc>
        <w:tc>
          <w:tcPr>
            <w:tcW w:w="417" w:type="pct"/>
            <w:shd w:val="clear" w:color="auto" w:fill="auto"/>
            <w:noWrap/>
            <w:hideMark/>
          </w:tcPr>
          <w:p w14:paraId="6A272E40" w14:textId="411557AE"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Prospective</w:t>
            </w:r>
          </w:p>
        </w:tc>
        <w:tc>
          <w:tcPr>
            <w:tcW w:w="323" w:type="pct"/>
            <w:shd w:val="clear" w:color="auto" w:fill="auto"/>
            <w:noWrap/>
            <w:hideMark/>
          </w:tcPr>
          <w:p w14:paraId="7C2630AB" w14:textId="004C86B5"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14:paraId="6026027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2015</w:t>
            </w:r>
          </w:p>
        </w:tc>
        <w:tc>
          <w:tcPr>
            <w:tcW w:w="459" w:type="pct"/>
            <w:shd w:val="clear" w:color="auto" w:fill="auto"/>
            <w:noWrap/>
            <w:hideMark/>
          </w:tcPr>
          <w:p w14:paraId="2D3949E7"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Toupet</w:t>
            </w:r>
            <w:proofErr w:type="spellEnd"/>
          </w:p>
        </w:tc>
        <w:tc>
          <w:tcPr>
            <w:tcW w:w="337" w:type="pct"/>
            <w:shd w:val="clear" w:color="auto" w:fill="auto"/>
            <w:noWrap/>
            <w:hideMark/>
          </w:tcPr>
          <w:p w14:paraId="09D4DF0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14:paraId="467C437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14:paraId="2836049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110</w:t>
            </w:r>
          </w:p>
        </w:tc>
        <w:tc>
          <w:tcPr>
            <w:tcW w:w="386" w:type="pct"/>
            <w:shd w:val="clear" w:color="auto" w:fill="auto"/>
            <w:noWrap/>
            <w:hideMark/>
          </w:tcPr>
          <w:p w14:paraId="3B5B5AE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28/82</w:t>
            </w:r>
          </w:p>
        </w:tc>
        <w:tc>
          <w:tcPr>
            <w:tcW w:w="269" w:type="pct"/>
            <w:shd w:val="clear" w:color="auto" w:fill="auto"/>
            <w:noWrap/>
            <w:hideMark/>
          </w:tcPr>
          <w:p w14:paraId="3ABAB99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66(13.2)</w:t>
            </w:r>
          </w:p>
        </w:tc>
        <w:tc>
          <w:tcPr>
            <w:tcW w:w="269" w:type="pct"/>
            <w:shd w:val="clear" w:color="auto" w:fill="auto"/>
            <w:noWrap/>
            <w:hideMark/>
          </w:tcPr>
          <w:p w14:paraId="286EAAC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26(3.8)</w:t>
            </w:r>
          </w:p>
        </w:tc>
        <w:tc>
          <w:tcPr>
            <w:tcW w:w="359" w:type="pct"/>
            <w:shd w:val="clear" w:color="auto" w:fill="auto"/>
            <w:noWrap/>
            <w:hideMark/>
          </w:tcPr>
          <w:p w14:paraId="389959D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752AD6D0" w14:textId="77777777" w:rsidTr="00C43966">
        <w:trPr>
          <w:trHeight w:val="260"/>
        </w:trPr>
        <w:tc>
          <w:tcPr>
            <w:tcW w:w="5000" w:type="pct"/>
            <w:gridSpan w:val="14"/>
            <w:shd w:val="clear" w:color="auto" w:fill="auto"/>
            <w:noWrap/>
            <w:hideMark/>
          </w:tcPr>
          <w:p w14:paraId="67A30CB1"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r>
      <w:tr w:rsidR="00450BF2" w:rsidRPr="00192CF1" w14:paraId="48896759" w14:textId="77777777" w:rsidTr="00C43966">
        <w:trPr>
          <w:trHeight w:val="260"/>
        </w:trPr>
        <w:tc>
          <w:tcPr>
            <w:tcW w:w="575" w:type="pct"/>
            <w:shd w:val="clear" w:color="auto" w:fill="auto"/>
            <w:noWrap/>
            <w:hideMark/>
          </w:tcPr>
          <w:p w14:paraId="077FD4B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Total</w:t>
            </w:r>
          </w:p>
        </w:tc>
        <w:tc>
          <w:tcPr>
            <w:tcW w:w="2871" w:type="pct"/>
            <w:gridSpan w:val="8"/>
            <w:shd w:val="clear" w:color="auto" w:fill="auto"/>
            <w:noWrap/>
            <w:hideMark/>
          </w:tcPr>
          <w:p w14:paraId="4E101A5D"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c>
          <w:tcPr>
            <w:tcW w:w="271" w:type="pct"/>
            <w:shd w:val="clear" w:color="auto" w:fill="auto"/>
            <w:noWrap/>
            <w:hideMark/>
          </w:tcPr>
          <w:p w14:paraId="5AD0503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513</w:t>
            </w:r>
          </w:p>
        </w:tc>
        <w:tc>
          <w:tcPr>
            <w:tcW w:w="386" w:type="pct"/>
            <w:shd w:val="clear" w:color="auto" w:fill="auto"/>
            <w:noWrap/>
            <w:hideMark/>
          </w:tcPr>
          <w:p w14:paraId="04A2B73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166/312</w:t>
            </w:r>
          </w:p>
        </w:tc>
        <w:tc>
          <w:tcPr>
            <w:tcW w:w="269" w:type="pct"/>
            <w:shd w:val="clear" w:color="auto" w:fill="auto"/>
            <w:noWrap/>
            <w:hideMark/>
          </w:tcPr>
          <w:p w14:paraId="715C3D6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55.01</w:t>
            </w:r>
          </w:p>
        </w:tc>
        <w:tc>
          <w:tcPr>
            <w:tcW w:w="269" w:type="pct"/>
            <w:shd w:val="clear" w:color="auto" w:fill="auto"/>
            <w:noWrap/>
            <w:hideMark/>
          </w:tcPr>
          <w:p w14:paraId="7AAD8D7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25.9</w:t>
            </w:r>
          </w:p>
        </w:tc>
        <w:tc>
          <w:tcPr>
            <w:tcW w:w="359" w:type="pct"/>
            <w:shd w:val="clear" w:color="auto" w:fill="auto"/>
            <w:noWrap/>
            <w:hideMark/>
          </w:tcPr>
          <w:p w14:paraId="6F19B6D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27.6</w:t>
            </w:r>
          </w:p>
        </w:tc>
      </w:tr>
    </w:tbl>
    <w:p w14:paraId="5A4E8F2E" w14:textId="77777777" w:rsidR="002B5612" w:rsidRPr="00192CF1" w:rsidRDefault="002B5612" w:rsidP="004647EC">
      <w:pPr>
        <w:spacing w:after="0" w:line="360" w:lineRule="auto"/>
        <w:jc w:val="both"/>
        <w:rPr>
          <w:rFonts w:ascii="Book Antiqua" w:hAnsi="Book Antiqua"/>
          <w:sz w:val="24"/>
          <w:szCs w:val="24"/>
          <w:lang w:val="en-US"/>
        </w:rPr>
      </w:pPr>
    </w:p>
    <w:p w14:paraId="68828304" w14:textId="58B0F4FD" w:rsidR="006E1453" w:rsidRPr="00192CF1" w:rsidRDefault="00BA4F98" w:rsidP="004647EC">
      <w:pPr>
        <w:autoSpaceDE w:val="0"/>
        <w:autoSpaceDN w:val="0"/>
        <w:adjustRightInd w:val="0"/>
        <w:spacing w:after="0" w:line="360" w:lineRule="auto"/>
        <w:jc w:val="both"/>
        <w:rPr>
          <w:rFonts w:ascii="Book Antiqua" w:hAnsi="Book Antiqua"/>
          <w:sz w:val="24"/>
          <w:szCs w:val="24"/>
          <w:lang w:val="en-US" w:eastAsia="zh-CN"/>
        </w:rPr>
      </w:pPr>
      <w:r w:rsidRPr="00BA4F98">
        <w:rPr>
          <w:rFonts w:ascii="Book Antiqua" w:hAnsi="Book Antiqua"/>
          <w:sz w:val="24"/>
          <w:szCs w:val="24"/>
          <w:vertAlign w:val="superscript"/>
          <w:lang w:val="en-US" w:eastAsia="zh-CN"/>
        </w:rPr>
        <w:t>1</w:t>
      </w:r>
      <w:r w:rsidR="008F5223" w:rsidRPr="00192CF1">
        <w:rPr>
          <w:rFonts w:ascii="Book Antiqua" w:hAnsi="Book Antiqua"/>
          <w:sz w:val="24"/>
          <w:szCs w:val="24"/>
          <w:lang w:val="en-US"/>
        </w:rPr>
        <w:t>O</w:t>
      </w:r>
      <w:r w:rsidRPr="00192CF1">
        <w:rPr>
          <w:rFonts w:ascii="Book Antiqua" w:hAnsi="Book Antiqua"/>
          <w:sz w:val="24"/>
          <w:szCs w:val="24"/>
          <w:lang w:val="en-US"/>
        </w:rPr>
        <w:t xml:space="preserve">nly </w:t>
      </w:r>
      <w:r w:rsidR="006E1453" w:rsidRPr="00192CF1">
        <w:rPr>
          <w:rFonts w:ascii="Book Antiqua" w:hAnsi="Book Antiqua"/>
          <w:sz w:val="24"/>
          <w:szCs w:val="24"/>
          <w:lang w:val="en-US"/>
        </w:rPr>
        <w:t xml:space="preserve">data for </w:t>
      </w:r>
      <w:proofErr w:type="spellStart"/>
      <w:r w:rsidR="006E1453" w:rsidRPr="00192CF1">
        <w:rPr>
          <w:rFonts w:ascii="Book Antiqua" w:hAnsi="Book Antiqua"/>
          <w:sz w:val="24"/>
          <w:szCs w:val="24"/>
          <w:lang w:val="en-US"/>
        </w:rPr>
        <w:t>Nissen</w:t>
      </w:r>
      <w:proofErr w:type="spellEnd"/>
      <w:r w:rsidR="006E1453" w:rsidRPr="00192CF1">
        <w:rPr>
          <w:rFonts w:ascii="Book Antiqua" w:hAnsi="Book Antiqua"/>
          <w:sz w:val="24"/>
          <w:szCs w:val="24"/>
          <w:lang w:val="en-US"/>
        </w:rPr>
        <w:t xml:space="preserve"> extracted- Heller </w:t>
      </w:r>
      <w:r w:rsidR="008F5223">
        <w:rPr>
          <w:rFonts w:ascii="Book Antiqua" w:hAnsi="Book Antiqua" w:hint="eastAsia"/>
          <w:sz w:val="24"/>
          <w:szCs w:val="24"/>
          <w:lang w:val="en-US" w:eastAsia="zh-CN"/>
        </w:rPr>
        <w:t>and</w:t>
      </w:r>
      <w:r w:rsidR="006E1453" w:rsidRPr="00192CF1">
        <w:rPr>
          <w:rFonts w:ascii="Book Antiqua" w:hAnsi="Book Antiqua"/>
          <w:sz w:val="24"/>
          <w:szCs w:val="24"/>
          <w:lang w:val="en-US"/>
        </w:rPr>
        <w:t xml:space="preserve"> </w:t>
      </w:r>
      <w:proofErr w:type="spellStart"/>
      <w:r w:rsidR="006E1453" w:rsidRPr="00192CF1">
        <w:rPr>
          <w:rFonts w:ascii="Book Antiqua" w:hAnsi="Book Antiqua"/>
          <w:sz w:val="24"/>
          <w:szCs w:val="24"/>
          <w:lang w:val="en-US"/>
        </w:rPr>
        <w:t>Dor</w:t>
      </w:r>
      <w:proofErr w:type="spellEnd"/>
      <w:r w:rsidR="006E1453" w:rsidRPr="00192CF1">
        <w:rPr>
          <w:rFonts w:ascii="Book Antiqua" w:hAnsi="Book Antiqua"/>
          <w:sz w:val="24"/>
          <w:szCs w:val="24"/>
          <w:lang w:val="en-US"/>
        </w:rPr>
        <w:t xml:space="preserve"> data duplicate</w:t>
      </w:r>
      <w:r w:rsidR="008F5223">
        <w:rPr>
          <w:rFonts w:ascii="Book Antiqua" w:hAnsi="Book Antiqua" w:hint="eastAsia"/>
          <w:sz w:val="24"/>
          <w:szCs w:val="24"/>
          <w:lang w:val="en-US" w:eastAsia="zh-CN"/>
        </w:rPr>
        <w:t xml:space="preserve">; </w:t>
      </w:r>
      <w:r w:rsidR="008F5223" w:rsidRPr="008F5223">
        <w:rPr>
          <w:rFonts w:ascii="Book Antiqua" w:hAnsi="Book Antiqua" w:hint="eastAsia"/>
          <w:sz w:val="24"/>
          <w:szCs w:val="24"/>
          <w:vertAlign w:val="superscript"/>
          <w:lang w:val="en-US" w:eastAsia="zh-CN"/>
        </w:rPr>
        <w:t>2</w:t>
      </w:r>
      <w:r w:rsidR="008F5223" w:rsidRPr="00192CF1">
        <w:rPr>
          <w:rFonts w:ascii="Book Antiqua" w:hAnsi="Book Antiqua"/>
          <w:sz w:val="24"/>
          <w:szCs w:val="24"/>
          <w:lang w:val="en-US"/>
        </w:rPr>
        <w:t>I</w:t>
      </w:r>
      <w:r w:rsidR="00650402" w:rsidRPr="00192CF1">
        <w:rPr>
          <w:rFonts w:ascii="Book Antiqua" w:hAnsi="Book Antiqua"/>
          <w:sz w:val="24"/>
          <w:szCs w:val="24"/>
          <w:lang w:val="en-US"/>
        </w:rPr>
        <w:t xml:space="preserve">n the study of Mizuno </w:t>
      </w:r>
      <w:r w:rsidR="00650402" w:rsidRPr="008F5223">
        <w:rPr>
          <w:rFonts w:ascii="Book Antiqua" w:hAnsi="Book Antiqua"/>
          <w:i/>
          <w:sz w:val="24"/>
          <w:szCs w:val="24"/>
          <w:lang w:val="en-US"/>
        </w:rPr>
        <w:t xml:space="preserve">et </w:t>
      </w:r>
      <w:proofErr w:type="gramStart"/>
      <w:r w:rsidR="00650402" w:rsidRPr="008F5223">
        <w:rPr>
          <w:rFonts w:ascii="Book Antiqua" w:hAnsi="Book Antiqua"/>
          <w:i/>
          <w:sz w:val="24"/>
          <w:szCs w:val="24"/>
          <w:lang w:val="en-US"/>
        </w:rPr>
        <w:t>al</w:t>
      </w:r>
      <w:r w:rsidR="008F5223">
        <w:rPr>
          <w:rFonts w:ascii="Book Antiqua" w:hAnsi="Book Antiqua" w:hint="eastAsia"/>
          <w:sz w:val="24"/>
          <w:szCs w:val="24"/>
          <w:vertAlign w:val="superscript"/>
          <w:lang w:val="en-US" w:eastAsia="zh-CN"/>
        </w:rPr>
        <w:t>[</w:t>
      </w:r>
      <w:proofErr w:type="gramEnd"/>
      <w:r w:rsidR="008F5223">
        <w:rPr>
          <w:rFonts w:ascii="Book Antiqua" w:hAnsi="Book Antiqua" w:hint="eastAsia"/>
          <w:sz w:val="24"/>
          <w:szCs w:val="24"/>
          <w:vertAlign w:val="superscript"/>
          <w:lang w:val="en-US" w:eastAsia="zh-CN"/>
        </w:rPr>
        <w:t>21]</w:t>
      </w:r>
      <w:r w:rsidR="00650402" w:rsidRPr="00192CF1">
        <w:rPr>
          <w:rFonts w:ascii="Book Antiqua" w:hAnsi="Book Antiqua"/>
          <w:sz w:val="24"/>
          <w:szCs w:val="24"/>
          <w:lang w:val="en-US"/>
        </w:rPr>
        <w:t xml:space="preserve"> </w:t>
      </w:r>
      <w:r w:rsidR="006E1453" w:rsidRPr="00192CF1">
        <w:rPr>
          <w:rFonts w:ascii="Book Antiqua" w:hAnsi="Book Antiqua"/>
          <w:sz w:val="24"/>
          <w:szCs w:val="24"/>
          <w:lang w:val="en-US"/>
        </w:rPr>
        <w:t>only dat</w:t>
      </w:r>
      <w:r w:rsidR="00763503" w:rsidRPr="00192CF1">
        <w:rPr>
          <w:rFonts w:ascii="Book Antiqua" w:hAnsi="Book Antiqua"/>
          <w:sz w:val="24"/>
          <w:szCs w:val="24"/>
          <w:lang w:val="en-US"/>
        </w:rPr>
        <w:t>a from adult patients extracted</w:t>
      </w:r>
      <w:r w:rsidR="008F5223">
        <w:rPr>
          <w:rFonts w:ascii="Book Antiqua" w:hAnsi="Book Antiqua" w:hint="eastAsia"/>
          <w:sz w:val="24"/>
          <w:szCs w:val="24"/>
          <w:lang w:val="en-US" w:eastAsia="zh-CN"/>
        </w:rPr>
        <w:t>.</w:t>
      </w:r>
      <w:r w:rsidR="008F5223" w:rsidRPr="008F5223">
        <w:rPr>
          <w:rFonts w:ascii="Book Antiqua" w:hAnsi="Book Antiqua"/>
          <w:sz w:val="24"/>
          <w:szCs w:val="24"/>
          <w:lang w:val="en-US"/>
        </w:rPr>
        <w:t xml:space="preserve"> </w:t>
      </w:r>
      <w:r w:rsidR="008F5223" w:rsidRPr="00192CF1">
        <w:rPr>
          <w:rFonts w:ascii="Book Antiqua" w:hAnsi="Book Antiqua"/>
          <w:sz w:val="24"/>
          <w:szCs w:val="24"/>
          <w:lang w:val="en-US"/>
        </w:rPr>
        <w:t>n/a: Not available</w:t>
      </w:r>
      <w:r w:rsidR="008F5223">
        <w:rPr>
          <w:rFonts w:ascii="Book Antiqua" w:hAnsi="Book Antiqua" w:hint="eastAsia"/>
          <w:sz w:val="24"/>
          <w:szCs w:val="24"/>
          <w:lang w:val="en-US" w:eastAsia="zh-CN"/>
        </w:rPr>
        <w:t>.</w:t>
      </w:r>
    </w:p>
    <w:p w14:paraId="16141BB6" w14:textId="77777777" w:rsidR="006E1453" w:rsidRPr="00192CF1" w:rsidRDefault="006E1453" w:rsidP="004647EC">
      <w:pPr>
        <w:autoSpaceDE w:val="0"/>
        <w:autoSpaceDN w:val="0"/>
        <w:adjustRightInd w:val="0"/>
        <w:spacing w:after="0" w:line="360" w:lineRule="auto"/>
        <w:jc w:val="both"/>
        <w:rPr>
          <w:rFonts w:ascii="Book Antiqua" w:hAnsi="Book Antiqua"/>
          <w:sz w:val="24"/>
          <w:szCs w:val="24"/>
          <w:lang w:val="en-US"/>
        </w:rPr>
      </w:pPr>
    </w:p>
    <w:p w14:paraId="67BF0D7F" w14:textId="77777777" w:rsidR="006E1453" w:rsidRPr="00192CF1" w:rsidRDefault="006E1453" w:rsidP="004647EC">
      <w:pPr>
        <w:autoSpaceDE w:val="0"/>
        <w:autoSpaceDN w:val="0"/>
        <w:adjustRightInd w:val="0"/>
        <w:spacing w:after="0" w:line="360" w:lineRule="auto"/>
        <w:jc w:val="both"/>
        <w:rPr>
          <w:rFonts w:ascii="Book Antiqua" w:hAnsi="Book Antiqua"/>
          <w:sz w:val="24"/>
          <w:szCs w:val="24"/>
          <w:lang w:val="en-US"/>
        </w:rPr>
      </w:pPr>
    </w:p>
    <w:p w14:paraId="2775C1A4" w14:textId="77777777" w:rsidR="006E1453" w:rsidRPr="00192CF1" w:rsidRDefault="006E1453" w:rsidP="004647EC">
      <w:pPr>
        <w:autoSpaceDE w:val="0"/>
        <w:autoSpaceDN w:val="0"/>
        <w:adjustRightInd w:val="0"/>
        <w:spacing w:after="0" w:line="360" w:lineRule="auto"/>
        <w:jc w:val="both"/>
        <w:rPr>
          <w:rFonts w:ascii="Book Antiqua" w:hAnsi="Book Antiqua"/>
          <w:sz w:val="24"/>
          <w:szCs w:val="24"/>
          <w:lang w:val="en-US"/>
        </w:rPr>
      </w:pPr>
    </w:p>
    <w:p w14:paraId="6B9277C2" w14:textId="77777777" w:rsidR="006E1453" w:rsidRPr="00192CF1" w:rsidRDefault="006E1453" w:rsidP="004647EC">
      <w:pPr>
        <w:autoSpaceDE w:val="0"/>
        <w:autoSpaceDN w:val="0"/>
        <w:adjustRightInd w:val="0"/>
        <w:spacing w:after="0" w:line="360" w:lineRule="auto"/>
        <w:jc w:val="both"/>
        <w:rPr>
          <w:rFonts w:ascii="Book Antiqua" w:hAnsi="Book Antiqua"/>
          <w:sz w:val="24"/>
          <w:szCs w:val="24"/>
          <w:lang w:val="en-US"/>
        </w:rPr>
      </w:pPr>
    </w:p>
    <w:p w14:paraId="6D093CBE" w14:textId="77777777" w:rsidR="006E1453" w:rsidRPr="00192CF1" w:rsidRDefault="006E1453" w:rsidP="004647EC">
      <w:pPr>
        <w:autoSpaceDE w:val="0"/>
        <w:autoSpaceDN w:val="0"/>
        <w:adjustRightInd w:val="0"/>
        <w:spacing w:after="0" w:line="360" w:lineRule="auto"/>
        <w:jc w:val="both"/>
        <w:rPr>
          <w:rFonts w:ascii="Book Antiqua" w:hAnsi="Book Antiqua"/>
          <w:sz w:val="24"/>
          <w:szCs w:val="24"/>
          <w:lang w:val="en-US"/>
        </w:rPr>
      </w:pPr>
    </w:p>
    <w:p w14:paraId="152552E2" w14:textId="6310403C" w:rsidR="008F5223" w:rsidRPr="00192CF1" w:rsidRDefault="008F5223" w:rsidP="008F5223">
      <w:pPr>
        <w:autoSpaceDE w:val="0"/>
        <w:autoSpaceDN w:val="0"/>
        <w:adjustRightInd w:val="0"/>
        <w:spacing w:after="0" w:line="360" w:lineRule="auto"/>
        <w:jc w:val="both"/>
        <w:rPr>
          <w:rFonts w:ascii="Book Antiqua" w:hAnsi="Book Antiqua"/>
          <w:b/>
          <w:sz w:val="24"/>
          <w:szCs w:val="24"/>
          <w:lang w:val="en-US"/>
        </w:rPr>
      </w:pPr>
      <w:r>
        <w:rPr>
          <w:rFonts w:ascii="Book Antiqua" w:hAnsi="Book Antiqua"/>
          <w:b/>
          <w:sz w:val="24"/>
          <w:szCs w:val="24"/>
          <w:lang w:val="en-US"/>
        </w:rPr>
        <w:t>Table 2</w:t>
      </w:r>
      <w:r w:rsidRPr="00192CF1">
        <w:rPr>
          <w:rFonts w:ascii="Book Antiqua" w:hAnsi="Book Antiqua"/>
          <w:b/>
          <w:sz w:val="24"/>
          <w:szCs w:val="24"/>
          <w:lang w:val="en-US"/>
        </w:rPr>
        <w:t xml:space="preserve"> Patient characteristics</w:t>
      </w:r>
    </w:p>
    <w:p w14:paraId="6884CFA3" w14:textId="77777777" w:rsidR="006E1453" w:rsidRPr="00192CF1" w:rsidRDefault="006E1453" w:rsidP="004647EC">
      <w:pPr>
        <w:autoSpaceDE w:val="0"/>
        <w:autoSpaceDN w:val="0"/>
        <w:adjustRightInd w:val="0"/>
        <w:spacing w:after="0" w:line="360" w:lineRule="auto"/>
        <w:jc w:val="both"/>
        <w:rPr>
          <w:rFonts w:ascii="Book Antiqua" w:hAnsi="Book Antiqua"/>
          <w:sz w:val="24"/>
          <w:szCs w:val="24"/>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231"/>
        <w:gridCol w:w="628"/>
        <w:gridCol w:w="685"/>
        <w:gridCol w:w="742"/>
        <w:gridCol w:w="742"/>
        <w:gridCol w:w="1484"/>
        <w:gridCol w:w="1141"/>
      </w:tblGrid>
      <w:tr w:rsidR="004647EC" w:rsidRPr="00192CF1" w14:paraId="14059A28" w14:textId="77777777" w:rsidTr="00C43966">
        <w:trPr>
          <w:trHeight w:val="260"/>
        </w:trPr>
        <w:tc>
          <w:tcPr>
            <w:tcW w:w="5000" w:type="pct"/>
            <w:gridSpan w:val="8"/>
            <w:shd w:val="clear" w:color="auto" w:fill="auto"/>
            <w:noWrap/>
            <w:hideMark/>
          </w:tcPr>
          <w:p w14:paraId="4A1EA0A4" w14:textId="3B6A4710"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b/>
                <w:sz w:val="24"/>
                <w:szCs w:val="24"/>
                <w:lang w:val="en-US"/>
              </w:rPr>
              <w:t>P</w:t>
            </w:r>
            <w:r w:rsidR="008F5223" w:rsidRPr="00192CF1">
              <w:rPr>
                <w:rFonts w:ascii="Book Antiqua" w:eastAsia="Times New Roman" w:hAnsi="Book Antiqua"/>
                <w:b/>
                <w:sz w:val="24"/>
                <w:szCs w:val="24"/>
                <w:lang w:val="en-US"/>
              </w:rPr>
              <w:t>atient characteristics</w:t>
            </w:r>
          </w:p>
        </w:tc>
      </w:tr>
      <w:tr w:rsidR="004647EC" w:rsidRPr="00192CF1" w14:paraId="186738A2" w14:textId="77777777" w:rsidTr="00650402">
        <w:trPr>
          <w:trHeight w:val="260"/>
        </w:trPr>
        <w:tc>
          <w:tcPr>
            <w:tcW w:w="914" w:type="pct"/>
            <w:shd w:val="clear" w:color="auto" w:fill="auto"/>
            <w:noWrap/>
            <w:hideMark/>
          </w:tcPr>
          <w:p w14:paraId="35F7BD8F" w14:textId="1C684A27" w:rsidR="002B5612" w:rsidRPr="008F5223" w:rsidRDefault="008F5223" w:rsidP="004647EC">
            <w:pPr>
              <w:spacing w:after="0" w:line="360" w:lineRule="auto"/>
              <w:jc w:val="both"/>
              <w:rPr>
                <w:rFonts w:ascii="Book Antiqua" w:hAnsi="Book Antiqua"/>
                <w:b/>
                <w:bCs/>
                <w:sz w:val="24"/>
                <w:szCs w:val="24"/>
                <w:lang w:val="en-US" w:eastAsia="zh-CN"/>
              </w:rPr>
            </w:pPr>
            <w:r>
              <w:rPr>
                <w:rFonts w:ascii="Book Antiqua" w:hAnsi="Book Antiqua"/>
                <w:b/>
                <w:bCs/>
                <w:sz w:val="24"/>
                <w:szCs w:val="24"/>
                <w:lang w:val="en-US" w:eastAsia="zh-CN"/>
              </w:rPr>
              <w:t>R</w:t>
            </w:r>
            <w:r>
              <w:rPr>
                <w:rFonts w:ascii="Book Antiqua" w:hAnsi="Book Antiqua" w:hint="eastAsia"/>
                <w:b/>
                <w:bCs/>
                <w:sz w:val="24"/>
                <w:szCs w:val="24"/>
                <w:lang w:val="en-US" w:eastAsia="zh-CN"/>
              </w:rPr>
              <w:t>ef.</w:t>
            </w:r>
          </w:p>
        </w:tc>
        <w:tc>
          <w:tcPr>
            <w:tcW w:w="838" w:type="pct"/>
            <w:shd w:val="clear" w:color="auto" w:fill="auto"/>
            <w:noWrap/>
            <w:hideMark/>
          </w:tcPr>
          <w:p w14:paraId="7C2FE64C" w14:textId="37C8396B"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O</w:t>
            </w:r>
            <w:r w:rsidR="008F5223" w:rsidRPr="00192CF1">
              <w:rPr>
                <w:rFonts w:ascii="Book Antiqua" w:eastAsia="Times New Roman" w:hAnsi="Book Antiqua"/>
                <w:b/>
                <w:bCs/>
                <w:sz w:val="24"/>
                <w:szCs w:val="24"/>
                <w:lang w:val="en-US"/>
              </w:rPr>
              <w:t>peration type</w:t>
            </w:r>
          </w:p>
        </w:tc>
        <w:tc>
          <w:tcPr>
            <w:tcW w:w="348" w:type="pct"/>
            <w:shd w:val="clear" w:color="auto" w:fill="auto"/>
            <w:noWrap/>
            <w:hideMark/>
          </w:tcPr>
          <w:p w14:paraId="54A2D929" w14:textId="77777777"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ASA I</w:t>
            </w:r>
          </w:p>
        </w:tc>
        <w:tc>
          <w:tcPr>
            <w:tcW w:w="379" w:type="pct"/>
            <w:shd w:val="clear" w:color="auto" w:fill="auto"/>
            <w:noWrap/>
            <w:hideMark/>
          </w:tcPr>
          <w:p w14:paraId="0671D4F0" w14:textId="77777777"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ASA II</w:t>
            </w:r>
          </w:p>
        </w:tc>
        <w:tc>
          <w:tcPr>
            <w:tcW w:w="409" w:type="pct"/>
            <w:shd w:val="clear" w:color="auto" w:fill="auto"/>
            <w:noWrap/>
            <w:hideMark/>
          </w:tcPr>
          <w:p w14:paraId="5802A2E6" w14:textId="77777777"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ASA III</w:t>
            </w:r>
          </w:p>
        </w:tc>
        <w:tc>
          <w:tcPr>
            <w:tcW w:w="409" w:type="pct"/>
            <w:shd w:val="clear" w:color="auto" w:fill="auto"/>
            <w:noWrap/>
            <w:hideMark/>
          </w:tcPr>
          <w:p w14:paraId="783035BB" w14:textId="77777777"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ASA IV</w:t>
            </w:r>
          </w:p>
        </w:tc>
        <w:tc>
          <w:tcPr>
            <w:tcW w:w="1054" w:type="pct"/>
            <w:shd w:val="clear" w:color="auto" w:fill="auto"/>
            <w:noWrap/>
            <w:hideMark/>
          </w:tcPr>
          <w:p w14:paraId="6C8A4184" w14:textId="641CEB8B"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P</w:t>
            </w:r>
            <w:r w:rsidR="008F5223" w:rsidRPr="00192CF1">
              <w:rPr>
                <w:rFonts w:ascii="Book Antiqua" w:eastAsia="Times New Roman" w:hAnsi="Book Antiqua"/>
                <w:b/>
                <w:bCs/>
                <w:sz w:val="24"/>
                <w:szCs w:val="24"/>
                <w:lang w:val="en-US"/>
              </w:rPr>
              <w:t>revious operation</w:t>
            </w:r>
          </w:p>
        </w:tc>
        <w:tc>
          <w:tcPr>
            <w:tcW w:w="649" w:type="pct"/>
            <w:shd w:val="clear" w:color="auto" w:fill="auto"/>
            <w:noWrap/>
            <w:hideMark/>
          </w:tcPr>
          <w:p w14:paraId="0F004517" w14:textId="44F4ED83"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I</w:t>
            </w:r>
            <w:r w:rsidR="008F5223" w:rsidRPr="00192CF1">
              <w:rPr>
                <w:rFonts w:ascii="Book Antiqua" w:eastAsia="Times New Roman" w:hAnsi="Book Antiqua"/>
                <w:b/>
                <w:bCs/>
                <w:sz w:val="24"/>
                <w:szCs w:val="24"/>
                <w:lang w:val="en-US"/>
              </w:rPr>
              <w:t>ndication</w:t>
            </w:r>
          </w:p>
        </w:tc>
      </w:tr>
      <w:tr w:rsidR="004647EC" w:rsidRPr="00192CF1" w14:paraId="2F81E5AA" w14:textId="77777777" w:rsidTr="00650402">
        <w:trPr>
          <w:trHeight w:val="260"/>
        </w:trPr>
        <w:tc>
          <w:tcPr>
            <w:tcW w:w="914" w:type="pct"/>
            <w:shd w:val="clear" w:color="auto" w:fill="auto"/>
            <w:noWrap/>
            <w:hideMark/>
          </w:tcPr>
          <w:p w14:paraId="4AF457F2" w14:textId="06E8679B"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Buckley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L","non-dropping-particle":"","parse-names":false,"suffix":""}],"container-title":"HERNIA","id":"ITEM-1","issue":"5","issued":{"date-parts":[["2016","10"]]},"page":"729-733","publisher":"SPRINGER","publisher-place":"233 SPRING ST, NEW YORK, NY 10013 USA","title":"Influencing factors for port-site hernias after single-incision laparoscopy","type":"article-journal","volume":"20"},"uris":["http://www.mendeley.com/documents/?uuid=94881e51-2f96-4dc5-b29b-9d44b7d53ce8"]}],"mendeley":{"formattedCitation":"&lt;sup&gt;[30]&lt;/sup&gt;","plainTextFormattedCitation":"[30]","previouslyFormattedCitation":"&lt;sup&gt;[30]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[30]</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1ADEC87E"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6FBE3AA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6FDBF67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648A6A0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2D1256B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3394E7C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728D3D9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14:paraId="1AA6A5D2" w14:textId="77777777" w:rsidTr="00650402">
        <w:trPr>
          <w:trHeight w:val="500"/>
        </w:trPr>
        <w:tc>
          <w:tcPr>
            <w:tcW w:w="914" w:type="pct"/>
            <w:shd w:val="clear" w:color="auto" w:fill="auto"/>
            <w:noWrap/>
            <w:hideMark/>
          </w:tcPr>
          <w:p w14:paraId="255469A0" w14:textId="2768377E"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eviouslyFormattedCitation":"&lt;sup&gt;[17]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3264E1D0"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6337B55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6B35919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011F41C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272AFC6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3721F37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14</w:t>
            </w:r>
          </w:p>
        </w:tc>
        <w:tc>
          <w:tcPr>
            <w:tcW w:w="649" w:type="pct"/>
            <w:shd w:val="clear" w:color="auto" w:fill="auto"/>
            <w:noWrap/>
            <w:hideMark/>
          </w:tcPr>
          <w:p w14:paraId="2C858E0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14:paraId="74C5F36D" w14:textId="77777777" w:rsidTr="00650402">
        <w:trPr>
          <w:trHeight w:val="260"/>
        </w:trPr>
        <w:tc>
          <w:tcPr>
            <w:tcW w:w="914" w:type="pct"/>
            <w:shd w:val="clear" w:color="auto" w:fill="auto"/>
            <w:noWrap/>
            <w:hideMark/>
          </w:tcPr>
          <w:p w14:paraId="063425C3" w14:textId="1423AA7F"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Agaba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mendeley":{"formattedCitation":"&lt;sup&gt;[26]&lt;/sup&gt;","plainTextFormattedCitation":"[26]","previouslyFormattedCitation":"&lt;sup&gt;[26]&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[26]</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838" w:type="pct"/>
            <w:shd w:val="clear" w:color="auto" w:fill="auto"/>
            <w:noWrap/>
            <w:hideMark/>
          </w:tcPr>
          <w:p w14:paraId="19994D5C"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293979A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1CFC83C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1E579AF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21E1E33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71D729E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6670144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14:paraId="7FAED41A" w14:textId="77777777" w:rsidTr="00650402">
        <w:trPr>
          <w:trHeight w:val="260"/>
        </w:trPr>
        <w:tc>
          <w:tcPr>
            <w:tcW w:w="914" w:type="pct"/>
            <w:shd w:val="clear" w:color="auto" w:fill="auto"/>
            <w:noWrap/>
            <w:hideMark/>
          </w:tcPr>
          <w:p w14:paraId="6918996D" w14:textId="285F85A5"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Galvani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lt;/sup&gt;","plainTextFormattedCitation":"[24]","previouslyFormattedCitation":"&lt;sup&gt;[24]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[24]</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6FC2DC1D"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2183257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3F422E6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68FB519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0C766A8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35E1478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1E8216B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14:paraId="373F3EE7" w14:textId="77777777" w:rsidTr="00650402">
        <w:trPr>
          <w:trHeight w:val="260"/>
        </w:trPr>
        <w:tc>
          <w:tcPr>
            <w:tcW w:w="914" w:type="pct"/>
            <w:shd w:val="clear" w:color="auto" w:fill="auto"/>
            <w:noWrap/>
            <w:hideMark/>
          </w:tcPr>
          <w:p w14:paraId="710BF748" w14:textId="7CF953AA"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731A7F83"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5A9AB64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7C4ECA9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75BE905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2AB44E1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6225C01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5D483C5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Hiatus Hernia</w:t>
            </w:r>
          </w:p>
        </w:tc>
      </w:tr>
      <w:tr w:rsidR="004647EC" w:rsidRPr="00192CF1" w14:paraId="162EFD47" w14:textId="77777777" w:rsidTr="00650402">
        <w:trPr>
          <w:trHeight w:val="260"/>
        </w:trPr>
        <w:tc>
          <w:tcPr>
            <w:tcW w:w="914" w:type="pct"/>
            <w:shd w:val="clear" w:color="auto" w:fill="auto"/>
            <w:noWrap/>
            <w:hideMark/>
          </w:tcPr>
          <w:p w14:paraId="105CFC56" w14:textId="4B8721FF"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Strzalka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chirurgiczny","id":"ITEM-1","issue":"2","issued":{"date-parts":[["2013","2"]]},"language":"eng","page":"73-77","publisher-place":"Poland","title":"Application of the single access technique in laparoscopic surgery.","type":"article-journal","volume":"85"},"uris":["http://www.mendeley.com/documents/?uuid=f8c6e7b5-682a-48da-9065-b921584683d9"]}],"mendeley":{"formattedCitation":"&lt;sup&gt;[31]&lt;/sup&gt;","plainTextFormattedCitation":"[31]","previouslyFormattedCitation":"&lt;sup&gt;[31]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[31]</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5A492F9B"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44B4284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4E79CC8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31A88C1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2A12626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1E552D4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44B606C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14:paraId="1126A240" w14:textId="77777777" w:rsidTr="00650402">
        <w:trPr>
          <w:trHeight w:val="260"/>
        </w:trPr>
        <w:tc>
          <w:tcPr>
            <w:tcW w:w="914" w:type="pct"/>
            <w:shd w:val="clear" w:color="auto" w:fill="auto"/>
            <w:noWrap/>
            <w:hideMark/>
          </w:tcPr>
          <w:p w14:paraId="23B73F5F" w14:textId="3FAA3CB1"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Yilmaz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[22]</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4806EA4A"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4C56FD5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4042A28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5761719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504FFE0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27D05D2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7F91A2F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14:paraId="52C42DBF" w14:textId="77777777" w:rsidTr="00650402">
        <w:trPr>
          <w:trHeight w:val="560"/>
        </w:trPr>
        <w:tc>
          <w:tcPr>
            <w:tcW w:w="914" w:type="pct"/>
            <w:shd w:val="clear" w:color="auto" w:fill="auto"/>
            <w:noWrap/>
            <w:hideMark/>
          </w:tcPr>
          <w:p w14:paraId="122B18BE" w14:textId="3FD74FC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Eyuboglu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TECHNIQUES","id":"ITEM-1","issue":"2","issued":{"date-parts":[["2012","3"]]},"language":"eng","note":"From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mendeley":{"formattedCitation":"&lt;sup&gt;[20]&lt;/sup&gt;","plainTextFormattedCitation":"[20]","previouslyFormattedCitation":"&lt;sup&gt;[20]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[20]</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1A60D9F0"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1095866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535222C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110D858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4EC7BC2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5F8AA5B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650382F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14:paraId="2EC6F3B0" w14:textId="77777777" w:rsidTr="00650402">
        <w:trPr>
          <w:trHeight w:val="560"/>
        </w:trPr>
        <w:tc>
          <w:tcPr>
            <w:tcW w:w="914" w:type="pct"/>
            <w:shd w:val="clear" w:color="auto" w:fill="auto"/>
            <w:noWrap/>
            <w:hideMark/>
          </w:tcPr>
          <w:p w14:paraId="4B1BE76E" w14:textId="52B4786E"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Miyazaki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techniques","id":"ITEM-1","issue":"3","issued":{"date-parts":[["2012","6"]]},"language":"eng","page":"e118-21","publisher-place":"United States","title":"Single-port laparoscopic surgery of the distal esophagus: initial clinical experience.","type":"article-journal","volume":"22"},"uris":["http://www.mendeley.com/documents/?uuid=5c9b5627-6b69-4214-980f-6e7e266becb2"]}],"mendeley":{"formattedCitation":"&lt;sup&gt;[19]&lt;/sup&gt;","plainTextFormattedCitation":"[19]","previouslyFormattedCitation":"&lt;sup&gt;[19]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[19]</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838" w:type="pct"/>
            <w:shd w:val="clear" w:color="auto" w:fill="auto"/>
            <w:noWrap/>
            <w:hideMark/>
          </w:tcPr>
          <w:p w14:paraId="088A4826"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3BFE7D7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2D20501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4BAE5B7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7AF8233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1C6C1BA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7A6C7B6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14:paraId="5C5CCF7F" w14:textId="77777777" w:rsidTr="00650402">
        <w:trPr>
          <w:trHeight w:val="260"/>
        </w:trPr>
        <w:tc>
          <w:tcPr>
            <w:tcW w:w="914" w:type="pct"/>
            <w:shd w:val="clear" w:color="auto" w:fill="auto"/>
            <w:noWrap/>
            <w:hideMark/>
          </w:tcPr>
          <w:p w14:paraId="217F75B0" w14:textId="05878E75"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Mizuno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today","id":"ITEM-1","issue":"6","issued":{"date-parts":[["2012","6"]]},"language":"eng","page":"601-604","publisher-place":"Japan","title":"Early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mendeley":{"formattedCitation":"&lt;sup&gt;[21]&lt;/sup&gt;","plainTextFormattedCitation":"[21]","previouslyFormattedCitation":"&lt;sup&gt;[21]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[21]</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w:t>
            </w:r>
          </w:p>
        </w:tc>
        <w:tc>
          <w:tcPr>
            <w:tcW w:w="838" w:type="pct"/>
            <w:shd w:val="clear" w:color="auto" w:fill="auto"/>
            <w:noWrap/>
            <w:hideMark/>
          </w:tcPr>
          <w:p w14:paraId="31D2B71B"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7BC75C4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2A2CD97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159FFF8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361BA31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5D4C34D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4F932E1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14:paraId="6C2931A6" w14:textId="77777777" w:rsidTr="00650402">
        <w:trPr>
          <w:trHeight w:val="260"/>
        </w:trPr>
        <w:tc>
          <w:tcPr>
            <w:tcW w:w="914" w:type="pct"/>
            <w:shd w:val="clear" w:color="auto" w:fill="auto"/>
            <w:noWrap/>
            <w:hideMark/>
          </w:tcPr>
          <w:p w14:paraId="6F91277B" w14:textId="4E14E8CA"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Barbaros</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gastroenterology","id":"ITEM-1","issued":{"date-parts":[["2011"]]},"language":"eng","page":"347487","publisher-place":"Egypt","title":"Pure SILS Floppy Nissen Fundoplication with Hiatal Repair: A Case Report.","type":"article-journal","volume":"2011"},"uris":["http://www.mendeley.com/documents/?uuid=bb1b6c22-cb01-419a-8aa1-ecc2590e20fb"]}],"mendeley":{"formattedCitation":"&lt;sup&gt;[18]&lt;/sup&gt;","plainTextFormattedCitation":"[18]","previouslyFormattedCitation":"&lt;sup&gt;[18]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[18]</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2EA48C8D"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79B0C23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0D18367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74ED3AD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4BF6D68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5791725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01DBE69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Hiatus Hernia</w:t>
            </w:r>
          </w:p>
        </w:tc>
      </w:tr>
      <w:tr w:rsidR="004647EC" w:rsidRPr="00192CF1" w14:paraId="5876794A" w14:textId="77777777" w:rsidTr="00650402">
        <w:trPr>
          <w:trHeight w:val="260"/>
        </w:trPr>
        <w:tc>
          <w:tcPr>
            <w:tcW w:w="914" w:type="pct"/>
            <w:shd w:val="clear" w:color="auto" w:fill="auto"/>
            <w:noWrap/>
            <w:hideMark/>
          </w:tcPr>
          <w:p w14:paraId="03629982" w14:textId="347F193A"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Dapri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78A7BF81"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566AA94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54EDEF7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4708E28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3AE637C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2CF6504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00730AE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14:paraId="11FBD3CA" w14:textId="77777777" w:rsidTr="00650402">
        <w:trPr>
          <w:trHeight w:val="260"/>
        </w:trPr>
        <w:tc>
          <w:tcPr>
            <w:tcW w:w="914" w:type="pct"/>
            <w:shd w:val="clear" w:color="auto" w:fill="auto"/>
            <w:noWrap/>
            <w:hideMark/>
          </w:tcPr>
          <w:p w14:paraId="5417F442" w14:textId="57AA8BBB"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Hawasli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36026E41"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164C8B2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118250D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4F636E5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348CE89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1CC361F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0E91FF4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14:paraId="6D76387B" w14:textId="77777777" w:rsidTr="00650402">
        <w:trPr>
          <w:trHeight w:val="260"/>
        </w:trPr>
        <w:tc>
          <w:tcPr>
            <w:tcW w:w="914" w:type="pct"/>
            <w:shd w:val="clear" w:color="auto" w:fill="auto"/>
            <w:noWrap/>
            <w:hideMark/>
          </w:tcPr>
          <w:p w14:paraId="04F8A34F" w14:textId="7E5E4FAF"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Hamzaoglu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519DC6A5"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14:paraId="2CDA839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55F6A43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7207084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12D5896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2503EBD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227B40E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14:paraId="2034AE5B" w14:textId="77777777" w:rsidTr="00C43966">
        <w:trPr>
          <w:trHeight w:val="260"/>
        </w:trPr>
        <w:tc>
          <w:tcPr>
            <w:tcW w:w="5000" w:type="pct"/>
            <w:gridSpan w:val="8"/>
            <w:shd w:val="clear" w:color="auto" w:fill="auto"/>
            <w:noWrap/>
            <w:hideMark/>
          </w:tcPr>
          <w:p w14:paraId="6B61C0F7"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r>
      <w:tr w:rsidR="004647EC" w:rsidRPr="00192CF1" w14:paraId="12D3C542" w14:textId="77777777" w:rsidTr="00650402">
        <w:trPr>
          <w:trHeight w:val="560"/>
        </w:trPr>
        <w:tc>
          <w:tcPr>
            <w:tcW w:w="914" w:type="pct"/>
            <w:shd w:val="clear" w:color="auto" w:fill="auto"/>
            <w:noWrap/>
            <w:hideMark/>
          </w:tcPr>
          <w:p w14:paraId="20119ED2" w14:textId="110F04C5"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Fukuda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5F0695E2" w14:textId="683943AD"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48" w:type="pct"/>
            <w:shd w:val="clear" w:color="auto" w:fill="auto"/>
            <w:noWrap/>
            <w:hideMark/>
          </w:tcPr>
          <w:p w14:paraId="1AB0F6C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11F773C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5D206F9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4065710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0EAD375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262FCCE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Achalasia</w:t>
            </w:r>
          </w:p>
        </w:tc>
      </w:tr>
      <w:tr w:rsidR="004647EC" w:rsidRPr="00192CF1" w14:paraId="6A365C2B" w14:textId="77777777" w:rsidTr="00650402">
        <w:trPr>
          <w:trHeight w:val="260"/>
        </w:trPr>
        <w:tc>
          <w:tcPr>
            <w:tcW w:w="914" w:type="pct"/>
            <w:shd w:val="clear" w:color="auto" w:fill="auto"/>
            <w:noWrap/>
            <w:hideMark/>
          </w:tcPr>
          <w:p w14:paraId="61432F92" w14:textId="387EDAC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6984CF86" w14:textId="53C2A6F3"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48" w:type="pct"/>
            <w:shd w:val="clear" w:color="auto" w:fill="auto"/>
            <w:noWrap/>
            <w:hideMark/>
          </w:tcPr>
          <w:p w14:paraId="271A3F9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3505692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2B9EED7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0B086C8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5D378A3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36BF769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Achalasia</w:t>
            </w:r>
          </w:p>
        </w:tc>
      </w:tr>
      <w:tr w:rsidR="004647EC" w:rsidRPr="00192CF1" w14:paraId="08AB98D9" w14:textId="77777777" w:rsidTr="00650402">
        <w:trPr>
          <w:trHeight w:val="560"/>
        </w:trPr>
        <w:tc>
          <w:tcPr>
            <w:tcW w:w="914" w:type="pct"/>
            <w:shd w:val="clear" w:color="auto" w:fill="auto"/>
            <w:noWrap/>
            <w:hideMark/>
          </w:tcPr>
          <w:p w14:paraId="427AD67B" w14:textId="1161E79D"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Ross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mendeley":{"formattedCitation":"&lt;sup&gt;[32]&lt;/sup&gt;","plainTextFormattedCitation":"[32]","previouslyFormattedCitation":"&lt;sup&gt;[32]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[32]</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7D8305FF" w14:textId="2242AE9A"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48" w:type="pct"/>
            <w:shd w:val="clear" w:color="auto" w:fill="auto"/>
            <w:noWrap/>
            <w:hideMark/>
          </w:tcPr>
          <w:p w14:paraId="2689F54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1592B4E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3833BAA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338D126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4607E2E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w:t>
            </w:r>
          </w:p>
        </w:tc>
        <w:tc>
          <w:tcPr>
            <w:tcW w:w="649" w:type="pct"/>
            <w:shd w:val="clear" w:color="auto" w:fill="auto"/>
            <w:noWrap/>
            <w:hideMark/>
          </w:tcPr>
          <w:p w14:paraId="3799219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Achalasia</w:t>
            </w:r>
          </w:p>
        </w:tc>
      </w:tr>
      <w:tr w:rsidR="004647EC" w:rsidRPr="00192CF1" w14:paraId="36DDC534" w14:textId="77777777" w:rsidTr="00650402">
        <w:trPr>
          <w:trHeight w:val="280"/>
        </w:trPr>
        <w:tc>
          <w:tcPr>
            <w:tcW w:w="914" w:type="pct"/>
            <w:shd w:val="clear" w:color="auto" w:fill="auto"/>
            <w:noWrap/>
            <w:hideMark/>
          </w:tcPr>
          <w:p w14:paraId="3A136645" w14:textId="1D0CF2C0"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Yamada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mendeley":{"formattedCitation":"&lt;sup&gt;[28]&lt;/sup&gt;","plainTextFormattedCitation":"[28]","previouslyFormattedCitation":"&lt;sup&gt;[28]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[28]</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154729B4" w14:textId="3C28CADE"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48" w:type="pct"/>
            <w:shd w:val="clear" w:color="auto" w:fill="auto"/>
            <w:noWrap/>
            <w:hideMark/>
          </w:tcPr>
          <w:p w14:paraId="6617A08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337729F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7D920CB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66FFECA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03279B4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217C413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Achalasia</w:t>
            </w:r>
          </w:p>
        </w:tc>
      </w:tr>
      <w:tr w:rsidR="004647EC" w:rsidRPr="00192CF1" w14:paraId="128C0B19" w14:textId="77777777" w:rsidTr="00650402">
        <w:trPr>
          <w:trHeight w:val="280"/>
        </w:trPr>
        <w:tc>
          <w:tcPr>
            <w:tcW w:w="914" w:type="pct"/>
            <w:shd w:val="clear" w:color="auto" w:fill="auto"/>
            <w:noWrap/>
            <w:hideMark/>
          </w:tcPr>
          <w:p w14:paraId="74E3228C" w14:textId="0D12F832"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Yano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today","id":"ITEM-1","issue":"3","issued":{"date-parts":[["2012","2"]]},"language":"eng","page":"299-302","publisher-place":"Japan","title":"Single-incision laparoscopic Heller myotomy and Dor fundoplication for achalasia: report of a case.","type":"article-journal","volume":"42"},"uris":["http://www.mendeley.com/documents/?uuid=f0812b93-b43f-4012-9026-6bcb9aee8455"]}],"mendeley":{"formattedCitation":"&lt;sup&gt;[29]&lt;/sup&gt;","plainTextFormattedCitation":"[29]","previouslyFormattedCitation":"&lt;sup&gt;[29]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[29]</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48B139B6" w14:textId="63B37F1D"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48" w:type="pct"/>
            <w:shd w:val="clear" w:color="auto" w:fill="auto"/>
            <w:noWrap/>
            <w:hideMark/>
          </w:tcPr>
          <w:p w14:paraId="51FFE7D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616DEC1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5106DEA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0F99BF7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1853BEB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5FC7E43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Achalasia</w:t>
            </w:r>
          </w:p>
        </w:tc>
      </w:tr>
      <w:tr w:rsidR="004647EC" w:rsidRPr="00192CF1" w14:paraId="47F49DFE" w14:textId="77777777" w:rsidTr="00650402">
        <w:trPr>
          <w:trHeight w:val="260"/>
        </w:trPr>
        <w:tc>
          <w:tcPr>
            <w:tcW w:w="914" w:type="pct"/>
            <w:shd w:val="clear" w:color="auto" w:fill="auto"/>
            <w:noWrap/>
            <w:hideMark/>
          </w:tcPr>
          <w:p w14:paraId="21927921" w14:textId="3C033E2B"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Nakajima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today","id":"ITEM-1","issue":"11","issued":{"date-parts":[["2011","11"]]},"language":"eng","page":"1543-1547","publisher-place":"Japan","title":"Single-incision laparoscopic Heller myotomy and Dor fundoplication for achalasia: report of a case.","type":"article-journal","volume":"41"},"uris":["http://www.mendeley.com/documents/?uuid=847f6bea-4208-41b8-95d2-54e3738d7df1"]}],"mendeley":{"formattedCitation":"&lt;sup&gt;[27]&lt;/sup&gt;","plainTextFormattedCitation":"[27]","previouslyFormattedCitation":"&lt;sup&gt;[27]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[27]</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0B3D9F90" w14:textId="4AE7AFE7" w:rsidR="002B5612" w:rsidRPr="00192CF1" w:rsidRDefault="002B5612" w:rsidP="00A35660">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48" w:type="pct"/>
            <w:shd w:val="clear" w:color="auto" w:fill="auto"/>
            <w:noWrap/>
            <w:hideMark/>
          </w:tcPr>
          <w:p w14:paraId="561F101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00B9CFE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736885B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0BDE7FF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71DF2A6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14:paraId="196B645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Achalasia</w:t>
            </w:r>
          </w:p>
        </w:tc>
      </w:tr>
      <w:tr w:rsidR="004647EC" w:rsidRPr="00192CF1" w14:paraId="440B1F4E" w14:textId="77777777" w:rsidTr="00C43966">
        <w:trPr>
          <w:trHeight w:val="260"/>
        </w:trPr>
        <w:tc>
          <w:tcPr>
            <w:tcW w:w="5000" w:type="pct"/>
            <w:gridSpan w:val="8"/>
            <w:shd w:val="clear" w:color="auto" w:fill="auto"/>
            <w:noWrap/>
            <w:hideMark/>
          </w:tcPr>
          <w:p w14:paraId="0E5DEAF3"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r>
      <w:tr w:rsidR="004647EC" w:rsidRPr="00192CF1" w14:paraId="5DEE6228" w14:textId="77777777" w:rsidTr="00650402">
        <w:trPr>
          <w:trHeight w:val="560"/>
        </w:trPr>
        <w:tc>
          <w:tcPr>
            <w:tcW w:w="914" w:type="pct"/>
            <w:shd w:val="clear" w:color="auto" w:fill="auto"/>
            <w:noWrap/>
            <w:hideMark/>
          </w:tcPr>
          <w:p w14:paraId="79BCC18F" w14:textId="10E28C95"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14:paraId="595A7D10"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Toupet</w:t>
            </w:r>
            <w:proofErr w:type="spellEnd"/>
          </w:p>
        </w:tc>
        <w:tc>
          <w:tcPr>
            <w:tcW w:w="348" w:type="pct"/>
            <w:shd w:val="clear" w:color="auto" w:fill="auto"/>
            <w:noWrap/>
            <w:hideMark/>
          </w:tcPr>
          <w:p w14:paraId="7F7CC13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14:paraId="700DB5E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5908EF4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14:paraId="46D0812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14:paraId="47F8D4B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14</w:t>
            </w:r>
          </w:p>
        </w:tc>
        <w:tc>
          <w:tcPr>
            <w:tcW w:w="649" w:type="pct"/>
            <w:shd w:val="clear" w:color="auto" w:fill="auto"/>
            <w:noWrap/>
            <w:hideMark/>
          </w:tcPr>
          <w:p w14:paraId="30057F3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bl>
    <w:p w14:paraId="605EEC27" w14:textId="30E2E702" w:rsidR="006E1453" w:rsidRPr="00192CF1" w:rsidRDefault="00650402" w:rsidP="004647EC">
      <w:pPr>
        <w:autoSpaceDE w:val="0"/>
        <w:autoSpaceDN w:val="0"/>
        <w:adjustRightInd w:val="0"/>
        <w:spacing w:after="0" w:line="360" w:lineRule="auto"/>
        <w:jc w:val="both"/>
        <w:rPr>
          <w:rFonts w:ascii="Book Antiqua" w:hAnsi="Book Antiqua"/>
          <w:sz w:val="24"/>
          <w:szCs w:val="24"/>
          <w:lang w:val="en-US" w:eastAsia="zh-CN"/>
        </w:rPr>
      </w:pPr>
      <w:r w:rsidRPr="00192CF1">
        <w:rPr>
          <w:rFonts w:ascii="Book Antiqua" w:hAnsi="Book Antiqua"/>
          <w:sz w:val="24"/>
          <w:szCs w:val="24"/>
          <w:lang w:val="en-US"/>
        </w:rPr>
        <w:t xml:space="preserve">n/a: </w:t>
      </w:r>
      <w:r w:rsidR="00A35660" w:rsidRPr="00192CF1">
        <w:rPr>
          <w:rFonts w:ascii="Book Antiqua" w:hAnsi="Book Antiqua"/>
          <w:sz w:val="24"/>
          <w:szCs w:val="24"/>
          <w:lang w:val="en-US"/>
        </w:rPr>
        <w:t xml:space="preserve">Not </w:t>
      </w:r>
      <w:r w:rsidRPr="00192CF1">
        <w:rPr>
          <w:rFonts w:ascii="Book Antiqua" w:hAnsi="Book Antiqua"/>
          <w:sz w:val="24"/>
          <w:szCs w:val="24"/>
          <w:lang w:val="en-US"/>
        </w:rPr>
        <w:t>available</w:t>
      </w:r>
      <w:r w:rsidR="00A35660">
        <w:rPr>
          <w:rFonts w:ascii="Book Antiqua" w:hAnsi="Book Antiqua" w:hint="eastAsia"/>
          <w:sz w:val="24"/>
          <w:szCs w:val="24"/>
          <w:lang w:val="en-US" w:eastAsia="zh-CN"/>
        </w:rPr>
        <w:t xml:space="preserve">; </w:t>
      </w:r>
      <w:r w:rsidRPr="00192CF1">
        <w:rPr>
          <w:rFonts w:ascii="Book Antiqua" w:hAnsi="Book Antiqua"/>
          <w:sz w:val="24"/>
          <w:szCs w:val="24"/>
          <w:lang w:val="en-US"/>
        </w:rPr>
        <w:t>ASA: American Society of Anesthesiologists</w:t>
      </w:r>
      <w:r w:rsidR="00A35660">
        <w:rPr>
          <w:rFonts w:ascii="Book Antiqua" w:hAnsi="Book Antiqua" w:hint="eastAsia"/>
          <w:sz w:val="24"/>
          <w:szCs w:val="24"/>
          <w:lang w:val="en-US" w:eastAsia="zh-CN"/>
        </w:rPr>
        <w:t xml:space="preserve">; </w:t>
      </w:r>
      <w:r w:rsidRPr="00192CF1">
        <w:rPr>
          <w:rFonts w:ascii="Book Antiqua" w:hAnsi="Book Antiqua"/>
          <w:sz w:val="24"/>
          <w:szCs w:val="24"/>
          <w:lang w:val="en-US"/>
        </w:rPr>
        <w:t xml:space="preserve">GERD: </w:t>
      </w:r>
      <w:r w:rsidR="00A35660" w:rsidRPr="00192CF1">
        <w:rPr>
          <w:rFonts w:ascii="Book Antiqua" w:hAnsi="Book Antiqua"/>
          <w:sz w:val="24"/>
          <w:szCs w:val="24"/>
          <w:lang w:val="en-US"/>
        </w:rPr>
        <w:t xml:space="preserve">Gastroesophageal </w:t>
      </w:r>
      <w:r w:rsidRPr="00192CF1">
        <w:rPr>
          <w:rFonts w:ascii="Book Antiqua" w:hAnsi="Book Antiqua"/>
          <w:sz w:val="24"/>
          <w:szCs w:val="24"/>
          <w:lang w:val="en-US"/>
        </w:rPr>
        <w:t>reflux disease</w:t>
      </w:r>
      <w:r w:rsidR="00A35660">
        <w:rPr>
          <w:rFonts w:ascii="Book Antiqua" w:hAnsi="Book Antiqua" w:hint="eastAsia"/>
          <w:sz w:val="24"/>
          <w:szCs w:val="24"/>
          <w:lang w:val="en-US" w:eastAsia="zh-CN"/>
        </w:rPr>
        <w:t>.</w:t>
      </w:r>
    </w:p>
    <w:p w14:paraId="0C8DD74E" w14:textId="77777777" w:rsidR="006E1453" w:rsidRPr="00192CF1" w:rsidRDefault="006E1453" w:rsidP="004647EC">
      <w:pPr>
        <w:autoSpaceDE w:val="0"/>
        <w:autoSpaceDN w:val="0"/>
        <w:adjustRightInd w:val="0"/>
        <w:spacing w:after="0" w:line="360" w:lineRule="auto"/>
        <w:jc w:val="both"/>
        <w:rPr>
          <w:rFonts w:ascii="Book Antiqua" w:hAnsi="Book Antiqua"/>
          <w:b/>
          <w:sz w:val="24"/>
          <w:szCs w:val="24"/>
          <w:lang w:val="en-US"/>
        </w:rPr>
      </w:pPr>
    </w:p>
    <w:p w14:paraId="388977D8" w14:textId="31B2782A" w:rsidR="006E1453" w:rsidRPr="00192CF1" w:rsidRDefault="00A35660" w:rsidP="004647EC">
      <w:pPr>
        <w:autoSpaceDE w:val="0"/>
        <w:autoSpaceDN w:val="0"/>
        <w:adjustRightIn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Table 3</w:t>
      </w:r>
      <w:r w:rsidRPr="00192CF1">
        <w:rPr>
          <w:rFonts w:ascii="Book Antiqua" w:hAnsi="Book Antiqua"/>
          <w:b/>
          <w:sz w:val="24"/>
          <w:szCs w:val="24"/>
          <w:lang w:val="en-US"/>
        </w:rPr>
        <w:t xml:space="preserve"> Technical c</w:t>
      </w:r>
      <w:r>
        <w:rPr>
          <w:rFonts w:ascii="Book Antiqua" w:hAnsi="Book Antiqua"/>
          <w:b/>
          <w:sz w:val="24"/>
          <w:szCs w:val="24"/>
          <w:lang w:val="en-US"/>
        </w:rPr>
        <w:t>haracteristics</w:t>
      </w:r>
    </w:p>
    <w:p w14:paraId="0CC76F44" w14:textId="77777777" w:rsidR="006E1453" w:rsidRPr="00192CF1" w:rsidRDefault="006E1453" w:rsidP="004647EC">
      <w:pPr>
        <w:autoSpaceDE w:val="0"/>
        <w:autoSpaceDN w:val="0"/>
        <w:adjustRightInd w:val="0"/>
        <w:spacing w:after="0" w:line="360" w:lineRule="auto"/>
        <w:jc w:val="both"/>
        <w:rPr>
          <w:rFonts w:ascii="Book Antiqua" w:hAnsi="Book Antiqua"/>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85"/>
        <w:gridCol w:w="1417"/>
        <w:gridCol w:w="1084"/>
        <w:gridCol w:w="1201"/>
        <w:gridCol w:w="977"/>
        <w:gridCol w:w="431"/>
        <w:gridCol w:w="659"/>
        <w:gridCol w:w="351"/>
        <w:gridCol w:w="617"/>
      </w:tblGrid>
      <w:tr w:rsidR="004647EC" w:rsidRPr="00192CF1" w14:paraId="6EA612CE" w14:textId="77777777" w:rsidTr="00C43966">
        <w:trPr>
          <w:trHeight w:val="260"/>
        </w:trPr>
        <w:tc>
          <w:tcPr>
            <w:tcW w:w="5000" w:type="pct"/>
            <w:gridSpan w:val="10"/>
            <w:shd w:val="clear" w:color="auto" w:fill="auto"/>
            <w:noWrap/>
            <w:hideMark/>
          </w:tcPr>
          <w:p w14:paraId="5A04365A" w14:textId="1885F665"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hAnsi="Book Antiqua"/>
                <w:b/>
                <w:sz w:val="24"/>
                <w:szCs w:val="24"/>
              </w:rPr>
              <w:lastRenderedPageBreak/>
              <w:t>T</w:t>
            </w:r>
            <w:r w:rsidR="00A35660" w:rsidRPr="00192CF1">
              <w:rPr>
                <w:rFonts w:ascii="Book Antiqua" w:hAnsi="Book Antiqua"/>
                <w:b/>
                <w:sz w:val="24"/>
                <w:szCs w:val="24"/>
              </w:rPr>
              <w:t>echnical characteristics</w:t>
            </w:r>
          </w:p>
        </w:tc>
      </w:tr>
      <w:tr w:rsidR="004647EC" w:rsidRPr="00192CF1" w14:paraId="7A549913" w14:textId="77777777" w:rsidTr="00650402">
        <w:trPr>
          <w:trHeight w:val="260"/>
        </w:trPr>
        <w:tc>
          <w:tcPr>
            <w:tcW w:w="521" w:type="pct"/>
            <w:shd w:val="clear" w:color="auto" w:fill="auto"/>
            <w:noWrap/>
            <w:hideMark/>
          </w:tcPr>
          <w:p w14:paraId="742C4931" w14:textId="1BA22CB8" w:rsidR="002B5612" w:rsidRPr="00A35660" w:rsidRDefault="00A35660" w:rsidP="004647EC">
            <w:pPr>
              <w:spacing w:after="0" w:line="360" w:lineRule="auto"/>
              <w:jc w:val="both"/>
              <w:rPr>
                <w:rFonts w:ascii="Book Antiqua" w:hAnsi="Book Antiqua"/>
                <w:b/>
                <w:bCs/>
                <w:sz w:val="24"/>
                <w:szCs w:val="24"/>
                <w:lang w:val="en-US" w:eastAsia="zh-CN"/>
              </w:rPr>
            </w:pPr>
            <w:r>
              <w:rPr>
                <w:rFonts w:ascii="Book Antiqua" w:hAnsi="Book Antiqua"/>
                <w:b/>
                <w:bCs/>
                <w:sz w:val="24"/>
                <w:szCs w:val="24"/>
                <w:lang w:val="en-US" w:eastAsia="zh-CN"/>
              </w:rPr>
              <w:t>R</w:t>
            </w:r>
            <w:r>
              <w:rPr>
                <w:rFonts w:ascii="Book Antiqua" w:hAnsi="Book Antiqua" w:hint="eastAsia"/>
                <w:b/>
                <w:bCs/>
                <w:sz w:val="24"/>
                <w:szCs w:val="24"/>
                <w:lang w:val="en-US" w:eastAsia="zh-CN"/>
              </w:rPr>
              <w:t>ef.</w:t>
            </w:r>
          </w:p>
        </w:tc>
        <w:tc>
          <w:tcPr>
            <w:tcW w:w="483" w:type="pct"/>
            <w:shd w:val="clear" w:color="auto" w:fill="auto"/>
            <w:noWrap/>
            <w:hideMark/>
          </w:tcPr>
          <w:p w14:paraId="6200CD6B" w14:textId="3689F775"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O</w:t>
            </w:r>
            <w:r w:rsidR="00A35660" w:rsidRPr="00192CF1">
              <w:rPr>
                <w:rFonts w:ascii="Book Antiqua" w:eastAsia="Times New Roman" w:hAnsi="Book Antiqua"/>
                <w:b/>
                <w:bCs/>
                <w:sz w:val="24"/>
                <w:szCs w:val="24"/>
                <w:lang w:val="en-US"/>
              </w:rPr>
              <w:t>peration type</w:t>
            </w:r>
          </w:p>
        </w:tc>
        <w:tc>
          <w:tcPr>
            <w:tcW w:w="818" w:type="pct"/>
            <w:shd w:val="clear" w:color="auto" w:fill="auto"/>
            <w:noWrap/>
            <w:hideMark/>
          </w:tcPr>
          <w:p w14:paraId="53D55C02" w14:textId="6EBF463E"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S</w:t>
            </w:r>
            <w:r w:rsidR="00A35660" w:rsidRPr="00192CF1">
              <w:rPr>
                <w:rFonts w:ascii="Book Antiqua" w:eastAsia="Times New Roman" w:hAnsi="Book Antiqua"/>
                <w:b/>
                <w:bCs/>
                <w:sz w:val="24"/>
                <w:szCs w:val="24"/>
                <w:lang w:val="en-US"/>
              </w:rPr>
              <w:t>ingle port device</w:t>
            </w:r>
          </w:p>
        </w:tc>
        <w:tc>
          <w:tcPr>
            <w:tcW w:w="592" w:type="pct"/>
            <w:shd w:val="clear" w:color="auto" w:fill="auto"/>
            <w:noWrap/>
            <w:hideMark/>
          </w:tcPr>
          <w:p w14:paraId="3B37A646" w14:textId="2248354A"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I</w:t>
            </w:r>
            <w:r w:rsidR="00A35660" w:rsidRPr="00192CF1">
              <w:rPr>
                <w:rFonts w:ascii="Book Antiqua" w:eastAsia="Times New Roman" w:hAnsi="Book Antiqua"/>
                <w:b/>
                <w:bCs/>
                <w:sz w:val="24"/>
                <w:szCs w:val="24"/>
                <w:lang w:val="en-US"/>
              </w:rPr>
              <w:t>nstruments</w:t>
            </w:r>
          </w:p>
        </w:tc>
        <w:tc>
          <w:tcPr>
            <w:tcW w:w="695" w:type="pct"/>
            <w:shd w:val="clear" w:color="auto" w:fill="auto"/>
            <w:noWrap/>
            <w:hideMark/>
          </w:tcPr>
          <w:p w14:paraId="60F29455" w14:textId="438A0C2F"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L</w:t>
            </w:r>
            <w:r w:rsidR="00A35660" w:rsidRPr="00192CF1">
              <w:rPr>
                <w:rFonts w:ascii="Book Antiqua" w:eastAsia="Times New Roman" w:hAnsi="Book Antiqua"/>
                <w:b/>
                <w:bCs/>
                <w:sz w:val="24"/>
                <w:szCs w:val="24"/>
                <w:lang w:val="en-US"/>
              </w:rPr>
              <w:t>iver retraction</w:t>
            </w:r>
          </w:p>
        </w:tc>
        <w:tc>
          <w:tcPr>
            <w:tcW w:w="567" w:type="pct"/>
            <w:shd w:val="clear" w:color="auto" w:fill="auto"/>
            <w:noWrap/>
            <w:hideMark/>
          </w:tcPr>
          <w:p w14:paraId="553176F7" w14:textId="4AA98C61"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D</w:t>
            </w:r>
            <w:r w:rsidR="00A35660" w:rsidRPr="00192CF1">
              <w:rPr>
                <w:rFonts w:ascii="Book Antiqua" w:eastAsia="Times New Roman" w:hAnsi="Book Antiqua"/>
                <w:b/>
                <w:bCs/>
                <w:sz w:val="24"/>
                <w:szCs w:val="24"/>
                <w:lang w:val="en-US"/>
              </w:rPr>
              <w:t>issection device</w:t>
            </w:r>
          </w:p>
        </w:tc>
        <w:tc>
          <w:tcPr>
            <w:tcW w:w="292" w:type="pct"/>
            <w:shd w:val="clear" w:color="auto" w:fill="auto"/>
            <w:noWrap/>
            <w:hideMark/>
          </w:tcPr>
          <w:p w14:paraId="65ADC5C2" w14:textId="4471D0F7"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B</w:t>
            </w:r>
            <w:r w:rsidR="00A35660" w:rsidRPr="00192CF1">
              <w:rPr>
                <w:rFonts w:ascii="Book Antiqua" w:eastAsia="Times New Roman" w:hAnsi="Book Antiqua"/>
                <w:b/>
                <w:bCs/>
                <w:sz w:val="24"/>
                <w:szCs w:val="24"/>
                <w:lang w:val="en-US"/>
              </w:rPr>
              <w:t>oogie</w:t>
            </w:r>
          </w:p>
        </w:tc>
        <w:tc>
          <w:tcPr>
            <w:tcW w:w="385" w:type="pct"/>
            <w:shd w:val="clear" w:color="auto" w:fill="auto"/>
            <w:noWrap/>
            <w:hideMark/>
          </w:tcPr>
          <w:p w14:paraId="5688901F" w14:textId="54344BA7"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S</w:t>
            </w:r>
            <w:r w:rsidR="00A35660" w:rsidRPr="00192CF1">
              <w:rPr>
                <w:rFonts w:ascii="Book Antiqua" w:eastAsia="Times New Roman" w:hAnsi="Book Antiqua"/>
                <w:b/>
                <w:bCs/>
                <w:sz w:val="24"/>
                <w:szCs w:val="24"/>
                <w:lang w:val="en-US"/>
              </w:rPr>
              <w:t>uturing</w:t>
            </w:r>
          </w:p>
        </w:tc>
        <w:tc>
          <w:tcPr>
            <w:tcW w:w="216" w:type="pct"/>
            <w:shd w:val="clear" w:color="auto" w:fill="auto"/>
            <w:noWrap/>
            <w:hideMark/>
          </w:tcPr>
          <w:p w14:paraId="500DDDA3" w14:textId="5FD67D08"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G</w:t>
            </w:r>
            <w:r w:rsidR="00161732" w:rsidRPr="00192CF1">
              <w:rPr>
                <w:rFonts w:ascii="Book Antiqua" w:eastAsia="Times New Roman" w:hAnsi="Book Antiqua"/>
                <w:b/>
                <w:bCs/>
                <w:sz w:val="24"/>
                <w:szCs w:val="24"/>
                <w:lang w:val="en-US"/>
              </w:rPr>
              <w:t>as</w:t>
            </w:r>
          </w:p>
        </w:tc>
        <w:tc>
          <w:tcPr>
            <w:tcW w:w="431" w:type="pct"/>
            <w:shd w:val="clear" w:color="auto" w:fill="auto"/>
            <w:noWrap/>
            <w:hideMark/>
          </w:tcPr>
          <w:p w14:paraId="3EFC9107" w14:textId="47900D5E"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G</w:t>
            </w:r>
            <w:r w:rsidR="00A35660" w:rsidRPr="00192CF1">
              <w:rPr>
                <w:rFonts w:ascii="Book Antiqua" w:eastAsia="Times New Roman" w:hAnsi="Book Antiqua"/>
                <w:b/>
                <w:bCs/>
                <w:sz w:val="24"/>
                <w:szCs w:val="24"/>
                <w:lang w:val="en-US"/>
              </w:rPr>
              <w:t>as pressure</w:t>
            </w:r>
          </w:p>
        </w:tc>
      </w:tr>
      <w:tr w:rsidR="004647EC" w:rsidRPr="00192CF1" w14:paraId="21305D6D" w14:textId="77777777" w:rsidTr="00650402">
        <w:trPr>
          <w:trHeight w:val="260"/>
        </w:trPr>
        <w:tc>
          <w:tcPr>
            <w:tcW w:w="521" w:type="pct"/>
            <w:shd w:val="clear" w:color="auto" w:fill="auto"/>
            <w:noWrap/>
            <w:hideMark/>
          </w:tcPr>
          <w:p w14:paraId="1A815E72" w14:textId="1FD0523E"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Buckley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L","non-dropping-particle":"","parse-names":false,"suffix":""}],"container-title":"HERNIA","id":"ITEM-1","issue":"5","issued":{"date-parts":[["2016","10"]]},"page":"729-733","publisher":"SPRINGER","publisher-place":"233 SPRING ST, NEW YORK, NY 10013 USA","title":"Influencing factors for port-site hernias after single-incision laparoscopy","type":"article-journal","volume":"20"},"uris":["http://www.mendeley.com/documents/?uuid=94881e51-2f96-4dc5-b29b-9d44b7d53ce8"]}],"mendeley":{"formattedCitation":"&lt;sup&gt;[30]&lt;/sup&gt;","plainTextFormattedCitation":"[30]","previouslyFormattedCitation":"&lt;sup&gt;[30]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[30]</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70110EA8"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14:paraId="596C3BA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14:paraId="2839D3A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w:t>
            </w:r>
          </w:p>
        </w:tc>
        <w:tc>
          <w:tcPr>
            <w:tcW w:w="695" w:type="pct"/>
            <w:shd w:val="clear" w:color="auto" w:fill="auto"/>
            <w:noWrap/>
            <w:hideMark/>
          </w:tcPr>
          <w:p w14:paraId="4D7A9BC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67" w:type="pct"/>
            <w:shd w:val="clear" w:color="auto" w:fill="auto"/>
            <w:noWrap/>
            <w:hideMark/>
          </w:tcPr>
          <w:p w14:paraId="73B69B1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14:paraId="3F67FED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14:paraId="13A78CB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14:paraId="1DCF0F5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2B8B7C6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45C17878" w14:textId="77777777" w:rsidTr="00650402">
        <w:trPr>
          <w:trHeight w:val="500"/>
        </w:trPr>
        <w:tc>
          <w:tcPr>
            <w:tcW w:w="521" w:type="pct"/>
            <w:shd w:val="clear" w:color="auto" w:fill="auto"/>
            <w:noWrap/>
            <w:hideMark/>
          </w:tcPr>
          <w:p w14:paraId="577CE88D" w14:textId="2EA9CDB4"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eviouslyFormattedCitation":"&lt;sup&gt;[17]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6DF24DC6"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14:paraId="039E9BF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14:paraId="76D32AE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14:paraId="1E20B7C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Pretzel Retractor</w:t>
            </w:r>
          </w:p>
        </w:tc>
        <w:tc>
          <w:tcPr>
            <w:tcW w:w="567" w:type="pct"/>
            <w:shd w:val="clear" w:color="auto" w:fill="auto"/>
            <w:hideMark/>
          </w:tcPr>
          <w:p w14:paraId="6837366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Monopolar or Ultrasonic dissectors</w:t>
            </w:r>
          </w:p>
        </w:tc>
        <w:tc>
          <w:tcPr>
            <w:tcW w:w="292" w:type="pct"/>
            <w:shd w:val="clear" w:color="auto" w:fill="auto"/>
            <w:noWrap/>
            <w:hideMark/>
          </w:tcPr>
          <w:p w14:paraId="292F7AA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hideMark/>
          </w:tcPr>
          <w:p w14:paraId="1D80C244"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Endostich</w:t>
            </w:r>
            <w:proofErr w:type="spellEnd"/>
            <w:r w:rsidRPr="00192CF1">
              <w:rPr>
                <w:rFonts w:ascii="Book Antiqua" w:eastAsia="Times New Roman" w:hAnsi="Book Antiqua"/>
                <w:sz w:val="24"/>
                <w:szCs w:val="24"/>
                <w:lang w:val="en-US"/>
              </w:rPr>
              <w:t>™ or V Lock™</w:t>
            </w:r>
          </w:p>
        </w:tc>
        <w:tc>
          <w:tcPr>
            <w:tcW w:w="216" w:type="pct"/>
            <w:shd w:val="clear" w:color="auto" w:fill="auto"/>
            <w:noWrap/>
            <w:hideMark/>
          </w:tcPr>
          <w:p w14:paraId="6FA978A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53858EB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1DED0448" w14:textId="77777777" w:rsidTr="00650402">
        <w:trPr>
          <w:trHeight w:val="260"/>
        </w:trPr>
        <w:tc>
          <w:tcPr>
            <w:tcW w:w="521" w:type="pct"/>
            <w:shd w:val="clear" w:color="auto" w:fill="auto"/>
            <w:noWrap/>
            <w:hideMark/>
          </w:tcPr>
          <w:p w14:paraId="2A3779F3" w14:textId="5176A88A"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Agaba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mendeley":{"formattedCitation":"&lt;sup&gt;[26]&lt;/sup&gt;","plainTextFormattedCitation":"[26]","previouslyFormattedCitation":"&lt;sup&gt;[26]&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[26]</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483" w:type="pct"/>
            <w:shd w:val="clear" w:color="auto" w:fill="auto"/>
            <w:noWrap/>
            <w:hideMark/>
          </w:tcPr>
          <w:p w14:paraId="2D4E1766"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14:paraId="27E47FC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14:paraId="040668A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14:paraId="04E8CDF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67" w:type="pct"/>
            <w:shd w:val="clear" w:color="auto" w:fill="auto"/>
            <w:noWrap/>
            <w:hideMark/>
          </w:tcPr>
          <w:p w14:paraId="72316E2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14:paraId="6D5B41E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14:paraId="60FB36A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14:paraId="206D278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1692EF2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15mmHg</w:t>
            </w:r>
          </w:p>
        </w:tc>
      </w:tr>
      <w:tr w:rsidR="004647EC" w:rsidRPr="00192CF1" w14:paraId="2BD4DB93" w14:textId="77777777" w:rsidTr="00650402">
        <w:trPr>
          <w:trHeight w:val="260"/>
        </w:trPr>
        <w:tc>
          <w:tcPr>
            <w:tcW w:w="521" w:type="pct"/>
            <w:shd w:val="clear" w:color="auto" w:fill="auto"/>
            <w:noWrap/>
            <w:hideMark/>
          </w:tcPr>
          <w:p w14:paraId="28CA0D95" w14:textId="5B08F931"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Galvani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lt;/sup&gt;","plainTextFormattedCitation":"[24]","previouslyFormattedCitation":"&lt;sup&gt;[24]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[24]</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6A77D548"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14:paraId="123E284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92" w:type="pct"/>
            <w:shd w:val="clear" w:color="auto" w:fill="auto"/>
            <w:noWrap/>
            <w:hideMark/>
          </w:tcPr>
          <w:p w14:paraId="759C5F6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14:paraId="0B048E9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CINCH™ retractor</w:t>
            </w:r>
          </w:p>
        </w:tc>
        <w:tc>
          <w:tcPr>
            <w:tcW w:w="567" w:type="pct"/>
            <w:shd w:val="clear" w:color="auto" w:fill="auto"/>
            <w:noWrap/>
            <w:hideMark/>
          </w:tcPr>
          <w:p w14:paraId="48DF1C1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14:paraId="32453AA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14:paraId="24E8F20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14:paraId="17993DE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6CE86E1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300853C7" w14:textId="77777777" w:rsidTr="00650402">
        <w:trPr>
          <w:trHeight w:val="260"/>
        </w:trPr>
        <w:tc>
          <w:tcPr>
            <w:tcW w:w="521" w:type="pct"/>
            <w:shd w:val="clear" w:color="auto" w:fill="auto"/>
            <w:noWrap/>
            <w:hideMark/>
          </w:tcPr>
          <w:p w14:paraId="1FF86142" w14:textId="56253F43"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16B7E610"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14:paraId="2801B96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 trocars in a single incision</w:t>
            </w:r>
          </w:p>
        </w:tc>
        <w:tc>
          <w:tcPr>
            <w:tcW w:w="592" w:type="pct"/>
            <w:shd w:val="clear" w:color="auto" w:fill="auto"/>
            <w:noWrap/>
            <w:hideMark/>
          </w:tcPr>
          <w:p w14:paraId="6533344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w:t>
            </w:r>
          </w:p>
        </w:tc>
        <w:tc>
          <w:tcPr>
            <w:tcW w:w="695" w:type="pct"/>
            <w:shd w:val="clear" w:color="auto" w:fill="auto"/>
            <w:noWrap/>
            <w:hideMark/>
          </w:tcPr>
          <w:p w14:paraId="7868A18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Cyanoacrylate glue</w:t>
            </w:r>
          </w:p>
        </w:tc>
        <w:tc>
          <w:tcPr>
            <w:tcW w:w="567" w:type="pct"/>
            <w:shd w:val="clear" w:color="auto" w:fill="auto"/>
            <w:noWrap/>
            <w:hideMark/>
          </w:tcPr>
          <w:p w14:paraId="6109211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Harmonic™</w:t>
            </w:r>
          </w:p>
        </w:tc>
        <w:tc>
          <w:tcPr>
            <w:tcW w:w="292" w:type="pct"/>
            <w:shd w:val="clear" w:color="auto" w:fill="auto"/>
            <w:noWrap/>
            <w:hideMark/>
          </w:tcPr>
          <w:p w14:paraId="36483F8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14:paraId="0CBB2B9E"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Intracorporeal</w:t>
            </w:r>
            <w:proofErr w:type="spellEnd"/>
          </w:p>
        </w:tc>
        <w:tc>
          <w:tcPr>
            <w:tcW w:w="216" w:type="pct"/>
            <w:shd w:val="clear" w:color="auto" w:fill="auto"/>
            <w:noWrap/>
            <w:hideMark/>
          </w:tcPr>
          <w:p w14:paraId="0384F7A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1F1CD44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35901FF4" w14:textId="77777777" w:rsidTr="00650402">
        <w:trPr>
          <w:trHeight w:val="260"/>
        </w:trPr>
        <w:tc>
          <w:tcPr>
            <w:tcW w:w="521" w:type="pct"/>
            <w:shd w:val="clear" w:color="auto" w:fill="auto"/>
            <w:noWrap/>
            <w:hideMark/>
          </w:tcPr>
          <w:p w14:paraId="4A82C4AC" w14:textId="7ADEA551"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Strzalka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chirurgiczny","id":"ITEM-1","issue":"2","issued":{"date-parts":[["2013","2"]]},"language":"eng","page":"73-77","publisher-place":"Poland","title":"Application of the single access technique in laparoscopic surgery.","type":"article-journal","volume":"85"},"uris":["http://www.mendeley.com/documents/?uuid=f8c6e7b5-682a-48da-9065-b921584683d9"]}],"mendeley":{"formattedCitation":"&lt;sup&gt;[31]&lt;/sup&gt;","plainTextFormattedCitation":"[31]","previouslyFormattedCitation":"&lt;sup&gt;[31]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[31]</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15BFC9FC"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14:paraId="79B497A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92" w:type="pct"/>
            <w:shd w:val="clear" w:color="auto" w:fill="auto"/>
            <w:noWrap/>
            <w:hideMark/>
          </w:tcPr>
          <w:p w14:paraId="202B742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14:paraId="3E12FD5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67" w:type="pct"/>
            <w:shd w:val="clear" w:color="auto" w:fill="auto"/>
            <w:noWrap/>
            <w:hideMark/>
          </w:tcPr>
          <w:p w14:paraId="798CD26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14:paraId="2A70D2A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14:paraId="454DEF5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14:paraId="59E2B51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6949215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0325A1F9" w14:textId="77777777" w:rsidTr="00650402">
        <w:trPr>
          <w:trHeight w:val="260"/>
        </w:trPr>
        <w:tc>
          <w:tcPr>
            <w:tcW w:w="521" w:type="pct"/>
            <w:shd w:val="clear" w:color="auto" w:fill="auto"/>
            <w:noWrap/>
            <w:hideMark/>
          </w:tcPr>
          <w:p w14:paraId="7526B352" w14:textId="1F33979A"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Yilmaz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[22]</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68BA4F44"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14:paraId="4E7FD4E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14:paraId="191826D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w:t>
            </w:r>
          </w:p>
        </w:tc>
        <w:tc>
          <w:tcPr>
            <w:tcW w:w="695" w:type="pct"/>
            <w:shd w:val="clear" w:color="auto" w:fill="auto"/>
            <w:noWrap/>
            <w:hideMark/>
          </w:tcPr>
          <w:p w14:paraId="4E960BE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Berk technique</w:t>
            </w:r>
          </w:p>
        </w:tc>
        <w:tc>
          <w:tcPr>
            <w:tcW w:w="567" w:type="pct"/>
            <w:shd w:val="clear" w:color="auto" w:fill="auto"/>
            <w:noWrap/>
            <w:hideMark/>
          </w:tcPr>
          <w:p w14:paraId="6D53469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Harmonic™</w:t>
            </w:r>
          </w:p>
        </w:tc>
        <w:tc>
          <w:tcPr>
            <w:tcW w:w="292" w:type="pct"/>
            <w:shd w:val="clear" w:color="auto" w:fill="auto"/>
            <w:noWrap/>
            <w:hideMark/>
          </w:tcPr>
          <w:p w14:paraId="2EC7754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32Fr</w:t>
            </w:r>
          </w:p>
        </w:tc>
        <w:tc>
          <w:tcPr>
            <w:tcW w:w="385" w:type="pct"/>
            <w:shd w:val="clear" w:color="auto" w:fill="auto"/>
            <w:noWrap/>
            <w:hideMark/>
          </w:tcPr>
          <w:p w14:paraId="34EC0D9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Extracorporeal</w:t>
            </w:r>
          </w:p>
        </w:tc>
        <w:tc>
          <w:tcPr>
            <w:tcW w:w="216" w:type="pct"/>
            <w:shd w:val="clear" w:color="auto" w:fill="auto"/>
            <w:noWrap/>
            <w:hideMark/>
          </w:tcPr>
          <w:p w14:paraId="5ED18AE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CO2</w:t>
            </w:r>
          </w:p>
        </w:tc>
        <w:tc>
          <w:tcPr>
            <w:tcW w:w="431" w:type="pct"/>
            <w:shd w:val="clear" w:color="auto" w:fill="auto"/>
            <w:noWrap/>
            <w:hideMark/>
          </w:tcPr>
          <w:p w14:paraId="27C9C8B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13mmHg</w:t>
            </w:r>
          </w:p>
        </w:tc>
      </w:tr>
      <w:tr w:rsidR="004647EC" w:rsidRPr="00192CF1" w14:paraId="62288869" w14:textId="77777777" w:rsidTr="00650402">
        <w:trPr>
          <w:trHeight w:val="560"/>
        </w:trPr>
        <w:tc>
          <w:tcPr>
            <w:tcW w:w="521" w:type="pct"/>
            <w:shd w:val="clear" w:color="auto" w:fill="auto"/>
            <w:noWrap/>
            <w:hideMark/>
          </w:tcPr>
          <w:p w14:paraId="55C3753E" w14:textId="0AB90053"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Eyuboglu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TECHNIQUES","id":"ITEM-1","issue":"2","issued":{"date-parts":[["2012","3"]]},"language":"eng","note":"From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mendeley":{"formattedCitation":"&lt;sup&gt;[20]&lt;/sup&gt;","plainTextFormattedCitation":"[20]","previouslyFormattedCitation":"&lt;sup&gt;[20]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[20]</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4675B6AC"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hideMark/>
          </w:tcPr>
          <w:p w14:paraId="2CEDCB9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 trocars in a single incision or SILS™</w:t>
            </w:r>
          </w:p>
        </w:tc>
        <w:tc>
          <w:tcPr>
            <w:tcW w:w="592" w:type="pct"/>
            <w:shd w:val="clear" w:color="auto" w:fill="auto"/>
            <w:noWrap/>
            <w:hideMark/>
          </w:tcPr>
          <w:p w14:paraId="39A810E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hideMark/>
          </w:tcPr>
          <w:p w14:paraId="7F9E79B0"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Cerrahpasa</w:t>
            </w:r>
            <w:proofErr w:type="spellEnd"/>
            <w:r w:rsidRPr="00192CF1">
              <w:rPr>
                <w:rFonts w:ascii="Book Antiqua" w:eastAsia="Times New Roman" w:hAnsi="Book Antiqua"/>
                <w:sz w:val="24"/>
                <w:szCs w:val="24"/>
                <w:lang w:val="en-US"/>
              </w:rPr>
              <w:t xml:space="preserve"> retractor</w:t>
            </w:r>
          </w:p>
        </w:tc>
        <w:tc>
          <w:tcPr>
            <w:tcW w:w="567" w:type="pct"/>
            <w:shd w:val="clear" w:color="auto" w:fill="auto"/>
            <w:noWrap/>
            <w:hideMark/>
          </w:tcPr>
          <w:p w14:paraId="7DAF3F1C"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Ligasure</w:t>
            </w:r>
            <w:proofErr w:type="spellEnd"/>
            <w:r w:rsidRPr="00192CF1">
              <w:rPr>
                <w:rFonts w:ascii="Book Antiqua" w:eastAsia="Times New Roman" w:hAnsi="Book Antiqua"/>
                <w:sz w:val="24"/>
                <w:szCs w:val="24"/>
                <w:lang w:val="en-US"/>
              </w:rPr>
              <w:t>™ or Monopolar</w:t>
            </w:r>
          </w:p>
        </w:tc>
        <w:tc>
          <w:tcPr>
            <w:tcW w:w="292" w:type="pct"/>
            <w:shd w:val="clear" w:color="auto" w:fill="auto"/>
            <w:noWrap/>
            <w:hideMark/>
          </w:tcPr>
          <w:p w14:paraId="4714FDD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14:paraId="0B5B3E3C"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Endostich</w:t>
            </w:r>
            <w:proofErr w:type="spellEnd"/>
            <w:r w:rsidRPr="00192CF1">
              <w:rPr>
                <w:rFonts w:ascii="Book Antiqua" w:eastAsia="Times New Roman" w:hAnsi="Book Antiqua"/>
                <w:sz w:val="24"/>
                <w:szCs w:val="24"/>
                <w:lang w:val="en-US"/>
              </w:rPr>
              <w:t>™</w:t>
            </w:r>
          </w:p>
        </w:tc>
        <w:tc>
          <w:tcPr>
            <w:tcW w:w="216" w:type="pct"/>
            <w:shd w:val="clear" w:color="auto" w:fill="auto"/>
            <w:noWrap/>
            <w:hideMark/>
          </w:tcPr>
          <w:p w14:paraId="466F337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3315B0B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274421D3" w14:textId="77777777" w:rsidTr="00650402">
        <w:trPr>
          <w:trHeight w:val="560"/>
        </w:trPr>
        <w:tc>
          <w:tcPr>
            <w:tcW w:w="521" w:type="pct"/>
            <w:shd w:val="clear" w:color="auto" w:fill="auto"/>
            <w:noWrap/>
            <w:hideMark/>
          </w:tcPr>
          <w:p w14:paraId="480605A0" w14:textId="3099B390"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Miyazaki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techniques","id":"ITEM-1","issue":"3","issued":{"date-parts":[["2012","6"]]},"language":"eng","page":"e118-21","publisher-place":"United States","title":"Single-port laparoscopic surgery of the distal esophagus: initial clinical experience.","type":"article-journal","volume":"22"},"uris":["http://www.mendeley.com/documents/?uuid=5c9b5627-6b69-4214-980f-6e7e266becb2"]}],"mendeley":{"formattedCitation":"&lt;sup&gt;[19]&lt;/sup&gt;","plainTextFormattedCitation":"[19]","previouslyFormattedCitation":"&lt;sup&gt;[19]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[19]</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483" w:type="pct"/>
            <w:shd w:val="clear" w:color="auto" w:fill="auto"/>
            <w:noWrap/>
            <w:hideMark/>
          </w:tcPr>
          <w:p w14:paraId="2A12B107"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hideMark/>
          </w:tcPr>
          <w:p w14:paraId="2A1E349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 trocars in a single incision or SILS™ or X-CONE™</w:t>
            </w:r>
          </w:p>
        </w:tc>
        <w:tc>
          <w:tcPr>
            <w:tcW w:w="592" w:type="pct"/>
            <w:shd w:val="clear" w:color="auto" w:fill="auto"/>
            <w:noWrap/>
            <w:hideMark/>
          </w:tcPr>
          <w:p w14:paraId="63D4063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14:paraId="57FEDD1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Loop Retractor</w:t>
            </w:r>
          </w:p>
        </w:tc>
        <w:tc>
          <w:tcPr>
            <w:tcW w:w="567" w:type="pct"/>
            <w:shd w:val="clear" w:color="auto" w:fill="auto"/>
            <w:noWrap/>
            <w:hideMark/>
          </w:tcPr>
          <w:p w14:paraId="6773CFC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14:paraId="60F6259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14:paraId="5E0DAD3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14:paraId="4DBBAF4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3440713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5484CCCF" w14:textId="77777777" w:rsidTr="00650402">
        <w:trPr>
          <w:trHeight w:val="260"/>
        </w:trPr>
        <w:tc>
          <w:tcPr>
            <w:tcW w:w="521" w:type="pct"/>
            <w:shd w:val="clear" w:color="auto" w:fill="auto"/>
            <w:noWrap/>
            <w:hideMark/>
          </w:tcPr>
          <w:p w14:paraId="7BD26321" w14:textId="4207E77A"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Mizuno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today","id":"ITEM-1","issue":"6","issued":{"date-parts":[["2012","6"]]},"language":"eng","page":"601-604","publisher-place":"Japan","title":"Early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mendeley":{"formattedCitation":"&lt;sup&gt;[21]&lt;/sup&gt;","plainTextFormattedCitation":"[21]","previouslyFormattedCitation":"&lt;sup&gt;[21]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[21]</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w:t>
            </w:r>
          </w:p>
        </w:tc>
        <w:tc>
          <w:tcPr>
            <w:tcW w:w="483" w:type="pct"/>
            <w:shd w:val="clear" w:color="auto" w:fill="auto"/>
            <w:noWrap/>
            <w:hideMark/>
          </w:tcPr>
          <w:p w14:paraId="5131F421"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14:paraId="046F7BA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14:paraId="43E81541" w14:textId="0DB13BF2"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ProSeed</w:t>
            </w:r>
            <w:proofErr w:type="spellEnd"/>
            <w:r w:rsidRPr="00192CF1">
              <w:rPr>
                <w:rFonts w:ascii="Book Antiqua" w:eastAsia="Times New Roman" w:hAnsi="Book Antiqua"/>
                <w:sz w:val="24"/>
                <w:szCs w:val="24"/>
                <w:lang w:val="en-US"/>
              </w:rPr>
              <w:t xml:space="preserve">™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Conventional</w:t>
            </w:r>
          </w:p>
        </w:tc>
        <w:tc>
          <w:tcPr>
            <w:tcW w:w="695" w:type="pct"/>
            <w:shd w:val="clear" w:color="auto" w:fill="auto"/>
            <w:noWrap/>
            <w:hideMark/>
          </w:tcPr>
          <w:p w14:paraId="3984390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Loop Retractor</w:t>
            </w:r>
          </w:p>
        </w:tc>
        <w:tc>
          <w:tcPr>
            <w:tcW w:w="567" w:type="pct"/>
            <w:shd w:val="clear" w:color="auto" w:fill="auto"/>
            <w:noWrap/>
            <w:hideMark/>
          </w:tcPr>
          <w:p w14:paraId="208D8AC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14:paraId="7111D31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14:paraId="53DB777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14:paraId="2583CC5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CO2</w:t>
            </w:r>
          </w:p>
        </w:tc>
        <w:tc>
          <w:tcPr>
            <w:tcW w:w="431" w:type="pct"/>
            <w:shd w:val="clear" w:color="auto" w:fill="auto"/>
            <w:noWrap/>
            <w:hideMark/>
          </w:tcPr>
          <w:p w14:paraId="4C437FA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8mmHg</w:t>
            </w:r>
          </w:p>
        </w:tc>
      </w:tr>
      <w:tr w:rsidR="004647EC" w:rsidRPr="00192CF1" w14:paraId="30B389F8" w14:textId="77777777" w:rsidTr="00650402">
        <w:trPr>
          <w:trHeight w:val="260"/>
        </w:trPr>
        <w:tc>
          <w:tcPr>
            <w:tcW w:w="521" w:type="pct"/>
            <w:shd w:val="clear" w:color="auto" w:fill="auto"/>
            <w:noWrap/>
            <w:hideMark/>
          </w:tcPr>
          <w:p w14:paraId="05B2024F" w14:textId="1C4D22A3"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Barbaros</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gastroenterology","id":"ITEM-1","issued":{"date-parts":[["2011"]]},"language":"eng","page":"347487","publisher-place":"Egypt","title":"Pure SILS Floppy Nissen Fundoplication with Hiatal Repair: A Case Report.","type":"article-journal","volume":"2011"},"uris":["http://www.mendeley.com/documents/?uuid=bb1b6c22-cb01-419a-8aa1-ecc2590e20fb"]}],"mendeley":{"formattedCitation":"&lt;sup&gt;[18]&lt;/sup&gt;","plainTextFormattedCitation":"[18]","previouslyFormattedCitation":"&lt;sup&gt;[18]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[18]</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190F53C3"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14:paraId="7C0D291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14:paraId="1FEF5677"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Roticulating</w:t>
            </w:r>
            <w:proofErr w:type="spellEnd"/>
          </w:p>
        </w:tc>
        <w:tc>
          <w:tcPr>
            <w:tcW w:w="695" w:type="pct"/>
            <w:shd w:val="clear" w:color="auto" w:fill="auto"/>
            <w:noWrap/>
            <w:hideMark/>
          </w:tcPr>
          <w:p w14:paraId="3BD4E2B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Snowden </w:t>
            </w:r>
            <w:proofErr w:type="spellStart"/>
            <w:r w:rsidRPr="00192CF1">
              <w:rPr>
                <w:rFonts w:ascii="Book Antiqua" w:eastAsia="Times New Roman" w:hAnsi="Book Antiqua"/>
                <w:sz w:val="24"/>
                <w:szCs w:val="24"/>
                <w:lang w:val="en-US"/>
              </w:rPr>
              <w:t>Pencer</w:t>
            </w:r>
            <w:proofErr w:type="spellEnd"/>
            <w:r w:rsidRPr="00192CF1">
              <w:rPr>
                <w:rFonts w:ascii="Book Antiqua" w:eastAsia="Times New Roman" w:hAnsi="Book Antiqua"/>
                <w:sz w:val="24"/>
                <w:szCs w:val="24"/>
                <w:lang w:val="en-US"/>
              </w:rPr>
              <w:t>™</w:t>
            </w:r>
          </w:p>
        </w:tc>
        <w:tc>
          <w:tcPr>
            <w:tcW w:w="567" w:type="pct"/>
            <w:shd w:val="clear" w:color="auto" w:fill="auto"/>
            <w:noWrap/>
            <w:hideMark/>
          </w:tcPr>
          <w:p w14:paraId="710AEF0E"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Ligasure</w:t>
            </w:r>
            <w:proofErr w:type="spellEnd"/>
            <w:r w:rsidRPr="00192CF1">
              <w:rPr>
                <w:rFonts w:ascii="Book Antiqua" w:eastAsia="Times New Roman" w:hAnsi="Book Antiqua"/>
                <w:sz w:val="24"/>
                <w:szCs w:val="24"/>
                <w:lang w:val="en-US"/>
              </w:rPr>
              <w:t>™</w:t>
            </w:r>
          </w:p>
        </w:tc>
        <w:tc>
          <w:tcPr>
            <w:tcW w:w="292" w:type="pct"/>
            <w:shd w:val="clear" w:color="auto" w:fill="auto"/>
            <w:noWrap/>
            <w:hideMark/>
          </w:tcPr>
          <w:p w14:paraId="4B81E51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14:paraId="513EB10B"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Endostich</w:t>
            </w:r>
            <w:proofErr w:type="spellEnd"/>
            <w:r w:rsidRPr="00192CF1">
              <w:rPr>
                <w:rFonts w:ascii="Book Antiqua" w:eastAsia="Times New Roman" w:hAnsi="Book Antiqua"/>
                <w:sz w:val="24"/>
                <w:szCs w:val="24"/>
                <w:lang w:val="en-US"/>
              </w:rPr>
              <w:t>™</w:t>
            </w:r>
          </w:p>
        </w:tc>
        <w:tc>
          <w:tcPr>
            <w:tcW w:w="216" w:type="pct"/>
            <w:shd w:val="clear" w:color="auto" w:fill="auto"/>
            <w:noWrap/>
            <w:hideMark/>
          </w:tcPr>
          <w:p w14:paraId="6D1ADF5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3AF6FF7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14mmHg</w:t>
            </w:r>
          </w:p>
        </w:tc>
      </w:tr>
      <w:tr w:rsidR="004647EC" w:rsidRPr="00192CF1" w14:paraId="0C0FC2BF" w14:textId="77777777" w:rsidTr="00650402">
        <w:trPr>
          <w:trHeight w:val="260"/>
        </w:trPr>
        <w:tc>
          <w:tcPr>
            <w:tcW w:w="521" w:type="pct"/>
            <w:shd w:val="clear" w:color="auto" w:fill="auto"/>
            <w:noWrap/>
            <w:hideMark/>
          </w:tcPr>
          <w:p w14:paraId="72C0ADBB" w14:textId="0477D9AE"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Dapri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64D5D970"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14:paraId="7B039D4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 trocars in a single incision</w:t>
            </w:r>
          </w:p>
        </w:tc>
        <w:tc>
          <w:tcPr>
            <w:tcW w:w="592" w:type="pct"/>
            <w:shd w:val="clear" w:color="auto" w:fill="auto"/>
            <w:noWrap/>
            <w:hideMark/>
          </w:tcPr>
          <w:p w14:paraId="54B60689"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Dapri</w:t>
            </w:r>
            <w:proofErr w:type="spellEnd"/>
            <w:r w:rsidRPr="00192CF1">
              <w:rPr>
                <w:rFonts w:ascii="Book Antiqua" w:eastAsia="Times New Roman" w:hAnsi="Book Antiqua"/>
                <w:sz w:val="24"/>
                <w:szCs w:val="24"/>
                <w:lang w:val="en-US"/>
              </w:rPr>
              <w:t>™ Karl Storz</w:t>
            </w:r>
          </w:p>
        </w:tc>
        <w:tc>
          <w:tcPr>
            <w:tcW w:w="695" w:type="pct"/>
            <w:shd w:val="clear" w:color="auto" w:fill="auto"/>
            <w:noWrap/>
            <w:hideMark/>
          </w:tcPr>
          <w:p w14:paraId="662589E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Grasper</w:t>
            </w:r>
          </w:p>
        </w:tc>
        <w:tc>
          <w:tcPr>
            <w:tcW w:w="567" w:type="pct"/>
            <w:shd w:val="clear" w:color="auto" w:fill="auto"/>
            <w:noWrap/>
            <w:hideMark/>
          </w:tcPr>
          <w:p w14:paraId="4928AF2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14:paraId="38D50AA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34Fr</w:t>
            </w:r>
          </w:p>
        </w:tc>
        <w:tc>
          <w:tcPr>
            <w:tcW w:w="385" w:type="pct"/>
            <w:shd w:val="clear" w:color="auto" w:fill="auto"/>
            <w:noWrap/>
            <w:hideMark/>
          </w:tcPr>
          <w:p w14:paraId="60071A3C"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Intracorporeal</w:t>
            </w:r>
            <w:proofErr w:type="spellEnd"/>
          </w:p>
        </w:tc>
        <w:tc>
          <w:tcPr>
            <w:tcW w:w="216" w:type="pct"/>
            <w:shd w:val="clear" w:color="auto" w:fill="auto"/>
            <w:noWrap/>
            <w:hideMark/>
          </w:tcPr>
          <w:p w14:paraId="0B86610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3D449B8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2F22506A" w14:textId="77777777" w:rsidTr="00650402">
        <w:trPr>
          <w:trHeight w:val="260"/>
        </w:trPr>
        <w:tc>
          <w:tcPr>
            <w:tcW w:w="521" w:type="pct"/>
            <w:shd w:val="clear" w:color="auto" w:fill="auto"/>
            <w:noWrap/>
            <w:hideMark/>
          </w:tcPr>
          <w:p w14:paraId="53AEC30C" w14:textId="208A629C"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Hawasli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727D7CE5"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14:paraId="532D5FB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Conventional trocars </w:t>
            </w:r>
            <w:r w:rsidRPr="00192CF1">
              <w:rPr>
                <w:rFonts w:ascii="Book Antiqua" w:eastAsia="Times New Roman" w:hAnsi="Book Antiqua"/>
                <w:sz w:val="24"/>
                <w:szCs w:val="24"/>
                <w:lang w:val="en-US"/>
              </w:rPr>
              <w:lastRenderedPageBreak/>
              <w:t>in a single incision</w:t>
            </w:r>
          </w:p>
        </w:tc>
        <w:tc>
          <w:tcPr>
            <w:tcW w:w="592" w:type="pct"/>
            <w:shd w:val="clear" w:color="auto" w:fill="auto"/>
            <w:noWrap/>
            <w:hideMark/>
          </w:tcPr>
          <w:p w14:paraId="0EBDD982"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lastRenderedPageBreak/>
              <w:t>Roticulating</w:t>
            </w:r>
            <w:proofErr w:type="spellEnd"/>
          </w:p>
        </w:tc>
        <w:tc>
          <w:tcPr>
            <w:tcW w:w="695" w:type="pct"/>
            <w:shd w:val="clear" w:color="auto" w:fill="auto"/>
            <w:noWrap/>
            <w:hideMark/>
          </w:tcPr>
          <w:p w14:paraId="244E0487"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Veress</w:t>
            </w:r>
            <w:proofErr w:type="spellEnd"/>
          </w:p>
        </w:tc>
        <w:tc>
          <w:tcPr>
            <w:tcW w:w="567" w:type="pct"/>
            <w:shd w:val="clear" w:color="auto" w:fill="auto"/>
            <w:noWrap/>
            <w:hideMark/>
          </w:tcPr>
          <w:p w14:paraId="601080A3"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Sono-surg</w:t>
            </w:r>
            <w:proofErr w:type="spellEnd"/>
            <w:r w:rsidRPr="00192CF1">
              <w:rPr>
                <w:rFonts w:ascii="Book Antiqua" w:eastAsia="Times New Roman" w:hAnsi="Book Antiqua"/>
                <w:sz w:val="24"/>
                <w:szCs w:val="24"/>
                <w:lang w:val="en-US"/>
              </w:rPr>
              <w:t>™</w:t>
            </w:r>
          </w:p>
        </w:tc>
        <w:tc>
          <w:tcPr>
            <w:tcW w:w="292" w:type="pct"/>
            <w:shd w:val="clear" w:color="auto" w:fill="auto"/>
            <w:noWrap/>
            <w:hideMark/>
          </w:tcPr>
          <w:p w14:paraId="7423E5F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60</w:t>
            </w:r>
            <w:r w:rsidRPr="00192CF1">
              <w:rPr>
                <w:rFonts w:ascii="Book Antiqua" w:eastAsia="Times New Roman" w:hAnsi="Book Antiqua"/>
                <w:sz w:val="24"/>
                <w:szCs w:val="24"/>
                <w:lang w:val="en-US"/>
              </w:rPr>
              <w:lastRenderedPageBreak/>
              <w:t>FR</w:t>
            </w:r>
          </w:p>
        </w:tc>
        <w:tc>
          <w:tcPr>
            <w:tcW w:w="385" w:type="pct"/>
            <w:shd w:val="clear" w:color="auto" w:fill="auto"/>
            <w:noWrap/>
            <w:hideMark/>
          </w:tcPr>
          <w:p w14:paraId="203B6059"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lastRenderedPageBreak/>
              <w:t>Endosti</w:t>
            </w:r>
            <w:r w:rsidRPr="00192CF1">
              <w:rPr>
                <w:rFonts w:ascii="Book Antiqua" w:eastAsia="Times New Roman" w:hAnsi="Book Antiqua"/>
                <w:sz w:val="24"/>
                <w:szCs w:val="24"/>
                <w:lang w:val="en-US"/>
              </w:rPr>
              <w:lastRenderedPageBreak/>
              <w:t>ch</w:t>
            </w:r>
            <w:proofErr w:type="spellEnd"/>
            <w:r w:rsidRPr="00192CF1">
              <w:rPr>
                <w:rFonts w:ascii="Book Antiqua" w:eastAsia="Times New Roman" w:hAnsi="Book Antiqua"/>
                <w:sz w:val="24"/>
                <w:szCs w:val="24"/>
                <w:lang w:val="en-US"/>
              </w:rPr>
              <w:t>™</w:t>
            </w:r>
          </w:p>
        </w:tc>
        <w:tc>
          <w:tcPr>
            <w:tcW w:w="216" w:type="pct"/>
            <w:shd w:val="clear" w:color="auto" w:fill="auto"/>
            <w:noWrap/>
            <w:hideMark/>
          </w:tcPr>
          <w:p w14:paraId="20EC01C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CO2</w:t>
            </w:r>
          </w:p>
        </w:tc>
        <w:tc>
          <w:tcPr>
            <w:tcW w:w="431" w:type="pct"/>
            <w:shd w:val="clear" w:color="auto" w:fill="auto"/>
            <w:noWrap/>
            <w:hideMark/>
          </w:tcPr>
          <w:p w14:paraId="190D527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15m</w:t>
            </w:r>
            <w:r w:rsidRPr="00192CF1">
              <w:rPr>
                <w:rFonts w:ascii="Book Antiqua" w:eastAsia="Times New Roman" w:hAnsi="Book Antiqua"/>
                <w:sz w:val="24"/>
                <w:szCs w:val="24"/>
                <w:lang w:val="en-US"/>
              </w:rPr>
              <w:lastRenderedPageBreak/>
              <w:t>mHg</w:t>
            </w:r>
          </w:p>
        </w:tc>
      </w:tr>
      <w:tr w:rsidR="004647EC" w:rsidRPr="00192CF1" w14:paraId="244A9330" w14:textId="77777777" w:rsidTr="00650402">
        <w:trPr>
          <w:trHeight w:val="260"/>
        </w:trPr>
        <w:tc>
          <w:tcPr>
            <w:tcW w:w="521" w:type="pct"/>
            <w:shd w:val="clear" w:color="auto" w:fill="auto"/>
            <w:noWrap/>
            <w:hideMark/>
          </w:tcPr>
          <w:p w14:paraId="5273C587" w14:textId="27887515"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lastRenderedPageBreak/>
              <w:t>Hamzaoglu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3E6DAFC6"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14:paraId="10FD0FB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14:paraId="57503EE3"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Roticulating</w:t>
            </w:r>
            <w:proofErr w:type="spellEnd"/>
          </w:p>
        </w:tc>
        <w:tc>
          <w:tcPr>
            <w:tcW w:w="695" w:type="pct"/>
            <w:shd w:val="clear" w:color="auto" w:fill="auto"/>
            <w:noWrap/>
            <w:hideMark/>
          </w:tcPr>
          <w:p w14:paraId="3C8963C8"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Instanbul</w:t>
            </w:r>
            <w:proofErr w:type="spellEnd"/>
            <w:r w:rsidRPr="00192CF1">
              <w:rPr>
                <w:rFonts w:ascii="Book Antiqua" w:eastAsia="Times New Roman" w:hAnsi="Book Antiqua"/>
                <w:sz w:val="24"/>
                <w:szCs w:val="24"/>
                <w:lang w:val="en-US"/>
              </w:rPr>
              <w:t xml:space="preserve"> Technique</w:t>
            </w:r>
          </w:p>
        </w:tc>
        <w:tc>
          <w:tcPr>
            <w:tcW w:w="567" w:type="pct"/>
            <w:shd w:val="clear" w:color="auto" w:fill="auto"/>
            <w:noWrap/>
            <w:hideMark/>
          </w:tcPr>
          <w:p w14:paraId="7DC5B6E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Harmonic™</w:t>
            </w:r>
          </w:p>
        </w:tc>
        <w:tc>
          <w:tcPr>
            <w:tcW w:w="292" w:type="pct"/>
            <w:shd w:val="clear" w:color="auto" w:fill="auto"/>
            <w:noWrap/>
            <w:hideMark/>
          </w:tcPr>
          <w:p w14:paraId="2506FEE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no</w:t>
            </w:r>
          </w:p>
        </w:tc>
        <w:tc>
          <w:tcPr>
            <w:tcW w:w="385" w:type="pct"/>
            <w:shd w:val="clear" w:color="auto" w:fill="auto"/>
            <w:noWrap/>
            <w:hideMark/>
          </w:tcPr>
          <w:p w14:paraId="186CEFD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 STICH</w:t>
            </w:r>
          </w:p>
        </w:tc>
        <w:tc>
          <w:tcPr>
            <w:tcW w:w="216" w:type="pct"/>
            <w:shd w:val="clear" w:color="auto" w:fill="auto"/>
            <w:noWrap/>
            <w:hideMark/>
          </w:tcPr>
          <w:p w14:paraId="263A708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2AFC18A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2474E6B6" w14:textId="77777777" w:rsidTr="00C43966">
        <w:trPr>
          <w:trHeight w:val="260"/>
        </w:trPr>
        <w:tc>
          <w:tcPr>
            <w:tcW w:w="5000" w:type="pct"/>
            <w:gridSpan w:val="10"/>
            <w:shd w:val="clear" w:color="auto" w:fill="auto"/>
            <w:noWrap/>
            <w:hideMark/>
          </w:tcPr>
          <w:p w14:paraId="5BFD6E14"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r>
      <w:tr w:rsidR="004647EC" w:rsidRPr="00192CF1" w14:paraId="75418F30" w14:textId="77777777" w:rsidTr="00650402">
        <w:trPr>
          <w:trHeight w:val="560"/>
        </w:trPr>
        <w:tc>
          <w:tcPr>
            <w:tcW w:w="521" w:type="pct"/>
            <w:shd w:val="clear" w:color="auto" w:fill="auto"/>
            <w:noWrap/>
            <w:hideMark/>
          </w:tcPr>
          <w:p w14:paraId="33C387BE" w14:textId="5F7BF93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Fukuda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6F3B63A1" w14:textId="5CA7EE9F"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818" w:type="pct"/>
            <w:shd w:val="clear" w:color="auto" w:fill="auto"/>
            <w:hideMark/>
          </w:tcPr>
          <w:p w14:paraId="546A0EF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 trocars in a single incision or SILS™ or EZ Access™</w:t>
            </w:r>
          </w:p>
        </w:tc>
        <w:tc>
          <w:tcPr>
            <w:tcW w:w="592" w:type="pct"/>
            <w:shd w:val="clear" w:color="auto" w:fill="auto"/>
            <w:noWrap/>
            <w:hideMark/>
          </w:tcPr>
          <w:p w14:paraId="03CE420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w:t>
            </w:r>
          </w:p>
        </w:tc>
        <w:tc>
          <w:tcPr>
            <w:tcW w:w="695" w:type="pct"/>
            <w:shd w:val="clear" w:color="auto" w:fill="auto"/>
            <w:noWrap/>
            <w:hideMark/>
          </w:tcPr>
          <w:p w14:paraId="1AC8B86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Mini loop Retractor™ or Forceps</w:t>
            </w:r>
          </w:p>
        </w:tc>
        <w:tc>
          <w:tcPr>
            <w:tcW w:w="567" w:type="pct"/>
            <w:shd w:val="clear" w:color="auto" w:fill="auto"/>
            <w:noWrap/>
            <w:hideMark/>
          </w:tcPr>
          <w:p w14:paraId="21570C6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Harmonic™</w:t>
            </w:r>
          </w:p>
        </w:tc>
        <w:tc>
          <w:tcPr>
            <w:tcW w:w="292" w:type="pct"/>
            <w:shd w:val="clear" w:color="auto" w:fill="auto"/>
            <w:noWrap/>
            <w:hideMark/>
          </w:tcPr>
          <w:p w14:paraId="2384969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14:paraId="3092661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14:paraId="7B63598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CO2</w:t>
            </w:r>
          </w:p>
        </w:tc>
        <w:tc>
          <w:tcPr>
            <w:tcW w:w="431" w:type="pct"/>
            <w:shd w:val="clear" w:color="auto" w:fill="auto"/>
            <w:noWrap/>
            <w:hideMark/>
          </w:tcPr>
          <w:p w14:paraId="2D6E230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3377B03E" w14:textId="77777777" w:rsidTr="00650402">
        <w:trPr>
          <w:trHeight w:val="260"/>
        </w:trPr>
        <w:tc>
          <w:tcPr>
            <w:tcW w:w="521" w:type="pct"/>
            <w:shd w:val="clear" w:color="auto" w:fill="auto"/>
            <w:noWrap/>
            <w:hideMark/>
          </w:tcPr>
          <w:p w14:paraId="6F1F1C9F" w14:textId="791AF900"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1799E717" w14:textId="38553E5B"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818" w:type="pct"/>
            <w:shd w:val="clear" w:color="auto" w:fill="auto"/>
            <w:noWrap/>
            <w:hideMark/>
          </w:tcPr>
          <w:p w14:paraId="0643236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 trocars in a single incision</w:t>
            </w:r>
          </w:p>
        </w:tc>
        <w:tc>
          <w:tcPr>
            <w:tcW w:w="592" w:type="pct"/>
            <w:shd w:val="clear" w:color="auto" w:fill="auto"/>
            <w:noWrap/>
            <w:hideMark/>
          </w:tcPr>
          <w:p w14:paraId="58B26CF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w:t>
            </w:r>
          </w:p>
        </w:tc>
        <w:tc>
          <w:tcPr>
            <w:tcW w:w="695" w:type="pct"/>
            <w:shd w:val="clear" w:color="auto" w:fill="auto"/>
            <w:noWrap/>
            <w:hideMark/>
          </w:tcPr>
          <w:p w14:paraId="500B99F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Cyanoacrylate glue</w:t>
            </w:r>
          </w:p>
        </w:tc>
        <w:tc>
          <w:tcPr>
            <w:tcW w:w="567" w:type="pct"/>
            <w:shd w:val="clear" w:color="auto" w:fill="auto"/>
            <w:noWrap/>
            <w:hideMark/>
          </w:tcPr>
          <w:p w14:paraId="681FAA0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Harmonic™</w:t>
            </w:r>
          </w:p>
        </w:tc>
        <w:tc>
          <w:tcPr>
            <w:tcW w:w="292" w:type="pct"/>
            <w:shd w:val="clear" w:color="auto" w:fill="auto"/>
            <w:noWrap/>
            <w:hideMark/>
          </w:tcPr>
          <w:p w14:paraId="21CB631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14:paraId="12A5C6FF"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Intracorporeal</w:t>
            </w:r>
            <w:proofErr w:type="spellEnd"/>
          </w:p>
        </w:tc>
        <w:tc>
          <w:tcPr>
            <w:tcW w:w="216" w:type="pct"/>
            <w:shd w:val="clear" w:color="auto" w:fill="auto"/>
            <w:noWrap/>
            <w:hideMark/>
          </w:tcPr>
          <w:p w14:paraId="7CCFE35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4E51CEC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7C76C77D" w14:textId="77777777" w:rsidTr="00650402">
        <w:trPr>
          <w:trHeight w:val="560"/>
        </w:trPr>
        <w:tc>
          <w:tcPr>
            <w:tcW w:w="521" w:type="pct"/>
            <w:shd w:val="clear" w:color="auto" w:fill="auto"/>
            <w:noWrap/>
            <w:hideMark/>
          </w:tcPr>
          <w:p w14:paraId="11B11A96" w14:textId="22EA27F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Ross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mendeley":{"formattedCitation":"&lt;sup&gt;[32]&lt;/sup&gt;","plainTextFormattedCitation":"[32]","previouslyFormattedCitation":"&lt;sup&gt;[32]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[32]</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52559AB9" w14:textId="4D0F8D0E"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818" w:type="pct"/>
            <w:shd w:val="clear" w:color="auto" w:fill="auto"/>
            <w:hideMark/>
          </w:tcPr>
          <w:p w14:paraId="391D87D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Conventional trocars in a single incision or SILS™ or </w:t>
            </w:r>
            <w:proofErr w:type="spellStart"/>
            <w:r w:rsidRPr="00192CF1">
              <w:rPr>
                <w:rFonts w:ascii="Book Antiqua" w:eastAsia="Times New Roman" w:hAnsi="Book Antiqua"/>
                <w:sz w:val="24"/>
                <w:szCs w:val="24"/>
                <w:lang w:val="en-US"/>
              </w:rPr>
              <w:t>Triport</w:t>
            </w:r>
            <w:proofErr w:type="spellEnd"/>
            <w:r w:rsidRPr="00192CF1">
              <w:rPr>
                <w:rFonts w:ascii="Book Antiqua" w:eastAsia="Times New Roman" w:hAnsi="Book Antiqua"/>
                <w:sz w:val="24"/>
                <w:szCs w:val="24"/>
                <w:lang w:val="en-US"/>
              </w:rPr>
              <w:t xml:space="preserve"> Plus™</w:t>
            </w:r>
          </w:p>
        </w:tc>
        <w:tc>
          <w:tcPr>
            <w:tcW w:w="592" w:type="pct"/>
            <w:shd w:val="clear" w:color="auto" w:fill="auto"/>
            <w:noWrap/>
            <w:hideMark/>
          </w:tcPr>
          <w:p w14:paraId="3CF04A3F"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Roticulating</w:t>
            </w:r>
            <w:proofErr w:type="spellEnd"/>
          </w:p>
        </w:tc>
        <w:tc>
          <w:tcPr>
            <w:tcW w:w="695" w:type="pct"/>
            <w:shd w:val="clear" w:color="auto" w:fill="auto"/>
            <w:noWrap/>
            <w:hideMark/>
          </w:tcPr>
          <w:p w14:paraId="695D2D3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Retractor</w:t>
            </w:r>
          </w:p>
        </w:tc>
        <w:tc>
          <w:tcPr>
            <w:tcW w:w="567" w:type="pct"/>
            <w:shd w:val="clear" w:color="auto" w:fill="auto"/>
            <w:hideMark/>
          </w:tcPr>
          <w:p w14:paraId="369DCC5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Bipolar or Ultrasonic dissectors</w:t>
            </w:r>
          </w:p>
        </w:tc>
        <w:tc>
          <w:tcPr>
            <w:tcW w:w="292" w:type="pct"/>
            <w:shd w:val="clear" w:color="auto" w:fill="auto"/>
            <w:noWrap/>
            <w:hideMark/>
          </w:tcPr>
          <w:p w14:paraId="5EB4E22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hideMark/>
          </w:tcPr>
          <w:p w14:paraId="5C549CA7"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Intracorporeal</w:t>
            </w:r>
            <w:proofErr w:type="spellEnd"/>
            <w:r w:rsidRPr="00192CF1">
              <w:rPr>
                <w:rFonts w:ascii="Book Antiqua" w:eastAsia="Times New Roman" w:hAnsi="Book Antiqua"/>
                <w:sz w:val="24"/>
                <w:szCs w:val="24"/>
                <w:lang w:val="en-US"/>
              </w:rPr>
              <w:t xml:space="preserve"> or </w:t>
            </w:r>
            <w:proofErr w:type="spellStart"/>
            <w:r w:rsidRPr="00192CF1">
              <w:rPr>
                <w:rFonts w:ascii="Book Antiqua" w:eastAsia="Times New Roman" w:hAnsi="Book Antiqua"/>
                <w:sz w:val="24"/>
                <w:szCs w:val="24"/>
                <w:lang w:val="en-US"/>
              </w:rPr>
              <w:t>Endostich</w:t>
            </w:r>
            <w:proofErr w:type="spellEnd"/>
            <w:r w:rsidRPr="00192CF1">
              <w:rPr>
                <w:rFonts w:ascii="Book Antiqua" w:eastAsia="Times New Roman" w:hAnsi="Book Antiqua"/>
                <w:sz w:val="24"/>
                <w:szCs w:val="24"/>
                <w:lang w:val="en-US"/>
              </w:rPr>
              <w:t>™</w:t>
            </w:r>
          </w:p>
        </w:tc>
        <w:tc>
          <w:tcPr>
            <w:tcW w:w="216" w:type="pct"/>
            <w:shd w:val="clear" w:color="auto" w:fill="auto"/>
            <w:noWrap/>
            <w:hideMark/>
          </w:tcPr>
          <w:p w14:paraId="350A8C2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CO2</w:t>
            </w:r>
          </w:p>
        </w:tc>
        <w:tc>
          <w:tcPr>
            <w:tcW w:w="431" w:type="pct"/>
            <w:shd w:val="clear" w:color="auto" w:fill="auto"/>
            <w:noWrap/>
            <w:hideMark/>
          </w:tcPr>
          <w:p w14:paraId="70AEC98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1C1753A7" w14:textId="77777777" w:rsidTr="00650402">
        <w:trPr>
          <w:trHeight w:val="280"/>
        </w:trPr>
        <w:tc>
          <w:tcPr>
            <w:tcW w:w="521" w:type="pct"/>
            <w:shd w:val="clear" w:color="auto" w:fill="auto"/>
            <w:noWrap/>
            <w:hideMark/>
          </w:tcPr>
          <w:p w14:paraId="73CFF91F" w14:textId="60147F49"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Yamada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mendeley":{"formattedCitation":"&lt;sup&gt;[28]&lt;/sup&gt;","plainTextFormattedCitation":"[28]","previouslyFormattedCitation":"&lt;sup&gt;[28]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[28]</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0C951E10" w14:textId="57B92AAE"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818" w:type="pct"/>
            <w:shd w:val="clear" w:color="auto" w:fill="auto"/>
            <w:noWrap/>
            <w:hideMark/>
          </w:tcPr>
          <w:p w14:paraId="4FAF12C5"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Wrapdisk</w:t>
            </w:r>
            <w:proofErr w:type="spellEnd"/>
            <w:r w:rsidRPr="00192CF1">
              <w:rPr>
                <w:rFonts w:ascii="Book Antiqua" w:eastAsia="Times New Roman" w:hAnsi="Book Antiqua"/>
                <w:sz w:val="24"/>
                <w:szCs w:val="24"/>
                <w:lang w:val="en-US"/>
              </w:rPr>
              <w:t>™</w:t>
            </w:r>
          </w:p>
        </w:tc>
        <w:tc>
          <w:tcPr>
            <w:tcW w:w="592" w:type="pct"/>
            <w:shd w:val="clear" w:color="auto" w:fill="auto"/>
            <w:noWrap/>
            <w:hideMark/>
          </w:tcPr>
          <w:p w14:paraId="0A6FE9E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w:t>
            </w:r>
          </w:p>
        </w:tc>
        <w:tc>
          <w:tcPr>
            <w:tcW w:w="695" w:type="pct"/>
            <w:shd w:val="clear" w:color="auto" w:fill="auto"/>
            <w:noWrap/>
            <w:hideMark/>
          </w:tcPr>
          <w:p w14:paraId="026E2B8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Silicon drain</w:t>
            </w:r>
          </w:p>
        </w:tc>
        <w:tc>
          <w:tcPr>
            <w:tcW w:w="567" w:type="pct"/>
            <w:shd w:val="clear" w:color="auto" w:fill="auto"/>
            <w:hideMark/>
          </w:tcPr>
          <w:p w14:paraId="57897CC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Monopolar</w:t>
            </w:r>
          </w:p>
        </w:tc>
        <w:tc>
          <w:tcPr>
            <w:tcW w:w="292" w:type="pct"/>
            <w:shd w:val="clear" w:color="auto" w:fill="auto"/>
            <w:noWrap/>
            <w:hideMark/>
          </w:tcPr>
          <w:p w14:paraId="50843C0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14:paraId="7C00AF3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14:paraId="414DB6E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CO2</w:t>
            </w:r>
          </w:p>
        </w:tc>
        <w:tc>
          <w:tcPr>
            <w:tcW w:w="431" w:type="pct"/>
            <w:shd w:val="clear" w:color="auto" w:fill="auto"/>
            <w:noWrap/>
            <w:hideMark/>
          </w:tcPr>
          <w:p w14:paraId="5D6F90E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8mmHg</w:t>
            </w:r>
          </w:p>
        </w:tc>
      </w:tr>
      <w:tr w:rsidR="004647EC" w:rsidRPr="00192CF1" w14:paraId="4159943E" w14:textId="77777777" w:rsidTr="00650402">
        <w:trPr>
          <w:trHeight w:val="280"/>
        </w:trPr>
        <w:tc>
          <w:tcPr>
            <w:tcW w:w="521" w:type="pct"/>
            <w:shd w:val="clear" w:color="auto" w:fill="auto"/>
            <w:noWrap/>
            <w:hideMark/>
          </w:tcPr>
          <w:p w14:paraId="45F0DDB2" w14:textId="4D819500"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Yano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today","id":"ITEM-1","issue":"3","issued":{"date-parts":[["2012","2"]]},"language":"eng","page":"299-302","publisher-place":"Japan","title":"Single-incision laparoscopic Heller myotomy and Dor fundoplication for achalasia: report of a case.","type":"article-journal","volume":"42"},"uris":["http://www.mendeley.com/documents/?uuid=f0812b93-b43f-4012-9026-6bcb9aee8455"]}],"mendeley":{"formattedCitation":"&lt;sup&gt;[29]&lt;/sup&gt;","plainTextFormattedCitation":"[29]","previouslyFormattedCitation":"&lt;sup&gt;[29]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[29]</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4475E010" w14:textId="2D45AF0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818" w:type="pct"/>
            <w:shd w:val="clear" w:color="auto" w:fill="auto"/>
            <w:noWrap/>
            <w:hideMark/>
          </w:tcPr>
          <w:p w14:paraId="79219CF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 trocars in a single incision</w:t>
            </w:r>
          </w:p>
        </w:tc>
        <w:tc>
          <w:tcPr>
            <w:tcW w:w="592" w:type="pct"/>
            <w:shd w:val="clear" w:color="auto" w:fill="auto"/>
            <w:noWrap/>
            <w:hideMark/>
          </w:tcPr>
          <w:p w14:paraId="198F200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14:paraId="22CB4E1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Penrose drain</w:t>
            </w:r>
          </w:p>
        </w:tc>
        <w:tc>
          <w:tcPr>
            <w:tcW w:w="567" w:type="pct"/>
            <w:shd w:val="clear" w:color="auto" w:fill="auto"/>
            <w:hideMark/>
          </w:tcPr>
          <w:p w14:paraId="6C7F4A4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Monopolar</w:t>
            </w:r>
          </w:p>
        </w:tc>
        <w:tc>
          <w:tcPr>
            <w:tcW w:w="292" w:type="pct"/>
            <w:shd w:val="clear" w:color="auto" w:fill="auto"/>
            <w:noWrap/>
            <w:hideMark/>
          </w:tcPr>
          <w:p w14:paraId="6A52618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56Fr</w:t>
            </w:r>
          </w:p>
        </w:tc>
        <w:tc>
          <w:tcPr>
            <w:tcW w:w="385" w:type="pct"/>
            <w:shd w:val="clear" w:color="auto" w:fill="auto"/>
            <w:noWrap/>
            <w:hideMark/>
          </w:tcPr>
          <w:p w14:paraId="75749E75"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Intracorporeal</w:t>
            </w:r>
            <w:proofErr w:type="spellEnd"/>
          </w:p>
        </w:tc>
        <w:tc>
          <w:tcPr>
            <w:tcW w:w="216" w:type="pct"/>
            <w:shd w:val="clear" w:color="auto" w:fill="auto"/>
            <w:noWrap/>
            <w:hideMark/>
          </w:tcPr>
          <w:p w14:paraId="15EFD89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CO2</w:t>
            </w:r>
          </w:p>
        </w:tc>
        <w:tc>
          <w:tcPr>
            <w:tcW w:w="431" w:type="pct"/>
            <w:shd w:val="clear" w:color="auto" w:fill="auto"/>
            <w:noWrap/>
            <w:hideMark/>
          </w:tcPr>
          <w:p w14:paraId="2D556D9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12mmHg</w:t>
            </w:r>
          </w:p>
        </w:tc>
      </w:tr>
      <w:tr w:rsidR="004647EC" w:rsidRPr="00192CF1" w14:paraId="46179C69" w14:textId="77777777" w:rsidTr="00650402">
        <w:trPr>
          <w:trHeight w:val="260"/>
        </w:trPr>
        <w:tc>
          <w:tcPr>
            <w:tcW w:w="521" w:type="pct"/>
            <w:shd w:val="clear" w:color="auto" w:fill="auto"/>
            <w:noWrap/>
            <w:hideMark/>
          </w:tcPr>
          <w:p w14:paraId="2498E152" w14:textId="064E8CFB"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Nakajima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today","id":"ITEM-1","issue":"11","issued":{"date-parts":[["2011","11"]]},"language":"eng","page":"1543-1547","publisher-place":"Japan","title":"Single-incision laparoscopic Heller myotomy and Dor fundoplication for achalasia: report of a case.","type":"article-journal","volume":"41"},"uris":["http://www.mendeley.com/documents/?uuid=847f6bea-4208-41b8-95d2-54e3738d7df1"]}],"mendeley":{"formattedCitation":"&lt;sup&gt;[27]&lt;/sup&gt;","plainTextFormattedCitation":"[27]","previouslyFormattedCitation":"&lt;sup&gt;[27]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[27]</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1808D59E" w14:textId="27F1CDD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818" w:type="pct"/>
            <w:shd w:val="clear" w:color="auto" w:fill="auto"/>
            <w:noWrap/>
            <w:hideMark/>
          </w:tcPr>
          <w:p w14:paraId="25F7C52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14:paraId="2D53FA5C"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Roticulating</w:t>
            </w:r>
            <w:proofErr w:type="spellEnd"/>
          </w:p>
        </w:tc>
        <w:tc>
          <w:tcPr>
            <w:tcW w:w="695" w:type="pct"/>
            <w:shd w:val="clear" w:color="auto" w:fill="auto"/>
            <w:noWrap/>
            <w:hideMark/>
          </w:tcPr>
          <w:p w14:paraId="09B858F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Endo Close™</w:t>
            </w:r>
          </w:p>
        </w:tc>
        <w:tc>
          <w:tcPr>
            <w:tcW w:w="567" w:type="pct"/>
            <w:shd w:val="clear" w:color="auto" w:fill="auto"/>
            <w:noWrap/>
            <w:hideMark/>
          </w:tcPr>
          <w:p w14:paraId="0038CDE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Monopolar or </w:t>
            </w:r>
            <w:proofErr w:type="spellStart"/>
            <w:r w:rsidRPr="00192CF1">
              <w:rPr>
                <w:rFonts w:ascii="Book Antiqua" w:eastAsia="Times New Roman" w:hAnsi="Book Antiqua"/>
                <w:sz w:val="24"/>
                <w:szCs w:val="24"/>
                <w:lang w:val="en-US"/>
              </w:rPr>
              <w:t>Enseal</w:t>
            </w:r>
            <w:proofErr w:type="spellEnd"/>
            <w:r w:rsidRPr="00192CF1">
              <w:rPr>
                <w:rFonts w:ascii="Book Antiqua" w:eastAsia="Times New Roman" w:hAnsi="Book Antiqua"/>
                <w:sz w:val="24"/>
                <w:szCs w:val="24"/>
                <w:lang w:val="en-US"/>
              </w:rPr>
              <w:t>™</w:t>
            </w:r>
          </w:p>
        </w:tc>
        <w:tc>
          <w:tcPr>
            <w:tcW w:w="292" w:type="pct"/>
            <w:shd w:val="clear" w:color="auto" w:fill="auto"/>
            <w:noWrap/>
            <w:hideMark/>
          </w:tcPr>
          <w:p w14:paraId="1E3FBAD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14:paraId="0DEE714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14:paraId="0F7C0C4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24F0D49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10mmHg</w:t>
            </w:r>
          </w:p>
        </w:tc>
      </w:tr>
      <w:tr w:rsidR="004647EC" w:rsidRPr="00192CF1" w14:paraId="0EBE42D5" w14:textId="77777777" w:rsidTr="00C43966">
        <w:trPr>
          <w:trHeight w:val="260"/>
        </w:trPr>
        <w:tc>
          <w:tcPr>
            <w:tcW w:w="5000" w:type="pct"/>
            <w:gridSpan w:val="10"/>
            <w:shd w:val="clear" w:color="auto" w:fill="auto"/>
            <w:noWrap/>
            <w:hideMark/>
          </w:tcPr>
          <w:p w14:paraId="12D84AE7"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r>
      <w:tr w:rsidR="004647EC" w:rsidRPr="00192CF1" w14:paraId="67B8F364" w14:textId="77777777" w:rsidTr="00650402">
        <w:trPr>
          <w:trHeight w:val="560"/>
        </w:trPr>
        <w:tc>
          <w:tcPr>
            <w:tcW w:w="521" w:type="pct"/>
            <w:shd w:val="clear" w:color="auto" w:fill="auto"/>
            <w:noWrap/>
            <w:hideMark/>
          </w:tcPr>
          <w:p w14:paraId="3416A0B9" w14:textId="5AED4EB3"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14:paraId="6320ADA6"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Toupet</w:t>
            </w:r>
            <w:proofErr w:type="spellEnd"/>
          </w:p>
        </w:tc>
        <w:tc>
          <w:tcPr>
            <w:tcW w:w="818" w:type="pct"/>
            <w:shd w:val="clear" w:color="auto" w:fill="auto"/>
            <w:noWrap/>
            <w:hideMark/>
          </w:tcPr>
          <w:p w14:paraId="77B2AE5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14:paraId="1CD7352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14:paraId="071F8C5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Pretzel Retractor</w:t>
            </w:r>
          </w:p>
        </w:tc>
        <w:tc>
          <w:tcPr>
            <w:tcW w:w="567" w:type="pct"/>
            <w:shd w:val="clear" w:color="auto" w:fill="auto"/>
            <w:hideMark/>
          </w:tcPr>
          <w:p w14:paraId="60569CC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Monopolar or Ultrasonic dissectors</w:t>
            </w:r>
          </w:p>
        </w:tc>
        <w:tc>
          <w:tcPr>
            <w:tcW w:w="292" w:type="pct"/>
            <w:shd w:val="clear" w:color="auto" w:fill="auto"/>
            <w:noWrap/>
            <w:hideMark/>
          </w:tcPr>
          <w:p w14:paraId="75CA1FB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hideMark/>
          </w:tcPr>
          <w:p w14:paraId="6630897F"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Endostich</w:t>
            </w:r>
            <w:proofErr w:type="spellEnd"/>
            <w:r w:rsidRPr="00192CF1">
              <w:rPr>
                <w:rFonts w:ascii="Book Antiqua" w:eastAsia="Times New Roman" w:hAnsi="Book Antiqua"/>
                <w:sz w:val="24"/>
                <w:szCs w:val="24"/>
                <w:lang w:val="en-US"/>
              </w:rPr>
              <w:t>™ or V Lock™</w:t>
            </w:r>
          </w:p>
        </w:tc>
        <w:tc>
          <w:tcPr>
            <w:tcW w:w="216" w:type="pct"/>
            <w:shd w:val="clear" w:color="auto" w:fill="auto"/>
            <w:noWrap/>
            <w:hideMark/>
          </w:tcPr>
          <w:p w14:paraId="6F17C67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14:paraId="7E24E02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bl>
    <w:p w14:paraId="59D7B516" w14:textId="77777777" w:rsidR="00161732" w:rsidRDefault="00161732" w:rsidP="004647EC">
      <w:pPr>
        <w:autoSpaceDE w:val="0"/>
        <w:autoSpaceDN w:val="0"/>
        <w:adjustRightInd w:val="0"/>
        <w:spacing w:after="0" w:line="360" w:lineRule="auto"/>
        <w:jc w:val="both"/>
        <w:rPr>
          <w:rFonts w:ascii="Book Antiqua" w:hAnsi="Book Antiqua"/>
          <w:sz w:val="24"/>
          <w:szCs w:val="24"/>
          <w:lang w:val="en-US" w:eastAsia="zh-CN"/>
        </w:rPr>
      </w:pPr>
    </w:p>
    <w:p w14:paraId="3D5E2376" w14:textId="3797E923" w:rsidR="006E1453" w:rsidRPr="00192CF1" w:rsidRDefault="00650402" w:rsidP="004647EC">
      <w:pPr>
        <w:autoSpaceDE w:val="0"/>
        <w:autoSpaceDN w:val="0"/>
        <w:adjustRightInd w:val="0"/>
        <w:spacing w:after="0" w:line="360" w:lineRule="auto"/>
        <w:jc w:val="both"/>
        <w:rPr>
          <w:rFonts w:ascii="Book Antiqua" w:hAnsi="Book Antiqua"/>
          <w:sz w:val="24"/>
          <w:szCs w:val="24"/>
          <w:lang w:val="en-US" w:eastAsia="zh-CN"/>
        </w:rPr>
      </w:pPr>
      <w:r w:rsidRPr="00192CF1">
        <w:rPr>
          <w:rFonts w:ascii="Book Antiqua" w:hAnsi="Book Antiqua"/>
          <w:sz w:val="24"/>
          <w:szCs w:val="24"/>
          <w:lang w:val="en-US"/>
        </w:rPr>
        <w:t xml:space="preserve">n/a: </w:t>
      </w:r>
      <w:r w:rsidR="00161732" w:rsidRPr="00192CF1">
        <w:rPr>
          <w:rFonts w:ascii="Book Antiqua" w:hAnsi="Book Antiqua"/>
          <w:sz w:val="24"/>
          <w:szCs w:val="24"/>
          <w:lang w:val="en-US"/>
        </w:rPr>
        <w:t xml:space="preserve">Not </w:t>
      </w:r>
      <w:r w:rsidRPr="00192CF1">
        <w:rPr>
          <w:rFonts w:ascii="Book Antiqua" w:hAnsi="Book Antiqua"/>
          <w:sz w:val="24"/>
          <w:szCs w:val="24"/>
          <w:lang w:val="en-US"/>
        </w:rPr>
        <w:t>available</w:t>
      </w:r>
      <w:r w:rsidR="00161732">
        <w:rPr>
          <w:rFonts w:ascii="Book Antiqua" w:hAnsi="Book Antiqua" w:hint="eastAsia"/>
          <w:sz w:val="24"/>
          <w:szCs w:val="24"/>
          <w:lang w:val="en-US" w:eastAsia="zh-CN"/>
        </w:rPr>
        <w:t>.</w:t>
      </w:r>
    </w:p>
    <w:p w14:paraId="68AB3109" w14:textId="77777777" w:rsidR="00161732" w:rsidRDefault="00161732" w:rsidP="00161732">
      <w:pPr>
        <w:autoSpaceDE w:val="0"/>
        <w:autoSpaceDN w:val="0"/>
        <w:adjustRightInd w:val="0"/>
        <w:spacing w:after="0" w:line="360" w:lineRule="auto"/>
        <w:jc w:val="both"/>
        <w:rPr>
          <w:rFonts w:ascii="Book Antiqua" w:hAnsi="Book Antiqua"/>
          <w:b/>
          <w:sz w:val="24"/>
          <w:szCs w:val="24"/>
          <w:lang w:val="en-US" w:eastAsia="zh-CN"/>
        </w:rPr>
      </w:pPr>
    </w:p>
    <w:p w14:paraId="2D0779B9" w14:textId="2F3637BF" w:rsidR="00161732" w:rsidRPr="008D7525" w:rsidRDefault="00161732" w:rsidP="00161732">
      <w:pPr>
        <w:autoSpaceDE w:val="0"/>
        <w:autoSpaceDN w:val="0"/>
        <w:adjustRightInd w:val="0"/>
        <w:spacing w:after="0" w:line="360" w:lineRule="auto"/>
        <w:jc w:val="both"/>
        <w:rPr>
          <w:rFonts w:ascii="Book Antiqua" w:hAnsi="Book Antiqua"/>
          <w:b/>
          <w:sz w:val="24"/>
          <w:szCs w:val="24"/>
          <w:lang w:val="en-US"/>
        </w:rPr>
      </w:pPr>
      <w:r>
        <w:rPr>
          <w:rFonts w:ascii="Book Antiqua" w:hAnsi="Book Antiqua"/>
          <w:b/>
          <w:sz w:val="24"/>
          <w:szCs w:val="24"/>
          <w:lang w:val="en-US"/>
        </w:rPr>
        <w:t>Table 4</w:t>
      </w:r>
      <w:r w:rsidRPr="00192CF1">
        <w:rPr>
          <w:rFonts w:ascii="Book Antiqua" w:hAnsi="Book Antiqua"/>
          <w:b/>
          <w:sz w:val="24"/>
          <w:szCs w:val="24"/>
          <w:lang w:val="en-US"/>
        </w:rPr>
        <w:t xml:space="preserve"> Perioperative outcomes</w:t>
      </w:r>
    </w:p>
    <w:p w14:paraId="3610CD3A" w14:textId="77777777" w:rsidR="006E1453" w:rsidRPr="00192CF1" w:rsidRDefault="006E1453" w:rsidP="004647EC">
      <w:pPr>
        <w:autoSpaceDE w:val="0"/>
        <w:autoSpaceDN w:val="0"/>
        <w:adjustRightInd w:val="0"/>
        <w:spacing w:after="0" w:line="360" w:lineRule="auto"/>
        <w:jc w:val="both"/>
        <w:rPr>
          <w:rFonts w:ascii="Book Antiqua" w:hAnsi="Book Antiqua"/>
          <w:b/>
          <w:sz w:val="24"/>
          <w:szCs w:val="24"/>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754"/>
        <w:gridCol w:w="823"/>
        <w:gridCol w:w="975"/>
        <w:gridCol w:w="905"/>
        <w:gridCol w:w="560"/>
        <w:gridCol w:w="586"/>
        <w:gridCol w:w="735"/>
        <w:gridCol w:w="614"/>
        <w:gridCol w:w="553"/>
        <w:gridCol w:w="819"/>
      </w:tblGrid>
      <w:tr w:rsidR="004647EC" w:rsidRPr="00192CF1" w14:paraId="71033F15" w14:textId="77777777" w:rsidTr="00C43966">
        <w:trPr>
          <w:trHeight w:val="260"/>
        </w:trPr>
        <w:tc>
          <w:tcPr>
            <w:tcW w:w="5000" w:type="pct"/>
            <w:gridSpan w:val="11"/>
            <w:shd w:val="clear" w:color="auto" w:fill="auto"/>
            <w:noWrap/>
            <w:hideMark/>
          </w:tcPr>
          <w:p w14:paraId="3D9DFD17" w14:textId="3E96F14A"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b/>
                <w:sz w:val="24"/>
                <w:szCs w:val="24"/>
                <w:lang w:val="en-US"/>
              </w:rPr>
              <w:t>P</w:t>
            </w:r>
            <w:r w:rsidR="00161732" w:rsidRPr="00192CF1">
              <w:rPr>
                <w:rFonts w:ascii="Book Antiqua" w:eastAsia="Times New Roman" w:hAnsi="Book Antiqua"/>
                <w:b/>
                <w:sz w:val="24"/>
                <w:szCs w:val="24"/>
                <w:lang w:val="en-US"/>
              </w:rPr>
              <w:t>erioperative outcomes</w:t>
            </w:r>
          </w:p>
        </w:tc>
      </w:tr>
      <w:tr w:rsidR="00161732" w:rsidRPr="00192CF1" w14:paraId="791F1446" w14:textId="77777777" w:rsidTr="00650402">
        <w:trPr>
          <w:trHeight w:val="260"/>
        </w:trPr>
        <w:tc>
          <w:tcPr>
            <w:tcW w:w="491" w:type="pct"/>
            <w:shd w:val="clear" w:color="auto" w:fill="auto"/>
            <w:noWrap/>
            <w:hideMark/>
          </w:tcPr>
          <w:p w14:paraId="2497FFC4" w14:textId="47C32A7B" w:rsidR="002B5612" w:rsidRPr="00161732" w:rsidRDefault="00161732" w:rsidP="004647EC">
            <w:pPr>
              <w:spacing w:after="0" w:line="360" w:lineRule="auto"/>
              <w:jc w:val="both"/>
              <w:rPr>
                <w:rFonts w:ascii="Book Antiqua" w:hAnsi="Book Antiqua"/>
                <w:b/>
                <w:bCs/>
                <w:sz w:val="24"/>
                <w:szCs w:val="24"/>
                <w:lang w:val="en-US" w:eastAsia="zh-CN"/>
              </w:rPr>
            </w:pPr>
            <w:r>
              <w:rPr>
                <w:rFonts w:ascii="Book Antiqua" w:hAnsi="Book Antiqua"/>
                <w:b/>
                <w:bCs/>
                <w:sz w:val="24"/>
                <w:szCs w:val="24"/>
                <w:lang w:val="en-US" w:eastAsia="zh-CN"/>
              </w:rPr>
              <w:t>R</w:t>
            </w:r>
            <w:r>
              <w:rPr>
                <w:rFonts w:ascii="Book Antiqua" w:hAnsi="Book Antiqua" w:hint="eastAsia"/>
                <w:b/>
                <w:bCs/>
                <w:sz w:val="24"/>
                <w:szCs w:val="24"/>
                <w:lang w:val="en-US" w:eastAsia="zh-CN"/>
              </w:rPr>
              <w:t>ef.</w:t>
            </w:r>
          </w:p>
        </w:tc>
        <w:tc>
          <w:tcPr>
            <w:tcW w:w="456" w:type="pct"/>
            <w:shd w:val="clear" w:color="auto" w:fill="auto"/>
            <w:noWrap/>
            <w:hideMark/>
          </w:tcPr>
          <w:p w14:paraId="763BD4D9" w14:textId="5F1B6076"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O</w:t>
            </w:r>
            <w:r w:rsidR="00161732" w:rsidRPr="00192CF1">
              <w:rPr>
                <w:rFonts w:ascii="Book Antiqua" w:eastAsia="Times New Roman" w:hAnsi="Book Antiqua"/>
                <w:b/>
                <w:bCs/>
                <w:sz w:val="24"/>
                <w:szCs w:val="24"/>
                <w:lang w:val="en-US"/>
              </w:rPr>
              <w:t>peration type</w:t>
            </w:r>
          </w:p>
        </w:tc>
        <w:tc>
          <w:tcPr>
            <w:tcW w:w="500" w:type="pct"/>
            <w:shd w:val="clear" w:color="auto" w:fill="auto"/>
            <w:noWrap/>
            <w:hideMark/>
          </w:tcPr>
          <w:p w14:paraId="70617015" w14:textId="024EBC97"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O</w:t>
            </w:r>
            <w:r w:rsidR="00161732" w:rsidRPr="00192CF1">
              <w:rPr>
                <w:rFonts w:ascii="Book Antiqua" w:eastAsia="Times New Roman" w:hAnsi="Book Antiqua"/>
                <w:b/>
                <w:bCs/>
                <w:sz w:val="24"/>
                <w:szCs w:val="24"/>
                <w:lang w:val="en-US"/>
              </w:rPr>
              <w:t>pen conversion</w:t>
            </w:r>
          </w:p>
        </w:tc>
        <w:tc>
          <w:tcPr>
            <w:tcW w:w="621" w:type="pct"/>
            <w:shd w:val="clear" w:color="auto" w:fill="auto"/>
            <w:noWrap/>
            <w:hideMark/>
          </w:tcPr>
          <w:p w14:paraId="6515BB28" w14:textId="6A358C5A"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M</w:t>
            </w:r>
            <w:r w:rsidR="00161732" w:rsidRPr="00192CF1">
              <w:rPr>
                <w:rFonts w:ascii="Book Antiqua" w:eastAsia="Times New Roman" w:hAnsi="Book Antiqua"/>
                <w:b/>
                <w:bCs/>
                <w:sz w:val="24"/>
                <w:szCs w:val="24"/>
                <w:lang w:val="en-US"/>
              </w:rPr>
              <w:t>ultiport conversion</w:t>
            </w:r>
          </w:p>
        </w:tc>
        <w:tc>
          <w:tcPr>
            <w:tcW w:w="573" w:type="pct"/>
            <w:shd w:val="clear" w:color="auto" w:fill="auto"/>
            <w:noWrap/>
            <w:hideMark/>
          </w:tcPr>
          <w:p w14:paraId="0DB9CC2B" w14:textId="413E9101"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O</w:t>
            </w:r>
            <w:r w:rsidR="00161732" w:rsidRPr="00192CF1">
              <w:rPr>
                <w:rFonts w:ascii="Book Antiqua" w:eastAsia="Times New Roman" w:hAnsi="Book Antiqua"/>
                <w:b/>
                <w:bCs/>
                <w:sz w:val="24"/>
                <w:szCs w:val="24"/>
                <w:lang w:val="en-US"/>
              </w:rPr>
              <w:t>peration duration</w:t>
            </w:r>
          </w:p>
        </w:tc>
        <w:tc>
          <w:tcPr>
            <w:tcW w:w="280" w:type="pct"/>
            <w:shd w:val="clear" w:color="auto" w:fill="auto"/>
            <w:noWrap/>
            <w:hideMark/>
          </w:tcPr>
          <w:p w14:paraId="2BDA50E9" w14:textId="77777777"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LOS</w:t>
            </w:r>
          </w:p>
        </w:tc>
        <w:tc>
          <w:tcPr>
            <w:tcW w:w="370" w:type="pct"/>
            <w:shd w:val="clear" w:color="auto" w:fill="auto"/>
            <w:noWrap/>
            <w:hideMark/>
          </w:tcPr>
          <w:p w14:paraId="715EB277" w14:textId="77846F5A"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B</w:t>
            </w:r>
            <w:r w:rsidR="00161732" w:rsidRPr="00192CF1">
              <w:rPr>
                <w:rFonts w:ascii="Book Antiqua" w:eastAsia="Times New Roman" w:hAnsi="Book Antiqua"/>
                <w:b/>
                <w:bCs/>
                <w:sz w:val="24"/>
                <w:szCs w:val="24"/>
                <w:lang w:val="en-US"/>
              </w:rPr>
              <w:t>lood loss</w:t>
            </w:r>
          </w:p>
        </w:tc>
        <w:tc>
          <w:tcPr>
            <w:tcW w:w="453" w:type="pct"/>
            <w:shd w:val="clear" w:color="auto" w:fill="auto"/>
            <w:noWrap/>
            <w:hideMark/>
          </w:tcPr>
          <w:p w14:paraId="58F1656E" w14:textId="4F2D476C"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C</w:t>
            </w:r>
            <w:r w:rsidR="00161732" w:rsidRPr="00192CF1">
              <w:rPr>
                <w:rFonts w:ascii="Book Antiqua" w:eastAsia="Times New Roman" w:hAnsi="Book Antiqua"/>
                <w:b/>
                <w:bCs/>
                <w:sz w:val="24"/>
                <w:szCs w:val="24"/>
                <w:lang w:val="en-US"/>
              </w:rPr>
              <w:t>omplications</w:t>
            </w:r>
          </w:p>
        </w:tc>
        <w:tc>
          <w:tcPr>
            <w:tcW w:w="383" w:type="pct"/>
            <w:shd w:val="clear" w:color="auto" w:fill="auto"/>
            <w:noWrap/>
            <w:hideMark/>
          </w:tcPr>
          <w:p w14:paraId="3FCD23DF" w14:textId="5742738B"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R</w:t>
            </w:r>
            <w:r w:rsidR="00161732" w:rsidRPr="00192CF1">
              <w:rPr>
                <w:rFonts w:ascii="Book Antiqua" w:eastAsia="Times New Roman" w:hAnsi="Book Antiqua"/>
                <w:b/>
                <w:bCs/>
                <w:sz w:val="24"/>
                <w:szCs w:val="24"/>
                <w:lang w:val="en-US"/>
              </w:rPr>
              <w:t>ecurrence</w:t>
            </w:r>
          </w:p>
        </w:tc>
        <w:tc>
          <w:tcPr>
            <w:tcW w:w="357" w:type="pct"/>
            <w:shd w:val="clear" w:color="auto" w:fill="auto"/>
            <w:noWrap/>
            <w:hideMark/>
          </w:tcPr>
          <w:p w14:paraId="3BE605F7" w14:textId="5853B259"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M</w:t>
            </w:r>
            <w:r w:rsidR="00161732" w:rsidRPr="00192CF1">
              <w:rPr>
                <w:rFonts w:ascii="Book Antiqua" w:eastAsia="Times New Roman" w:hAnsi="Book Antiqua"/>
                <w:b/>
                <w:bCs/>
                <w:sz w:val="24"/>
                <w:szCs w:val="24"/>
                <w:lang w:val="en-US"/>
              </w:rPr>
              <w:t>ortality</w:t>
            </w:r>
          </w:p>
        </w:tc>
        <w:tc>
          <w:tcPr>
            <w:tcW w:w="517" w:type="pct"/>
            <w:shd w:val="clear" w:color="auto" w:fill="auto"/>
            <w:noWrap/>
            <w:hideMark/>
          </w:tcPr>
          <w:p w14:paraId="027FBA6A" w14:textId="4B69DE0A"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I</w:t>
            </w:r>
            <w:r w:rsidR="00161732" w:rsidRPr="00192CF1">
              <w:rPr>
                <w:rFonts w:ascii="Book Antiqua" w:eastAsia="Times New Roman" w:hAnsi="Book Antiqua"/>
                <w:b/>
                <w:bCs/>
                <w:sz w:val="24"/>
                <w:szCs w:val="24"/>
                <w:lang w:val="en-US"/>
              </w:rPr>
              <w:t>ncisional hernia</w:t>
            </w:r>
          </w:p>
        </w:tc>
      </w:tr>
      <w:tr w:rsidR="00161732" w:rsidRPr="00192CF1" w14:paraId="14ECAA1D" w14:textId="77777777" w:rsidTr="00650402">
        <w:trPr>
          <w:trHeight w:val="260"/>
        </w:trPr>
        <w:tc>
          <w:tcPr>
            <w:tcW w:w="491" w:type="pct"/>
            <w:shd w:val="clear" w:color="auto" w:fill="auto"/>
            <w:noWrap/>
            <w:hideMark/>
          </w:tcPr>
          <w:p w14:paraId="3859C23C" w14:textId="29409FB2"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Buckley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L","non-dropping-particle":"","parse-names":false,"suffix":""}],"container-title":"HERNIA","id":"ITEM-1","issue":"5","issued":{"date-parts":[["2016","10"]]},"page":"729-733","publisher":"SPRINGER","publisher-place":"233 SPRING ST, NEW YORK, NY 10013 USA","title":"Influencing factors for port-site hernias after single-incision laparoscopy","type":"article-journal","volume":"20"},"uris":["http://www.mendeley.com/documents/?uuid=94881e51-2f96-4dc5-b29b-9d44b7d53ce8"]}],"mendeley":{"formattedCitation":"&lt;sup&gt;[30]&lt;/sup&gt;","plainTextFormattedCitation":"[30]","previouslyFormattedCitation":"&lt;sup&gt;[30]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[30]</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667D4B7D"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6FC5F67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188E11D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14:paraId="1D4E7B3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80" w:type="pct"/>
            <w:shd w:val="clear" w:color="auto" w:fill="auto"/>
            <w:noWrap/>
            <w:hideMark/>
          </w:tcPr>
          <w:p w14:paraId="66DA6D6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0" w:type="pct"/>
            <w:shd w:val="clear" w:color="auto" w:fill="auto"/>
            <w:noWrap/>
            <w:hideMark/>
          </w:tcPr>
          <w:p w14:paraId="64A3387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14:paraId="64BA34B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83" w:type="pct"/>
            <w:shd w:val="clear" w:color="auto" w:fill="auto"/>
            <w:noWrap/>
            <w:hideMark/>
          </w:tcPr>
          <w:p w14:paraId="5684A07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390C4B6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27B63A7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r>
      <w:tr w:rsidR="00161732" w:rsidRPr="00192CF1" w14:paraId="776219F9" w14:textId="77777777" w:rsidTr="00650402">
        <w:trPr>
          <w:trHeight w:val="500"/>
        </w:trPr>
        <w:tc>
          <w:tcPr>
            <w:tcW w:w="491" w:type="pct"/>
            <w:shd w:val="clear" w:color="auto" w:fill="auto"/>
            <w:noWrap/>
            <w:hideMark/>
          </w:tcPr>
          <w:p w14:paraId="5646E2B1" w14:textId="0E2F862E"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eviouslyFormattedCitation":"&lt;sup&gt;[17]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78737711"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00ABAE0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21" w:type="pct"/>
            <w:shd w:val="clear" w:color="auto" w:fill="auto"/>
            <w:noWrap/>
            <w:hideMark/>
          </w:tcPr>
          <w:p w14:paraId="554111B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14:paraId="3C50C5DD" w14:textId="13CC9CE5"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(42.7)</w:t>
            </w:r>
          </w:p>
        </w:tc>
        <w:tc>
          <w:tcPr>
            <w:tcW w:w="280" w:type="pct"/>
            <w:shd w:val="clear" w:color="auto" w:fill="auto"/>
            <w:noWrap/>
            <w:hideMark/>
          </w:tcPr>
          <w:p w14:paraId="01C37952" w14:textId="37780E62"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(1.1)</w:t>
            </w:r>
          </w:p>
        </w:tc>
        <w:tc>
          <w:tcPr>
            <w:tcW w:w="370" w:type="pct"/>
            <w:shd w:val="clear" w:color="auto" w:fill="auto"/>
            <w:noWrap/>
            <w:hideMark/>
          </w:tcPr>
          <w:p w14:paraId="4311DD9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14:paraId="1F6E901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3" w:type="pct"/>
            <w:shd w:val="clear" w:color="auto" w:fill="auto"/>
            <w:noWrap/>
            <w:hideMark/>
          </w:tcPr>
          <w:p w14:paraId="6F99E57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7" w:type="pct"/>
            <w:shd w:val="clear" w:color="auto" w:fill="auto"/>
            <w:noWrap/>
            <w:hideMark/>
          </w:tcPr>
          <w:p w14:paraId="7E04174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17" w:type="pct"/>
            <w:shd w:val="clear" w:color="auto" w:fill="auto"/>
            <w:noWrap/>
            <w:hideMark/>
          </w:tcPr>
          <w:p w14:paraId="7DFD3EE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161732" w:rsidRPr="00192CF1" w14:paraId="2EF70C10" w14:textId="77777777" w:rsidTr="00650402">
        <w:trPr>
          <w:trHeight w:val="260"/>
        </w:trPr>
        <w:tc>
          <w:tcPr>
            <w:tcW w:w="491" w:type="pct"/>
            <w:shd w:val="clear" w:color="auto" w:fill="auto"/>
            <w:noWrap/>
            <w:hideMark/>
          </w:tcPr>
          <w:p w14:paraId="098B5661" w14:textId="0DACE95A"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Agaba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mendeley":{"formattedCitation":"&lt;sup&gt;[26]&lt;/sup&gt;","plainTextFormattedCitation":"[26]","previouslyFormattedCitation":"&lt;sup&gt;[26]&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[26]</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456" w:type="pct"/>
            <w:shd w:val="clear" w:color="auto" w:fill="auto"/>
            <w:noWrap/>
            <w:hideMark/>
          </w:tcPr>
          <w:p w14:paraId="417D7086"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0452A1B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21" w:type="pct"/>
            <w:shd w:val="clear" w:color="auto" w:fill="auto"/>
            <w:noWrap/>
            <w:hideMark/>
          </w:tcPr>
          <w:p w14:paraId="7113C06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14:paraId="1DC9FD9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80" w:type="pct"/>
            <w:shd w:val="clear" w:color="auto" w:fill="auto"/>
            <w:noWrap/>
            <w:hideMark/>
          </w:tcPr>
          <w:p w14:paraId="6912B4E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0" w:type="pct"/>
            <w:shd w:val="clear" w:color="auto" w:fill="auto"/>
            <w:noWrap/>
            <w:hideMark/>
          </w:tcPr>
          <w:p w14:paraId="0DB3692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14:paraId="36D59F1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3" w:type="pct"/>
            <w:shd w:val="clear" w:color="auto" w:fill="auto"/>
            <w:noWrap/>
            <w:hideMark/>
          </w:tcPr>
          <w:p w14:paraId="3C45D9E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7" w:type="pct"/>
            <w:shd w:val="clear" w:color="auto" w:fill="auto"/>
            <w:noWrap/>
            <w:hideMark/>
          </w:tcPr>
          <w:p w14:paraId="5EC4450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17" w:type="pct"/>
            <w:shd w:val="clear" w:color="auto" w:fill="auto"/>
            <w:noWrap/>
            <w:hideMark/>
          </w:tcPr>
          <w:p w14:paraId="2A98476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161732" w:rsidRPr="00192CF1" w14:paraId="75EBFB51" w14:textId="77777777" w:rsidTr="00650402">
        <w:trPr>
          <w:trHeight w:val="260"/>
        </w:trPr>
        <w:tc>
          <w:tcPr>
            <w:tcW w:w="491" w:type="pct"/>
            <w:shd w:val="clear" w:color="auto" w:fill="auto"/>
            <w:noWrap/>
            <w:hideMark/>
          </w:tcPr>
          <w:p w14:paraId="569681A6" w14:textId="159DE6B5"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Galvani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lt;/sup&gt;","plainTextFormattedCitation":"[24]","previouslyFormattedCitation":"&lt;sup&gt;[24]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[24]</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66F8B437"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6E2685E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56ED078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573" w:type="pct"/>
            <w:shd w:val="clear" w:color="auto" w:fill="auto"/>
            <w:noWrap/>
            <w:hideMark/>
          </w:tcPr>
          <w:p w14:paraId="5E45A612" w14:textId="2BABC81F"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164</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(83)</w:t>
            </w:r>
          </w:p>
        </w:tc>
        <w:tc>
          <w:tcPr>
            <w:tcW w:w="280" w:type="pct"/>
            <w:shd w:val="clear" w:color="auto" w:fill="auto"/>
            <w:noWrap/>
            <w:hideMark/>
          </w:tcPr>
          <w:p w14:paraId="3100E1F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0" w:type="pct"/>
            <w:shd w:val="clear" w:color="auto" w:fill="auto"/>
            <w:noWrap/>
            <w:hideMark/>
          </w:tcPr>
          <w:p w14:paraId="09E8DFDA" w14:textId="78291950"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23</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(4)</w:t>
            </w:r>
          </w:p>
        </w:tc>
        <w:tc>
          <w:tcPr>
            <w:tcW w:w="453" w:type="pct"/>
            <w:shd w:val="clear" w:color="auto" w:fill="auto"/>
            <w:noWrap/>
            <w:hideMark/>
          </w:tcPr>
          <w:p w14:paraId="45E066F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3" w:type="pct"/>
            <w:shd w:val="clear" w:color="auto" w:fill="auto"/>
            <w:noWrap/>
            <w:hideMark/>
          </w:tcPr>
          <w:p w14:paraId="4CDBEBF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7" w:type="pct"/>
            <w:shd w:val="clear" w:color="auto" w:fill="auto"/>
            <w:noWrap/>
            <w:hideMark/>
          </w:tcPr>
          <w:p w14:paraId="2BF8972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17" w:type="pct"/>
            <w:shd w:val="clear" w:color="auto" w:fill="auto"/>
            <w:noWrap/>
            <w:hideMark/>
          </w:tcPr>
          <w:p w14:paraId="7ACBC25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161732" w:rsidRPr="00192CF1" w14:paraId="410E9885" w14:textId="77777777" w:rsidTr="00650402">
        <w:trPr>
          <w:trHeight w:val="260"/>
        </w:trPr>
        <w:tc>
          <w:tcPr>
            <w:tcW w:w="491" w:type="pct"/>
            <w:shd w:val="clear" w:color="auto" w:fill="auto"/>
            <w:noWrap/>
            <w:hideMark/>
          </w:tcPr>
          <w:p w14:paraId="79153FBE" w14:textId="085EDDD5"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3F3B5CD3"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6364EDC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3202F76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14:paraId="36DA443F" w14:textId="5BBCF9E9"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146</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(13)</w:t>
            </w:r>
          </w:p>
        </w:tc>
        <w:tc>
          <w:tcPr>
            <w:tcW w:w="280" w:type="pct"/>
            <w:shd w:val="clear" w:color="auto" w:fill="auto"/>
            <w:noWrap/>
            <w:hideMark/>
          </w:tcPr>
          <w:p w14:paraId="6E78FB3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0" w:type="pct"/>
            <w:shd w:val="clear" w:color="auto" w:fill="auto"/>
            <w:noWrap/>
            <w:hideMark/>
          </w:tcPr>
          <w:p w14:paraId="3249DD5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14:paraId="56BC6E2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15D9AB9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5A97FA1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136266C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53251B30" w14:textId="77777777" w:rsidTr="00650402">
        <w:trPr>
          <w:trHeight w:val="260"/>
        </w:trPr>
        <w:tc>
          <w:tcPr>
            <w:tcW w:w="491" w:type="pct"/>
            <w:shd w:val="clear" w:color="auto" w:fill="auto"/>
            <w:noWrap/>
            <w:hideMark/>
          </w:tcPr>
          <w:p w14:paraId="67FDFC2F" w14:textId="192246BB"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Strzalka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chirurgiczny","id":"ITEM-1","issue":"2","issued":{"date-parts":[["2013","2"]]},"language":"eng","page":"73-77","publisher-place":"Poland","title":"Application of the single access technique in laparoscopic surgery.","type":"article-journal","volume":"85"},"uris":["http://www.mendeley.com/documents/?uuid=f8c6e7b5-682a-48da-9065-b921584683d9"]}],"mendeley":{"formattedCitation":"&lt;sup&gt;[31]&lt;/sup&gt;","plainTextFormattedCitation":"[31]","previouslyFormattedCitation":"&lt;sup&gt;[31]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[31]</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15C0770F"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13A4481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206DE1A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14:paraId="3275F0C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100</w:t>
            </w:r>
          </w:p>
        </w:tc>
        <w:tc>
          <w:tcPr>
            <w:tcW w:w="280" w:type="pct"/>
            <w:shd w:val="clear" w:color="auto" w:fill="auto"/>
            <w:noWrap/>
            <w:hideMark/>
          </w:tcPr>
          <w:p w14:paraId="71A39FF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70" w:type="pct"/>
            <w:shd w:val="clear" w:color="auto" w:fill="auto"/>
            <w:noWrap/>
            <w:hideMark/>
          </w:tcPr>
          <w:p w14:paraId="2D3DC3F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14:paraId="3593BBC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7F970A4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7" w:type="pct"/>
            <w:shd w:val="clear" w:color="auto" w:fill="auto"/>
            <w:noWrap/>
            <w:hideMark/>
          </w:tcPr>
          <w:p w14:paraId="6072D30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3015E5F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3D7E1F89" w14:textId="77777777" w:rsidTr="00650402">
        <w:trPr>
          <w:trHeight w:val="260"/>
        </w:trPr>
        <w:tc>
          <w:tcPr>
            <w:tcW w:w="491" w:type="pct"/>
            <w:shd w:val="clear" w:color="auto" w:fill="auto"/>
            <w:noWrap/>
            <w:hideMark/>
          </w:tcPr>
          <w:p w14:paraId="5190D914" w14:textId="4C5006A3"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Yilmaz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[22]</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3CE4A989"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2B48BB5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2048F3B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573" w:type="pct"/>
            <w:shd w:val="clear" w:color="auto" w:fill="auto"/>
            <w:noWrap/>
            <w:hideMark/>
          </w:tcPr>
          <w:p w14:paraId="29BB9DC3" w14:textId="7BCC568D"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93</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(14.1)</w:t>
            </w:r>
          </w:p>
        </w:tc>
        <w:tc>
          <w:tcPr>
            <w:tcW w:w="280" w:type="pct"/>
            <w:shd w:val="clear" w:color="auto" w:fill="auto"/>
            <w:noWrap/>
            <w:hideMark/>
          </w:tcPr>
          <w:p w14:paraId="1D9FFE3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2.2(0.9)</w:t>
            </w:r>
          </w:p>
        </w:tc>
        <w:tc>
          <w:tcPr>
            <w:tcW w:w="370" w:type="pct"/>
            <w:shd w:val="clear" w:color="auto" w:fill="auto"/>
            <w:noWrap/>
            <w:hideMark/>
          </w:tcPr>
          <w:p w14:paraId="1DE906B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14:paraId="0FB32F7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6830964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2B0349B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3830A6D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7BE3BB09" w14:textId="77777777" w:rsidTr="00650402">
        <w:trPr>
          <w:trHeight w:val="560"/>
        </w:trPr>
        <w:tc>
          <w:tcPr>
            <w:tcW w:w="491" w:type="pct"/>
            <w:shd w:val="clear" w:color="auto" w:fill="auto"/>
            <w:noWrap/>
            <w:hideMark/>
          </w:tcPr>
          <w:p w14:paraId="2A8CADE7" w14:textId="7B2C9752"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Eyuboglu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TECHNIQUES","id":"ITEM-1","issue":"2","issued":{"date-parts":[["2012","3"]]},"language":"eng","note":"From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mendeley":{"formattedCitation":"&lt;sup&gt;[20]&lt;/sup&gt;","plainTextFormattedCitation":"[20]","previouslyFormattedCitation":"&lt;sup&gt;[20]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[20]</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71F8364E"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5A4841C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21112BD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14:paraId="2ACCA7A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80" w:type="pct"/>
            <w:shd w:val="clear" w:color="auto" w:fill="auto"/>
            <w:noWrap/>
            <w:hideMark/>
          </w:tcPr>
          <w:p w14:paraId="0849BBB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70" w:type="pct"/>
            <w:shd w:val="clear" w:color="auto" w:fill="auto"/>
            <w:noWrap/>
            <w:hideMark/>
          </w:tcPr>
          <w:p w14:paraId="0FB33ED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14:paraId="6A7E6C0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0F037C6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13C71FF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5921AC8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0DAFB480" w14:textId="77777777" w:rsidTr="00650402">
        <w:trPr>
          <w:trHeight w:val="560"/>
        </w:trPr>
        <w:tc>
          <w:tcPr>
            <w:tcW w:w="491" w:type="pct"/>
            <w:shd w:val="clear" w:color="auto" w:fill="auto"/>
            <w:noWrap/>
            <w:hideMark/>
          </w:tcPr>
          <w:p w14:paraId="6A8B30DE" w14:textId="7ECCF4FB"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Miyazaki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techniques","id":"ITEM-1","issue":"3","issued":{"date-parts":[["2012","6"]]},"language":"eng","page":"e118-21","publisher-place":"United States","title":"Single-port laparoscopic surgery of the distal esophagus: initial clinical experience.","type":"article-journal","volume":"22"},"uris":["http://www.mendeley.com/documents/?uuid=5c9b5627-6b69-4214-980f-6e7e266becb2"]}],"mendeley":{"formattedCitation":"&lt;sup&gt;[19]&lt;/sup&gt;","plainTextFormattedCitation":"[19]","previouslyFormattedCitation":"&lt;sup&gt;[19]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[19]</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456" w:type="pct"/>
            <w:shd w:val="clear" w:color="auto" w:fill="auto"/>
            <w:noWrap/>
            <w:hideMark/>
          </w:tcPr>
          <w:p w14:paraId="78DEA45D"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10547D5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14587E3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573" w:type="pct"/>
            <w:shd w:val="clear" w:color="auto" w:fill="auto"/>
            <w:noWrap/>
            <w:hideMark/>
          </w:tcPr>
          <w:p w14:paraId="21EFE6FE" w14:textId="6921698A"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202.7</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(61.1)</w:t>
            </w:r>
          </w:p>
        </w:tc>
        <w:tc>
          <w:tcPr>
            <w:tcW w:w="280" w:type="pct"/>
            <w:shd w:val="clear" w:color="auto" w:fill="auto"/>
            <w:noWrap/>
            <w:hideMark/>
          </w:tcPr>
          <w:p w14:paraId="0B7D6948" w14:textId="41DAB8F6"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15.5</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(10.6)</w:t>
            </w:r>
          </w:p>
        </w:tc>
        <w:tc>
          <w:tcPr>
            <w:tcW w:w="370" w:type="pct"/>
            <w:shd w:val="clear" w:color="auto" w:fill="auto"/>
            <w:noWrap/>
            <w:hideMark/>
          </w:tcPr>
          <w:p w14:paraId="653C9BD0" w14:textId="7EF6896F"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25</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(23)</w:t>
            </w:r>
          </w:p>
        </w:tc>
        <w:tc>
          <w:tcPr>
            <w:tcW w:w="453" w:type="pct"/>
            <w:shd w:val="clear" w:color="auto" w:fill="auto"/>
            <w:noWrap/>
            <w:hideMark/>
          </w:tcPr>
          <w:p w14:paraId="61325E4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6458340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26D0765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2657B46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69EA5F49" w14:textId="77777777" w:rsidTr="00650402">
        <w:trPr>
          <w:trHeight w:val="260"/>
        </w:trPr>
        <w:tc>
          <w:tcPr>
            <w:tcW w:w="491" w:type="pct"/>
            <w:shd w:val="clear" w:color="auto" w:fill="auto"/>
            <w:noWrap/>
            <w:hideMark/>
          </w:tcPr>
          <w:p w14:paraId="28AC3C03" w14:textId="6CA83004"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Mizuno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today","id":"ITEM-1","issue":"6","issued":{"date-parts":[["2012","6"]]},"language":"eng","page":"601-604","publisher-place":"Japan","title":"Early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mendeley":{"formattedCitation":"&lt;sup&gt;[21]&lt;/sup&gt;","plainTextFormattedCitation":"[21]","previouslyFormattedCitation":"&lt;sup&gt;[21]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[21]</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w:t>
            </w:r>
          </w:p>
        </w:tc>
        <w:tc>
          <w:tcPr>
            <w:tcW w:w="456" w:type="pct"/>
            <w:shd w:val="clear" w:color="auto" w:fill="auto"/>
            <w:noWrap/>
            <w:hideMark/>
          </w:tcPr>
          <w:p w14:paraId="72870AB1"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41B20CB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669E3E8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14:paraId="5FD121B9" w14:textId="779D2FE4"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147.5</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(45.9)</w:t>
            </w:r>
          </w:p>
        </w:tc>
        <w:tc>
          <w:tcPr>
            <w:tcW w:w="280" w:type="pct"/>
            <w:shd w:val="clear" w:color="auto" w:fill="auto"/>
            <w:noWrap/>
            <w:hideMark/>
          </w:tcPr>
          <w:p w14:paraId="750792E4" w14:textId="53035FE2"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w:t>
            </w:r>
          </w:p>
        </w:tc>
        <w:tc>
          <w:tcPr>
            <w:tcW w:w="370" w:type="pct"/>
            <w:shd w:val="clear" w:color="auto" w:fill="auto"/>
            <w:noWrap/>
            <w:hideMark/>
          </w:tcPr>
          <w:p w14:paraId="3E9B291E" w14:textId="438244FB"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(7)</w:t>
            </w:r>
          </w:p>
        </w:tc>
        <w:tc>
          <w:tcPr>
            <w:tcW w:w="453" w:type="pct"/>
            <w:shd w:val="clear" w:color="auto" w:fill="auto"/>
            <w:noWrap/>
            <w:hideMark/>
          </w:tcPr>
          <w:p w14:paraId="61853A2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4F14538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59D5B48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767B0E8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036E2C6E" w14:textId="77777777" w:rsidTr="00650402">
        <w:trPr>
          <w:trHeight w:val="260"/>
        </w:trPr>
        <w:tc>
          <w:tcPr>
            <w:tcW w:w="491" w:type="pct"/>
            <w:shd w:val="clear" w:color="auto" w:fill="auto"/>
            <w:noWrap/>
            <w:hideMark/>
          </w:tcPr>
          <w:p w14:paraId="5F565D8B" w14:textId="3F306504"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lastRenderedPageBreak/>
              <w:t>Barbaros</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gastroenterology","id":"ITEM-1","issued":{"date-parts":[["2011"]]},"language":"eng","page":"347487","publisher-place":"Egypt","title":"Pure SILS Floppy Nissen Fundoplication with Hiatal Repair: A Case Report.","type":"article-journal","volume":"2011"},"uris":["http://www.mendeley.com/documents/?uuid=bb1b6c22-cb01-419a-8aa1-ecc2590e20fb"]}],"mendeley":{"formattedCitation":"&lt;sup&gt;[18]&lt;/sup&gt;","plainTextFormattedCitation":"[18]","previouslyFormattedCitation":"&lt;sup&gt;[18]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[18]</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0F4F782A"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76C18E7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7A844A3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14:paraId="401F328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120</w:t>
            </w:r>
          </w:p>
        </w:tc>
        <w:tc>
          <w:tcPr>
            <w:tcW w:w="280" w:type="pct"/>
            <w:shd w:val="clear" w:color="auto" w:fill="auto"/>
            <w:noWrap/>
            <w:hideMark/>
          </w:tcPr>
          <w:p w14:paraId="07E1970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70" w:type="pct"/>
            <w:shd w:val="clear" w:color="auto" w:fill="auto"/>
            <w:noWrap/>
            <w:hideMark/>
          </w:tcPr>
          <w:p w14:paraId="746C577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14:paraId="7B643B3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4F413FE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153CF89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5F19FF9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0474ADA4" w14:textId="77777777" w:rsidTr="00650402">
        <w:trPr>
          <w:trHeight w:val="260"/>
        </w:trPr>
        <w:tc>
          <w:tcPr>
            <w:tcW w:w="491" w:type="pct"/>
            <w:shd w:val="clear" w:color="auto" w:fill="auto"/>
            <w:noWrap/>
            <w:hideMark/>
          </w:tcPr>
          <w:p w14:paraId="34AB27C4" w14:textId="2271ADD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Dapri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25215FB3"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0C61132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21" w:type="pct"/>
            <w:shd w:val="clear" w:color="auto" w:fill="auto"/>
            <w:noWrap/>
            <w:hideMark/>
          </w:tcPr>
          <w:p w14:paraId="03293AD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14:paraId="5FC39C0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122</w:t>
            </w:r>
          </w:p>
        </w:tc>
        <w:tc>
          <w:tcPr>
            <w:tcW w:w="280" w:type="pct"/>
            <w:shd w:val="clear" w:color="auto" w:fill="auto"/>
            <w:noWrap/>
            <w:hideMark/>
          </w:tcPr>
          <w:p w14:paraId="6E469D4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70" w:type="pct"/>
            <w:shd w:val="clear" w:color="auto" w:fill="auto"/>
            <w:noWrap/>
            <w:hideMark/>
          </w:tcPr>
          <w:p w14:paraId="260C959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453" w:type="pct"/>
            <w:shd w:val="clear" w:color="auto" w:fill="auto"/>
            <w:noWrap/>
            <w:hideMark/>
          </w:tcPr>
          <w:p w14:paraId="4BD4ACB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38F3761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6F057F3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40EDF8F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1D8C9392" w14:textId="77777777" w:rsidTr="00650402">
        <w:trPr>
          <w:trHeight w:val="260"/>
        </w:trPr>
        <w:tc>
          <w:tcPr>
            <w:tcW w:w="491" w:type="pct"/>
            <w:shd w:val="clear" w:color="auto" w:fill="auto"/>
            <w:noWrap/>
            <w:hideMark/>
          </w:tcPr>
          <w:p w14:paraId="0B362FDE" w14:textId="33109A1E"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Hawasli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38D70F79"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2D7954C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22B6E6A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14:paraId="5DBB9EF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52</w:t>
            </w:r>
          </w:p>
        </w:tc>
        <w:tc>
          <w:tcPr>
            <w:tcW w:w="280" w:type="pct"/>
            <w:shd w:val="clear" w:color="auto" w:fill="auto"/>
            <w:noWrap/>
            <w:hideMark/>
          </w:tcPr>
          <w:p w14:paraId="01CF0F3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70" w:type="pct"/>
            <w:shd w:val="clear" w:color="auto" w:fill="auto"/>
            <w:noWrap/>
            <w:hideMark/>
          </w:tcPr>
          <w:p w14:paraId="7F87EA3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14:paraId="1C30A75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11903B9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654A4C1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6E57134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2DC66815" w14:textId="77777777" w:rsidTr="00650402">
        <w:trPr>
          <w:trHeight w:val="260"/>
        </w:trPr>
        <w:tc>
          <w:tcPr>
            <w:tcW w:w="491" w:type="pct"/>
            <w:shd w:val="clear" w:color="auto" w:fill="auto"/>
            <w:noWrap/>
            <w:hideMark/>
          </w:tcPr>
          <w:p w14:paraId="350601CF" w14:textId="415E1C0F"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Hamzaoglu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42803DC3"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14:paraId="4CCE3A5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1EA0963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14:paraId="11AF6C76" w14:textId="0059A58F"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190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(17.3)</w:t>
            </w:r>
          </w:p>
        </w:tc>
        <w:tc>
          <w:tcPr>
            <w:tcW w:w="280" w:type="pct"/>
            <w:shd w:val="clear" w:color="auto" w:fill="auto"/>
            <w:noWrap/>
            <w:hideMark/>
          </w:tcPr>
          <w:p w14:paraId="11E0B25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70" w:type="pct"/>
            <w:shd w:val="clear" w:color="auto" w:fill="auto"/>
            <w:noWrap/>
            <w:hideMark/>
          </w:tcPr>
          <w:p w14:paraId="7426E51C" w14:textId="64432E72"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(17.3)</w:t>
            </w:r>
          </w:p>
        </w:tc>
        <w:tc>
          <w:tcPr>
            <w:tcW w:w="453" w:type="pct"/>
            <w:shd w:val="clear" w:color="auto" w:fill="auto"/>
            <w:noWrap/>
            <w:hideMark/>
          </w:tcPr>
          <w:p w14:paraId="133048C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3E64B97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392B9C1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590EF47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7298F741" w14:textId="77777777" w:rsidTr="00650402">
        <w:trPr>
          <w:trHeight w:val="260"/>
        </w:trPr>
        <w:tc>
          <w:tcPr>
            <w:tcW w:w="491" w:type="pct"/>
            <w:shd w:val="clear" w:color="auto" w:fill="auto"/>
            <w:noWrap/>
            <w:hideMark/>
          </w:tcPr>
          <w:p w14:paraId="2F93AD18"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c>
          <w:tcPr>
            <w:tcW w:w="456" w:type="pct"/>
            <w:shd w:val="clear" w:color="auto" w:fill="auto"/>
            <w:noWrap/>
            <w:hideMark/>
          </w:tcPr>
          <w:p w14:paraId="4F6445CA"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c>
          <w:tcPr>
            <w:tcW w:w="500" w:type="pct"/>
            <w:shd w:val="clear" w:color="auto" w:fill="auto"/>
            <w:noWrap/>
            <w:hideMark/>
          </w:tcPr>
          <w:p w14:paraId="54D62894" w14:textId="0A30FFC5"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621" w:type="pct"/>
            <w:shd w:val="clear" w:color="auto" w:fill="auto"/>
            <w:noWrap/>
            <w:hideMark/>
          </w:tcPr>
          <w:p w14:paraId="36DF9992" w14:textId="14D0F17A"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(9.8%)</w:t>
            </w:r>
          </w:p>
        </w:tc>
        <w:tc>
          <w:tcPr>
            <w:tcW w:w="573" w:type="pct"/>
            <w:shd w:val="clear" w:color="auto" w:fill="auto"/>
            <w:noWrap/>
            <w:hideMark/>
          </w:tcPr>
          <w:p w14:paraId="3B134DC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130.71</w:t>
            </w:r>
          </w:p>
        </w:tc>
        <w:tc>
          <w:tcPr>
            <w:tcW w:w="280" w:type="pct"/>
            <w:shd w:val="clear" w:color="auto" w:fill="auto"/>
            <w:noWrap/>
            <w:hideMark/>
          </w:tcPr>
          <w:p w14:paraId="6E9BC00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w:t>
            </w:r>
          </w:p>
        </w:tc>
        <w:tc>
          <w:tcPr>
            <w:tcW w:w="370" w:type="pct"/>
            <w:shd w:val="clear" w:color="auto" w:fill="auto"/>
            <w:noWrap/>
            <w:hideMark/>
          </w:tcPr>
          <w:p w14:paraId="6822CC98"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21.3</w:t>
            </w:r>
          </w:p>
        </w:tc>
        <w:tc>
          <w:tcPr>
            <w:tcW w:w="453" w:type="pct"/>
            <w:shd w:val="clear" w:color="auto" w:fill="auto"/>
            <w:noWrap/>
            <w:hideMark/>
          </w:tcPr>
          <w:p w14:paraId="1A0FCD65" w14:textId="2ECC8D0F"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(2.8%)</w:t>
            </w:r>
          </w:p>
        </w:tc>
        <w:tc>
          <w:tcPr>
            <w:tcW w:w="383" w:type="pct"/>
            <w:shd w:val="clear" w:color="auto" w:fill="auto"/>
            <w:noWrap/>
            <w:hideMark/>
          </w:tcPr>
          <w:p w14:paraId="6B475DED" w14:textId="784C486F"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357" w:type="pct"/>
            <w:shd w:val="clear" w:color="auto" w:fill="auto"/>
            <w:noWrap/>
            <w:hideMark/>
          </w:tcPr>
          <w:p w14:paraId="2BEB3CD1" w14:textId="2183B390"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517" w:type="pct"/>
            <w:shd w:val="clear" w:color="auto" w:fill="auto"/>
            <w:noWrap/>
            <w:hideMark/>
          </w:tcPr>
          <w:p w14:paraId="7A88F12B" w14:textId="548C66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(2.8%)</w:t>
            </w:r>
          </w:p>
        </w:tc>
      </w:tr>
      <w:tr w:rsidR="00161732" w:rsidRPr="00192CF1" w14:paraId="3033E7B9" w14:textId="77777777" w:rsidTr="00650402">
        <w:trPr>
          <w:trHeight w:val="560"/>
        </w:trPr>
        <w:tc>
          <w:tcPr>
            <w:tcW w:w="491" w:type="pct"/>
            <w:shd w:val="clear" w:color="auto" w:fill="auto"/>
            <w:noWrap/>
            <w:hideMark/>
          </w:tcPr>
          <w:p w14:paraId="71526389" w14:textId="5F0DB73A"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Fukuda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00C16068" w14:textId="1AC03B42"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500" w:type="pct"/>
            <w:shd w:val="clear" w:color="auto" w:fill="auto"/>
            <w:noWrap/>
            <w:hideMark/>
          </w:tcPr>
          <w:p w14:paraId="159C1CF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21102FD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7</w:t>
            </w:r>
          </w:p>
        </w:tc>
        <w:tc>
          <w:tcPr>
            <w:tcW w:w="573" w:type="pct"/>
            <w:shd w:val="clear" w:color="auto" w:fill="auto"/>
            <w:noWrap/>
            <w:hideMark/>
          </w:tcPr>
          <w:p w14:paraId="0508E121" w14:textId="2943C430"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223.5</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(46.3)</w:t>
            </w:r>
          </w:p>
        </w:tc>
        <w:tc>
          <w:tcPr>
            <w:tcW w:w="280" w:type="pct"/>
            <w:shd w:val="clear" w:color="auto" w:fill="auto"/>
            <w:noWrap/>
            <w:hideMark/>
          </w:tcPr>
          <w:p w14:paraId="40B174C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9.7(2.4)</w:t>
            </w:r>
          </w:p>
        </w:tc>
        <w:tc>
          <w:tcPr>
            <w:tcW w:w="370" w:type="pct"/>
            <w:shd w:val="clear" w:color="auto" w:fill="auto"/>
            <w:noWrap/>
            <w:hideMark/>
          </w:tcPr>
          <w:p w14:paraId="72DA1148" w14:textId="27CA40ED"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16</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(17.8)</w:t>
            </w:r>
          </w:p>
        </w:tc>
        <w:tc>
          <w:tcPr>
            <w:tcW w:w="453" w:type="pct"/>
            <w:shd w:val="clear" w:color="auto" w:fill="auto"/>
            <w:noWrap/>
            <w:hideMark/>
          </w:tcPr>
          <w:p w14:paraId="32D5D99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510A299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0DEA394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6DA363A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4C1FEB4C" w14:textId="77777777" w:rsidTr="00650402">
        <w:trPr>
          <w:trHeight w:val="260"/>
        </w:trPr>
        <w:tc>
          <w:tcPr>
            <w:tcW w:w="491" w:type="pct"/>
            <w:shd w:val="clear" w:color="auto" w:fill="auto"/>
            <w:noWrap/>
            <w:hideMark/>
          </w:tcPr>
          <w:p w14:paraId="524D720F" w14:textId="6FAF09B1"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001D78BA" w14:textId="3F93694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500" w:type="pct"/>
            <w:shd w:val="clear" w:color="auto" w:fill="auto"/>
            <w:noWrap/>
            <w:hideMark/>
          </w:tcPr>
          <w:p w14:paraId="05AD31C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605BF16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14:paraId="42487DD4" w14:textId="1529959F"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133</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(20)</w:t>
            </w:r>
          </w:p>
        </w:tc>
        <w:tc>
          <w:tcPr>
            <w:tcW w:w="280" w:type="pct"/>
            <w:shd w:val="clear" w:color="auto" w:fill="auto"/>
            <w:noWrap/>
            <w:hideMark/>
          </w:tcPr>
          <w:p w14:paraId="7210024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0" w:type="pct"/>
            <w:shd w:val="clear" w:color="auto" w:fill="auto"/>
            <w:noWrap/>
            <w:hideMark/>
          </w:tcPr>
          <w:p w14:paraId="6B3577C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14:paraId="7D41CAE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60124BF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38F8742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2E8C017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5FF138E2" w14:textId="77777777" w:rsidTr="00650402">
        <w:trPr>
          <w:trHeight w:val="560"/>
        </w:trPr>
        <w:tc>
          <w:tcPr>
            <w:tcW w:w="491" w:type="pct"/>
            <w:shd w:val="clear" w:color="auto" w:fill="auto"/>
            <w:noWrap/>
            <w:hideMark/>
          </w:tcPr>
          <w:p w14:paraId="7F9292A1" w14:textId="775626E6"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Ross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mendeley":{"formattedCitation":"&lt;sup&gt;[32]&lt;/sup&gt;","plainTextFormattedCitation":"[32]","previouslyFormattedCitation":"&lt;sup&gt;[32]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[32]</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35102A64" w14:textId="217090A2"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500" w:type="pct"/>
            <w:shd w:val="clear" w:color="auto" w:fill="auto"/>
            <w:noWrap/>
            <w:hideMark/>
          </w:tcPr>
          <w:p w14:paraId="48371A9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0502F72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w:t>
            </w:r>
          </w:p>
        </w:tc>
        <w:tc>
          <w:tcPr>
            <w:tcW w:w="573" w:type="pct"/>
            <w:shd w:val="clear" w:color="auto" w:fill="auto"/>
            <w:noWrap/>
            <w:hideMark/>
          </w:tcPr>
          <w:p w14:paraId="5DD08223" w14:textId="775DC036"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129</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(39.2)</w:t>
            </w:r>
          </w:p>
        </w:tc>
        <w:tc>
          <w:tcPr>
            <w:tcW w:w="280" w:type="pct"/>
            <w:shd w:val="clear" w:color="auto" w:fill="auto"/>
            <w:noWrap/>
            <w:hideMark/>
          </w:tcPr>
          <w:p w14:paraId="231D52EE" w14:textId="62A3D472"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(2.7)</w:t>
            </w:r>
          </w:p>
        </w:tc>
        <w:tc>
          <w:tcPr>
            <w:tcW w:w="370" w:type="pct"/>
            <w:shd w:val="clear" w:color="auto" w:fill="auto"/>
            <w:noWrap/>
            <w:hideMark/>
          </w:tcPr>
          <w:p w14:paraId="3703429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14:paraId="131F45D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9</w:t>
            </w:r>
          </w:p>
        </w:tc>
        <w:tc>
          <w:tcPr>
            <w:tcW w:w="383" w:type="pct"/>
            <w:shd w:val="clear" w:color="auto" w:fill="auto"/>
            <w:noWrap/>
            <w:hideMark/>
          </w:tcPr>
          <w:p w14:paraId="31C6596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7" w:type="pct"/>
            <w:shd w:val="clear" w:color="auto" w:fill="auto"/>
            <w:noWrap/>
            <w:hideMark/>
          </w:tcPr>
          <w:p w14:paraId="21600B7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7CA4F8FF"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4098B4D3" w14:textId="77777777" w:rsidTr="00650402">
        <w:trPr>
          <w:trHeight w:val="280"/>
        </w:trPr>
        <w:tc>
          <w:tcPr>
            <w:tcW w:w="491" w:type="pct"/>
            <w:shd w:val="clear" w:color="auto" w:fill="auto"/>
            <w:noWrap/>
            <w:hideMark/>
          </w:tcPr>
          <w:p w14:paraId="442025D2" w14:textId="2F2B44F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Yamada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mendeley":{"formattedCitation":"&lt;sup&gt;[28]&lt;/sup&gt;","plainTextFormattedCitation":"[28]","previouslyFormattedCitation":"&lt;sup&gt;[28]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[28]</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2057BC76" w14:textId="43DEC173"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500" w:type="pct"/>
            <w:shd w:val="clear" w:color="auto" w:fill="auto"/>
            <w:noWrap/>
            <w:hideMark/>
          </w:tcPr>
          <w:p w14:paraId="60E5C62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21" w:type="pct"/>
            <w:shd w:val="clear" w:color="auto" w:fill="auto"/>
            <w:noWrap/>
            <w:hideMark/>
          </w:tcPr>
          <w:p w14:paraId="69F04E8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14:paraId="4300F13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248</w:t>
            </w:r>
          </w:p>
        </w:tc>
        <w:tc>
          <w:tcPr>
            <w:tcW w:w="280" w:type="pct"/>
            <w:shd w:val="clear" w:color="auto" w:fill="auto"/>
            <w:noWrap/>
            <w:hideMark/>
          </w:tcPr>
          <w:p w14:paraId="163203C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70" w:type="pct"/>
            <w:shd w:val="clear" w:color="auto" w:fill="auto"/>
            <w:noWrap/>
            <w:hideMark/>
          </w:tcPr>
          <w:p w14:paraId="17C893E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453" w:type="pct"/>
            <w:shd w:val="clear" w:color="auto" w:fill="auto"/>
            <w:noWrap/>
            <w:hideMark/>
          </w:tcPr>
          <w:p w14:paraId="04DE18B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57673FF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2F0D702C"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31951D7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0A23C589" w14:textId="77777777" w:rsidTr="00650402">
        <w:trPr>
          <w:trHeight w:val="280"/>
        </w:trPr>
        <w:tc>
          <w:tcPr>
            <w:tcW w:w="491" w:type="pct"/>
            <w:shd w:val="clear" w:color="auto" w:fill="auto"/>
            <w:noWrap/>
            <w:hideMark/>
          </w:tcPr>
          <w:p w14:paraId="3D5DE4E2" w14:textId="337251B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Yano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today","id":"ITEM-1","issue":"3","issued":{"date-parts":[["2012","2"]]},"language":"eng","page":"299-302","publisher-place":"Japan","title":"Single-incision laparoscopic Heller myotomy and Dor fundoplication for achalasia: report of a case.","type":"article-journal","volume":"42"},"uris":["http://www.mendeley.com/documents/?uuid=f0812b93-b43f-4012-9026-6bcb9aee8455"]}],"mendeley":{"formattedCitation":"&lt;sup&gt;[29]&lt;/sup&gt;","plainTextFormattedCitation":"[29]","previouslyFormattedCitation":"&lt;sup&gt;[29]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[29]</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562290F6" w14:textId="2A72DEF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500" w:type="pct"/>
            <w:shd w:val="clear" w:color="auto" w:fill="auto"/>
            <w:noWrap/>
            <w:hideMark/>
          </w:tcPr>
          <w:p w14:paraId="0720059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21" w:type="pct"/>
            <w:shd w:val="clear" w:color="auto" w:fill="auto"/>
            <w:noWrap/>
            <w:hideMark/>
          </w:tcPr>
          <w:p w14:paraId="728210C5"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14:paraId="02CA3CE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236</w:t>
            </w:r>
          </w:p>
        </w:tc>
        <w:tc>
          <w:tcPr>
            <w:tcW w:w="280" w:type="pct"/>
            <w:shd w:val="clear" w:color="auto" w:fill="auto"/>
            <w:noWrap/>
            <w:hideMark/>
          </w:tcPr>
          <w:p w14:paraId="238EE34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4</w:t>
            </w:r>
          </w:p>
        </w:tc>
        <w:tc>
          <w:tcPr>
            <w:tcW w:w="370" w:type="pct"/>
            <w:shd w:val="clear" w:color="auto" w:fill="auto"/>
            <w:noWrap/>
            <w:hideMark/>
          </w:tcPr>
          <w:p w14:paraId="3BB0E1B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453" w:type="pct"/>
            <w:shd w:val="clear" w:color="auto" w:fill="auto"/>
            <w:noWrap/>
            <w:hideMark/>
          </w:tcPr>
          <w:p w14:paraId="0BD04E0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514E1186"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3B03174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009FB65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79AF9FC2" w14:textId="77777777" w:rsidTr="00650402">
        <w:trPr>
          <w:trHeight w:val="260"/>
        </w:trPr>
        <w:tc>
          <w:tcPr>
            <w:tcW w:w="491" w:type="pct"/>
            <w:shd w:val="clear" w:color="auto" w:fill="auto"/>
            <w:noWrap/>
            <w:hideMark/>
          </w:tcPr>
          <w:p w14:paraId="195DD1A5" w14:textId="4A54ACE9"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Nakajima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today","id":"ITEM-1","issue":"11","issued":{"date-parts":[["2011","11"]]},"language":"eng","page":"1543-1547","publisher-place":"Japan","title":"Single-incision laparoscopic Heller myotomy and Dor fundoplication for achalasia: report of a case.","type":"article-journal","volume":"41"},"uris":["http://www.mendeley.com/documents/?uuid=847f6bea-4208-41b8-95d2-54e3738d7df1"]}],"mendeley":{"formattedCitation":"&lt;sup&gt;[27]&lt;/sup&gt;","plainTextFormattedCitation":"[27]","previouslyFormattedCitation":"&lt;sup&gt;[27]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[27]</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3F4060C0" w14:textId="41A41881"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500" w:type="pct"/>
            <w:shd w:val="clear" w:color="auto" w:fill="auto"/>
            <w:noWrap/>
            <w:hideMark/>
          </w:tcPr>
          <w:p w14:paraId="23CC719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14:paraId="752F7DA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14:paraId="39F580C3"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220</w:t>
            </w:r>
          </w:p>
        </w:tc>
        <w:tc>
          <w:tcPr>
            <w:tcW w:w="280" w:type="pct"/>
            <w:shd w:val="clear" w:color="auto" w:fill="auto"/>
            <w:noWrap/>
            <w:hideMark/>
          </w:tcPr>
          <w:p w14:paraId="1A5978C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4</w:t>
            </w:r>
          </w:p>
        </w:tc>
        <w:tc>
          <w:tcPr>
            <w:tcW w:w="370" w:type="pct"/>
            <w:shd w:val="clear" w:color="auto" w:fill="auto"/>
            <w:noWrap/>
            <w:hideMark/>
          </w:tcPr>
          <w:p w14:paraId="757A5BA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p>
        </w:tc>
        <w:tc>
          <w:tcPr>
            <w:tcW w:w="453" w:type="pct"/>
            <w:shd w:val="clear" w:color="auto" w:fill="auto"/>
            <w:noWrap/>
            <w:hideMark/>
          </w:tcPr>
          <w:p w14:paraId="721A0F5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14:paraId="6CCAA2E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14:paraId="34D8DB0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14:paraId="7E57644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14:paraId="60ABE9AB" w14:textId="77777777" w:rsidTr="00650402">
        <w:trPr>
          <w:trHeight w:val="260"/>
        </w:trPr>
        <w:tc>
          <w:tcPr>
            <w:tcW w:w="491" w:type="pct"/>
            <w:shd w:val="clear" w:color="auto" w:fill="auto"/>
            <w:noWrap/>
            <w:hideMark/>
          </w:tcPr>
          <w:p w14:paraId="6190C1E5"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c>
          <w:tcPr>
            <w:tcW w:w="456" w:type="pct"/>
            <w:shd w:val="clear" w:color="auto" w:fill="auto"/>
            <w:noWrap/>
            <w:hideMark/>
          </w:tcPr>
          <w:p w14:paraId="096B681A"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c>
          <w:tcPr>
            <w:tcW w:w="500" w:type="pct"/>
            <w:shd w:val="clear" w:color="auto" w:fill="auto"/>
            <w:noWrap/>
            <w:hideMark/>
          </w:tcPr>
          <w:p w14:paraId="78857539" w14:textId="421A0AEE"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621" w:type="pct"/>
            <w:shd w:val="clear" w:color="auto" w:fill="auto"/>
            <w:noWrap/>
            <w:hideMark/>
          </w:tcPr>
          <w:p w14:paraId="32EF0C5C" w14:textId="7C222D6A"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19</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(14%)</w:t>
            </w:r>
          </w:p>
        </w:tc>
        <w:tc>
          <w:tcPr>
            <w:tcW w:w="573" w:type="pct"/>
            <w:shd w:val="clear" w:color="auto" w:fill="auto"/>
            <w:noWrap/>
            <w:hideMark/>
          </w:tcPr>
          <w:p w14:paraId="17B9FA9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138.3</w:t>
            </w:r>
          </w:p>
        </w:tc>
        <w:tc>
          <w:tcPr>
            <w:tcW w:w="280" w:type="pct"/>
            <w:shd w:val="clear" w:color="auto" w:fill="auto"/>
            <w:noWrap/>
            <w:hideMark/>
          </w:tcPr>
          <w:p w14:paraId="54D04707"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w:t>
            </w:r>
          </w:p>
        </w:tc>
        <w:tc>
          <w:tcPr>
            <w:tcW w:w="370" w:type="pct"/>
            <w:shd w:val="clear" w:color="auto" w:fill="auto"/>
            <w:noWrap/>
            <w:hideMark/>
          </w:tcPr>
          <w:p w14:paraId="5541CA42"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13.07</w:t>
            </w:r>
          </w:p>
        </w:tc>
        <w:tc>
          <w:tcPr>
            <w:tcW w:w="453" w:type="pct"/>
            <w:shd w:val="clear" w:color="auto" w:fill="auto"/>
            <w:noWrap/>
            <w:hideMark/>
          </w:tcPr>
          <w:p w14:paraId="57F92356" w14:textId="46353D5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9</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(6.5%)</w:t>
            </w:r>
          </w:p>
        </w:tc>
        <w:tc>
          <w:tcPr>
            <w:tcW w:w="383" w:type="pct"/>
            <w:shd w:val="clear" w:color="auto" w:fill="auto"/>
            <w:noWrap/>
            <w:hideMark/>
          </w:tcPr>
          <w:p w14:paraId="0BCD8086" w14:textId="037FC406"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357" w:type="pct"/>
            <w:shd w:val="clear" w:color="auto" w:fill="auto"/>
            <w:noWrap/>
            <w:hideMark/>
          </w:tcPr>
          <w:p w14:paraId="65C845D5" w14:textId="578FC63D"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517" w:type="pct"/>
            <w:shd w:val="clear" w:color="auto" w:fill="auto"/>
            <w:noWrap/>
            <w:hideMark/>
          </w:tcPr>
          <w:p w14:paraId="4F2BDC36" w14:textId="41B4E482"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r>
      <w:tr w:rsidR="00161732" w:rsidRPr="00192CF1" w14:paraId="5EACD8FE" w14:textId="77777777" w:rsidTr="00650402">
        <w:trPr>
          <w:trHeight w:val="560"/>
        </w:trPr>
        <w:tc>
          <w:tcPr>
            <w:tcW w:w="491" w:type="pct"/>
            <w:shd w:val="clear" w:color="auto" w:fill="auto"/>
            <w:noWrap/>
            <w:hideMark/>
          </w:tcPr>
          <w:p w14:paraId="3E302E19" w14:textId="47AF33B5"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14:paraId="59653AEA" w14:textId="77777777"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Toupet</w:t>
            </w:r>
            <w:proofErr w:type="spellEnd"/>
          </w:p>
        </w:tc>
        <w:tc>
          <w:tcPr>
            <w:tcW w:w="500" w:type="pct"/>
            <w:shd w:val="clear" w:color="auto" w:fill="auto"/>
            <w:noWrap/>
            <w:hideMark/>
          </w:tcPr>
          <w:p w14:paraId="1B9207F0"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21" w:type="pct"/>
            <w:shd w:val="clear" w:color="auto" w:fill="auto"/>
            <w:noWrap/>
            <w:hideMark/>
          </w:tcPr>
          <w:p w14:paraId="4C474F5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14:paraId="66BC8012" w14:textId="7F9C7BCE"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145</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(58.4)</w:t>
            </w:r>
          </w:p>
        </w:tc>
        <w:tc>
          <w:tcPr>
            <w:tcW w:w="280" w:type="pct"/>
            <w:shd w:val="clear" w:color="auto" w:fill="auto"/>
            <w:noWrap/>
            <w:hideMark/>
          </w:tcPr>
          <w:p w14:paraId="688A11D8" w14:textId="53AF1A9B"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(5.2)</w:t>
            </w:r>
          </w:p>
        </w:tc>
        <w:tc>
          <w:tcPr>
            <w:tcW w:w="370" w:type="pct"/>
            <w:shd w:val="clear" w:color="auto" w:fill="auto"/>
            <w:noWrap/>
            <w:hideMark/>
          </w:tcPr>
          <w:p w14:paraId="13DB8D79"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14:paraId="68CF140D"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3" w:type="pct"/>
            <w:shd w:val="clear" w:color="auto" w:fill="auto"/>
            <w:noWrap/>
            <w:hideMark/>
          </w:tcPr>
          <w:p w14:paraId="6B41204B"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7" w:type="pct"/>
            <w:shd w:val="clear" w:color="auto" w:fill="auto"/>
            <w:noWrap/>
            <w:hideMark/>
          </w:tcPr>
          <w:p w14:paraId="3C80DAD4"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17" w:type="pct"/>
            <w:shd w:val="clear" w:color="auto" w:fill="auto"/>
            <w:noWrap/>
            <w:hideMark/>
          </w:tcPr>
          <w:p w14:paraId="3657BAF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14:paraId="2684ECAC" w14:textId="77777777" w:rsidTr="00C43966">
        <w:trPr>
          <w:trHeight w:val="260"/>
        </w:trPr>
        <w:tc>
          <w:tcPr>
            <w:tcW w:w="5000" w:type="pct"/>
            <w:gridSpan w:val="11"/>
            <w:shd w:val="clear" w:color="auto" w:fill="auto"/>
            <w:noWrap/>
            <w:hideMark/>
          </w:tcPr>
          <w:p w14:paraId="280D6FC0"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r>
      <w:tr w:rsidR="00161732" w:rsidRPr="00192CF1" w14:paraId="56AE12DD" w14:textId="77777777" w:rsidTr="00650402">
        <w:trPr>
          <w:trHeight w:val="260"/>
        </w:trPr>
        <w:tc>
          <w:tcPr>
            <w:tcW w:w="491" w:type="pct"/>
            <w:shd w:val="clear" w:color="auto" w:fill="auto"/>
            <w:noWrap/>
            <w:hideMark/>
          </w:tcPr>
          <w:p w14:paraId="547846B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Total</w:t>
            </w:r>
          </w:p>
        </w:tc>
        <w:tc>
          <w:tcPr>
            <w:tcW w:w="456" w:type="pct"/>
            <w:shd w:val="clear" w:color="auto" w:fill="auto"/>
            <w:noWrap/>
            <w:hideMark/>
          </w:tcPr>
          <w:p w14:paraId="253ED312" w14:textId="77777777" w:rsidR="002B5612" w:rsidRPr="00192CF1" w:rsidRDefault="002B5612" w:rsidP="004647EC">
            <w:pPr>
              <w:spacing w:after="0" w:line="360" w:lineRule="auto"/>
              <w:jc w:val="both"/>
              <w:rPr>
                <w:rFonts w:ascii="Book Antiqua" w:eastAsia="Times New Roman" w:hAnsi="Book Antiqua"/>
                <w:sz w:val="24"/>
                <w:szCs w:val="24"/>
                <w:lang w:val="en-US"/>
              </w:rPr>
            </w:pPr>
          </w:p>
        </w:tc>
        <w:tc>
          <w:tcPr>
            <w:tcW w:w="500" w:type="pct"/>
            <w:shd w:val="clear" w:color="auto" w:fill="auto"/>
            <w:noWrap/>
            <w:hideMark/>
          </w:tcPr>
          <w:p w14:paraId="76343087" w14:textId="31468353"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621" w:type="pct"/>
            <w:shd w:val="clear" w:color="auto" w:fill="auto"/>
            <w:noWrap/>
            <w:hideMark/>
          </w:tcPr>
          <w:p w14:paraId="4B36A6D3" w14:textId="7928D9C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(12.9%)</w:t>
            </w:r>
          </w:p>
        </w:tc>
        <w:tc>
          <w:tcPr>
            <w:tcW w:w="573" w:type="pct"/>
            <w:shd w:val="clear" w:color="auto" w:fill="auto"/>
            <w:noWrap/>
            <w:hideMark/>
          </w:tcPr>
          <w:p w14:paraId="0AAAC931"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136.3</w:t>
            </w:r>
          </w:p>
        </w:tc>
        <w:tc>
          <w:tcPr>
            <w:tcW w:w="280" w:type="pct"/>
            <w:shd w:val="clear" w:color="auto" w:fill="auto"/>
            <w:noWrap/>
            <w:hideMark/>
          </w:tcPr>
          <w:p w14:paraId="54F51CCA"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2.49</w:t>
            </w:r>
          </w:p>
        </w:tc>
        <w:tc>
          <w:tcPr>
            <w:tcW w:w="370" w:type="pct"/>
            <w:shd w:val="clear" w:color="auto" w:fill="auto"/>
            <w:noWrap/>
            <w:hideMark/>
          </w:tcPr>
          <w:p w14:paraId="5A5E4FDE" w14:textId="77777777"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17.04</w:t>
            </w:r>
          </w:p>
        </w:tc>
        <w:tc>
          <w:tcPr>
            <w:tcW w:w="453" w:type="pct"/>
            <w:shd w:val="clear" w:color="auto" w:fill="auto"/>
            <w:noWrap/>
            <w:hideMark/>
          </w:tcPr>
          <w:p w14:paraId="6F2AD35C" w14:textId="2F384E5D"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11</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(5.2%)</w:t>
            </w:r>
          </w:p>
        </w:tc>
        <w:tc>
          <w:tcPr>
            <w:tcW w:w="383" w:type="pct"/>
            <w:shd w:val="clear" w:color="auto" w:fill="auto"/>
            <w:noWrap/>
            <w:hideMark/>
          </w:tcPr>
          <w:p w14:paraId="58FB56D9" w14:textId="1E2304F4"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357" w:type="pct"/>
            <w:shd w:val="clear" w:color="auto" w:fill="auto"/>
            <w:noWrap/>
            <w:hideMark/>
          </w:tcPr>
          <w:p w14:paraId="3D3FA85C" w14:textId="4081BCD6"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517" w:type="pct"/>
            <w:shd w:val="clear" w:color="auto" w:fill="auto"/>
            <w:noWrap/>
            <w:hideMark/>
          </w:tcPr>
          <w:p w14:paraId="4E2AAFFB" w14:textId="4C36406C"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(0.9%)</w:t>
            </w:r>
          </w:p>
        </w:tc>
      </w:tr>
    </w:tbl>
    <w:p w14:paraId="6C37E7E2" w14:textId="77777777" w:rsidR="00161732" w:rsidRDefault="00161732" w:rsidP="004647EC">
      <w:pPr>
        <w:autoSpaceDE w:val="0"/>
        <w:autoSpaceDN w:val="0"/>
        <w:adjustRightInd w:val="0"/>
        <w:spacing w:after="0" w:line="360" w:lineRule="auto"/>
        <w:jc w:val="both"/>
        <w:rPr>
          <w:rFonts w:ascii="Book Antiqua" w:hAnsi="Book Antiqua"/>
          <w:sz w:val="24"/>
          <w:szCs w:val="24"/>
          <w:lang w:val="en-US" w:eastAsia="zh-CN"/>
        </w:rPr>
      </w:pPr>
    </w:p>
    <w:p w14:paraId="6F168A97" w14:textId="7FA4B16F" w:rsidR="006E1453" w:rsidRPr="00192CF1" w:rsidRDefault="00650402" w:rsidP="004647EC">
      <w:pPr>
        <w:autoSpaceDE w:val="0"/>
        <w:autoSpaceDN w:val="0"/>
        <w:adjustRightInd w:val="0"/>
        <w:spacing w:after="0" w:line="360" w:lineRule="auto"/>
        <w:jc w:val="both"/>
        <w:rPr>
          <w:rFonts w:ascii="Book Antiqua" w:hAnsi="Book Antiqua"/>
          <w:sz w:val="24"/>
          <w:szCs w:val="24"/>
          <w:lang w:val="en-US" w:eastAsia="zh-CN"/>
        </w:rPr>
      </w:pPr>
      <w:r w:rsidRPr="00192CF1">
        <w:rPr>
          <w:rFonts w:ascii="Book Antiqua" w:hAnsi="Book Antiqua"/>
          <w:sz w:val="24"/>
          <w:szCs w:val="24"/>
          <w:lang w:val="en-US"/>
        </w:rPr>
        <w:t xml:space="preserve">n/a: </w:t>
      </w:r>
      <w:r w:rsidR="00161732" w:rsidRPr="00192CF1">
        <w:rPr>
          <w:rFonts w:ascii="Book Antiqua" w:hAnsi="Book Antiqua"/>
          <w:sz w:val="24"/>
          <w:szCs w:val="24"/>
          <w:lang w:val="en-US"/>
        </w:rPr>
        <w:t>N</w:t>
      </w:r>
      <w:r w:rsidRPr="00192CF1">
        <w:rPr>
          <w:rFonts w:ascii="Book Antiqua" w:hAnsi="Book Antiqua"/>
          <w:sz w:val="24"/>
          <w:szCs w:val="24"/>
          <w:lang w:val="en-US"/>
        </w:rPr>
        <w:t>ot available</w:t>
      </w:r>
      <w:r w:rsidR="00161732">
        <w:rPr>
          <w:rFonts w:ascii="Book Antiqua" w:hAnsi="Book Antiqua" w:hint="eastAsia"/>
          <w:sz w:val="24"/>
          <w:szCs w:val="24"/>
          <w:lang w:val="en-US" w:eastAsia="zh-CN"/>
        </w:rPr>
        <w:t>.</w:t>
      </w:r>
    </w:p>
    <w:p w14:paraId="0F8715B9" w14:textId="77777777" w:rsidR="006E1453" w:rsidRPr="008D7525" w:rsidRDefault="006E1453" w:rsidP="004647EC">
      <w:pPr>
        <w:spacing w:after="0" w:line="360" w:lineRule="auto"/>
        <w:jc w:val="both"/>
        <w:rPr>
          <w:rFonts w:ascii="Book Antiqua" w:hAnsi="Book Antiqua"/>
          <w:sz w:val="24"/>
          <w:szCs w:val="24"/>
        </w:rPr>
      </w:pPr>
    </w:p>
    <w:sectPr w:rsidR="006E1453" w:rsidRPr="008D7525" w:rsidSect="00045198">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93F9" w14:textId="77777777" w:rsidR="007961E3" w:rsidRDefault="007961E3" w:rsidP="005645EE">
      <w:pPr>
        <w:spacing w:after="0" w:line="240" w:lineRule="auto"/>
      </w:pPr>
      <w:r>
        <w:separator/>
      </w:r>
    </w:p>
  </w:endnote>
  <w:endnote w:type="continuationSeparator" w:id="0">
    <w:p w14:paraId="46E67DE3" w14:textId="77777777" w:rsidR="007961E3" w:rsidRDefault="007961E3" w:rsidP="0056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ansonText LT">
    <w:altName w:val="Times New 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NewRomanPS-BoldItalicMT">
    <w:altName w:val="hakuyoxingshu7000"/>
    <w:panose1 w:val="020B0604020202020204"/>
    <w:charset w:val="00"/>
    <w:family w:val="roman"/>
    <w:pitch w:val="variable"/>
    <w:sig w:usb0="E0000AFF" w:usb1="00007843" w:usb2="00000001" w:usb3="00000000" w:csb0="000001BF" w:csb1="00000000"/>
  </w:font>
  <w:font w:name="Segoe UI">
    <w:altName w:val="Calibri"/>
    <w:panose1 w:val="020B0604020202020204"/>
    <w:charset w:val="00"/>
    <w:family w:val="swiss"/>
    <w:pitch w:val="variable"/>
    <w:sig w:usb0="E10022FF" w:usb1="C000E47F" w:usb2="00000029" w:usb3="00000000" w:csb0="000001DF"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9D7B" w14:textId="77777777" w:rsidR="00BA4F98" w:rsidRDefault="00BA4F98">
    <w:pPr>
      <w:pStyle w:val="Footer"/>
      <w:jc w:val="right"/>
    </w:pPr>
    <w:r>
      <w:fldChar w:fldCharType="begin"/>
    </w:r>
    <w:r>
      <w:instrText>PAGE   \* MERGEFORMAT</w:instrText>
    </w:r>
    <w:r>
      <w:fldChar w:fldCharType="separate"/>
    </w:r>
    <w:r w:rsidR="00FC284D">
      <w:rPr>
        <w:noProof/>
      </w:rPr>
      <w:t>2</w:t>
    </w:r>
    <w:r>
      <w:fldChar w:fldCharType="end"/>
    </w:r>
  </w:p>
  <w:p w14:paraId="149B5F50" w14:textId="77777777" w:rsidR="00BA4F98" w:rsidRDefault="00BA4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44A2A" w14:textId="77777777" w:rsidR="007961E3" w:rsidRDefault="007961E3" w:rsidP="005645EE">
      <w:pPr>
        <w:spacing w:after="0" w:line="240" w:lineRule="auto"/>
      </w:pPr>
      <w:r>
        <w:separator/>
      </w:r>
    </w:p>
  </w:footnote>
  <w:footnote w:type="continuationSeparator" w:id="0">
    <w:p w14:paraId="17C8E1A7" w14:textId="77777777" w:rsidR="007961E3" w:rsidRDefault="007961E3" w:rsidP="00564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5F1A"/>
    <w:multiLevelType w:val="hybridMultilevel"/>
    <w:tmpl w:val="807A25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19336F"/>
    <w:multiLevelType w:val="hybridMultilevel"/>
    <w:tmpl w:val="CB724EFE"/>
    <w:lvl w:ilvl="0" w:tplc="04080001">
      <w:start w:val="1"/>
      <w:numFmt w:val="bullet"/>
      <w:lvlText w:val=""/>
      <w:lvlJc w:val="left"/>
      <w:pPr>
        <w:ind w:left="755" w:hanging="360"/>
      </w:pPr>
      <w:rPr>
        <w:rFonts w:ascii="Symbol" w:hAnsi="Symbol" w:hint="default"/>
      </w:rPr>
    </w:lvl>
    <w:lvl w:ilvl="1" w:tplc="04080003" w:tentative="1">
      <w:start w:val="1"/>
      <w:numFmt w:val="bullet"/>
      <w:lvlText w:val="o"/>
      <w:lvlJc w:val="left"/>
      <w:pPr>
        <w:ind w:left="1475" w:hanging="360"/>
      </w:pPr>
      <w:rPr>
        <w:rFonts w:ascii="Courier New" w:hAnsi="Courier New" w:cs="Courier New" w:hint="default"/>
      </w:rPr>
    </w:lvl>
    <w:lvl w:ilvl="2" w:tplc="04080005" w:tentative="1">
      <w:start w:val="1"/>
      <w:numFmt w:val="bullet"/>
      <w:lvlText w:val=""/>
      <w:lvlJc w:val="left"/>
      <w:pPr>
        <w:ind w:left="2195" w:hanging="360"/>
      </w:pPr>
      <w:rPr>
        <w:rFonts w:ascii="Wingdings" w:hAnsi="Wingdings" w:hint="default"/>
      </w:rPr>
    </w:lvl>
    <w:lvl w:ilvl="3" w:tplc="04080001" w:tentative="1">
      <w:start w:val="1"/>
      <w:numFmt w:val="bullet"/>
      <w:lvlText w:val=""/>
      <w:lvlJc w:val="left"/>
      <w:pPr>
        <w:ind w:left="2915" w:hanging="360"/>
      </w:pPr>
      <w:rPr>
        <w:rFonts w:ascii="Symbol" w:hAnsi="Symbol" w:hint="default"/>
      </w:rPr>
    </w:lvl>
    <w:lvl w:ilvl="4" w:tplc="04080003" w:tentative="1">
      <w:start w:val="1"/>
      <w:numFmt w:val="bullet"/>
      <w:lvlText w:val="o"/>
      <w:lvlJc w:val="left"/>
      <w:pPr>
        <w:ind w:left="3635" w:hanging="360"/>
      </w:pPr>
      <w:rPr>
        <w:rFonts w:ascii="Courier New" w:hAnsi="Courier New" w:cs="Courier New" w:hint="default"/>
      </w:rPr>
    </w:lvl>
    <w:lvl w:ilvl="5" w:tplc="04080005" w:tentative="1">
      <w:start w:val="1"/>
      <w:numFmt w:val="bullet"/>
      <w:lvlText w:val=""/>
      <w:lvlJc w:val="left"/>
      <w:pPr>
        <w:ind w:left="4355" w:hanging="360"/>
      </w:pPr>
      <w:rPr>
        <w:rFonts w:ascii="Wingdings" w:hAnsi="Wingdings" w:hint="default"/>
      </w:rPr>
    </w:lvl>
    <w:lvl w:ilvl="6" w:tplc="04080001" w:tentative="1">
      <w:start w:val="1"/>
      <w:numFmt w:val="bullet"/>
      <w:lvlText w:val=""/>
      <w:lvlJc w:val="left"/>
      <w:pPr>
        <w:ind w:left="5075" w:hanging="360"/>
      </w:pPr>
      <w:rPr>
        <w:rFonts w:ascii="Symbol" w:hAnsi="Symbol" w:hint="default"/>
      </w:rPr>
    </w:lvl>
    <w:lvl w:ilvl="7" w:tplc="04080003" w:tentative="1">
      <w:start w:val="1"/>
      <w:numFmt w:val="bullet"/>
      <w:lvlText w:val="o"/>
      <w:lvlJc w:val="left"/>
      <w:pPr>
        <w:ind w:left="5795" w:hanging="360"/>
      </w:pPr>
      <w:rPr>
        <w:rFonts w:ascii="Courier New" w:hAnsi="Courier New" w:cs="Courier New" w:hint="default"/>
      </w:rPr>
    </w:lvl>
    <w:lvl w:ilvl="8" w:tplc="04080005" w:tentative="1">
      <w:start w:val="1"/>
      <w:numFmt w:val="bullet"/>
      <w:lvlText w:val=""/>
      <w:lvlJc w:val="left"/>
      <w:pPr>
        <w:ind w:left="6515" w:hanging="360"/>
      </w:pPr>
      <w:rPr>
        <w:rFonts w:ascii="Wingdings" w:hAnsi="Wingdings" w:hint="default"/>
      </w:rPr>
    </w:lvl>
  </w:abstractNum>
  <w:abstractNum w:abstractNumId="2" w15:restartNumberingAfterBreak="0">
    <w:nsid w:val="2A4A16A7"/>
    <w:multiLevelType w:val="hybridMultilevel"/>
    <w:tmpl w:val="85E048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2D181D"/>
    <w:multiLevelType w:val="hybridMultilevel"/>
    <w:tmpl w:val="960E0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1031E5"/>
    <w:multiLevelType w:val="hybridMultilevel"/>
    <w:tmpl w:val="BA586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4226CE0"/>
    <w:multiLevelType w:val="hybridMultilevel"/>
    <w:tmpl w:val="729E7D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2A0499"/>
    <w:multiLevelType w:val="hybridMultilevel"/>
    <w:tmpl w:val="3F203052"/>
    <w:lvl w:ilvl="0" w:tplc="04080001">
      <w:start w:val="1"/>
      <w:numFmt w:val="bullet"/>
      <w:lvlText w:val=""/>
      <w:lvlJc w:val="left"/>
      <w:pPr>
        <w:ind w:left="763" w:hanging="360"/>
      </w:pPr>
      <w:rPr>
        <w:rFonts w:ascii="Symbol" w:hAnsi="Symbol"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7" w15:restartNumberingAfterBreak="0">
    <w:nsid w:val="7BE2596F"/>
    <w:multiLevelType w:val="hybridMultilevel"/>
    <w:tmpl w:val="179AD3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BD"/>
    <w:rsid w:val="00016391"/>
    <w:rsid w:val="00045198"/>
    <w:rsid w:val="000637BA"/>
    <w:rsid w:val="000701E5"/>
    <w:rsid w:val="00080305"/>
    <w:rsid w:val="000B677E"/>
    <w:rsid w:val="00161732"/>
    <w:rsid w:val="00171E9F"/>
    <w:rsid w:val="00185B1D"/>
    <w:rsid w:val="00192CF1"/>
    <w:rsid w:val="001E159B"/>
    <w:rsid w:val="002128EA"/>
    <w:rsid w:val="002330E7"/>
    <w:rsid w:val="0026267C"/>
    <w:rsid w:val="002B5612"/>
    <w:rsid w:val="00313864"/>
    <w:rsid w:val="003777A0"/>
    <w:rsid w:val="003876D5"/>
    <w:rsid w:val="00391534"/>
    <w:rsid w:val="003A45D8"/>
    <w:rsid w:val="003E3D46"/>
    <w:rsid w:val="00447594"/>
    <w:rsid w:val="00450BF2"/>
    <w:rsid w:val="004647EC"/>
    <w:rsid w:val="00483BD6"/>
    <w:rsid w:val="004844AE"/>
    <w:rsid w:val="004857A9"/>
    <w:rsid w:val="004D6124"/>
    <w:rsid w:val="00517516"/>
    <w:rsid w:val="005428D6"/>
    <w:rsid w:val="0056301F"/>
    <w:rsid w:val="005645EE"/>
    <w:rsid w:val="005C63BD"/>
    <w:rsid w:val="00633F7E"/>
    <w:rsid w:val="00643790"/>
    <w:rsid w:val="00650402"/>
    <w:rsid w:val="006B75F6"/>
    <w:rsid w:val="006C269C"/>
    <w:rsid w:val="006E1453"/>
    <w:rsid w:val="006F5639"/>
    <w:rsid w:val="00763503"/>
    <w:rsid w:val="00765E46"/>
    <w:rsid w:val="00766486"/>
    <w:rsid w:val="007710F8"/>
    <w:rsid w:val="007961E3"/>
    <w:rsid w:val="007D2310"/>
    <w:rsid w:val="0080582E"/>
    <w:rsid w:val="008D43DF"/>
    <w:rsid w:val="008D7525"/>
    <w:rsid w:val="008F5223"/>
    <w:rsid w:val="00951F70"/>
    <w:rsid w:val="00980B44"/>
    <w:rsid w:val="009E623B"/>
    <w:rsid w:val="00A0341B"/>
    <w:rsid w:val="00A35660"/>
    <w:rsid w:val="00A45F71"/>
    <w:rsid w:val="00A9332E"/>
    <w:rsid w:val="00A973CD"/>
    <w:rsid w:val="00B31D3B"/>
    <w:rsid w:val="00B90067"/>
    <w:rsid w:val="00BA4F98"/>
    <w:rsid w:val="00C06CF5"/>
    <w:rsid w:val="00C20C03"/>
    <w:rsid w:val="00C360E9"/>
    <w:rsid w:val="00C43966"/>
    <w:rsid w:val="00C84C6E"/>
    <w:rsid w:val="00CA04D6"/>
    <w:rsid w:val="00D87E22"/>
    <w:rsid w:val="00DB7D82"/>
    <w:rsid w:val="00E071F9"/>
    <w:rsid w:val="00E22CF2"/>
    <w:rsid w:val="00EA7DC3"/>
    <w:rsid w:val="00EE55F5"/>
    <w:rsid w:val="00F32A18"/>
    <w:rsid w:val="00FC284D"/>
    <w:rsid w:val="00FC426F"/>
    <w:rsid w:val="00FD5D6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D774"/>
  <w15:docId w15:val="{A2B57050-99A6-D041-B71D-E5E4F61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lsdException w:name="Medium List 1 Accent 1" w:uiPriority="65"/>
    <w:lsdException w:name="Revision" w:semiHidden="1" w:uiPriority="62"/>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3BD"/>
    <w:pPr>
      <w:spacing w:after="200" w:line="276" w:lineRule="auto"/>
    </w:pPr>
    <w:rPr>
      <w:sz w:val="22"/>
      <w:szCs w:val="22"/>
      <w:lang w:val="el-GR"/>
    </w:rPr>
  </w:style>
  <w:style w:type="paragraph" w:styleId="Heading1">
    <w:name w:val="heading 1"/>
    <w:basedOn w:val="Normal"/>
    <w:link w:val="Heading1Char"/>
    <w:uiPriority w:val="9"/>
    <w:qFormat/>
    <w:rsid w:val="005C63BD"/>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Heading2">
    <w:name w:val="heading 2"/>
    <w:basedOn w:val="Normal"/>
    <w:next w:val="Normal"/>
    <w:link w:val="Heading2Char"/>
    <w:uiPriority w:val="9"/>
    <w:qFormat/>
    <w:rsid w:val="005C63B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5C63BD"/>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63BD"/>
    <w:rPr>
      <w:rFonts w:ascii="Times New Roman" w:eastAsia="Times New Roman" w:hAnsi="Times New Roman" w:cs="Times New Roman"/>
      <w:b/>
      <w:bCs/>
      <w:kern w:val="36"/>
      <w:sz w:val="48"/>
      <w:szCs w:val="48"/>
      <w:lang w:eastAsia="el-GR"/>
    </w:rPr>
  </w:style>
  <w:style w:type="character" w:customStyle="1" w:styleId="Heading2Char">
    <w:name w:val="Heading 2 Char"/>
    <w:link w:val="Heading2"/>
    <w:uiPriority w:val="9"/>
    <w:rsid w:val="005C63BD"/>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C63BD"/>
    <w:rPr>
      <w:rFonts w:ascii="Cambria" w:eastAsia="Times New Roman" w:hAnsi="Cambria" w:cs="Times New Roman"/>
      <w:b/>
      <w:bCs/>
      <w:color w:val="4F81BD"/>
      <w:sz w:val="20"/>
      <w:szCs w:val="20"/>
    </w:rPr>
  </w:style>
  <w:style w:type="paragraph" w:customStyle="1" w:styleId="EndNoteBibliographyTitle">
    <w:name w:val="EndNote Bibliography Title"/>
    <w:basedOn w:val="Normal"/>
    <w:link w:val="EndNoteBibliographyTitleChar"/>
    <w:rsid w:val="005C63BD"/>
    <w:pPr>
      <w:spacing w:after="0"/>
      <w:jc w:val="center"/>
    </w:pPr>
    <w:rPr>
      <w:rFonts w:ascii="Times New Roman" w:hAnsi="Times New Roman"/>
      <w:noProof/>
      <w:sz w:val="20"/>
      <w:szCs w:val="20"/>
      <w:lang w:val="en-US"/>
    </w:rPr>
  </w:style>
  <w:style w:type="character" w:customStyle="1" w:styleId="EndNoteBibliographyTitleChar">
    <w:name w:val="EndNote Bibliography Title Char"/>
    <w:link w:val="EndNoteBibliographyTitle"/>
    <w:rsid w:val="005C63BD"/>
    <w:rPr>
      <w:rFonts w:ascii="Times New Roman" w:eastAsia="Calibri" w:hAnsi="Times New Roman" w:cs="Times New Roman"/>
      <w:noProof/>
      <w:sz w:val="20"/>
      <w:lang w:val="en-US"/>
    </w:rPr>
  </w:style>
  <w:style w:type="paragraph" w:customStyle="1" w:styleId="EndNoteBibliography">
    <w:name w:val="EndNote Bibliography"/>
    <w:basedOn w:val="Normal"/>
    <w:link w:val="EndNoteBibliographyChar"/>
    <w:rsid w:val="005C63BD"/>
    <w:pPr>
      <w:spacing w:line="240" w:lineRule="auto"/>
      <w:jc w:val="center"/>
    </w:pPr>
    <w:rPr>
      <w:rFonts w:ascii="Times New Roman" w:hAnsi="Times New Roman"/>
      <w:noProof/>
      <w:sz w:val="20"/>
      <w:szCs w:val="20"/>
      <w:lang w:val="en-US"/>
    </w:rPr>
  </w:style>
  <w:style w:type="character" w:customStyle="1" w:styleId="EndNoteBibliographyChar">
    <w:name w:val="EndNote Bibliography Char"/>
    <w:link w:val="EndNoteBibliography"/>
    <w:rsid w:val="005C63BD"/>
    <w:rPr>
      <w:rFonts w:ascii="Times New Roman" w:eastAsia="Calibri" w:hAnsi="Times New Roman" w:cs="Times New Roman"/>
      <w:noProof/>
      <w:sz w:val="20"/>
      <w:lang w:val="en-US"/>
    </w:rPr>
  </w:style>
  <w:style w:type="paragraph" w:styleId="BalloonText">
    <w:name w:val="Balloon Text"/>
    <w:basedOn w:val="Normal"/>
    <w:link w:val="BalloonTextChar"/>
    <w:uiPriority w:val="99"/>
    <w:semiHidden/>
    <w:unhideWhenUsed/>
    <w:rsid w:val="005C63B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C63BD"/>
    <w:rPr>
      <w:rFonts w:ascii="Tahoma" w:eastAsia="Calibri" w:hAnsi="Tahoma" w:cs="Times New Roman"/>
      <w:sz w:val="16"/>
      <w:szCs w:val="16"/>
    </w:rPr>
  </w:style>
  <w:style w:type="paragraph" w:styleId="Caption">
    <w:name w:val="caption"/>
    <w:basedOn w:val="Normal"/>
    <w:next w:val="Normal"/>
    <w:uiPriority w:val="35"/>
    <w:qFormat/>
    <w:rsid w:val="005C63BD"/>
    <w:pPr>
      <w:spacing w:line="240" w:lineRule="auto"/>
    </w:pPr>
    <w:rPr>
      <w:b/>
      <w:bCs/>
      <w:color w:val="4F81BD"/>
      <w:sz w:val="18"/>
      <w:szCs w:val="18"/>
    </w:rPr>
  </w:style>
  <w:style w:type="table" w:styleId="TableGrid">
    <w:name w:val="Table Grid"/>
    <w:basedOn w:val="TableNormal"/>
    <w:uiPriority w:val="39"/>
    <w:rsid w:val="005C63B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Ανοιχτόχρωμη λίστα1"/>
    <w:basedOn w:val="TableNormal"/>
    <w:uiPriority w:val="61"/>
    <w:rsid w:val="005C63BD"/>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ediumGrid1-Accent21">
    <w:name w:val="Medium Grid 1 - Accent 21"/>
    <w:basedOn w:val="Normal"/>
    <w:uiPriority w:val="34"/>
    <w:qFormat/>
    <w:rsid w:val="005C63BD"/>
    <w:pPr>
      <w:ind w:left="720"/>
      <w:contextualSpacing/>
    </w:pPr>
  </w:style>
  <w:style w:type="paragraph" w:customStyle="1" w:styleId="MediumGrid21">
    <w:name w:val="Medium Grid 21"/>
    <w:link w:val="MediumGrid2Char"/>
    <w:uiPriority w:val="1"/>
    <w:qFormat/>
    <w:rsid w:val="005C63BD"/>
    <w:rPr>
      <w:rFonts w:eastAsia="Times New Roman"/>
      <w:sz w:val="22"/>
      <w:szCs w:val="22"/>
      <w:lang w:val="el-GR"/>
    </w:rPr>
  </w:style>
  <w:style w:type="character" w:customStyle="1" w:styleId="MediumGrid2Char">
    <w:name w:val="Medium Grid 2 Char"/>
    <w:link w:val="MediumGrid21"/>
    <w:uiPriority w:val="1"/>
    <w:rsid w:val="005C63BD"/>
    <w:rPr>
      <w:rFonts w:eastAsia="Times New Roman"/>
      <w:sz w:val="22"/>
      <w:szCs w:val="22"/>
      <w:lang w:val="el-GR" w:eastAsia="en-US" w:bidi="ar-SA"/>
    </w:rPr>
  </w:style>
  <w:style w:type="paragraph" w:styleId="NormalWeb">
    <w:name w:val="Normal (Web)"/>
    <w:basedOn w:val="Normal"/>
    <w:uiPriority w:val="99"/>
    <w:semiHidden/>
    <w:unhideWhenUsed/>
    <w:rsid w:val="005C63BD"/>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uiPriority w:val="99"/>
    <w:unhideWhenUsed/>
    <w:rsid w:val="005C63BD"/>
    <w:rPr>
      <w:color w:val="0000FF"/>
      <w:u w:val="single"/>
    </w:rPr>
  </w:style>
  <w:style w:type="paragraph" w:styleId="Header">
    <w:name w:val="header"/>
    <w:basedOn w:val="Normal"/>
    <w:link w:val="HeaderChar"/>
    <w:uiPriority w:val="99"/>
    <w:unhideWhenUsed/>
    <w:rsid w:val="005C63BD"/>
    <w:pPr>
      <w:tabs>
        <w:tab w:val="center" w:pos="4153"/>
        <w:tab w:val="right" w:pos="8306"/>
      </w:tabs>
    </w:pPr>
  </w:style>
  <w:style w:type="character" w:customStyle="1" w:styleId="HeaderChar">
    <w:name w:val="Header Char"/>
    <w:link w:val="Header"/>
    <w:uiPriority w:val="99"/>
    <w:rsid w:val="005C63BD"/>
    <w:rPr>
      <w:rFonts w:ascii="Calibri" w:eastAsia="Calibri" w:hAnsi="Calibri" w:cs="Times New Roman"/>
    </w:rPr>
  </w:style>
  <w:style w:type="paragraph" w:styleId="Footer">
    <w:name w:val="footer"/>
    <w:basedOn w:val="Normal"/>
    <w:link w:val="FooterChar"/>
    <w:uiPriority w:val="99"/>
    <w:unhideWhenUsed/>
    <w:rsid w:val="005C63BD"/>
    <w:pPr>
      <w:tabs>
        <w:tab w:val="center" w:pos="4153"/>
        <w:tab w:val="right" w:pos="8306"/>
      </w:tabs>
    </w:pPr>
  </w:style>
  <w:style w:type="character" w:customStyle="1" w:styleId="FooterChar">
    <w:name w:val="Footer Char"/>
    <w:link w:val="Footer"/>
    <w:uiPriority w:val="99"/>
    <w:rsid w:val="005C63BD"/>
    <w:rPr>
      <w:rFonts w:ascii="Calibri" w:eastAsia="Calibri" w:hAnsi="Calibri" w:cs="Times New Roman"/>
    </w:rPr>
  </w:style>
  <w:style w:type="character" w:customStyle="1" w:styleId="A1">
    <w:name w:val="A1"/>
    <w:uiPriority w:val="99"/>
    <w:rsid w:val="005C63BD"/>
    <w:rPr>
      <w:rFonts w:cs="JansonText LT"/>
      <w:color w:val="000000"/>
      <w:sz w:val="19"/>
      <w:szCs w:val="19"/>
    </w:rPr>
  </w:style>
  <w:style w:type="character" w:customStyle="1" w:styleId="alt-edited">
    <w:name w:val="alt-edited"/>
    <w:rsid w:val="005C63BD"/>
  </w:style>
  <w:style w:type="character" w:customStyle="1" w:styleId="shorttext">
    <w:name w:val="short_text"/>
    <w:basedOn w:val="DefaultParagraphFont"/>
    <w:rsid w:val="005C63BD"/>
  </w:style>
  <w:style w:type="table" w:customStyle="1" w:styleId="GridTable6Colorful-Accent11">
    <w:name w:val="Grid Table 6 Colorful - Accent 11"/>
    <w:basedOn w:val="TableNormal"/>
    <w:uiPriority w:val="49"/>
    <w:rsid w:val="005C63BD"/>
    <w:rPr>
      <w:rFonts w:eastAsia="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7Colorful-Accent11">
    <w:name w:val="Grid Table 7 Colorful - Accent 11"/>
    <w:basedOn w:val="TableNormal"/>
    <w:uiPriority w:val="50"/>
    <w:rsid w:val="005C63BD"/>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2-11">
    <w:name w:val="Μεσαία σκίαση 2 - ΄Εμφαση 11"/>
    <w:basedOn w:val="TableNormal"/>
    <w:uiPriority w:val="69"/>
    <w:rsid w:val="005C63BD"/>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Table5Dark-Accent11">
    <w:name w:val="List Table 5 Dark - Accent 11"/>
    <w:basedOn w:val="TableNormal"/>
    <w:uiPriority w:val="48"/>
    <w:rsid w:val="005C63BD"/>
    <w:rPr>
      <w:rFonts w:eastAsia="Calibri"/>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ColorfulShading-Accent11">
    <w:name w:val="Colorful Shading - Accent 11"/>
    <w:hidden/>
    <w:uiPriority w:val="71"/>
    <w:rsid w:val="005C63BD"/>
    <w:rPr>
      <w:sz w:val="22"/>
      <w:szCs w:val="22"/>
      <w:lang w:val="el-GR"/>
    </w:rPr>
  </w:style>
  <w:style w:type="paragraph" w:customStyle="1" w:styleId="p1">
    <w:name w:val="p1"/>
    <w:basedOn w:val="Normal"/>
    <w:rsid w:val="005C63BD"/>
    <w:pPr>
      <w:spacing w:after="0" w:line="240" w:lineRule="auto"/>
    </w:pPr>
    <w:rPr>
      <w:rFonts w:ascii="Helvetica" w:hAnsi="Helvetica"/>
      <w:sz w:val="14"/>
      <w:szCs w:val="14"/>
      <w:lang w:eastAsia="el-GR"/>
    </w:rPr>
  </w:style>
  <w:style w:type="character" w:customStyle="1" w:styleId="UnresolvedMention1">
    <w:name w:val="Unresolved Mention1"/>
    <w:uiPriority w:val="47"/>
    <w:rsid w:val="005C63BD"/>
    <w:rPr>
      <w:color w:val="808080"/>
      <w:shd w:val="clear" w:color="auto" w:fill="E6E6E6"/>
    </w:rPr>
  </w:style>
  <w:style w:type="paragraph" w:styleId="ListParagraph">
    <w:name w:val="List Paragraph"/>
    <w:basedOn w:val="Normal"/>
    <w:uiPriority w:val="63"/>
    <w:qFormat/>
    <w:rsid w:val="005C63BD"/>
    <w:pPr>
      <w:ind w:left="720"/>
      <w:contextualSpacing/>
    </w:pPr>
  </w:style>
  <w:style w:type="paragraph" w:styleId="Revision">
    <w:name w:val="Revision"/>
    <w:hidden/>
    <w:uiPriority w:val="62"/>
    <w:rsid w:val="005C63BD"/>
    <w:rPr>
      <w:sz w:val="22"/>
      <w:szCs w:val="22"/>
      <w:lang w:val="el-GR"/>
    </w:rPr>
  </w:style>
  <w:style w:type="character" w:styleId="FollowedHyperlink">
    <w:name w:val="FollowedHyperlink"/>
    <w:uiPriority w:val="99"/>
    <w:semiHidden/>
    <w:unhideWhenUsed/>
    <w:rsid w:val="005C63BD"/>
    <w:rPr>
      <w:color w:val="800080"/>
      <w:u w:val="single"/>
    </w:rPr>
  </w:style>
  <w:style w:type="character" w:styleId="CommentReference">
    <w:name w:val="annotation reference"/>
    <w:uiPriority w:val="99"/>
    <w:semiHidden/>
    <w:unhideWhenUsed/>
    <w:rsid w:val="00447594"/>
    <w:rPr>
      <w:sz w:val="21"/>
      <w:szCs w:val="21"/>
    </w:rPr>
  </w:style>
  <w:style w:type="paragraph" w:styleId="CommentText">
    <w:name w:val="annotation text"/>
    <w:basedOn w:val="Normal"/>
    <w:link w:val="CommentTextChar"/>
    <w:uiPriority w:val="99"/>
    <w:unhideWhenUsed/>
    <w:rsid w:val="00447594"/>
  </w:style>
  <w:style w:type="character" w:customStyle="1" w:styleId="CommentTextChar">
    <w:name w:val="Comment Text Char"/>
    <w:link w:val="CommentText"/>
    <w:uiPriority w:val="99"/>
    <w:rsid w:val="00447594"/>
    <w:rPr>
      <w:sz w:val="22"/>
      <w:szCs w:val="22"/>
      <w:lang w:val="el-GR" w:eastAsia="en-US"/>
    </w:rPr>
  </w:style>
  <w:style w:type="paragraph" w:styleId="CommentSubject">
    <w:name w:val="annotation subject"/>
    <w:basedOn w:val="CommentText"/>
    <w:next w:val="CommentText"/>
    <w:link w:val="CommentSubjectChar"/>
    <w:uiPriority w:val="99"/>
    <w:semiHidden/>
    <w:unhideWhenUsed/>
    <w:rsid w:val="00447594"/>
    <w:rPr>
      <w:b/>
      <w:bCs/>
    </w:rPr>
  </w:style>
  <w:style w:type="character" w:customStyle="1" w:styleId="CommentSubjectChar">
    <w:name w:val="Comment Subject Char"/>
    <w:link w:val="CommentSubject"/>
    <w:uiPriority w:val="99"/>
    <w:semiHidden/>
    <w:rsid w:val="00447594"/>
    <w:rPr>
      <w:b/>
      <w:bCs/>
      <w:sz w:val="22"/>
      <w:szCs w:val="22"/>
      <w:lang w:val="el-GR" w:eastAsia="en-US"/>
    </w:rPr>
  </w:style>
  <w:style w:type="character" w:styleId="Strong">
    <w:name w:val="Strong"/>
    <w:uiPriority w:val="22"/>
    <w:qFormat/>
    <w:rsid w:val="00E22CF2"/>
    <w:rPr>
      <w:b/>
      <w:bCs/>
    </w:rPr>
  </w:style>
  <w:style w:type="character" w:customStyle="1" w:styleId="apple-converted-space">
    <w:name w:val="apple-converted-space"/>
    <w:basedOn w:val="DefaultParagraphFont"/>
    <w:rsid w:val="002330E7"/>
  </w:style>
  <w:style w:type="paragraph" w:styleId="PlainText">
    <w:name w:val="Plain Text"/>
    <w:basedOn w:val="Normal"/>
    <w:link w:val="PlainTextChar"/>
    <w:semiHidden/>
    <w:unhideWhenUsed/>
    <w:rsid w:val="00192CF1"/>
    <w:pPr>
      <w:widowControl w:val="0"/>
      <w:spacing w:after="0" w:line="240" w:lineRule="auto"/>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semiHidden/>
    <w:rsid w:val="00192CF1"/>
    <w:rPr>
      <w:rFonts w:ascii="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1969">
      <w:bodyDiv w:val="1"/>
      <w:marLeft w:val="0"/>
      <w:marRight w:val="0"/>
      <w:marTop w:val="0"/>
      <w:marBottom w:val="0"/>
      <w:divBdr>
        <w:top w:val="none" w:sz="0" w:space="0" w:color="auto"/>
        <w:left w:val="none" w:sz="0" w:space="0" w:color="auto"/>
        <w:bottom w:val="none" w:sz="0" w:space="0" w:color="auto"/>
        <w:right w:val="none" w:sz="0" w:space="0" w:color="auto"/>
      </w:divBdr>
    </w:div>
    <w:div w:id="859926794">
      <w:bodyDiv w:val="1"/>
      <w:marLeft w:val="0"/>
      <w:marRight w:val="0"/>
      <w:marTop w:val="0"/>
      <w:marBottom w:val="0"/>
      <w:divBdr>
        <w:top w:val="none" w:sz="0" w:space="0" w:color="auto"/>
        <w:left w:val="none" w:sz="0" w:space="0" w:color="auto"/>
        <w:bottom w:val="none" w:sz="0" w:space="0" w:color="auto"/>
        <w:right w:val="none" w:sz="0" w:space="0" w:color="auto"/>
      </w:divBdr>
    </w:div>
    <w:div w:id="1064377681">
      <w:bodyDiv w:val="1"/>
      <w:marLeft w:val="0"/>
      <w:marRight w:val="0"/>
      <w:marTop w:val="0"/>
      <w:marBottom w:val="0"/>
      <w:divBdr>
        <w:top w:val="none" w:sz="0" w:space="0" w:color="auto"/>
        <w:left w:val="none" w:sz="0" w:space="0" w:color="auto"/>
        <w:bottom w:val="none" w:sz="0" w:space="0" w:color="auto"/>
        <w:right w:val="none" w:sz="0" w:space="0" w:color="auto"/>
      </w:divBdr>
    </w:div>
    <w:div w:id="1652246385">
      <w:bodyDiv w:val="1"/>
      <w:marLeft w:val="0"/>
      <w:marRight w:val="0"/>
      <w:marTop w:val="0"/>
      <w:marBottom w:val="0"/>
      <w:divBdr>
        <w:top w:val="none" w:sz="0" w:space="0" w:color="auto"/>
        <w:left w:val="none" w:sz="0" w:space="0" w:color="auto"/>
        <w:bottom w:val="none" w:sz="0" w:space="0" w:color="auto"/>
        <w:right w:val="none" w:sz="0" w:space="0" w:color="auto"/>
      </w:divBdr>
    </w:div>
    <w:div w:id="1935359423">
      <w:bodyDiv w:val="1"/>
      <w:marLeft w:val="0"/>
      <w:marRight w:val="0"/>
      <w:marTop w:val="0"/>
      <w:marBottom w:val="0"/>
      <w:divBdr>
        <w:top w:val="none" w:sz="0" w:space="0" w:color="auto"/>
        <w:left w:val="none" w:sz="0" w:space="0" w:color="auto"/>
        <w:bottom w:val="none" w:sz="0" w:space="0" w:color="auto"/>
        <w:right w:val="none" w:sz="0" w:space="0" w:color="auto"/>
      </w:divBdr>
      <w:divsChild>
        <w:div w:id="841968654">
          <w:marLeft w:val="0"/>
          <w:marRight w:val="0"/>
          <w:marTop w:val="0"/>
          <w:marBottom w:val="0"/>
          <w:divBdr>
            <w:top w:val="none" w:sz="0" w:space="0" w:color="auto"/>
            <w:left w:val="none" w:sz="0" w:space="0" w:color="auto"/>
            <w:bottom w:val="none" w:sz="0" w:space="0" w:color="auto"/>
            <w:right w:val="none" w:sz="0" w:space="0" w:color="auto"/>
          </w:divBdr>
        </w:div>
      </w:divsChild>
    </w:div>
    <w:div w:id="20826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4DB82A-8358-E54E-9208-E822C2B3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144781</Words>
  <Characters>825253</Characters>
  <Application>Microsoft Office Word</Application>
  <DocSecurity>0</DocSecurity>
  <Lines>6877</Lines>
  <Paragraphs>1936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968098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surgery8</dc:creator>
  <cp:lastModifiedBy>Li Ma</cp:lastModifiedBy>
  <cp:revision>3</cp:revision>
  <dcterms:created xsi:type="dcterms:W3CDTF">2019-03-16T17:01:00Z</dcterms:created>
  <dcterms:modified xsi:type="dcterms:W3CDTF">2019-03-16T17:06:00Z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http://www.zotero.org/styles/annals-of-surgery</vt:lpwstr>
  </property>
  <property fmtid="{D5CDD505-2E9C-101B-9397-08002B2CF9AE}" pid="5" name="Mendeley Recent Style Name 1_1">
    <vt:lpwstr>Annals of Surgery</vt:lpwstr>
  </property>
  <property fmtid="{D5CDD505-2E9C-101B-9397-08002B2CF9AE}" pid="6" name="Mendeley Recent Style Id 2_1">
    <vt:lpwstr>http://www.zotero.org/styles/arab-journal-of-gastroenterology</vt:lpwstr>
  </property>
  <property fmtid="{D5CDD505-2E9C-101B-9397-08002B2CF9AE}" pid="7" name="Mendeley Recent Style Name 2_1">
    <vt:lpwstr>Arab Journal of Gastroenterology</vt:lpwstr>
  </property>
  <property fmtid="{D5CDD505-2E9C-101B-9397-08002B2CF9AE}" pid="8" name="Mendeley Recent Style Id 3_1">
    <vt:lpwstr>http://csl.mendeley.com/styles/507735481/obesity</vt:lpwstr>
  </property>
  <property fmtid="{D5CDD505-2E9C-101B-9397-08002B2CF9AE}" pid="9" name="Mendeley Recent Style Name 3_1">
    <vt:lpwstr>General</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http://www.zotero.org/styles/surgical-endoscopy</vt:lpwstr>
  </property>
  <property fmtid="{D5CDD505-2E9C-101B-9397-08002B2CF9AE}" pid="17" name="Mendeley Recent Style Name 7_1">
    <vt:lpwstr>Surgical Endoscopy</vt:lpwstr>
  </property>
  <property fmtid="{D5CDD505-2E9C-101B-9397-08002B2CF9AE}" pid="18" name="Mendeley Recent Style Id 8_1">
    <vt:lpwstr>http://www.zotero.org/styles/surgical-oncology</vt:lpwstr>
  </property>
  <property fmtid="{D5CDD505-2E9C-101B-9397-08002B2CF9AE}" pid="19" name="Mendeley Recent Style Name 8_1">
    <vt:lpwstr>Surgical Oncology</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ies>
</file>