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92AB1" w:rsidRPr="00594A33" w:rsidRDefault="00C92AB1" w:rsidP="0072294F">
      <w:pPr>
        <w:pStyle w:val="p0"/>
        <w:adjustRightInd w:val="0"/>
        <w:snapToGrid w:val="0"/>
        <w:spacing w:line="360" w:lineRule="auto"/>
        <w:jc w:val="both"/>
        <w:rPr>
          <w:rFonts w:ascii="Book Antiqua" w:hAnsi="Book Antiqua"/>
          <w:color w:val="000000"/>
          <w:sz w:val="24"/>
          <w:szCs w:val="24"/>
        </w:rPr>
      </w:pPr>
      <w:bookmarkStart w:id="0" w:name="OLE_LINK1896"/>
      <w:bookmarkStart w:id="1" w:name="OLE_LINK594"/>
      <w:bookmarkStart w:id="2" w:name="OLE_LINK595"/>
      <w:bookmarkStart w:id="3" w:name="OLE_LINK988"/>
      <w:bookmarkStart w:id="4" w:name="OLE_LINK989"/>
      <w:bookmarkStart w:id="5" w:name="OLE_LINK990"/>
      <w:bookmarkStart w:id="6" w:name="OLE_LINK613"/>
      <w:bookmarkStart w:id="7" w:name="OLE_LINK616"/>
      <w:bookmarkStart w:id="8" w:name="OLE_LINK647"/>
      <w:bookmarkStart w:id="9" w:name="OLE_LINK730"/>
      <w:bookmarkStart w:id="10" w:name="OLE_LINK731"/>
      <w:bookmarkStart w:id="11" w:name="OLE_LINK732"/>
      <w:bookmarkStart w:id="12" w:name="OLE_LINK682"/>
      <w:bookmarkStart w:id="13" w:name="OLE_LINK813"/>
      <w:bookmarkStart w:id="14" w:name="OLE_LINK814"/>
      <w:bookmarkStart w:id="15" w:name="OLE_LINK834"/>
      <w:bookmarkStart w:id="16" w:name="OLE_LINK835"/>
      <w:bookmarkStart w:id="17" w:name="OLE_LINK852"/>
      <w:bookmarkStart w:id="18" w:name="OLE_LINK945"/>
      <w:bookmarkStart w:id="19" w:name="OLE_LINK946"/>
      <w:bookmarkStart w:id="20" w:name="OLE_LINK822"/>
      <w:bookmarkStart w:id="21" w:name="OLE_LINK823"/>
      <w:bookmarkStart w:id="22" w:name="OLE_LINK826"/>
      <w:bookmarkStart w:id="23" w:name="OLE_LINK827"/>
      <w:bookmarkStart w:id="24" w:name="OLE_LINK1009"/>
      <w:bookmarkStart w:id="25" w:name="OLE_LINK1010"/>
      <w:bookmarkStart w:id="26" w:name="OLE_LINK1012"/>
      <w:bookmarkStart w:id="27" w:name="OLE_LINK1098"/>
      <w:bookmarkStart w:id="28" w:name="OLE_LINK1099"/>
      <w:bookmarkStart w:id="29" w:name="OLE_LINK1161"/>
      <w:bookmarkStart w:id="30" w:name="OLE_LINK1215"/>
      <w:bookmarkStart w:id="31" w:name="OLE_LINK1236"/>
      <w:bookmarkStart w:id="32" w:name="OLE_LINK1255"/>
      <w:bookmarkStart w:id="33" w:name="OLE_LINK1256"/>
      <w:bookmarkStart w:id="34" w:name="OLE_LINK1295"/>
      <w:bookmarkStart w:id="35" w:name="OLE_LINK1346"/>
      <w:bookmarkStart w:id="36" w:name="OLE_LINK1396"/>
      <w:bookmarkStart w:id="37" w:name="OLE_LINK1409"/>
      <w:bookmarkStart w:id="38" w:name="OLE_LINK1410"/>
      <w:bookmarkStart w:id="39" w:name="OLE_LINK1446"/>
      <w:bookmarkStart w:id="40" w:name="OLE_LINK1447"/>
      <w:bookmarkStart w:id="41" w:name="OLE_LINK1471"/>
      <w:bookmarkStart w:id="42" w:name="OLE_LINK1511"/>
      <w:bookmarkStart w:id="43" w:name="OLE_LINK1512"/>
      <w:bookmarkStart w:id="44" w:name="OLE_LINK1107"/>
      <w:bookmarkStart w:id="45" w:name="OLE_LINK1118"/>
      <w:bookmarkStart w:id="46" w:name="OLE_LINK1400"/>
      <w:bookmarkStart w:id="47" w:name="OLE_LINK1485"/>
      <w:bookmarkStart w:id="48" w:name="OLE_LINK1594"/>
      <w:bookmarkStart w:id="49" w:name="OLE_LINK1607"/>
      <w:bookmarkStart w:id="50" w:name="OLE_LINK1664"/>
      <w:bookmarkStart w:id="51" w:name="OLE_LINK1695"/>
      <w:bookmarkStart w:id="52" w:name="OLE_LINK1759"/>
      <w:bookmarkStart w:id="53" w:name="OLE_LINK1788"/>
      <w:bookmarkStart w:id="54" w:name="OLE_LINK1822"/>
      <w:bookmarkStart w:id="55" w:name="OLE_LINK1849"/>
      <w:bookmarkStart w:id="56" w:name="OLE_LINK1910"/>
      <w:bookmarkStart w:id="57" w:name="OLE_LINK2043"/>
      <w:bookmarkStart w:id="58" w:name="OLE_LINK2056"/>
      <w:bookmarkStart w:id="59" w:name="OLE_LINK2057"/>
      <w:bookmarkStart w:id="60" w:name="OLE_LINK2058"/>
      <w:bookmarkStart w:id="61" w:name="OLE_LINK2061"/>
      <w:bookmarkStart w:id="62" w:name="OLE_LINK2062"/>
      <w:bookmarkStart w:id="63" w:name="OLE_LINK2156"/>
      <w:bookmarkStart w:id="64" w:name="OLE_LINK2219"/>
      <w:bookmarkStart w:id="65" w:name="OLE_LINK2209"/>
      <w:bookmarkStart w:id="66" w:name="OLE_LINK2210"/>
      <w:bookmarkStart w:id="67" w:name="OLE_LINK2211"/>
      <w:bookmarkStart w:id="68" w:name="OLE_LINK2247"/>
      <w:bookmarkStart w:id="69" w:name="OLE_LINK2277"/>
      <w:bookmarkStart w:id="70" w:name="OLE_LINK2278"/>
      <w:bookmarkStart w:id="71" w:name="OLE_LINK2288"/>
      <w:bookmarkStart w:id="72" w:name="OLE_LINK2289"/>
      <w:bookmarkStart w:id="73" w:name="OLE_LINK2316"/>
      <w:bookmarkStart w:id="74" w:name="OLE_LINK2317"/>
      <w:bookmarkStart w:id="75" w:name="OLE_LINK2318"/>
      <w:bookmarkStart w:id="76" w:name="OLE_LINK2340"/>
      <w:bookmarkStart w:id="77" w:name="OLE_LINK2342"/>
      <w:bookmarkStart w:id="78" w:name="OLE_LINK2343"/>
      <w:bookmarkStart w:id="79" w:name="OLE_LINK2368"/>
      <w:bookmarkStart w:id="80" w:name="OLE_LINK2369"/>
      <w:bookmarkStart w:id="81" w:name="OLE_LINK2370"/>
      <w:bookmarkStart w:id="82" w:name="OLE_LINK2375"/>
      <w:bookmarkStart w:id="83" w:name="OLE_LINK2443"/>
      <w:bookmarkStart w:id="84" w:name="OLE_LINK2491"/>
      <w:bookmarkStart w:id="85" w:name="OLE_LINK2542"/>
      <w:bookmarkStart w:id="86" w:name="OLE_LINK2543"/>
      <w:bookmarkStart w:id="87" w:name="OLE_LINK2397"/>
      <w:bookmarkStart w:id="88" w:name="OLE_LINK2414"/>
      <w:bookmarkStart w:id="89" w:name="OLE_LINK2415"/>
      <w:bookmarkStart w:id="90" w:name="OLE_LINK2433"/>
      <w:bookmarkStart w:id="91" w:name="OLE_LINK2441"/>
      <w:bookmarkStart w:id="92" w:name="OLE_LINK2487"/>
      <w:bookmarkStart w:id="93" w:name="OLE_LINK2497"/>
      <w:bookmarkStart w:id="94" w:name="OLE_LINK2559"/>
      <w:bookmarkStart w:id="95" w:name="OLE_LINK784"/>
      <w:bookmarkStart w:id="96" w:name="OLE_LINK785"/>
      <w:bookmarkStart w:id="97" w:name="OLE_LINK2359"/>
      <w:bookmarkStart w:id="98" w:name="OLE_LINK350"/>
      <w:bookmarkStart w:id="99" w:name="OLE_LINK378"/>
      <w:bookmarkStart w:id="100" w:name="OLE_LINK388"/>
      <w:bookmarkStart w:id="101" w:name="OLE_LINK392"/>
      <w:bookmarkStart w:id="102" w:name="OLE_LINK370"/>
      <w:bookmarkStart w:id="103" w:name="OLE_LINK372"/>
      <w:bookmarkStart w:id="104" w:name="OLE_LINK139"/>
      <w:bookmarkStart w:id="105" w:name="OLE_LINK408"/>
      <w:bookmarkStart w:id="106" w:name="OLE_LINK409"/>
      <w:bookmarkStart w:id="107" w:name="OLE_LINK410"/>
      <w:bookmarkStart w:id="108" w:name="OLE_LINK411"/>
      <w:bookmarkStart w:id="109" w:name="OLE_LINK670"/>
      <w:bookmarkStart w:id="110" w:name="OLE_LINK458"/>
      <w:bookmarkStart w:id="111" w:name="OLE_LINK439"/>
      <w:bookmarkStart w:id="112" w:name="OLE_LINK967"/>
      <w:bookmarkStart w:id="113" w:name="OLE_LINK968"/>
      <w:bookmarkStart w:id="114" w:name="OLE_LINK991"/>
      <w:bookmarkStart w:id="115" w:name="OLE_LINK1040"/>
      <w:bookmarkStart w:id="116" w:name="OLE_LINK1041"/>
      <w:bookmarkStart w:id="117" w:name="OLE_LINK1042"/>
      <w:bookmarkStart w:id="118" w:name="OLE_LINK446"/>
      <w:bookmarkStart w:id="119" w:name="OLE_LINK486"/>
      <w:bookmarkStart w:id="120" w:name="OLE_LINK520"/>
      <w:bookmarkStart w:id="121" w:name="OLE_LINK563"/>
      <w:bookmarkStart w:id="122" w:name="OLE_LINK565"/>
      <w:bookmarkStart w:id="123" w:name="OLE_LINK566"/>
      <w:bookmarkStart w:id="124" w:name="OLE_LINK617"/>
      <w:bookmarkStart w:id="125" w:name="OLE_LINK618"/>
      <w:bookmarkStart w:id="126" w:name="OLE_LINK619"/>
      <w:bookmarkStart w:id="127" w:name="OLE_LINK620"/>
      <w:bookmarkStart w:id="128" w:name="OLE_LINK622"/>
      <w:bookmarkStart w:id="129" w:name="OLE_LINK648"/>
      <w:bookmarkStart w:id="130" w:name="OLE_LINK697"/>
      <w:bookmarkStart w:id="131" w:name="OLE_LINK515"/>
      <w:bookmarkStart w:id="132" w:name="OLE_LINK684"/>
      <w:bookmarkStart w:id="133" w:name="OLE_LINK753"/>
      <w:bookmarkStart w:id="134" w:name="OLE_LINK773"/>
      <w:bookmarkStart w:id="135" w:name="OLE_LINK804"/>
      <w:bookmarkStart w:id="136" w:name="OLE_LINK815"/>
      <w:bookmarkStart w:id="137" w:name="OLE_LINK836"/>
      <w:bookmarkStart w:id="138" w:name="OLE_LINK854"/>
      <w:bookmarkStart w:id="139" w:name="OLE_LINK855"/>
      <w:bookmarkStart w:id="140" w:name="OLE_LINK870"/>
      <w:bookmarkStart w:id="141" w:name="OLE_LINK891"/>
      <w:bookmarkStart w:id="142" w:name="OLE_LINK920"/>
      <w:bookmarkStart w:id="143" w:name="OLE_LINK666"/>
      <w:bookmarkStart w:id="144" w:name="OLE_LINK828"/>
      <w:bookmarkStart w:id="145" w:name="OLE_LINK930"/>
      <w:bookmarkStart w:id="146" w:name="OLE_LINK956"/>
      <w:bookmarkStart w:id="147" w:name="OLE_LINK957"/>
      <w:bookmarkStart w:id="148" w:name="OLE_LINK1071"/>
      <w:bookmarkStart w:id="149" w:name="OLE_LINK1072"/>
      <w:bookmarkStart w:id="150" w:name="OLE_LINK1120"/>
      <w:bookmarkStart w:id="151" w:name="OLE_LINK1121"/>
      <w:bookmarkStart w:id="152" w:name="OLE_LINK1204"/>
      <w:bookmarkStart w:id="153" w:name="OLE_LINK1205"/>
      <w:bookmarkStart w:id="154" w:name="OLE_LINK1002"/>
      <w:bookmarkStart w:id="155" w:name="OLE_LINK1055"/>
      <w:bookmarkStart w:id="156" w:name="OLE_LINK1056"/>
      <w:bookmarkStart w:id="157" w:name="OLE_LINK1058"/>
      <w:bookmarkStart w:id="158" w:name="OLE_LINK1096"/>
      <w:bookmarkStart w:id="159" w:name="OLE_LINK1097"/>
      <w:bookmarkStart w:id="160" w:name="OLE_LINK1013"/>
      <w:bookmarkStart w:id="161" w:name="OLE_LINK1050"/>
      <w:bookmarkStart w:id="162" w:name="OLE_LINK1083"/>
      <w:bookmarkStart w:id="163" w:name="OLE_LINK1093"/>
      <w:bookmarkStart w:id="164" w:name="OLE_LINK1110"/>
      <w:bookmarkStart w:id="165" w:name="OLE_LINK1111"/>
      <w:bookmarkStart w:id="166" w:name="OLE_LINK1174"/>
      <w:bookmarkStart w:id="167" w:name="OLE_LINK1176"/>
      <w:bookmarkStart w:id="168" w:name="OLE_LINK1216"/>
      <w:bookmarkStart w:id="169" w:name="OLE_LINK1237"/>
      <w:bookmarkStart w:id="170" w:name="OLE_LINK1257"/>
      <w:bookmarkStart w:id="171" w:name="OLE_LINK1296"/>
      <w:bookmarkStart w:id="172" w:name="OLE_LINK1299"/>
      <w:bookmarkStart w:id="173" w:name="OLE_LINK1347"/>
      <w:bookmarkStart w:id="174" w:name="OLE_LINK1370"/>
      <w:bookmarkStart w:id="175" w:name="OLE_LINK1397"/>
      <w:bookmarkStart w:id="176" w:name="OLE_LINK1398"/>
      <w:bookmarkStart w:id="177" w:name="OLE_LINK1411"/>
      <w:bookmarkStart w:id="178" w:name="OLE_LINK1426"/>
      <w:bookmarkStart w:id="179" w:name="OLE_LINK1448"/>
      <w:bookmarkStart w:id="180" w:name="OLE_LINK1472"/>
      <w:bookmarkStart w:id="181" w:name="OLE_LINK1473"/>
      <w:bookmarkStart w:id="182" w:name="OLE_LINK1495"/>
      <w:bookmarkStart w:id="183" w:name="OLE_LINK1496"/>
      <w:bookmarkStart w:id="184" w:name="OLE_LINK132"/>
      <w:bookmarkStart w:id="185" w:name="OLE_LINK48"/>
      <w:bookmarkStart w:id="186" w:name="OLE_LINK1151"/>
      <w:bookmarkStart w:id="187" w:name="OLE_LINK1330"/>
      <w:bookmarkStart w:id="188" w:name="OLE_LINK1229"/>
      <w:bookmarkStart w:id="189" w:name="OLE_LINK1489"/>
      <w:bookmarkStart w:id="190" w:name="OLE_LINK1834"/>
      <w:bookmarkStart w:id="191" w:name="OLE_LINK1507"/>
      <w:bookmarkStart w:id="192" w:name="OLE_LINK1513"/>
      <w:bookmarkStart w:id="193" w:name="OLE_LINK1514"/>
      <w:bookmarkStart w:id="194" w:name="OLE_LINK1515"/>
      <w:bookmarkStart w:id="195" w:name="OLE_LINK1500"/>
      <w:bookmarkStart w:id="196" w:name="OLE_LINK1501"/>
      <w:bookmarkStart w:id="197" w:name="OLE_LINK1505"/>
      <w:bookmarkStart w:id="198" w:name="OLE_LINK1506"/>
      <w:bookmarkStart w:id="199" w:name="OLE_LINK1526"/>
      <w:bookmarkStart w:id="200" w:name="OLE_LINK1564"/>
      <w:bookmarkStart w:id="201" w:name="OLE_LINK1576"/>
      <w:bookmarkStart w:id="202" w:name="OLE_LINK1577"/>
      <w:bookmarkStart w:id="203" w:name="OLE_LINK1608"/>
      <w:bookmarkStart w:id="204" w:name="OLE_LINK1609"/>
      <w:bookmarkStart w:id="205" w:name="OLE_LINK1610"/>
      <w:bookmarkStart w:id="206" w:name="OLE_LINK1627"/>
      <w:bookmarkStart w:id="207" w:name="OLE_LINK1628"/>
      <w:bookmarkStart w:id="208" w:name="OLE_LINK1633"/>
      <w:bookmarkStart w:id="209" w:name="OLE_LINK1665"/>
      <w:bookmarkStart w:id="210" w:name="OLE_LINK1667"/>
      <w:bookmarkStart w:id="211" w:name="OLE_LINK1680"/>
      <w:bookmarkStart w:id="212" w:name="OLE_LINK1681"/>
      <w:bookmarkStart w:id="213" w:name="OLE_LINK1697"/>
      <w:bookmarkStart w:id="214" w:name="OLE_LINK1698"/>
      <w:bookmarkStart w:id="215" w:name="OLE_LINK1706"/>
      <w:bookmarkStart w:id="216" w:name="OLE_LINK1713"/>
      <w:bookmarkStart w:id="217" w:name="OLE_LINK1742"/>
      <w:bookmarkStart w:id="218" w:name="OLE_LINK1753"/>
      <w:bookmarkStart w:id="219" w:name="OLE_LINK1754"/>
      <w:bookmarkStart w:id="220" w:name="OLE_LINK1755"/>
      <w:bookmarkStart w:id="221" w:name="OLE_LINK1760"/>
      <w:bookmarkStart w:id="222" w:name="OLE_LINK1813"/>
      <w:bookmarkStart w:id="223" w:name="OLE_LINK1850"/>
      <w:bookmarkStart w:id="224" w:name="OLE_LINK1851"/>
      <w:bookmarkStart w:id="225" w:name="OLE_LINK1874"/>
      <w:bookmarkStart w:id="226" w:name="OLE_LINK1892"/>
      <w:bookmarkStart w:id="227" w:name="OLE_LINK1893"/>
      <w:bookmarkStart w:id="228" w:name="OLE_LINK1891"/>
      <w:bookmarkStart w:id="229" w:name="OLE_LINK1958"/>
      <w:bookmarkStart w:id="230" w:name="OLE_LINK2006"/>
      <w:bookmarkStart w:id="231" w:name="OLE_LINK2007"/>
      <w:bookmarkStart w:id="232" w:name="OLE_LINK2008"/>
      <w:bookmarkStart w:id="233" w:name="OLE_LINK2009"/>
      <w:bookmarkStart w:id="234" w:name="OLE_LINK2059"/>
      <w:bookmarkStart w:id="235" w:name="OLE_LINK2060"/>
      <w:bookmarkStart w:id="236" w:name="OLE_LINK1863"/>
      <w:bookmarkStart w:id="237" w:name="OLE_LINK1905"/>
      <w:bookmarkStart w:id="238" w:name="OLE_LINK1982"/>
      <w:bookmarkStart w:id="239" w:name="OLE_LINK1919"/>
      <w:bookmarkStart w:id="240" w:name="OLE_LINK2016"/>
      <w:bookmarkStart w:id="241" w:name="OLE_LINK2017"/>
      <w:bookmarkStart w:id="242" w:name="OLE_LINK2176"/>
      <w:bookmarkStart w:id="243" w:name="OLE_LINK2177"/>
      <w:bookmarkStart w:id="244" w:name="OLE_LINK2263"/>
      <w:bookmarkStart w:id="245" w:name="OLE_LINK2264"/>
      <w:bookmarkStart w:id="246" w:name="OLE_LINK2422"/>
      <w:bookmarkStart w:id="247" w:name="OLE_LINK2535"/>
      <w:bookmarkStart w:id="248" w:name="OLE_LINK2536"/>
      <w:bookmarkStart w:id="249" w:name="OLE_LINK2125"/>
      <w:bookmarkStart w:id="250" w:name="OLE_LINK2126"/>
      <w:bookmarkStart w:id="251" w:name="OLE_LINK2186"/>
      <w:bookmarkStart w:id="252" w:name="OLE_LINK2187"/>
      <w:bookmarkStart w:id="253" w:name="OLE_LINK2181"/>
      <w:bookmarkStart w:id="254" w:name="OLE_LINK2182"/>
      <w:bookmarkStart w:id="255" w:name="OLE_LINK2471"/>
      <w:bookmarkStart w:id="256" w:name="OLE_LINK2261"/>
      <w:bookmarkStart w:id="257" w:name="OLE_LINK2201"/>
      <w:bookmarkStart w:id="258" w:name="OLE_LINK2208"/>
      <w:bookmarkStart w:id="259" w:name="OLE_LINK2337"/>
      <w:bookmarkStart w:id="260" w:name="OLE_LINK2338"/>
      <w:bookmarkStart w:id="261" w:name="OLE_LINK2439"/>
      <w:bookmarkStart w:id="262" w:name="OLE_LINK2440"/>
      <w:bookmarkStart w:id="263" w:name="OLE_LINK2339"/>
      <w:bookmarkStart w:id="264" w:name="OLE_LINK2393"/>
      <w:bookmarkStart w:id="265" w:name="OLE_LINK2395"/>
      <w:bookmarkStart w:id="266" w:name="OLE_LINK2396"/>
      <w:bookmarkStart w:id="267" w:name="OLE_LINK2758"/>
      <w:bookmarkStart w:id="268" w:name="OLE_LINK2759"/>
      <w:bookmarkStart w:id="269" w:name="OLE_LINK2760"/>
      <w:bookmarkStart w:id="270" w:name="OLE_LINK2638"/>
      <w:bookmarkStart w:id="271" w:name="OLE_LINK2639"/>
      <w:bookmarkStart w:id="272" w:name="OLE_LINK2741"/>
      <w:bookmarkStart w:id="273" w:name="OLE_LINK2742"/>
      <w:bookmarkStart w:id="274" w:name="OLE_LINK2844"/>
      <w:bookmarkStart w:id="275" w:name="OLE_LINK2981"/>
      <w:bookmarkStart w:id="276" w:name="OLE_LINK2982"/>
      <w:bookmarkStart w:id="277" w:name="OLE_LINK3131"/>
      <w:bookmarkStart w:id="278" w:name="OLE_LINK3219"/>
      <w:bookmarkStart w:id="279" w:name="OLE_LINK3227"/>
      <w:bookmarkStart w:id="280" w:name="OLE_LINK3228"/>
      <w:bookmarkStart w:id="281" w:name="OLE_LINK3229"/>
      <w:bookmarkStart w:id="282" w:name="OLE_LINK2581"/>
      <w:bookmarkStart w:id="283" w:name="OLE_LINK2621"/>
      <w:bookmarkStart w:id="284" w:name="OLE_LINK2622"/>
      <w:bookmarkStart w:id="285" w:name="OLE_LINK2623"/>
      <w:bookmarkStart w:id="286" w:name="OLE_LINK2577"/>
      <w:bookmarkStart w:id="287" w:name="OLE_LINK2744"/>
      <w:bookmarkStart w:id="288" w:name="OLE_LINK3000"/>
      <w:bookmarkStart w:id="289" w:name="OLE_LINK2754"/>
      <w:bookmarkStart w:id="290" w:name="OLE_LINK2763"/>
      <w:r w:rsidRPr="00594A33">
        <w:rPr>
          <w:rFonts w:ascii="Book Antiqua" w:hAnsi="Book Antiqua"/>
          <w:b/>
          <w:color w:val="0033CC"/>
          <w:sz w:val="24"/>
          <w:szCs w:val="24"/>
        </w:rPr>
        <w:t>Name of journal:</w:t>
      </w:r>
      <w:r w:rsidRPr="00594A33">
        <w:rPr>
          <w:rFonts w:ascii="Book Antiqua" w:hAnsi="Book Antiqua"/>
          <w:b/>
          <w:color w:val="000000"/>
          <w:sz w:val="24"/>
          <w:szCs w:val="24"/>
        </w:rPr>
        <w:t xml:space="preserve"> </w:t>
      </w:r>
      <w:bookmarkStart w:id="291" w:name="OLE_LINK718"/>
      <w:bookmarkStart w:id="292" w:name="OLE_LINK719"/>
      <w:bookmarkEnd w:id="0"/>
      <w:r w:rsidRPr="00594A33">
        <w:rPr>
          <w:rFonts w:ascii="Book Antiqua" w:hAnsi="Book Antiqua"/>
          <w:i/>
          <w:color w:val="000000"/>
          <w:sz w:val="24"/>
          <w:szCs w:val="24"/>
        </w:rPr>
        <w:t>World Journal of Gastroenterology</w:t>
      </w:r>
      <w:bookmarkEnd w:id="291"/>
      <w:bookmarkEnd w:id="292"/>
    </w:p>
    <w:p w:rsidR="00C92AB1" w:rsidRPr="00594A33" w:rsidRDefault="00C92AB1" w:rsidP="0072294F">
      <w:pPr>
        <w:adjustRightInd w:val="0"/>
        <w:snapToGrid w:val="0"/>
        <w:spacing w:line="360" w:lineRule="auto"/>
        <w:rPr>
          <w:rFonts w:ascii="Book Antiqua" w:hAnsi="Book Antiqua" w:cs="宋体"/>
          <w:b/>
          <w:i/>
          <w:color w:val="000000"/>
          <w:sz w:val="24"/>
          <w:szCs w:val="24"/>
        </w:rPr>
      </w:pPr>
      <w:r w:rsidRPr="00594A33">
        <w:rPr>
          <w:rFonts w:ascii="Book Antiqua" w:hAnsi="Book Antiqua" w:cs="Arial"/>
          <w:b/>
          <w:color w:val="0033CC"/>
          <w:sz w:val="24"/>
          <w:szCs w:val="24"/>
        </w:rPr>
        <w:t xml:space="preserve">ESPS Manuscript NO: </w:t>
      </w:r>
      <w:r w:rsidRPr="00594A33">
        <w:rPr>
          <w:rFonts w:ascii="Book Antiqua" w:hAnsi="Book Antiqua" w:cs="Tahoma"/>
          <w:b/>
          <w:sz w:val="24"/>
          <w:szCs w:val="24"/>
        </w:rPr>
        <w:t xml:space="preserve">4638 </w:t>
      </w:r>
    </w:p>
    <w:p w:rsidR="00C92AB1" w:rsidRPr="00594A33" w:rsidRDefault="00C92AB1" w:rsidP="0072294F">
      <w:pPr>
        <w:snapToGrid w:val="0"/>
        <w:spacing w:line="360" w:lineRule="auto"/>
        <w:rPr>
          <w:rFonts w:ascii="Book Antiqua" w:hAnsi="Book Antiqua" w:cs="Tahoma"/>
          <w:b/>
          <w:sz w:val="24"/>
          <w:szCs w:val="24"/>
        </w:rPr>
      </w:pPr>
      <w:bookmarkStart w:id="293" w:name="OLE_LINK1617"/>
      <w:bookmarkStart w:id="294" w:name="OLE_LINK1618"/>
      <w:bookmarkStart w:id="295" w:name="OLE_LINK1966"/>
      <w:bookmarkStart w:id="296" w:name="OLE_LINK2328"/>
      <w:bookmarkStart w:id="297" w:name="OLE_LINK2329"/>
      <w:bookmarkStart w:id="298" w:name="OLE_LINK2330"/>
      <w:bookmarkStart w:id="299" w:name="OLE_LINK2335"/>
      <w:bookmarkStart w:id="300" w:name="OLE_LINK2357"/>
      <w:bookmarkStart w:id="301" w:name="OLE_LINK2358"/>
      <w:r w:rsidRPr="00594A33">
        <w:rPr>
          <w:rFonts w:ascii="Book Antiqua" w:hAnsi="Book Antiqua"/>
          <w:b/>
          <w:color w:val="0033CC"/>
          <w:kern w:val="0"/>
          <w:sz w:val="24"/>
          <w:szCs w:val="24"/>
        </w:rPr>
        <w:t>Columns:</w:t>
      </w:r>
      <w:r w:rsidRPr="00594A33">
        <w:rPr>
          <w:rFonts w:ascii="Book Antiqua" w:hAnsi="Book Antiqua"/>
          <w:b/>
          <w:color w:val="000000"/>
          <w:kern w:val="0"/>
          <w:sz w:val="24"/>
          <w:szCs w:val="24"/>
        </w:rPr>
        <w:t xml:space="preserve"> </w:t>
      </w:r>
      <w:r w:rsidRPr="00594A33">
        <w:rPr>
          <w:rFonts w:ascii="Book Antiqua" w:hAnsi="Book Antiqua" w:cs="Tahoma"/>
          <w:b/>
          <w:sz w:val="24"/>
          <w:szCs w:val="24"/>
        </w:rPr>
        <w:t>REVIEW</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3"/>
    <w:bookmarkEnd w:id="294"/>
    <w:bookmarkEnd w:id="295"/>
    <w:bookmarkEnd w:id="296"/>
    <w:bookmarkEnd w:id="297"/>
    <w:bookmarkEnd w:id="298"/>
    <w:bookmarkEnd w:id="299"/>
    <w:bookmarkEnd w:id="300"/>
    <w:bookmarkEnd w:id="301"/>
    <w:p w:rsidR="00C92AB1" w:rsidRPr="00594A33" w:rsidRDefault="00C92AB1" w:rsidP="0072294F">
      <w:pPr>
        <w:snapToGrid w:val="0"/>
        <w:spacing w:line="360" w:lineRule="auto"/>
        <w:rPr>
          <w:rFonts w:ascii="Book Antiqua" w:hAnsi="Book Antiqua" w:cs="Tahoma"/>
          <w:b/>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Transjugular intrahepatic portosystemic shunt for the management of acute variceal hemorrhage</w:t>
      </w:r>
    </w:p>
    <w:p w:rsidR="00C92AB1" w:rsidRPr="00594A33" w:rsidRDefault="00C92AB1" w:rsidP="0072294F">
      <w:pPr>
        <w:snapToGrid w:val="0"/>
        <w:spacing w:line="360" w:lineRule="auto"/>
        <w:rPr>
          <w:rFonts w:ascii="Book Antiqua" w:hAnsi="Book Antiqua"/>
          <w:sz w:val="24"/>
          <w:szCs w:val="24"/>
        </w:rPr>
      </w:pPr>
    </w:p>
    <w:p w:rsidR="00C92AB1" w:rsidRPr="00CA671B" w:rsidRDefault="00C92AB1" w:rsidP="0072294F">
      <w:pPr>
        <w:snapToGrid w:val="0"/>
        <w:spacing w:line="360" w:lineRule="auto"/>
        <w:rPr>
          <w:rFonts w:ascii="Book Antiqua" w:hAnsi="Book Antiqua"/>
          <w:sz w:val="24"/>
          <w:szCs w:val="24"/>
        </w:rPr>
      </w:pPr>
      <w:r w:rsidRPr="00CA671B">
        <w:rPr>
          <w:rFonts w:ascii="Book Antiqua" w:hAnsi="Book Antiqua"/>
          <w:sz w:val="24"/>
          <w:szCs w:val="24"/>
        </w:rPr>
        <w:t>Loffroy R</w:t>
      </w:r>
      <w:r w:rsidRPr="00CA671B">
        <w:rPr>
          <w:rFonts w:ascii="Book Antiqua" w:hAnsi="Book Antiqua" w:cs="Tahoma"/>
          <w:i/>
          <w:kern w:val="0"/>
          <w:sz w:val="24"/>
          <w:szCs w:val="24"/>
        </w:rPr>
        <w:t xml:space="preserve"> et al</w:t>
      </w:r>
      <w:r w:rsidRPr="00CA671B">
        <w:rPr>
          <w:rFonts w:ascii="Book Antiqua" w:hAnsi="Book Antiqua" w:cs="Tahoma"/>
          <w:kern w:val="0"/>
          <w:sz w:val="24"/>
          <w:szCs w:val="24"/>
        </w:rPr>
        <w:t xml:space="preserve">. </w:t>
      </w:r>
      <w:r w:rsidRPr="00CA671B">
        <w:rPr>
          <w:rFonts w:ascii="Book Antiqua" w:hAnsi="Book Antiqua"/>
          <w:sz w:val="24"/>
          <w:szCs w:val="24"/>
        </w:rPr>
        <w:t>Transjugular intrahepatic portosystemic shunt for hemorrhage</w:t>
      </w:r>
    </w:p>
    <w:p w:rsidR="00C92AB1" w:rsidRPr="00594A33" w:rsidRDefault="00C92AB1" w:rsidP="0072294F">
      <w:pPr>
        <w:snapToGrid w:val="0"/>
        <w:spacing w:line="360" w:lineRule="auto"/>
        <w:rPr>
          <w:rFonts w:ascii="Book Antiqua" w:hAnsi="Book Antiqua"/>
          <w:sz w:val="24"/>
          <w:szCs w:val="24"/>
        </w:rPr>
      </w:pPr>
    </w:p>
    <w:p w:rsidR="00C92AB1" w:rsidRPr="00CA671B" w:rsidRDefault="00C92AB1" w:rsidP="0072294F">
      <w:pPr>
        <w:snapToGrid w:val="0"/>
        <w:spacing w:line="360" w:lineRule="auto"/>
        <w:rPr>
          <w:rFonts w:ascii="Book Antiqua" w:hAnsi="Book Antiqua"/>
          <w:sz w:val="24"/>
          <w:szCs w:val="24"/>
          <w:lang w:val="fr-FR"/>
        </w:rPr>
      </w:pPr>
      <w:r w:rsidRPr="00CA671B">
        <w:rPr>
          <w:rFonts w:ascii="Book Antiqua" w:hAnsi="Book Antiqua"/>
          <w:sz w:val="24"/>
          <w:szCs w:val="24"/>
          <w:lang w:val="fr-FR"/>
        </w:rPr>
        <w:t>Romaric Loffroy, Louis Estivalet, Violaine Cherblanc, Sylvain Favelier, Pierre Pottecher, Samia Hamza, Anne Minello, Patrick Hillon, Pierre Thouant, Pierre-Henri Lefevre, Denis Krausé, Jean-Pierre Cercueil</w:t>
      </w:r>
    </w:p>
    <w:p w:rsidR="00C92AB1" w:rsidRPr="00CA671B" w:rsidRDefault="00C92AB1" w:rsidP="0072294F">
      <w:pPr>
        <w:snapToGrid w:val="0"/>
        <w:spacing w:line="360" w:lineRule="auto"/>
        <w:rPr>
          <w:rFonts w:ascii="Book Antiqua" w:hAnsi="Book Antiqua"/>
          <w:sz w:val="24"/>
          <w:szCs w:val="24"/>
          <w:lang w:val="fr-FR"/>
        </w:rPr>
      </w:pPr>
    </w:p>
    <w:p w:rsidR="00C92AB1" w:rsidRPr="00CA671B" w:rsidRDefault="00BF43F6" w:rsidP="0072294F">
      <w:pPr>
        <w:snapToGrid w:val="0"/>
        <w:spacing w:line="360" w:lineRule="auto"/>
        <w:rPr>
          <w:rFonts w:ascii="Book Antiqua" w:hAnsi="Book Antiqua"/>
          <w:b/>
          <w:sz w:val="24"/>
          <w:szCs w:val="24"/>
          <w:lang w:val="fr-FR"/>
        </w:rPr>
      </w:pPr>
      <w:r>
        <w:rPr>
          <w:noProof/>
        </w:rPr>
        <mc:AlternateContent>
          <mc:Choice Requires="wps">
            <w:drawing>
              <wp:anchor distT="0" distB="0" distL="114300" distR="114300" simplePos="0" relativeHeight="251658240" behindDoc="0" locked="0" layoutInCell="1" allowOverlap="1">
                <wp:simplePos x="0" y="0"/>
                <wp:positionH relativeFrom="column">
                  <wp:posOffset>-6350</wp:posOffset>
                </wp:positionH>
                <wp:positionV relativeFrom="paragraph">
                  <wp:posOffset>27940</wp:posOffset>
                </wp:positionV>
                <wp:extent cx="6057900" cy="0"/>
                <wp:effectExtent l="22225" t="27940" r="25400" b="1968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2pt" to="47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" strokecolor="gray" strokeweight="3pt"/>
            </w:pict>
          </mc:Fallback>
        </mc:AlternateContent>
      </w:r>
    </w:p>
    <w:p w:rsidR="00C92AB1" w:rsidRPr="00CA671B" w:rsidRDefault="00C92AB1" w:rsidP="0072294F">
      <w:pPr>
        <w:snapToGrid w:val="0"/>
        <w:spacing w:line="360" w:lineRule="auto"/>
        <w:rPr>
          <w:rFonts w:ascii="Book Antiqua" w:hAnsi="Book Antiqua"/>
          <w:sz w:val="24"/>
          <w:szCs w:val="24"/>
          <w:lang w:val="fr-FR"/>
        </w:rPr>
      </w:pPr>
      <w:r w:rsidRPr="00CA671B">
        <w:rPr>
          <w:rFonts w:ascii="Book Antiqua" w:hAnsi="Book Antiqua"/>
          <w:b/>
          <w:sz w:val="24"/>
          <w:szCs w:val="24"/>
          <w:lang w:val="fr-FR"/>
        </w:rPr>
        <w:t>Romaric Loffroy, Louis Estivalet, Violaine Cherblanc, Sylvain Favelier, Pierre Pottecher, Pierre Thouant, Pierre-Henri Lefevre, Denis Krausé, Jean-Pierre Cercueil,</w:t>
      </w:r>
      <w:r w:rsidRPr="00CA671B">
        <w:rPr>
          <w:rFonts w:ascii="Book Antiqua" w:hAnsi="Book Antiqua"/>
          <w:sz w:val="24"/>
          <w:szCs w:val="24"/>
          <w:lang w:val="fr-FR"/>
        </w:rPr>
        <w:t xml:space="preserve"> Department of Vascular, Oncologic and Interventional Radiology, University of Dijon School of Medicine, Bocage Teaching Hospital, 21079 Dijon, France</w:t>
      </w:r>
    </w:p>
    <w:p w:rsidR="00C92AB1" w:rsidRPr="00CA671B" w:rsidRDefault="00C92AB1" w:rsidP="0072294F">
      <w:pPr>
        <w:snapToGrid w:val="0"/>
        <w:spacing w:line="360" w:lineRule="auto"/>
        <w:rPr>
          <w:rFonts w:ascii="Book Antiqua" w:hAnsi="Book Antiqua"/>
          <w:sz w:val="24"/>
          <w:szCs w:val="24"/>
          <w:lang w:val="fr-FR"/>
        </w:rPr>
      </w:pP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b/>
          <w:sz w:val="24"/>
          <w:szCs w:val="24"/>
        </w:rPr>
        <w:t>Samia Hamza, Anne Minello, Patrick Hillon,</w:t>
      </w:r>
      <w:r w:rsidRPr="00594A33">
        <w:rPr>
          <w:rFonts w:ascii="Book Antiqua" w:hAnsi="Book Antiqua"/>
          <w:sz w:val="24"/>
          <w:szCs w:val="24"/>
        </w:rPr>
        <w:t xml:space="preserve"> Department of Intensive Care Medicine, Gastroenterology and Hepatology, University of Dijon School of Medicine, Bocage Teaching Hospital, 21079 Dijon, France</w:t>
      </w: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cs="Tahoma"/>
          <w:spacing w:val="-5"/>
          <w:sz w:val="24"/>
          <w:szCs w:val="24"/>
        </w:rPr>
      </w:pPr>
      <w:r w:rsidRPr="00594A33">
        <w:rPr>
          <w:rFonts w:ascii="Book Antiqua" w:hAnsi="Book Antiqua"/>
          <w:b/>
          <w:sz w:val="24"/>
          <w:szCs w:val="24"/>
        </w:rPr>
        <w:t xml:space="preserve">Author contributions: </w:t>
      </w:r>
      <w:r w:rsidRPr="00594A33">
        <w:rPr>
          <w:rFonts w:ascii="Book Antiqua" w:hAnsi="Book Antiqua"/>
          <w:sz w:val="24"/>
          <w:szCs w:val="24"/>
        </w:rPr>
        <w:t xml:space="preserve">Loffroy R, Estivalet L, and Cherblanc V </w:t>
      </w:r>
      <w:r w:rsidRPr="00594A33">
        <w:rPr>
          <w:rFonts w:ascii="Book Antiqua" w:hAnsi="Book Antiqua" w:cs="Tahoma"/>
          <w:spacing w:val="-5"/>
          <w:sz w:val="24"/>
          <w:szCs w:val="24"/>
        </w:rPr>
        <w:t>wrote the paper; Favelier S, Pottecher P, Hamza S, Minello A, Hillon P, Thouant P, Lefevre PH, Krausé D, and Cercueil JP revised the article for important intellectual content; all authors read and approved the final manuscript.</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b/>
          <w:sz w:val="24"/>
          <w:szCs w:val="24"/>
        </w:rPr>
        <w:t xml:space="preserve">Correspondence to: Romaric Loffroy, MD, PhD, Professor, </w:t>
      </w:r>
      <w:r w:rsidRPr="00594A33">
        <w:rPr>
          <w:rFonts w:ascii="Book Antiqua" w:hAnsi="Book Antiqua"/>
          <w:sz w:val="24"/>
          <w:szCs w:val="24"/>
        </w:rPr>
        <w:t>Department of Vascular, Oncologic and Interventional Radiology, University of Dijon School of Medicine, Bocage Teaching Hospital, 14 Rue Paul Gaffarel, BP 77908,</w:t>
      </w:r>
      <w:bookmarkStart w:id="302" w:name="OLE_LINK2598"/>
      <w:bookmarkStart w:id="303" w:name="OLE_LINK2599"/>
      <w:bookmarkStart w:id="304" w:name="OLE_LINK2600"/>
      <w:r w:rsidRPr="00594A33">
        <w:rPr>
          <w:rFonts w:ascii="Book Antiqua" w:hAnsi="Book Antiqua"/>
          <w:sz w:val="24"/>
          <w:szCs w:val="24"/>
        </w:rPr>
        <w:t xml:space="preserve"> 21079</w:t>
      </w:r>
      <w:bookmarkEnd w:id="302"/>
      <w:bookmarkEnd w:id="303"/>
      <w:bookmarkEnd w:id="304"/>
      <w:r w:rsidRPr="00594A33">
        <w:rPr>
          <w:rFonts w:ascii="Book Antiqua" w:hAnsi="Book Antiqua"/>
          <w:sz w:val="24"/>
          <w:szCs w:val="24"/>
        </w:rPr>
        <w:t xml:space="preserve"> Dijon Cedex, France. </w:t>
      </w:r>
    </w:p>
    <w:p w:rsidR="00C92AB1" w:rsidRPr="00CA671B" w:rsidRDefault="00177FD2" w:rsidP="0072294F">
      <w:pPr>
        <w:snapToGrid w:val="0"/>
        <w:spacing w:line="360" w:lineRule="auto"/>
        <w:rPr>
          <w:rFonts w:ascii="Book Antiqua" w:hAnsi="Book Antiqua"/>
          <w:sz w:val="24"/>
          <w:szCs w:val="24"/>
          <w:lang w:val="fr-FR"/>
        </w:rPr>
      </w:pPr>
      <w:hyperlink r:id="rId8" w:history="1">
        <w:r w:rsidR="00C92AB1" w:rsidRPr="00CA671B">
          <w:rPr>
            <w:rStyle w:val="a5"/>
            <w:rFonts w:ascii="Book Antiqua" w:hAnsi="Book Antiqua"/>
            <w:sz w:val="24"/>
            <w:szCs w:val="24"/>
            <w:lang w:val="fr-FR"/>
          </w:rPr>
          <w:t>romaric.loffroy@chu-dijon.fr</w:t>
        </w:r>
      </w:hyperlink>
    </w:p>
    <w:p w:rsidR="00C92AB1" w:rsidRPr="00CA671B" w:rsidRDefault="00C92AB1" w:rsidP="0072294F">
      <w:pPr>
        <w:snapToGrid w:val="0"/>
        <w:spacing w:line="360" w:lineRule="auto"/>
        <w:rPr>
          <w:rFonts w:ascii="Book Antiqua" w:hAnsi="Book Antiqua"/>
          <w:sz w:val="24"/>
          <w:szCs w:val="24"/>
          <w:lang w:val="fr-FR"/>
        </w:rPr>
      </w:pPr>
    </w:p>
    <w:p w:rsidR="00C92AB1" w:rsidRPr="00CA671B" w:rsidRDefault="00C92AB1" w:rsidP="0072294F">
      <w:pPr>
        <w:snapToGrid w:val="0"/>
        <w:spacing w:line="360" w:lineRule="auto"/>
        <w:rPr>
          <w:rFonts w:ascii="Book Antiqua" w:hAnsi="Book Antiqua"/>
          <w:sz w:val="24"/>
          <w:szCs w:val="24"/>
          <w:lang w:val="fr-FR"/>
        </w:rPr>
      </w:pPr>
      <w:r w:rsidRPr="00CA671B">
        <w:rPr>
          <w:rFonts w:ascii="Book Antiqua" w:hAnsi="Book Antiqua"/>
          <w:b/>
          <w:sz w:val="24"/>
          <w:szCs w:val="24"/>
          <w:lang w:val="fr-FR"/>
        </w:rPr>
        <w:t xml:space="preserve">Telephone: </w:t>
      </w:r>
      <w:r w:rsidRPr="00CA671B">
        <w:rPr>
          <w:rFonts w:ascii="Book Antiqua" w:hAnsi="Book Antiqua"/>
          <w:sz w:val="24"/>
          <w:szCs w:val="24"/>
          <w:lang w:val="fr-FR"/>
        </w:rPr>
        <w:t>+33-380-293-677</w:t>
      </w:r>
      <w:r w:rsidRPr="00CA671B">
        <w:rPr>
          <w:rFonts w:ascii="Book Antiqua" w:hAnsi="Book Antiqua"/>
          <w:sz w:val="24"/>
          <w:szCs w:val="24"/>
          <w:lang w:val="fr-FR"/>
        </w:rPr>
        <w:tab/>
      </w:r>
      <w:r w:rsidRPr="00CA671B">
        <w:rPr>
          <w:rFonts w:ascii="Book Antiqua" w:hAnsi="Book Antiqua"/>
          <w:sz w:val="24"/>
          <w:szCs w:val="24"/>
          <w:lang w:val="fr-FR"/>
        </w:rPr>
        <w:tab/>
      </w:r>
      <w:r w:rsidRPr="00CA671B">
        <w:rPr>
          <w:rFonts w:ascii="Book Antiqua" w:hAnsi="Book Antiqua"/>
          <w:b/>
          <w:sz w:val="24"/>
          <w:szCs w:val="24"/>
          <w:lang w:val="fr-FR"/>
        </w:rPr>
        <w:t>Fax:</w:t>
      </w:r>
      <w:r w:rsidRPr="00CA671B">
        <w:rPr>
          <w:rFonts w:ascii="Book Antiqua" w:hAnsi="Book Antiqua"/>
          <w:sz w:val="24"/>
          <w:szCs w:val="24"/>
          <w:lang w:val="fr-FR"/>
        </w:rPr>
        <w:t xml:space="preserve"> +33-380-295-455</w:t>
      </w: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 xml:space="preserve">Received: </w:t>
      </w:r>
      <w:r w:rsidRPr="00594A33">
        <w:rPr>
          <w:rFonts w:ascii="Book Antiqua" w:hAnsi="Book Antiqua"/>
          <w:sz w:val="24"/>
          <w:szCs w:val="24"/>
        </w:rPr>
        <w:t xml:space="preserve">July 12, 2013 </w:t>
      </w:r>
      <w:r w:rsidRPr="00594A33">
        <w:rPr>
          <w:rFonts w:ascii="Book Antiqua" w:hAnsi="Book Antiqua"/>
          <w:b/>
          <w:sz w:val="24"/>
          <w:szCs w:val="24"/>
        </w:rPr>
        <w:tab/>
      </w:r>
      <w:r w:rsidRPr="00594A33">
        <w:rPr>
          <w:rFonts w:ascii="Book Antiqua" w:hAnsi="Book Antiqua"/>
          <w:b/>
          <w:sz w:val="24"/>
          <w:szCs w:val="24"/>
        </w:rPr>
        <w:tab/>
        <w:t xml:space="preserve">Revised: </w:t>
      </w:r>
      <w:r w:rsidRPr="00594A33">
        <w:rPr>
          <w:rFonts w:ascii="Book Antiqua" w:hAnsi="Book Antiqua"/>
          <w:sz w:val="24"/>
          <w:szCs w:val="24"/>
        </w:rPr>
        <w:t xml:space="preserve">August 13, 2013 </w:t>
      </w:r>
    </w:p>
    <w:p w:rsidR="00C87007" w:rsidRPr="008824C2" w:rsidRDefault="00C92AB1" w:rsidP="00C87007">
      <w:pPr>
        <w:rPr>
          <w:rFonts w:ascii="Book Antiqua" w:hAnsi="Book Antiqua"/>
          <w:sz w:val="24"/>
          <w:szCs w:val="24"/>
        </w:rPr>
      </w:pPr>
      <w:r w:rsidRPr="00594A33">
        <w:rPr>
          <w:rFonts w:ascii="Book Antiqua" w:hAnsi="Book Antiqua"/>
          <w:b/>
          <w:sz w:val="24"/>
          <w:szCs w:val="24"/>
        </w:rPr>
        <w:t>Accepted:</w:t>
      </w:r>
      <w:r w:rsidR="00C87007" w:rsidRPr="00C87007">
        <w:rPr>
          <w:rFonts w:ascii="Book Antiqua" w:hAnsi="Book Antiqua"/>
          <w:sz w:val="24"/>
          <w:szCs w:val="24"/>
        </w:rPr>
        <w:t xml:space="preserve"> </w:t>
      </w:r>
      <w:r w:rsidR="00C87007" w:rsidRPr="008824C2">
        <w:rPr>
          <w:rFonts w:ascii="Book Antiqua" w:hAnsi="Book Antiqua"/>
          <w:sz w:val="24"/>
          <w:szCs w:val="24"/>
        </w:rPr>
        <w:t>August 20, 2013</w:t>
      </w: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 xml:space="preserve">    Published online:</w:t>
      </w: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Abstract</w:t>
      </w:r>
    </w:p>
    <w:p w:rsidR="00C92AB1" w:rsidRPr="00594A33" w:rsidRDefault="00C92AB1" w:rsidP="0072294F">
      <w:pPr>
        <w:widowControl/>
        <w:autoSpaceDE w:val="0"/>
        <w:autoSpaceDN w:val="0"/>
        <w:adjustRightInd w:val="0"/>
        <w:snapToGrid w:val="0"/>
        <w:spacing w:line="360" w:lineRule="auto"/>
        <w:rPr>
          <w:rFonts w:ascii="Book Antiqua" w:hAnsi="Book Antiqua" w:cs="AdvCas540BT-R"/>
          <w:kern w:val="0"/>
          <w:sz w:val="24"/>
          <w:szCs w:val="24"/>
          <w:lang w:eastAsia="fr-FR"/>
        </w:rPr>
      </w:pPr>
      <w:r w:rsidRPr="00594A33">
        <w:rPr>
          <w:rFonts w:ascii="Book Antiqua" w:hAnsi="Book Antiqua"/>
          <w:sz w:val="24"/>
          <w:szCs w:val="24"/>
        </w:rPr>
        <w:t xml:space="preserve">Acute variceal hemorrhage, a life-threatening condition that requires a multidisciplinary approach for effective therapy, </w:t>
      </w:r>
      <w:r w:rsidRPr="00594A33">
        <w:rPr>
          <w:rFonts w:ascii="Book Antiqua" w:hAnsi="Book Antiqua" w:cs="AdvCas540BT-R"/>
          <w:kern w:val="0"/>
          <w:sz w:val="24"/>
          <w:szCs w:val="24"/>
          <w:lang w:eastAsia="fr-FR"/>
        </w:rPr>
        <w:t>is defined as visible bleeding from an esophageal or gastric varix at the time of endoscopy, the presence of large esophageal varices with recent stigmata of bleeding, or fresh blood visible in the stomach with no other source of bleeding identified.</w:t>
      </w:r>
      <w:r w:rsidRPr="00594A33">
        <w:rPr>
          <w:rFonts w:ascii="Book Antiqua" w:hAnsi="Book Antiqua"/>
          <w:sz w:val="24"/>
          <w:szCs w:val="24"/>
        </w:rPr>
        <w:t xml:space="preserve"> Transfusion of blood products, pharmacological treatments and early endoscopic therapy are often effective; however, </w:t>
      </w:r>
      <w:r w:rsidRPr="00594A33">
        <w:rPr>
          <w:rFonts w:ascii="Book Antiqua" w:hAnsi="Book Antiqua"/>
          <w:kern w:val="0"/>
          <w:sz w:val="24"/>
          <w:szCs w:val="24"/>
          <w:lang w:eastAsia="en-US"/>
        </w:rPr>
        <w:t>if primary hemostasis cannot be obtained or if uncontrollable early rebleeding occurs, transjugular intrahepatic portosystemic shunt (TIPS) is recommended as rescue treatment.</w:t>
      </w:r>
      <w:r w:rsidRPr="00594A33">
        <w:rPr>
          <w:rFonts w:ascii="Book Antiqua" w:hAnsi="Book Antiqua"/>
          <w:sz w:val="24"/>
          <w:szCs w:val="24"/>
        </w:rPr>
        <w:t xml:space="preserve"> </w:t>
      </w:r>
      <w:r w:rsidRPr="00594A33">
        <w:rPr>
          <w:rFonts w:ascii="Book Antiqua" w:hAnsi="Book Antiqua"/>
          <w:kern w:val="0"/>
          <w:sz w:val="24"/>
          <w:szCs w:val="24"/>
          <w:lang w:eastAsia="en-US"/>
        </w:rPr>
        <w:t>The TIPS represents a major advance in the treatment of complications of portal</w:t>
      </w:r>
      <w:r w:rsidRPr="00594A33">
        <w:rPr>
          <w:rFonts w:ascii="Book Antiqua" w:hAnsi="Book Antiqua"/>
          <w:sz w:val="24"/>
          <w:szCs w:val="24"/>
        </w:rPr>
        <w:t xml:space="preserve"> </w:t>
      </w:r>
      <w:r w:rsidRPr="00594A33">
        <w:rPr>
          <w:rFonts w:ascii="Book Antiqua" w:hAnsi="Book Antiqua"/>
          <w:kern w:val="0"/>
          <w:sz w:val="24"/>
          <w:szCs w:val="24"/>
          <w:lang w:eastAsia="en-US"/>
        </w:rPr>
        <w:t>hypertension. Acute variceal hemorrhage that is poorly controlled with endoscopic therapy is generally well controlled with TIPS, which has a 90% to 100% success rate. However, TIPS is associated with a mortality of 30% to 50% in such a setting. Emergency TIPS should be considered early in patients with refractory variceal bleeding once medical treatment and endoscopic sclerotherapy failure, before the clinical condition worsens. Furthermore, admission to specialized centers is mandatory in such a setting and regional protocols are essential to be organized effectively. This review article discusses initial management and then focuses on the specific role of TIPS as a primary therapy to control acute variceal hemorrhage, particularly as a rescue therapy following failure of endoscopic approaches.</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 2013 Baishideng. All rights reserved.</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cs="Folio-Medium"/>
          <w:kern w:val="0"/>
          <w:sz w:val="24"/>
          <w:szCs w:val="24"/>
          <w:lang w:eastAsia="en-US"/>
        </w:rPr>
      </w:pPr>
      <w:r w:rsidRPr="00594A33">
        <w:rPr>
          <w:rFonts w:ascii="Book Antiqua" w:hAnsi="Book Antiqua"/>
          <w:b/>
          <w:sz w:val="24"/>
          <w:szCs w:val="24"/>
        </w:rPr>
        <w:lastRenderedPageBreak/>
        <w:t>Key words:</w:t>
      </w:r>
      <w:r w:rsidRPr="00594A33">
        <w:rPr>
          <w:rFonts w:ascii="Book Antiqua" w:hAnsi="Book Antiqua"/>
          <w:sz w:val="24"/>
          <w:szCs w:val="24"/>
        </w:rPr>
        <w:t xml:space="preserve"> </w:t>
      </w:r>
      <w:r w:rsidRPr="00594A33">
        <w:rPr>
          <w:rFonts w:ascii="Book Antiqua" w:hAnsi="Book Antiqua" w:cs="Folio-Medium"/>
          <w:kern w:val="0"/>
          <w:sz w:val="24"/>
          <w:szCs w:val="24"/>
          <w:lang w:eastAsia="en-US"/>
        </w:rPr>
        <w:t>Cirrhosis; Portal hypertension; Transjugular intrahepatic portosystemic shunt; Variceal hemorrhage</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widowControl/>
        <w:adjustRightInd w:val="0"/>
        <w:snapToGrid w:val="0"/>
        <w:spacing w:line="360" w:lineRule="auto"/>
        <w:rPr>
          <w:rFonts w:ascii="Book Antiqua" w:hAnsi="Book Antiqua" w:cs="宋体"/>
          <w:kern w:val="0"/>
          <w:sz w:val="24"/>
          <w:szCs w:val="24"/>
        </w:rPr>
      </w:pPr>
      <w:bookmarkStart w:id="305" w:name="OLE_LINK1196"/>
      <w:bookmarkStart w:id="306" w:name="OLE_LINK1154"/>
      <w:bookmarkStart w:id="307" w:name="OLE_LINK1155"/>
      <w:bookmarkStart w:id="308" w:name="OLE_LINK1322"/>
      <w:bookmarkStart w:id="309" w:name="OLE_LINK1044"/>
      <w:bookmarkStart w:id="310" w:name="OLE_LINK1224"/>
      <w:bookmarkStart w:id="311" w:name="OLE_LINK1225"/>
      <w:bookmarkStart w:id="312" w:name="OLE_LINK1634"/>
      <w:bookmarkStart w:id="313" w:name="OLE_LINK1635"/>
      <w:bookmarkStart w:id="314" w:name="OLE_LINK1762"/>
      <w:bookmarkStart w:id="315" w:name="OLE_LINK1763"/>
      <w:bookmarkStart w:id="316" w:name="OLE_LINK1764"/>
      <w:bookmarkStart w:id="317" w:name="OLE_LINK1939"/>
      <w:bookmarkStart w:id="318" w:name="OLE_LINK2194"/>
      <w:bookmarkStart w:id="319" w:name="OLE_LINK576"/>
      <w:bookmarkStart w:id="320" w:name="OLE_LINK579"/>
      <w:bookmarkStart w:id="321" w:name="OLE_LINK580"/>
      <w:bookmarkStart w:id="322" w:name="OLE_LINK521"/>
      <w:bookmarkStart w:id="323" w:name="OLE_LINK1043"/>
      <w:bookmarkStart w:id="324" w:name="OLE_LINK1886"/>
      <w:bookmarkStart w:id="325" w:name="OLE_LINK1887"/>
      <w:bookmarkStart w:id="326" w:name="OLE_LINK1888"/>
      <w:bookmarkStart w:id="327" w:name="OLE_LINK1889"/>
      <w:bookmarkStart w:id="328" w:name="OLE_LINK1903"/>
      <w:bookmarkStart w:id="329" w:name="OLE_LINK2083"/>
      <w:bookmarkStart w:id="330" w:name="OLE_LINK2084"/>
      <w:bookmarkStart w:id="331" w:name="OLE_LINK1977"/>
      <w:bookmarkStart w:id="332" w:name="OLE_LINK581"/>
      <w:bookmarkStart w:id="333" w:name="OLE_LINK582"/>
      <w:bookmarkStart w:id="334" w:name="OLE_LINK994"/>
      <w:bookmarkStart w:id="335" w:name="OLE_LINK995"/>
      <w:bookmarkStart w:id="336" w:name="OLE_LINK1074"/>
      <w:bookmarkStart w:id="337" w:name="OLE_LINK1140"/>
      <w:bookmarkStart w:id="338" w:name="OLE_LINK1127"/>
      <w:bookmarkStart w:id="339" w:name="OLE_LINK1266"/>
      <w:bookmarkStart w:id="340" w:name="OLE_LINK1540"/>
      <w:bookmarkStart w:id="341" w:name="OLE_LINK1541"/>
      <w:bookmarkStart w:id="342" w:name="OLE_LINK1551"/>
      <w:bookmarkStart w:id="343" w:name="OLE_LINK1587"/>
      <w:bookmarkStart w:id="344" w:name="OLE_LINK1601"/>
      <w:bookmarkStart w:id="345" w:name="OLE_LINK1731"/>
      <w:bookmarkStart w:id="346" w:name="OLE_LINK1818"/>
      <w:bookmarkStart w:id="347" w:name="OLE_LINK1965"/>
      <w:bookmarkStart w:id="348" w:name="OLE_LINK1967"/>
      <w:bookmarkStart w:id="349" w:name="OLE_LINK1972"/>
      <w:bookmarkStart w:id="350" w:name="OLE_LINK1973"/>
      <w:bookmarkStart w:id="351" w:name="OLE_LINK2041"/>
      <w:bookmarkStart w:id="352" w:name="OLE_LINK2042"/>
      <w:bookmarkStart w:id="353" w:name="OLE_LINK2063"/>
      <w:bookmarkStart w:id="354" w:name="OLE_LINK2120"/>
      <w:bookmarkStart w:id="355" w:name="OLE_LINK2158"/>
      <w:bookmarkStart w:id="356" w:name="OLE_LINK2180"/>
      <w:bookmarkStart w:id="357" w:name="OLE_LINK2253"/>
      <w:bookmarkStart w:id="358" w:name="OLE_LINK2217"/>
      <w:bookmarkStart w:id="359" w:name="OLE_LINK2236"/>
      <w:bookmarkStart w:id="360" w:name="OLE_LINK2268"/>
      <w:bookmarkStart w:id="361" w:name="OLE_LINK2279"/>
      <w:bookmarkStart w:id="362" w:name="OLE_LINK2313"/>
      <w:bookmarkStart w:id="363" w:name="OLE_LINK2319"/>
      <w:bookmarkStart w:id="364" w:name="OLE_LINK2320"/>
      <w:bookmarkStart w:id="365" w:name="OLE_LINK2366"/>
      <w:bookmarkStart w:id="366" w:name="OLE_LINK2372"/>
      <w:bookmarkStart w:id="367" w:name="OLE_LINK2384"/>
      <w:bookmarkStart w:id="368" w:name="OLE_LINK2464"/>
      <w:bookmarkStart w:id="369" w:name="OLE_LINK2492"/>
      <w:bookmarkStart w:id="370" w:name="OLE_LINK2532"/>
      <w:bookmarkStart w:id="371" w:name="OLE_LINK2405"/>
      <w:bookmarkStart w:id="372" w:name="OLE_LINK2406"/>
      <w:bookmarkStart w:id="373" w:name="OLE_LINK2425"/>
      <w:bookmarkStart w:id="374" w:name="OLE_LINK2478"/>
      <w:bookmarkStart w:id="375" w:name="OLE_LINK2556"/>
      <w:r w:rsidRPr="00594A33">
        <w:rPr>
          <w:rFonts w:ascii="Book Antiqua" w:hAnsi="Book Antiqua" w:cs="宋体"/>
          <w:b/>
          <w:kern w:val="0"/>
          <w:sz w:val="24"/>
          <w:szCs w:val="24"/>
        </w:rPr>
        <w:t>Core tip:</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594A33">
        <w:rPr>
          <w:rFonts w:ascii="Book Antiqua" w:hAnsi="Book Antiqua" w:cs="宋体"/>
          <w:kern w:val="0"/>
          <w:sz w:val="24"/>
          <w:szCs w:val="24"/>
        </w:rPr>
        <w:t xml:space="preserve"> </w:t>
      </w:r>
      <w:bookmarkEnd w:id="319"/>
      <w:bookmarkEnd w:id="320"/>
      <w:bookmarkEnd w:id="321"/>
      <w:bookmarkEnd w:id="322"/>
      <w:bookmarkEnd w:id="323"/>
      <w:bookmarkEnd w:id="324"/>
      <w:bookmarkEnd w:id="325"/>
      <w:bookmarkEnd w:id="326"/>
      <w:bookmarkEnd w:id="327"/>
      <w:bookmarkEnd w:id="328"/>
      <w:bookmarkEnd w:id="329"/>
      <w:bookmarkEnd w:id="330"/>
      <w:bookmarkEnd w:id="331"/>
      <w:r w:rsidRPr="00594A33">
        <w:rPr>
          <w:rFonts w:ascii="Book Antiqua" w:hAnsi="Book Antiqua" w:cs="宋体"/>
          <w:kern w:val="0"/>
          <w:sz w:val="24"/>
          <w:szCs w:val="24"/>
        </w:rPr>
        <w:t xml:space="preserve">The </w:t>
      </w:r>
      <w:r w:rsidRPr="00594A33">
        <w:rPr>
          <w:rFonts w:ascii="Book Antiqua" w:hAnsi="Book Antiqua"/>
          <w:sz w:val="24"/>
          <w:szCs w:val="24"/>
        </w:rPr>
        <w:t>transjugular intrahepatic portosystemic shunts (TIPS) is a highly effective treatment for bleeding esophageal and gastric varices with control of the bleeding in over 90% of the patients. Many papers have been published in the last decade that led to technical improvements and definition of the best indications for this promising treatment of complications of portal hypertension. The purpose of this article is to describe the different treatment options for patients with refractory esophageal and gastric varices bleeding and the role of TIPS as a rescue therapy. Technical aspects of this procedure and the current indications are also discussed.</w:t>
      </w:r>
    </w:p>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r w:rsidRPr="00CA671B">
        <w:rPr>
          <w:rFonts w:ascii="Book Antiqua" w:hAnsi="Book Antiqua"/>
          <w:sz w:val="24"/>
          <w:szCs w:val="24"/>
          <w:lang w:val="fr-FR"/>
        </w:rPr>
        <w:t xml:space="preserve">Loffroy R, Estivalet L, Cherblanc V, Favelier S, Pottecher P, Hamza S, Minello A, Hillon P, Thouant P, Lefevre PH, Krausé D, Cercueil JP. </w:t>
      </w:r>
      <w:r w:rsidRPr="00594A33">
        <w:rPr>
          <w:rFonts w:ascii="Book Antiqua" w:hAnsi="Book Antiqua"/>
          <w:sz w:val="24"/>
          <w:szCs w:val="24"/>
        </w:rPr>
        <w:t xml:space="preserve">Transjugular intrahepatic portosystemic shunt for the management of acute variceal hemorrhage. </w:t>
      </w:r>
      <w:r w:rsidRPr="00594A33">
        <w:rPr>
          <w:rFonts w:ascii="Book Antiqua" w:hAnsi="Book Antiqua"/>
          <w:i/>
          <w:sz w:val="24"/>
          <w:szCs w:val="24"/>
        </w:rPr>
        <w:t xml:space="preserve">World J Gastroenterol </w:t>
      </w:r>
      <w:r w:rsidRPr="00594A33">
        <w:rPr>
          <w:rFonts w:ascii="Book Antiqua" w:hAnsi="Book Antiqua"/>
          <w:sz w:val="24"/>
          <w:szCs w:val="24"/>
        </w:rPr>
        <w:t>2013;</w:t>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b/>
          <w:sz w:val="24"/>
          <w:szCs w:val="24"/>
        </w:rPr>
        <w:t>Available from:</w:t>
      </w:r>
      <w:r w:rsidRPr="00594A33">
        <w:rPr>
          <w:rFonts w:ascii="Book Antiqua" w:hAnsi="Book Antiqua"/>
          <w:sz w:val="24"/>
          <w:szCs w:val="24"/>
        </w:rPr>
        <w:t xml:space="preserve"> URL: http://www.wjgnet.com/</w:t>
      </w:r>
    </w:p>
    <w:p w:rsidR="00C92AB1" w:rsidRPr="00CA671B" w:rsidRDefault="00C92AB1" w:rsidP="0072294F">
      <w:pPr>
        <w:snapToGrid w:val="0"/>
        <w:spacing w:line="360" w:lineRule="auto"/>
        <w:rPr>
          <w:rFonts w:ascii="Book Antiqua" w:hAnsi="Book Antiqua"/>
          <w:sz w:val="24"/>
          <w:szCs w:val="24"/>
          <w:lang w:val="fr-FR"/>
        </w:rPr>
      </w:pPr>
      <w:r w:rsidRPr="00CA671B">
        <w:rPr>
          <w:rFonts w:ascii="Book Antiqua" w:hAnsi="Book Antiqua"/>
          <w:b/>
          <w:sz w:val="24"/>
          <w:szCs w:val="24"/>
          <w:lang w:val="fr-FR"/>
        </w:rPr>
        <w:t xml:space="preserve">DOI: </w:t>
      </w:r>
      <w:r w:rsidRPr="00CA671B">
        <w:rPr>
          <w:rFonts w:ascii="Book Antiqua" w:hAnsi="Book Antiqua"/>
          <w:sz w:val="24"/>
          <w:szCs w:val="24"/>
          <w:lang w:val="fr-FR"/>
        </w:rPr>
        <w:t>http://dx.doi.org/</w:t>
      </w:r>
    </w:p>
    <w:p w:rsidR="00C92AB1" w:rsidRPr="00594A33" w:rsidRDefault="00C92AB1" w:rsidP="0072294F">
      <w:pPr>
        <w:snapToGrid w:val="0"/>
        <w:spacing w:line="360" w:lineRule="auto"/>
        <w:rPr>
          <w:rFonts w:ascii="Book Antiqua" w:hAnsi="Book Antiqua"/>
          <w:b/>
          <w:sz w:val="24"/>
          <w:szCs w:val="24"/>
        </w:rPr>
      </w:pPr>
      <w:r w:rsidRPr="00CA671B">
        <w:rPr>
          <w:rFonts w:ascii="Book Antiqua" w:hAnsi="Book Antiqua"/>
          <w:b/>
          <w:sz w:val="24"/>
          <w:szCs w:val="24"/>
        </w:rPr>
        <w:br w:type="page"/>
      </w:r>
      <w:r w:rsidRPr="00594A33">
        <w:rPr>
          <w:rFonts w:ascii="Book Antiqua" w:hAnsi="Book Antiqua"/>
          <w:b/>
          <w:sz w:val="24"/>
          <w:szCs w:val="24"/>
        </w:rPr>
        <w:lastRenderedPageBreak/>
        <w:t>INTRODUCTION</w:t>
      </w:r>
    </w:p>
    <w:p w:rsidR="00C92AB1" w:rsidRPr="00594A33" w:rsidRDefault="00C92AB1" w:rsidP="0072294F">
      <w:pPr>
        <w:snapToGrid w:val="0"/>
        <w:spacing w:line="360" w:lineRule="auto"/>
        <w:rPr>
          <w:rFonts w:ascii="Book Antiqua" w:hAnsi="Book Antiqua"/>
          <w:bCs/>
          <w:kern w:val="0"/>
          <w:sz w:val="24"/>
          <w:szCs w:val="24"/>
          <w:lang w:eastAsia="en-US"/>
        </w:rPr>
      </w:pPr>
      <w:r w:rsidRPr="00594A33">
        <w:rPr>
          <w:rFonts w:ascii="Book Antiqua" w:hAnsi="Book Antiqua"/>
          <w:bCs/>
          <w:kern w:val="0"/>
          <w:sz w:val="24"/>
          <w:szCs w:val="24"/>
          <w:lang w:eastAsia="en-US"/>
        </w:rPr>
        <w:t>Acute variceal hemorrhage is a common clinical emergency</w:t>
      </w:r>
      <w:r w:rsidRPr="00594A33">
        <w:rPr>
          <w:rFonts w:ascii="Book Antiqua" w:hAnsi="Book Antiqua"/>
          <w:sz w:val="24"/>
          <w:szCs w:val="24"/>
        </w:rPr>
        <w:t xml:space="preserve"> </w:t>
      </w:r>
      <w:r w:rsidRPr="00594A33">
        <w:rPr>
          <w:rFonts w:ascii="Book Antiqua" w:hAnsi="Book Antiqua"/>
          <w:bCs/>
          <w:kern w:val="0"/>
          <w:sz w:val="24"/>
          <w:szCs w:val="24"/>
          <w:lang w:eastAsia="en-US"/>
        </w:rPr>
        <w:t>and most often is caused by cirrhosis-related portal</w:t>
      </w:r>
      <w:r w:rsidRPr="00594A33">
        <w:rPr>
          <w:rFonts w:ascii="Book Antiqua" w:hAnsi="Book Antiqua"/>
          <w:sz w:val="24"/>
          <w:szCs w:val="24"/>
        </w:rPr>
        <w:t xml:space="preserve"> </w:t>
      </w:r>
      <w:r w:rsidRPr="00594A33">
        <w:rPr>
          <w:rFonts w:ascii="Book Antiqua" w:hAnsi="Book Antiqua"/>
          <w:bCs/>
          <w:kern w:val="0"/>
          <w:sz w:val="24"/>
          <w:szCs w:val="24"/>
          <w:lang w:eastAsia="en-US"/>
        </w:rPr>
        <w:t>hypertension</w:t>
      </w:r>
      <w:r w:rsidRPr="00594A33">
        <w:rPr>
          <w:rFonts w:ascii="Book Antiqua" w:hAnsi="Book Antiqua"/>
          <w:bCs/>
          <w:kern w:val="0"/>
          <w:sz w:val="24"/>
          <w:szCs w:val="24"/>
          <w:vertAlign w:val="superscript"/>
          <w:lang w:eastAsia="en-US"/>
        </w:rPr>
        <w:t>[1]</w:t>
      </w:r>
      <w:r w:rsidRPr="00594A33">
        <w:rPr>
          <w:rFonts w:ascii="Book Antiqua" w:hAnsi="Book Antiqua"/>
          <w:bCs/>
          <w:kern w:val="0"/>
          <w:sz w:val="24"/>
          <w:szCs w:val="24"/>
          <w:lang w:eastAsia="en-US"/>
        </w:rPr>
        <w:t>. Less common causes include splenic vein</w:t>
      </w:r>
      <w:r w:rsidRPr="00594A33">
        <w:rPr>
          <w:rFonts w:ascii="Book Antiqua" w:hAnsi="Book Antiqua"/>
          <w:sz w:val="24"/>
          <w:szCs w:val="24"/>
        </w:rPr>
        <w:t xml:space="preserve"> </w:t>
      </w:r>
      <w:r w:rsidRPr="00594A33">
        <w:rPr>
          <w:rFonts w:ascii="Book Antiqua" w:hAnsi="Book Antiqua"/>
          <w:bCs/>
          <w:kern w:val="0"/>
          <w:sz w:val="24"/>
          <w:szCs w:val="24"/>
          <w:lang w:eastAsia="en-US"/>
        </w:rPr>
        <w:t>thrombosis, hepatic veno-occlusive disease, and primary biliary</w:t>
      </w:r>
      <w:r w:rsidRPr="00594A33">
        <w:rPr>
          <w:rFonts w:ascii="Book Antiqua" w:hAnsi="Book Antiqua"/>
          <w:sz w:val="24"/>
          <w:szCs w:val="24"/>
        </w:rPr>
        <w:t xml:space="preserve"> </w:t>
      </w:r>
      <w:r w:rsidRPr="00594A33">
        <w:rPr>
          <w:rFonts w:ascii="Book Antiqua" w:hAnsi="Book Antiqua"/>
          <w:bCs/>
          <w:kern w:val="0"/>
          <w:sz w:val="24"/>
          <w:szCs w:val="24"/>
          <w:lang w:eastAsia="en-US"/>
        </w:rPr>
        <w:t>cirrhosis</w:t>
      </w:r>
      <w:r w:rsidRPr="00594A33">
        <w:rPr>
          <w:rFonts w:ascii="Book Antiqua" w:hAnsi="Book Antiqua"/>
          <w:bCs/>
          <w:kern w:val="0"/>
          <w:sz w:val="24"/>
          <w:szCs w:val="24"/>
          <w:vertAlign w:val="superscript"/>
          <w:lang w:eastAsia="en-US"/>
        </w:rPr>
        <w:t>[1]</w:t>
      </w:r>
      <w:r w:rsidRPr="00594A33">
        <w:rPr>
          <w:rFonts w:ascii="Book Antiqua" w:hAnsi="Book Antiqua"/>
          <w:bCs/>
          <w:kern w:val="0"/>
          <w:sz w:val="24"/>
          <w:szCs w:val="24"/>
          <w:lang w:eastAsia="en-US"/>
        </w:rPr>
        <w:t xml:space="preserve">. </w:t>
      </w:r>
      <w:r w:rsidRPr="00594A33">
        <w:rPr>
          <w:rFonts w:ascii="Book Antiqua" w:hAnsi="Book Antiqua"/>
          <w:kern w:val="0"/>
          <w:sz w:val="24"/>
          <w:szCs w:val="24"/>
          <w:lang w:eastAsia="en-US"/>
        </w:rPr>
        <w:t>It is defined as</w:t>
      </w:r>
      <w:r w:rsidRPr="00594A33">
        <w:rPr>
          <w:rFonts w:ascii="Book Antiqua" w:hAnsi="Book Antiqua"/>
          <w:sz w:val="24"/>
          <w:szCs w:val="24"/>
        </w:rPr>
        <w:t xml:space="preserve"> </w:t>
      </w:r>
      <w:r w:rsidRPr="00594A33">
        <w:rPr>
          <w:rFonts w:ascii="Book Antiqua" w:hAnsi="Book Antiqua"/>
          <w:kern w:val="0"/>
          <w:sz w:val="24"/>
          <w:szCs w:val="24"/>
          <w:lang w:eastAsia="en-US"/>
        </w:rPr>
        <w:t>visible bleeding from an esophageal or gastric varix at the</w:t>
      </w:r>
      <w:r w:rsidRPr="00594A33">
        <w:rPr>
          <w:rFonts w:ascii="Book Antiqua" w:hAnsi="Book Antiqua"/>
          <w:sz w:val="24"/>
          <w:szCs w:val="24"/>
        </w:rPr>
        <w:t xml:space="preserve"> </w:t>
      </w:r>
      <w:r w:rsidRPr="00594A33">
        <w:rPr>
          <w:rFonts w:ascii="Book Antiqua" w:hAnsi="Book Antiqua"/>
          <w:kern w:val="0"/>
          <w:sz w:val="24"/>
          <w:szCs w:val="24"/>
          <w:lang w:eastAsia="en-US"/>
        </w:rPr>
        <w:t>time of endoscopy, the presence of large esophageal</w:t>
      </w:r>
      <w:r w:rsidRPr="00594A33">
        <w:rPr>
          <w:rFonts w:ascii="Book Antiqua" w:hAnsi="Book Antiqua"/>
          <w:sz w:val="24"/>
          <w:szCs w:val="24"/>
        </w:rPr>
        <w:t xml:space="preserve"> </w:t>
      </w:r>
      <w:r w:rsidRPr="00594A33">
        <w:rPr>
          <w:rFonts w:ascii="Book Antiqua" w:hAnsi="Book Antiqua"/>
          <w:kern w:val="0"/>
          <w:sz w:val="24"/>
          <w:szCs w:val="24"/>
          <w:lang w:eastAsia="en-US"/>
        </w:rPr>
        <w:t>varices with recent stigmata of bleeding or fresh blood</w:t>
      </w:r>
      <w:r w:rsidRPr="00594A33">
        <w:rPr>
          <w:rFonts w:ascii="Book Antiqua" w:hAnsi="Book Antiqua"/>
          <w:sz w:val="24"/>
          <w:szCs w:val="24"/>
        </w:rPr>
        <w:t xml:space="preserve"> </w:t>
      </w:r>
      <w:r w:rsidRPr="00594A33">
        <w:rPr>
          <w:rFonts w:ascii="Book Antiqua" w:hAnsi="Book Antiqua"/>
          <w:kern w:val="0"/>
          <w:sz w:val="24"/>
          <w:szCs w:val="24"/>
          <w:lang w:eastAsia="en-US"/>
        </w:rPr>
        <w:t>visible in the stomach with no other source of bleeding</w:t>
      </w:r>
      <w:r w:rsidRPr="00594A33">
        <w:rPr>
          <w:rFonts w:ascii="Book Antiqua" w:hAnsi="Book Antiqua"/>
          <w:sz w:val="24"/>
          <w:szCs w:val="24"/>
        </w:rPr>
        <w:t xml:space="preserve"> </w:t>
      </w:r>
      <w:r w:rsidRPr="00594A33">
        <w:rPr>
          <w:rFonts w:ascii="Book Antiqua" w:hAnsi="Book Antiqua"/>
          <w:kern w:val="0"/>
          <w:sz w:val="24"/>
          <w:szCs w:val="24"/>
          <w:lang w:eastAsia="en-US"/>
        </w:rPr>
        <w:t>identified</w:t>
      </w:r>
      <w:r w:rsidRPr="00594A33">
        <w:rPr>
          <w:rFonts w:ascii="Book Antiqua" w:hAnsi="Book Antiqua"/>
          <w:kern w:val="0"/>
          <w:sz w:val="24"/>
          <w:szCs w:val="24"/>
          <w:vertAlign w:val="superscript"/>
          <w:lang w:eastAsia="en-US"/>
        </w:rPr>
        <w:t>[1]</w:t>
      </w:r>
      <w:r w:rsidRPr="00594A33">
        <w:rPr>
          <w:rFonts w:ascii="Book Antiqua" w:hAnsi="Book Antiqua"/>
          <w:kern w:val="0"/>
          <w:sz w:val="24"/>
          <w:szCs w:val="24"/>
          <w:lang w:eastAsia="en-US"/>
        </w:rPr>
        <w:t>. The frequency of gastroesophageal varices in</w:t>
      </w:r>
      <w:r w:rsidRPr="00594A33">
        <w:rPr>
          <w:rFonts w:ascii="Book Antiqua" w:hAnsi="Book Antiqua"/>
          <w:sz w:val="24"/>
          <w:szCs w:val="24"/>
        </w:rPr>
        <w:t xml:space="preserve"> </w:t>
      </w:r>
      <w:r w:rsidRPr="00594A33">
        <w:rPr>
          <w:rFonts w:ascii="Book Antiqua" w:hAnsi="Book Antiqua"/>
          <w:kern w:val="0"/>
          <w:sz w:val="24"/>
          <w:szCs w:val="24"/>
          <w:lang w:eastAsia="en-US"/>
        </w:rPr>
        <w:t>cirrhosis varies from 30% to 70% with bleeding occurring in</w:t>
      </w:r>
      <w:r w:rsidRPr="00594A33">
        <w:rPr>
          <w:rFonts w:ascii="Book Antiqua" w:hAnsi="Book Antiqua"/>
          <w:sz w:val="24"/>
          <w:szCs w:val="24"/>
        </w:rPr>
        <w:t xml:space="preserve"> </w:t>
      </w:r>
      <w:r w:rsidRPr="00594A33">
        <w:rPr>
          <w:rFonts w:ascii="Book Antiqua" w:hAnsi="Book Antiqua"/>
          <w:kern w:val="0"/>
          <w:sz w:val="24"/>
          <w:szCs w:val="24"/>
          <w:lang w:eastAsia="en-US"/>
        </w:rPr>
        <w:t>approximately one-third of patients</w:t>
      </w:r>
      <w:r w:rsidRPr="00594A33">
        <w:rPr>
          <w:rFonts w:ascii="Book Antiqua" w:hAnsi="Book Antiqua"/>
          <w:kern w:val="0"/>
          <w:sz w:val="24"/>
          <w:szCs w:val="24"/>
          <w:vertAlign w:val="superscript"/>
          <w:lang w:eastAsia="en-US"/>
        </w:rPr>
        <w:t>[2]</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Twenty percent of cirrhotics with acute variceal hemorrhage</w:t>
      </w:r>
      <w:r w:rsidRPr="00594A33">
        <w:rPr>
          <w:rFonts w:ascii="Book Antiqua" w:hAnsi="Book Antiqua"/>
          <w:sz w:val="24"/>
          <w:szCs w:val="24"/>
        </w:rPr>
        <w:t xml:space="preserve"> </w:t>
      </w:r>
      <w:r w:rsidRPr="00594A33">
        <w:rPr>
          <w:rFonts w:ascii="Book Antiqua" w:hAnsi="Book Antiqua"/>
          <w:bCs/>
          <w:kern w:val="0"/>
          <w:sz w:val="24"/>
          <w:szCs w:val="24"/>
          <w:lang w:eastAsia="en-US"/>
        </w:rPr>
        <w:t>die within six weeks</w:t>
      </w:r>
      <w:r w:rsidRPr="00594A33">
        <w:rPr>
          <w:rFonts w:ascii="Book Antiqua" w:hAnsi="Book Antiqua"/>
          <w:bCs/>
          <w:kern w:val="0"/>
          <w:sz w:val="24"/>
          <w:szCs w:val="24"/>
          <w:vertAlign w:val="superscript"/>
          <w:lang w:eastAsia="en-US"/>
        </w:rPr>
        <w:t>[3]</w:t>
      </w:r>
      <w:r w:rsidRPr="00594A33">
        <w:rPr>
          <w:rFonts w:ascii="Book Antiqua" w:hAnsi="Book Antiqua"/>
          <w:bCs/>
          <w:kern w:val="0"/>
          <w:sz w:val="24"/>
          <w:szCs w:val="24"/>
          <w:lang w:eastAsia="en-US"/>
        </w:rPr>
        <w:t>. The rebleeding rates range from</w:t>
      </w:r>
      <w:r w:rsidRPr="00594A33">
        <w:rPr>
          <w:rFonts w:ascii="Book Antiqua" w:hAnsi="Book Antiqua"/>
          <w:sz w:val="24"/>
          <w:szCs w:val="24"/>
        </w:rPr>
        <w:t xml:space="preserve"> </w:t>
      </w:r>
      <w:r w:rsidRPr="00594A33">
        <w:rPr>
          <w:rFonts w:ascii="Book Antiqua" w:hAnsi="Book Antiqua"/>
          <w:bCs/>
          <w:kern w:val="0"/>
          <w:sz w:val="24"/>
          <w:szCs w:val="24"/>
          <w:lang w:eastAsia="en-US"/>
        </w:rPr>
        <w:t>30% to 40% at six weeks and the mortality from rebleeding</w:t>
      </w:r>
      <w:r w:rsidRPr="00594A33">
        <w:rPr>
          <w:rFonts w:ascii="Book Antiqua" w:hAnsi="Book Antiqua"/>
          <w:sz w:val="24"/>
          <w:szCs w:val="24"/>
        </w:rPr>
        <w:t xml:space="preserve"> </w:t>
      </w:r>
      <w:r w:rsidRPr="00594A33">
        <w:rPr>
          <w:rFonts w:ascii="Book Antiqua" w:hAnsi="Book Antiqua"/>
          <w:bCs/>
          <w:kern w:val="0"/>
          <w:sz w:val="24"/>
          <w:szCs w:val="24"/>
          <w:lang w:eastAsia="en-US"/>
        </w:rPr>
        <w:t>reaches 30%</w:t>
      </w:r>
      <w:r w:rsidRPr="00594A33">
        <w:rPr>
          <w:rFonts w:ascii="Book Antiqua" w:hAnsi="Book Antiqua"/>
          <w:bCs/>
          <w:kern w:val="0"/>
          <w:sz w:val="24"/>
          <w:szCs w:val="24"/>
          <w:vertAlign w:val="superscript"/>
          <w:lang w:eastAsia="en-US"/>
        </w:rPr>
        <w:t>[4]</w:t>
      </w:r>
      <w:r w:rsidRPr="00594A33">
        <w:rPr>
          <w:rFonts w:ascii="Book Antiqua" w:hAnsi="Book Antiqua"/>
          <w:bCs/>
          <w:kern w:val="0"/>
          <w:sz w:val="24"/>
          <w:szCs w:val="24"/>
          <w:lang w:eastAsia="en-US"/>
        </w:rPr>
        <w:t xml:space="preserve">. </w:t>
      </w:r>
      <w:r w:rsidRPr="00594A33">
        <w:rPr>
          <w:rFonts w:ascii="Book Antiqua" w:hAnsi="Book Antiqua"/>
          <w:kern w:val="0"/>
          <w:sz w:val="24"/>
          <w:szCs w:val="24"/>
          <w:lang w:eastAsia="en-US"/>
        </w:rPr>
        <w:t>Gastroesophageal varices account for approximately</w:t>
      </w:r>
      <w:r w:rsidRPr="00594A33">
        <w:rPr>
          <w:rFonts w:ascii="Book Antiqua" w:hAnsi="Book Antiqua"/>
          <w:sz w:val="24"/>
          <w:szCs w:val="24"/>
        </w:rPr>
        <w:t xml:space="preserve"> </w:t>
      </w:r>
      <w:r w:rsidRPr="00594A33">
        <w:rPr>
          <w:rFonts w:ascii="Book Antiqua" w:hAnsi="Book Antiqua"/>
          <w:kern w:val="0"/>
          <w:sz w:val="24"/>
          <w:szCs w:val="24"/>
          <w:lang w:eastAsia="en-US"/>
        </w:rPr>
        <w:t>80% of all cases of variceal hemorrhage</w:t>
      </w:r>
      <w:r w:rsidRPr="00594A33">
        <w:rPr>
          <w:rFonts w:ascii="Book Antiqua" w:hAnsi="Book Antiqua"/>
          <w:kern w:val="0"/>
          <w:sz w:val="24"/>
          <w:szCs w:val="24"/>
          <w:vertAlign w:val="superscript"/>
          <w:lang w:eastAsia="en-US"/>
        </w:rPr>
        <w:t>[2,5]</w:t>
      </w:r>
      <w:r w:rsidRPr="00594A33">
        <w:rPr>
          <w:rFonts w:ascii="Book Antiqua" w:hAnsi="Book Antiqua"/>
          <w:kern w:val="0"/>
          <w:sz w:val="24"/>
          <w:szCs w:val="24"/>
          <w:lang w:eastAsia="en-US"/>
        </w:rPr>
        <w:t>. The</w:t>
      </w:r>
      <w:r w:rsidRPr="00594A33">
        <w:rPr>
          <w:rFonts w:ascii="Book Antiqua" w:hAnsi="Book Antiqua"/>
          <w:sz w:val="24"/>
          <w:szCs w:val="24"/>
        </w:rPr>
        <w:t xml:space="preserve"> </w:t>
      </w:r>
      <w:r w:rsidRPr="00594A33">
        <w:rPr>
          <w:rFonts w:ascii="Book Antiqua" w:hAnsi="Book Antiqua"/>
          <w:kern w:val="0"/>
          <w:sz w:val="24"/>
          <w:szCs w:val="24"/>
          <w:lang w:eastAsia="en-US"/>
        </w:rPr>
        <w:t>precipitating cause for hemorrhage, presumably an acute</w:t>
      </w:r>
      <w:r w:rsidRPr="00594A33">
        <w:rPr>
          <w:rFonts w:ascii="Book Antiqua" w:hAnsi="Book Antiqua"/>
          <w:sz w:val="24"/>
          <w:szCs w:val="24"/>
        </w:rPr>
        <w:t xml:space="preserve"> </w:t>
      </w:r>
      <w:r w:rsidRPr="00594A33">
        <w:rPr>
          <w:rFonts w:ascii="Book Antiqua" w:hAnsi="Book Antiqua"/>
          <w:kern w:val="0"/>
          <w:sz w:val="24"/>
          <w:szCs w:val="24"/>
          <w:lang w:eastAsia="en-US"/>
        </w:rPr>
        <w:t>rise in portal pressure and subsequent variceal rupture,</w:t>
      </w:r>
      <w:r w:rsidRPr="00594A33">
        <w:rPr>
          <w:rFonts w:ascii="Book Antiqua" w:hAnsi="Book Antiqua"/>
          <w:sz w:val="24"/>
          <w:szCs w:val="24"/>
        </w:rPr>
        <w:t xml:space="preserve"> </w:t>
      </w:r>
      <w:r w:rsidRPr="00594A33">
        <w:rPr>
          <w:rFonts w:ascii="Book Antiqua" w:hAnsi="Book Antiqua"/>
          <w:kern w:val="0"/>
          <w:sz w:val="24"/>
          <w:szCs w:val="24"/>
          <w:lang w:eastAsia="en-US"/>
        </w:rPr>
        <w:t>remains uncertain. However, several factors have been</w:t>
      </w:r>
      <w:r w:rsidRPr="00594A33">
        <w:rPr>
          <w:rFonts w:ascii="Book Antiqua" w:hAnsi="Book Antiqua"/>
          <w:sz w:val="24"/>
          <w:szCs w:val="24"/>
        </w:rPr>
        <w:t xml:space="preserve"> </w:t>
      </w:r>
      <w:r w:rsidRPr="00594A33">
        <w:rPr>
          <w:rFonts w:ascii="Book Antiqua" w:hAnsi="Book Antiqua"/>
          <w:kern w:val="0"/>
          <w:sz w:val="24"/>
          <w:szCs w:val="24"/>
          <w:lang w:eastAsia="en-US"/>
        </w:rPr>
        <w:t>implicated including raised intra-abdominal pressure,</w:t>
      </w:r>
      <w:r w:rsidRPr="00594A33">
        <w:rPr>
          <w:rFonts w:ascii="Book Antiqua" w:hAnsi="Book Antiqua"/>
          <w:sz w:val="24"/>
          <w:szCs w:val="24"/>
        </w:rPr>
        <w:t xml:space="preserve"> </w:t>
      </w:r>
      <w:r w:rsidRPr="00594A33">
        <w:rPr>
          <w:rFonts w:ascii="Book Antiqua" w:hAnsi="Book Antiqua"/>
          <w:kern w:val="0"/>
          <w:sz w:val="24"/>
          <w:szCs w:val="24"/>
          <w:lang w:eastAsia="en-US"/>
        </w:rPr>
        <w:t>bacterial infection, continued excess alcohol</w:t>
      </w:r>
      <w:r w:rsidRPr="00594A33">
        <w:rPr>
          <w:rFonts w:ascii="Book Antiqua" w:hAnsi="Book Antiqua"/>
          <w:sz w:val="24"/>
          <w:szCs w:val="24"/>
        </w:rPr>
        <w:t xml:space="preserve"> </w:t>
      </w:r>
      <w:r w:rsidRPr="00594A33">
        <w:rPr>
          <w:rFonts w:ascii="Book Antiqua" w:hAnsi="Book Antiqua"/>
          <w:kern w:val="0"/>
          <w:sz w:val="24"/>
          <w:szCs w:val="24"/>
          <w:lang w:eastAsia="en-US"/>
        </w:rPr>
        <w:t>consumption and postprandial increase in splanchnic</w:t>
      </w:r>
      <w:r w:rsidRPr="00594A33">
        <w:rPr>
          <w:rFonts w:ascii="Book Antiqua" w:hAnsi="Book Antiqua"/>
          <w:sz w:val="24"/>
          <w:szCs w:val="24"/>
        </w:rPr>
        <w:t xml:space="preserve"> </w:t>
      </w:r>
      <w:r w:rsidRPr="00594A33">
        <w:rPr>
          <w:rFonts w:ascii="Book Antiqua" w:hAnsi="Book Antiqua"/>
          <w:kern w:val="0"/>
          <w:sz w:val="24"/>
          <w:szCs w:val="24"/>
          <w:lang w:eastAsia="en-US"/>
        </w:rPr>
        <w:t>blood flow</w:t>
      </w:r>
      <w:r w:rsidRPr="00594A33">
        <w:rPr>
          <w:rFonts w:ascii="Book Antiqua" w:hAnsi="Book Antiqua"/>
          <w:kern w:val="0"/>
          <w:sz w:val="24"/>
          <w:szCs w:val="24"/>
          <w:vertAlign w:val="superscript"/>
          <w:lang w:eastAsia="en-US"/>
        </w:rPr>
        <w:t>[4,5]</w:t>
      </w:r>
      <w:r w:rsidRPr="00594A33">
        <w:rPr>
          <w:rFonts w:ascii="Book Antiqua" w:hAnsi="Book Antiqua"/>
          <w:kern w:val="0"/>
          <w:sz w:val="24"/>
          <w:szCs w:val="24"/>
          <w:lang w:eastAsia="en-US"/>
        </w:rPr>
        <w:t>. Predictive factors for variceal hemorrhage</w:t>
      </w:r>
      <w:r w:rsidRPr="00594A33">
        <w:rPr>
          <w:rFonts w:ascii="Book Antiqua" w:hAnsi="Book Antiqua"/>
          <w:sz w:val="24"/>
          <w:szCs w:val="24"/>
        </w:rPr>
        <w:t xml:space="preserve"> </w:t>
      </w:r>
      <w:r w:rsidRPr="00594A33">
        <w:rPr>
          <w:rFonts w:ascii="Book Antiqua" w:hAnsi="Book Antiqua"/>
          <w:kern w:val="0"/>
          <w:sz w:val="24"/>
          <w:szCs w:val="24"/>
          <w:lang w:eastAsia="en-US"/>
        </w:rPr>
        <w:t>include a hepatic venous pressure gradient (HVPG) of</w:t>
      </w:r>
      <w:r w:rsidRPr="00594A33">
        <w:rPr>
          <w:rFonts w:ascii="Book Antiqua" w:hAnsi="Book Antiqua"/>
          <w:sz w:val="24"/>
          <w:szCs w:val="24"/>
        </w:rPr>
        <w:t xml:space="preserve"> </w:t>
      </w:r>
      <w:r w:rsidRPr="00594A33">
        <w:rPr>
          <w:rFonts w:ascii="Book Antiqua" w:hAnsi="Book Antiqua"/>
          <w:kern w:val="0"/>
          <w:sz w:val="24"/>
          <w:szCs w:val="24"/>
          <w:lang w:eastAsia="en-US"/>
        </w:rPr>
        <w:t>&gt;</w:t>
      </w:r>
      <w:r w:rsidRPr="00594A33">
        <w:rPr>
          <w:rFonts w:ascii="Book Antiqua" w:hAnsi="Book Antiqua"/>
          <w:kern w:val="0"/>
          <w:sz w:val="24"/>
          <w:szCs w:val="24"/>
        </w:rPr>
        <w:t xml:space="preserve"> </w:t>
      </w:r>
      <w:r w:rsidRPr="00594A33">
        <w:rPr>
          <w:rFonts w:ascii="Book Antiqua" w:hAnsi="Book Antiqua"/>
          <w:kern w:val="0"/>
          <w:sz w:val="24"/>
          <w:szCs w:val="24"/>
          <w:lang w:eastAsia="en-US"/>
        </w:rPr>
        <w:t>20</w:t>
      </w:r>
      <w:r w:rsidRPr="00594A33">
        <w:rPr>
          <w:rFonts w:ascii="Book Antiqua" w:hAnsi="Book Antiqua"/>
          <w:kern w:val="0"/>
          <w:sz w:val="24"/>
          <w:szCs w:val="24"/>
        </w:rPr>
        <w:t xml:space="preserve"> </w:t>
      </w:r>
      <w:r w:rsidRPr="00594A33">
        <w:rPr>
          <w:rFonts w:ascii="Book Antiqua" w:hAnsi="Book Antiqua"/>
          <w:kern w:val="0"/>
          <w:sz w:val="24"/>
          <w:szCs w:val="24"/>
          <w:lang w:eastAsia="en-US"/>
        </w:rPr>
        <w:t>mmHg</w:t>
      </w:r>
      <w:r w:rsidRPr="00594A33">
        <w:rPr>
          <w:rFonts w:ascii="Book Antiqua" w:hAnsi="Book Antiqua"/>
          <w:kern w:val="0"/>
          <w:sz w:val="24"/>
          <w:szCs w:val="24"/>
          <w:vertAlign w:val="superscript"/>
          <w:lang w:eastAsia="en-US"/>
        </w:rPr>
        <w:t>[6,7]</w:t>
      </w:r>
      <w:r w:rsidRPr="00594A33">
        <w:rPr>
          <w:rFonts w:ascii="Book Antiqua" w:hAnsi="Book Antiqua"/>
          <w:kern w:val="0"/>
          <w:sz w:val="24"/>
          <w:szCs w:val="24"/>
          <w:lang w:eastAsia="en-US"/>
        </w:rPr>
        <w:t>, the presence of large varices with red</w:t>
      </w:r>
      <w:r w:rsidRPr="00594A33">
        <w:rPr>
          <w:rFonts w:ascii="Book Antiqua" w:hAnsi="Book Antiqua"/>
          <w:sz w:val="24"/>
          <w:szCs w:val="24"/>
        </w:rPr>
        <w:t xml:space="preserve"> </w:t>
      </w:r>
      <w:r w:rsidRPr="00594A33">
        <w:rPr>
          <w:rFonts w:ascii="Book Antiqua" w:hAnsi="Book Antiqua"/>
          <w:kern w:val="0"/>
          <w:sz w:val="24"/>
          <w:szCs w:val="24"/>
          <w:lang w:eastAsia="en-US"/>
        </w:rPr>
        <w:t>signs</w:t>
      </w:r>
      <w:r w:rsidRPr="00594A33">
        <w:rPr>
          <w:rFonts w:ascii="Book Antiqua" w:hAnsi="Book Antiqua"/>
          <w:kern w:val="0"/>
          <w:sz w:val="24"/>
          <w:szCs w:val="24"/>
          <w:vertAlign w:val="superscript"/>
          <w:lang w:eastAsia="en-US"/>
        </w:rPr>
        <w:t>[8]</w:t>
      </w:r>
      <w:r w:rsidRPr="00594A33">
        <w:rPr>
          <w:rFonts w:ascii="Book Antiqua" w:hAnsi="Book Antiqua"/>
          <w:kern w:val="0"/>
          <w:sz w:val="24"/>
          <w:szCs w:val="24"/>
          <w:lang w:eastAsia="en-US"/>
        </w:rPr>
        <w:t xml:space="preserve"> and underlying severe liver disease (Child–Pugh</w:t>
      </w:r>
      <w:r w:rsidRPr="00594A33">
        <w:rPr>
          <w:rFonts w:ascii="Book Antiqua" w:hAnsi="Book Antiqua"/>
          <w:sz w:val="24"/>
          <w:szCs w:val="24"/>
        </w:rPr>
        <w:t xml:space="preserve"> </w:t>
      </w:r>
      <w:r w:rsidRPr="00594A33">
        <w:rPr>
          <w:rFonts w:ascii="Book Antiqua" w:hAnsi="Book Antiqua"/>
          <w:kern w:val="0"/>
          <w:sz w:val="24"/>
          <w:szCs w:val="24"/>
          <w:lang w:eastAsia="en-US"/>
        </w:rPr>
        <w:t>grade C)</w:t>
      </w:r>
      <w:r w:rsidRPr="00594A33">
        <w:rPr>
          <w:rFonts w:ascii="Book Antiqua" w:hAnsi="Book Antiqua"/>
          <w:kern w:val="0"/>
          <w:sz w:val="24"/>
          <w:szCs w:val="24"/>
          <w:vertAlign w:val="superscript"/>
          <w:lang w:eastAsia="en-US"/>
        </w:rPr>
        <w:t>[2]</w:t>
      </w:r>
      <w:r w:rsidRPr="00594A33">
        <w:rPr>
          <w:rFonts w:ascii="Book Antiqua" w:hAnsi="Book Antiqua"/>
          <w:kern w:val="0"/>
          <w:sz w:val="24"/>
          <w:szCs w:val="24"/>
          <w:lang w:eastAsia="en-US"/>
        </w:rPr>
        <w:t>.</w:t>
      </w:r>
      <w:r w:rsidRPr="00594A33">
        <w:rPr>
          <w:rFonts w:ascii="Book Antiqua" w:hAnsi="Book Antiqua"/>
          <w:sz w:val="24"/>
          <w:szCs w:val="24"/>
        </w:rPr>
        <w:t xml:space="preserve"> </w:t>
      </w:r>
    </w:p>
    <w:p w:rsidR="00C92AB1" w:rsidRPr="00594A33" w:rsidRDefault="00C92AB1" w:rsidP="0072294F">
      <w:pPr>
        <w:snapToGrid w:val="0"/>
        <w:spacing w:line="360" w:lineRule="auto"/>
        <w:ind w:firstLineChars="100" w:firstLine="240"/>
        <w:rPr>
          <w:rFonts w:ascii="Book Antiqua" w:hAnsi="Book Antiqua"/>
          <w:sz w:val="24"/>
          <w:szCs w:val="24"/>
        </w:rPr>
      </w:pPr>
      <w:r w:rsidRPr="00594A33">
        <w:rPr>
          <w:rFonts w:ascii="Book Antiqua" w:hAnsi="Book Antiqua"/>
          <w:bCs/>
          <w:kern w:val="0"/>
          <w:sz w:val="24"/>
          <w:szCs w:val="24"/>
          <w:lang w:eastAsia="en-US"/>
        </w:rPr>
        <w:t>Optimal management of variceal hemorrhage</w:t>
      </w:r>
      <w:r w:rsidRPr="00594A33">
        <w:rPr>
          <w:rFonts w:ascii="Book Antiqua" w:hAnsi="Book Antiqua"/>
          <w:sz w:val="24"/>
          <w:szCs w:val="24"/>
        </w:rPr>
        <w:t xml:space="preserve"> </w:t>
      </w:r>
      <w:r w:rsidRPr="00594A33">
        <w:rPr>
          <w:rFonts w:ascii="Book Antiqua" w:hAnsi="Book Antiqua"/>
          <w:bCs/>
          <w:kern w:val="0"/>
          <w:sz w:val="24"/>
          <w:szCs w:val="24"/>
          <w:lang w:eastAsia="en-US"/>
        </w:rPr>
        <w:t>requires a multidisciplinary approach involving a team of</w:t>
      </w:r>
      <w:r w:rsidRPr="00594A33">
        <w:rPr>
          <w:rFonts w:ascii="Book Antiqua" w:hAnsi="Book Antiqua"/>
          <w:sz w:val="24"/>
          <w:szCs w:val="24"/>
        </w:rPr>
        <w:t xml:space="preserve"> </w:t>
      </w:r>
      <w:r w:rsidRPr="00594A33">
        <w:rPr>
          <w:rFonts w:ascii="Book Antiqua" w:hAnsi="Book Antiqua"/>
          <w:bCs/>
          <w:kern w:val="0"/>
          <w:sz w:val="24"/>
          <w:szCs w:val="24"/>
          <w:lang w:eastAsia="en-US"/>
        </w:rPr>
        <w:t>gastroenterologists, hepatologists, critical care</w:t>
      </w:r>
      <w:r w:rsidRPr="00594A33">
        <w:rPr>
          <w:rFonts w:ascii="Book Antiqua" w:hAnsi="Book Antiqua"/>
          <w:sz w:val="24"/>
          <w:szCs w:val="24"/>
        </w:rPr>
        <w:t xml:space="preserve"> </w:t>
      </w:r>
      <w:r w:rsidRPr="00594A33">
        <w:rPr>
          <w:rFonts w:ascii="Book Antiqua" w:hAnsi="Book Antiqua"/>
          <w:bCs/>
          <w:kern w:val="0"/>
          <w:sz w:val="24"/>
          <w:szCs w:val="24"/>
          <w:lang w:eastAsia="en-US"/>
        </w:rPr>
        <w:t>physicians, surgeons, and interventional radiologists. The principal components of therapy include airway maintenance,</w:t>
      </w:r>
      <w:r w:rsidRPr="00594A33">
        <w:rPr>
          <w:rFonts w:ascii="Book Antiqua" w:hAnsi="Book Antiqua"/>
          <w:sz w:val="24"/>
          <w:szCs w:val="24"/>
        </w:rPr>
        <w:t xml:space="preserve"> </w:t>
      </w:r>
      <w:r w:rsidRPr="00594A33">
        <w:rPr>
          <w:rFonts w:ascii="Book Antiqua" w:hAnsi="Book Antiqua"/>
          <w:bCs/>
          <w:kern w:val="0"/>
          <w:sz w:val="24"/>
          <w:szCs w:val="24"/>
          <w:lang w:eastAsia="en-US"/>
        </w:rPr>
        <w:t>hemodynamic stabilization, control of the variceal</w:t>
      </w:r>
      <w:r w:rsidRPr="00594A33">
        <w:rPr>
          <w:rFonts w:ascii="Book Antiqua" w:hAnsi="Book Antiqua"/>
          <w:sz w:val="24"/>
          <w:szCs w:val="24"/>
        </w:rPr>
        <w:t xml:space="preserve"> </w:t>
      </w:r>
      <w:r w:rsidRPr="00594A33">
        <w:rPr>
          <w:rFonts w:ascii="Book Antiqua" w:hAnsi="Book Antiqua"/>
          <w:bCs/>
          <w:kern w:val="0"/>
          <w:sz w:val="24"/>
          <w:szCs w:val="24"/>
          <w:lang w:eastAsia="en-US"/>
        </w:rPr>
        <w:t>hemorrhage, and alteration of the hemodynamic effects of</w:t>
      </w:r>
      <w:r w:rsidRPr="00594A33">
        <w:rPr>
          <w:rFonts w:ascii="Book Antiqua" w:hAnsi="Book Antiqua"/>
          <w:sz w:val="24"/>
          <w:szCs w:val="24"/>
        </w:rPr>
        <w:t xml:space="preserve"> </w:t>
      </w:r>
      <w:r w:rsidRPr="00594A33">
        <w:rPr>
          <w:rFonts w:ascii="Book Antiqua" w:hAnsi="Book Antiqua"/>
          <w:bCs/>
          <w:kern w:val="0"/>
          <w:sz w:val="24"/>
          <w:szCs w:val="24"/>
          <w:lang w:eastAsia="en-US"/>
        </w:rPr>
        <w:t xml:space="preserve">portal hypertension. </w:t>
      </w:r>
      <w:r w:rsidRPr="00594A33">
        <w:rPr>
          <w:rFonts w:ascii="Book Antiqua" w:hAnsi="Book Antiqua"/>
          <w:kern w:val="0"/>
          <w:sz w:val="24"/>
          <w:szCs w:val="24"/>
          <w:lang w:eastAsia="en-US"/>
        </w:rPr>
        <w:t>Treatment options for the management of acute variceal</w:t>
      </w:r>
      <w:r w:rsidRPr="00594A33">
        <w:rPr>
          <w:rFonts w:ascii="Book Antiqua" w:hAnsi="Book Antiqua"/>
          <w:sz w:val="24"/>
          <w:szCs w:val="24"/>
        </w:rPr>
        <w:t xml:space="preserve"> </w:t>
      </w:r>
      <w:r w:rsidRPr="00594A33">
        <w:rPr>
          <w:rFonts w:ascii="Book Antiqua" w:hAnsi="Book Antiqua"/>
          <w:kern w:val="0"/>
          <w:sz w:val="24"/>
          <w:szCs w:val="24"/>
          <w:lang w:eastAsia="en-US"/>
        </w:rPr>
        <w:t>hemorrhage include endoscopic therapy, use of vasoactive</w:t>
      </w:r>
      <w:r w:rsidRPr="00594A33">
        <w:rPr>
          <w:rFonts w:ascii="Book Antiqua" w:hAnsi="Book Antiqua"/>
          <w:sz w:val="24"/>
          <w:szCs w:val="24"/>
        </w:rPr>
        <w:t xml:space="preserve"> </w:t>
      </w:r>
      <w:r w:rsidRPr="00594A33">
        <w:rPr>
          <w:rFonts w:ascii="Book Antiqua" w:hAnsi="Book Antiqua"/>
          <w:kern w:val="0"/>
          <w:sz w:val="24"/>
          <w:szCs w:val="24"/>
          <w:lang w:eastAsia="en-US"/>
        </w:rPr>
        <w:t>drugs, balloon tamponade and esophageal transaction. These various methods, either alone or in</w:t>
      </w:r>
      <w:r w:rsidRPr="00594A33">
        <w:rPr>
          <w:rFonts w:ascii="Book Antiqua" w:hAnsi="Book Antiqua"/>
          <w:sz w:val="24"/>
          <w:szCs w:val="24"/>
        </w:rPr>
        <w:t xml:space="preserve"> </w:t>
      </w:r>
      <w:r w:rsidRPr="00594A33">
        <w:rPr>
          <w:rFonts w:ascii="Book Antiqua" w:hAnsi="Book Antiqua"/>
          <w:kern w:val="0"/>
          <w:sz w:val="24"/>
          <w:szCs w:val="24"/>
          <w:lang w:eastAsia="en-US"/>
        </w:rPr>
        <w:t>combination, are effective in controlling acute variceal hemorrhage</w:t>
      </w:r>
      <w:r w:rsidRPr="00594A33">
        <w:rPr>
          <w:rFonts w:ascii="Book Antiqua" w:hAnsi="Book Antiqua"/>
          <w:sz w:val="24"/>
          <w:szCs w:val="24"/>
        </w:rPr>
        <w:t xml:space="preserve"> </w:t>
      </w:r>
      <w:r w:rsidRPr="00594A33">
        <w:rPr>
          <w:rFonts w:ascii="Book Antiqua" w:hAnsi="Book Antiqua"/>
          <w:kern w:val="0"/>
          <w:sz w:val="24"/>
          <w:szCs w:val="24"/>
          <w:lang w:eastAsia="en-US"/>
        </w:rPr>
        <w:t>in 80% to 90% of patients</w:t>
      </w:r>
      <w:r w:rsidRPr="00594A33">
        <w:rPr>
          <w:rFonts w:ascii="Book Antiqua" w:hAnsi="Book Antiqua"/>
          <w:kern w:val="0"/>
          <w:sz w:val="24"/>
          <w:szCs w:val="24"/>
          <w:vertAlign w:val="superscript"/>
          <w:lang w:eastAsia="en-US"/>
        </w:rPr>
        <w:t>[3]</w:t>
      </w:r>
      <w:r w:rsidRPr="00594A33">
        <w:rPr>
          <w:rFonts w:ascii="Book Antiqua" w:hAnsi="Book Antiqua"/>
          <w:kern w:val="0"/>
          <w:sz w:val="24"/>
          <w:szCs w:val="24"/>
          <w:lang w:eastAsia="en-US"/>
        </w:rPr>
        <w:t>.</w:t>
      </w:r>
      <w:r w:rsidRPr="00594A33">
        <w:rPr>
          <w:rFonts w:ascii="Book Antiqua" w:hAnsi="Book Antiqua"/>
          <w:sz w:val="24"/>
          <w:szCs w:val="24"/>
        </w:rPr>
        <w:t xml:space="preserve"> </w:t>
      </w:r>
      <w:r w:rsidRPr="00594A33">
        <w:rPr>
          <w:rFonts w:ascii="Book Antiqua" w:hAnsi="Book Antiqua"/>
          <w:kern w:val="0"/>
          <w:sz w:val="24"/>
          <w:szCs w:val="24"/>
          <w:lang w:eastAsia="en-US"/>
        </w:rPr>
        <w:t>Patients who do not respond to these measures are referred</w:t>
      </w:r>
      <w:r w:rsidRPr="00594A33">
        <w:rPr>
          <w:rFonts w:ascii="Book Antiqua" w:hAnsi="Book Antiqua"/>
          <w:sz w:val="24"/>
          <w:szCs w:val="24"/>
        </w:rPr>
        <w:t xml:space="preserve"> </w:t>
      </w:r>
      <w:r w:rsidRPr="00594A33">
        <w:rPr>
          <w:rFonts w:ascii="Book Antiqua" w:hAnsi="Book Antiqua"/>
          <w:kern w:val="0"/>
          <w:sz w:val="24"/>
          <w:szCs w:val="24"/>
          <w:lang w:eastAsia="en-US"/>
        </w:rPr>
        <w:t>for rescue therapies, which include transjugular</w:t>
      </w:r>
      <w:r w:rsidRPr="00594A33">
        <w:rPr>
          <w:rFonts w:ascii="Book Antiqua" w:hAnsi="Book Antiqua"/>
          <w:sz w:val="24"/>
          <w:szCs w:val="24"/>
        </w:rPr>
        <w:t xml:space="preserve"> </w:t>
      </w:r>
      <w:r w:rsidRPr="00594A33">
        <w:rPr>
          <w:rFonts w:ascii="Book Antiqua" w:hAnsi="Book Antiqua"/>
          <w:kern w:val="0"/>
          <w:sz w:val="24"/>
          <w:szCs w:val="24"/>
          <w:lang w:eastAsia="en-US"/>
        </w:rPr>
        <w:t>intrahepatic portosystemic shunt (TIPS) and surgical</w:t>
      </w:r>
      <w:r w:rsidRPr="00594A33">
        <w:rPr>
          <w:rFonts w:ascii="Book Antiqua" w:hAnsi="Book Antiqua"/>
          <w:sz w:val="24"/>
          <w:szCs w:val="24"/>
        </w:rPr>
        <w:t xml:space="preserve"> </w:t>
      </w:r>
      <w:r w:rsidRPr="00594A33">
        <w:rPr>
          <w:rFonts w:ascii="Book Antiqua" w:hAnsi="Book Antiqua"/>
          <w:kern w:val="0"/>
          <w:sz w:val="24"/>
          <w:szCs w:val="24"/>
          <w:lang w:eastAsia="en-US"/>
        </w:rPr>
        <w:t>portosystemic shunts with or without splenectomy. Because</w:t>
      </w:r>
      <w:r w:rsidRPr="00594A33">
        <w:rPr>
          <w:rFonts w:ascii="Book Antiqua" w:hAnsi="Book Antiqua"/>
          <w:sz w:val="24"/>
          <w:szCs w:val="24"/>
        </w:rPr>
        <w:t xml:space="preserve"> </w:t>
      </w:r>
      <w:r w:rsidRPr="00594A33">
        <w:rPr>
          <w:rFonts w:ascii="Book Antiqua" w:hAnsi="Book Antiqua"/>
          <w:kern w:val="0"/>
          <w:sz w:val="24"/>
          <w:szCs w:val="24"/>
          <w:lang w:eastAsia="en-US"/>
        </w:rPr>
        <w:t>of the higher mortality of surgery in the acute setting, TIPS is</w:t>
      </w:r>
      <w:r w:rsidRPr="00594A33">
        <w:rPr>
          <w:rFonts w:ascii="Book Antiqua" w:hAnsi="Book Antiqua"/>
          <w:sz w:val="24"/>
          <w:szCs w:val="24"/>
        </w:rPr>
        <w:t xml:space="preserve"> </w:t>
      </w:r>
      <w:r w:rsidRPr="00594A33">
        <w:rPr>
          <w:rFonts w:ascii="Book Antiqua" w:hAnsi="Book Antiqua"/>
          <w:kern w:val="0"/>
          <w:sz w:val="24"/>
          <w:szCs w:val="24"/>
          <w:lang w:eastAsia="en-US"/>
        </w:rPr>
        <w:t xml:space="preserve">the favored rescue procedure for </w:t>
      </w:r>
      <w:r w:rsidRPr="00594A33">
        <w:rPr>
          <w:rFonts w:ascii="Book Antiqua" w:hAnsi="Book Antiqua"/>
          <w:kern w:val="0"/>
          <w:sz w:val="24"/>
          <w:szCs w:val="24"/>
          <w:lang w:eastAsia="en-US"/>
        </w:rPr>
        <w:lastRenderedPageBreak/>
        <w:t>uncontrolled</w:t>
      </w:r>
      <w:r w:rsidRPr="00594A33">
        <w:rPr>
          <w:rFonts w:ascii="Book Antiqua" w:hAnsi="Book Antiqua"/>
          <w:sz w:val="24"/>
          <w:szCs w:val="24"/>
        </w:rPr>
        <w:t xml:space="preserve"> </w:t>
      </w:r>
      <w:r w:rsidRPr="00594A33">
        <w:rPr>
          <w:rFonts w:ascii="Book Antiqua" w:hAnsi="Book Antiqua"/>
          <w:kern w:val="0"/>
          <w:sz w:val="24"/>
          <w:szCs w:val="24"/>
          <w:lang w:eastAsia="en-US"/>
        </w:rPr>
        <w:t>variceal hemorrhage</w:t>
      </w:r>
      <w:r w:rsidRPr="00594A33">
        <w:rPr>
          <w:rFonts w:ascii="Book Antiqua" w:hAnsi="Book Antiqua"/>
          <w:kern w:val="0"/>
          <w:sz w:val="24"/>
          <w:szCs w:val="24"/>
          <w:vertAlign w:val="superscript"/>
          <w:lang w:eastAsia="en-US"/>
        </w:rPr>
        <w:t>[6]</w:t>
      </w:r>
      <w:r w:rsidRPr="00594A33">
        <w:rPr>
          <w:rFonts w:ascii="Book Antiqua" w:hAnsi="Book Antiqua"/>
          <w:kern w:val="0"/>
          <w:sz w:val="24"/>
          <w:szCs w:val="24"/>
          <w:lang w:eastAsia="en-US"/>
        </w:rPr>
        <w:t>.</w:t>
      </w:r>
      <w:r w:rsidRPr="00594A33">
        <w:rPr>
          <w:rFonts w:ascii="Book Antiqua" w:hAnsi="Book Antiqua"/>
          <w:sz w:val="24"/>
          <w:szCs w:val="24"/>
        </w:rPr>
        <w:t xml:space="preserve"> </w:t>
      </w:r>
    </w:p>
    <w:p w:rsidR="00C92AB1" w:rsidRPr="00594A33" w:rsidRDefault="00C92AB1" w:rsidP="0072294F">
      <w:pPr>
        <w:snapToGrid w:val="0"/>
        <w:spacing w:line="360" w:lineRule="auto"/>
        <w:ind w:firstLineChars="100" w:firstLine="240"/>
        <w:rPr>
          <w:rFonts w:ascii="Book Antiqua" w:hAnsi="Book Antiqua"/>
          <w:sz w:val="24"/>
          <w:szCs w:val="24"/>
        </w:rPr>
      </w:pPr>
      <w:r w:rsidRPr="00594A33">
        <w:rPr>
          <w:rFonts w:ascii="Book Antiqua" w:hAnsi="Book Antiqua"/>
          <w:kern w:val="0"/>
          <w:sz w:val="24"/>
          <w:szCs w:val="24"/>
          <w:lang w:eastAsia="en-US"/>
        </w:rPr>
        <w:t>The purpose of this review is to describe the</w:t>
      </w:r>
      <w:r w:rsidRPr="00594A33">
        <w:rPr>
          <w:rFonts w:ascii="Book Antiqua" w:hAnsi="Book Antiqua"/>
          <w:sz w:val="24"/>
          <w:szCs w:val="24"/>
        </w:rPr>
        <w:t xml:space="preserve"> different </w:t>
      </w:r>
      <w:r w:rsidRPr="00594A33">
        <w:rPr>
          <w:rFonts w:ascii="Book Antiqua" w:hAnsi="Book Antiqua"/>
          <w:kern w:val="0"/>
          <w:sz w:val="24"/>
          <w:szCs w:val="24"/>
          <w:lang w:eastAsia="en-US"/>
        </w:rPr>
        <w:t>therapeutic options available to control acute variceal</w:t>
      </w:r>
      <w:r w:rsidRPr="00594A33">
        <w:rPr>
          <w:rFonts w:ascii="Book Antiqua" w:hAnsi="Book Antiqua"/>
          <w:sz w:val="24"/>
          <w:szCs w:val="24"/>
        </w:rPr>
        <w:t xml:space="preserve"> </w:t>
      </w:r>
      <w:r w:rsidRPr="00594A33">
        <w:rPr>
          <w:rFonts w:ascii="Book Antiqua" w:hAnsi="Book Antiqua"/>
          <w:kern w:val="0"/>
          <w:sz w:val="24"/>
          <w:szCs w:val="24"/>
          <w:lang w:eastAsia="en-US"/>
        </w:rPr>
        <w:t>hemorrhage and then to focus on the potential role of</w:t>
      </w:r>
      <w:r w:rsidRPr="00594A33">
        <w:rPr>
          <w:rFonts w:ascii="Book Antiqua" w:hAnsi="Book Antiqua"/>
          <w:sz w:val="24"/>
          <w:szCs w:val="24"/>
        </w:rPr>
        <w:t xml:space="preserve"> </w:t>
      </w:r>
      <w:r w:rsidRPr="00594A33">
        <w:rPr>
          <w:rFonts w:ascii="Book Antiqua" w:hAnsi="Book Antiqua"/>
          <w:kern w:val="0"/>
          <w:sz w:val="24"/>
          <w:szCs w:val="24"/>
          <w:lang w:eastAsia="en-US"/>
        </w:rPr>
        <w:t>TIPS as a primary therapy to control acute variceal</w:t>
      </w:r>
      <w:r w:rsidRPr="00594A33">
        <w:rPr>
          <w:rFonts w:ascii="Book Antiqua" w:hAnsi="Book Antiqua"/>
          <w:sz w:val="24"/>
          <w:szCs w:val="24"/>
        </w:rPr>
        <w:t xml:space="preserve"> </w:t>
      </w:r>
      <w:r w:rsidRPr="00594A33">
        <w:rPr>
          <w:rFonts w:ascii="Book Antiqua" w:hAnsi="Book Antiqua"/>
          <w:kern w:val="0"/>
          <w:sz w:val="24"/>
          <w:szCs w:val="24"/>
          <w:lang w:eastAsia="en-US"/>
        </w:rPr>
        <w:t>hemorrhage, particularly as a rescue therapy following</w:t>
      </w:r>
      <w:r w:rsidRPr="00594A33">
        <w:rPr>
          <w:rFonts w:ascii="Book Antiqua" w:hAnsi="Book Antiqua"/>
          <w:sz w:val="24"/>
          <w:szCs w:val="24"/>
        </w:rPr>
        <w:t xml:space="preserve"> </w:t>
      </w:r>
      <w:r w:rsidRPr="00594A33">
        <w:rPr>
          <w:rFonts w:ascii="Book Antiqua" w:hAnsi="Book Antiqua"/>
          <w:kern w:val="0"/>
          <w:sz w:val="24"/>
          <w:szCs w:val="24"/>
          <w:lang w:eastAsia="en-US"/>
        </w:rPr>
        <w:t>failure of endoscopic approaches.</w:t>
      </w:r>
      <w:r w:rsidRPr="00594A33">
        <w:rPr>
          <w:rFonts w:ascii="Book Antiqua" w:hAnsi="Book Antiqua"/>
          <w:sz w:val="24"/>
          <w:szCs w:val="24"/>
        </w:rPr>
        <w:t xml:space="preserve"> </w:t>
      </w: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 xml:space="preserve">INDICATIONS - </w:t>
      </w:r>
      <w:r w:rsidRPr="00594A33">
        <w:rPr>
          <w:rFonts w:ascii="Book Antiqua" w:hAnsi="Book Antiqua"/>
          <w:b/>
          <w:bCs/>
          <w:caps/>
          <w:sz w:val="24"/>
          <w:szCs w:val="24"/>
        </w:rPr>
        <w:t>Gastrointestinal bleeding</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TIPS has been used to treat many complications related</w:t>
      </w:r>
      <w:r w:rsidRPr="00594A33">
        <w:rPr>
          <w:rFonts w:ascii="Book Antiqua" w:hAnsi="Book Antiqua"/>
          <w:b/>
          <w:sz w:val="24"/>
          <w:szCs w:val="24"/>
        </w:rPr>
        <w:t xml:space="preserve"> </w:t>
      </w:r>
      <w:r w:rsidRPr="00594A33">
        <w:rPr>
          <w:rFonts w:ascii="Book Antiqua" w:hAnsi="Book Antiqua"/>
          <w:kern w:val="0"/>
          <w:sz w:val="24"/>
          <w:szCs w:val="24"/>
          <w:lang w:eastAsia="en-US"/>
        </w:rPr>
        <w:t>to portal hypertension. The relative efficacy of TIPS has</w:t>
      </w:r>
      <w:r w:rsidRPr="00594A33">
        <w:rPr>
          <w:rFonts w:ascii="Book Antiqua" w:hAnsi="Book Antiqua"/>
          <w:b/>
          <w:sz w:val="24"/>
          <w:szCs w:val="24"/>
        </w:rPr>
        <w:t xml:space="preserve"> </w:t>
      </w:r>
      <w:r w:rsidRPr="00594A33">
        <w:rPr>
          <w:rFonts w:ascii="Book Antiqua" w:hAnsi="Book Antiqua"/>
          <w:kern w:val="0"/>
          <w:sz w:val="24"/>
          <w:szCs w:val="24"/>
          <w:lang w:eastAsia="en-US"/>
        </w:rPr>
        <w:t>been tested with randomized controlled trials, (variceal bleeding, refractory ascites), whereas other indications have</w:t>
      </w:r>
      <w:r w:rsidRPr="00594A33">
        <w:rPr>
          <w:rFonts w:ascii="Book Antiqua" w:hAnsi="Book Antiqua"/>
          <w:b/>
          <w:sz w:val="24"/>
          <w:szCs w:val="24"/>
        </w:rPr>
        <w:t xml:space="preserve"> </w:t>
      </w:r>
      <w:r w:rsidRPr="00594A33">
        <w:rPr>
          <w:rFonts w:ascii="Book Antiqua" w:hAnsi="Book Antiqua"/>
          <w:kern w:val="0"/>
          <w:sz w:val="24"/>
          <w:szCs w:val="24"/>
          <w:lang w:eastAsia="en-US"/>
        </w:rPr>
        <w:t>been evaluated in uncontrolled case series.</w:t>
      </w:r>
    </w:p>
    <w:p w:rsidR="00C92AB1" w:rsidRPr="00594A33" w:rsidRDefault="00C92AB1" w:rsidP="0072294F">
      <w:pPr>
        <w:autoSpaceDE w:val="0"/>
        <w:autoSpaceDN w:val="0"/>
        <w:adjustRightInd w:val="0"/>
        <w:snapToGrid w:val="0"/>
        <w:spacing w:line="360" w:lineRule="auto"/>
        <w:ind w:firstLineChars="100" w:firstLine="240"/>
        <w:rPr>
          <w:rFonts w:ascii="Book Antiqua" w:hAnsi="Book Antiqua"/>
          <w:kern w:val="0"/>
          <w:sz w:val="24"/>
          <w:szCs w:val="24"/>
          <w:lang w:eastAsia="en-US"/>
        </w:rPr>
      </w:pPr>
      <w:r w:rsidRPr="00594A33">
        <w:rPr>
          <w:rFonts w:ascii="Book Antiqua" w:hAnsi="Book Antiqua"/>
          <w:kern w:val="0"/>
          <w:sz w:val="24"/>
          <w:szCs w:val="24"/>
          <w:lang w:eastAsia="en-US"/>
        </w:rPr>
        <w:t>The causes of gastrointestinal hemorrhage in a patient with portal hypertension may be variceal rupture, portal hypertension gastropathy, postsclerotherapy ulcers, peptic ulcer disease, hemorrhagic gastritis, and Mallory-Weiss tear. TIPS is generally accepted as a second-line therapy after failure of endoscopic and medical therapy of bleeding from gastroesophageal varices</w:t>
      </w:r>
      <w:r w:rsidRPr="00594A33">
        <w:rPr>
          <w:rFonts w:ascii="Book Antiqua" w:hAnsi="Book Antiqua"/>
          <w:kern w:val="0"/>
          <w:sz w:val="24"/>
          <w:szCs w:val="24"/>
          <w:vertAlign w:val="superscript"/>
          <w:lang w:eastAsia="en-US"/>
        </w:rPr>
        <w:t>[9]</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Primary prophylaxis of variceal bleeding</w:t>
      </w: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kern w:val="0"/>
          <w:sz w:val="24"/>
          <w:szCs w:val="24"/>
          <w:lang w:eastAsia="en-US"/>
        </w:rPr>
        <w:t xml:space="preserve">Bleeding from esophageal varices is a common and severe complication of portal hypertension. Prevention of the initial bleeding can be achieved in a number of cases by endoscopic variceal ligation or </w:t>
      </w:r>
      <w:r w:rsidRPr="00594A33">
        <w:rPr>
          <w:rFonts w:ascii="Book Antiqua" w:hAnsi="Book Antiqua"/>
          <w:bCs/>
          <w:kern w:val="0"/>
          <w:sz w:val="24"/>
          <w:szCs w:val="24"/>
          <w:lang w:eastAsia="en-US"/>
        </w:rPr>
        <w:t>β</w:t>
      </w:r>
      <w:r w:rsidRPr="00594A33">
        <w:rPr>
          <w:rFonts w:ascii="Book Antiqua" w:hAnsi="Book Antiqua"/>
          <w:kern w:val="0"/>
          <w:sz w:val="24"/>
          <w:szCs w:val="24"/>
          <w:lang w:eastAsia="en-US"/>
        </w:rPr>
        <w:t>-blocker treatment. However, TIPS has never been tested in this situation as the use of surgical portacaval shunts has demonstrated that this approach is associated with higher morbidity and mortality rates</w:t>
      </w:r>
      <w:r w:rsidRPr="00594A33">
        <w:rPr>
          <w:rFonts w:ascii="Book Antiqua" w:hAnsi="Book Antiqua"/>
          <w:kern w:val="0"/>
          <w:sz w:val="24"/>
          <w:szCs w:val="24"/>
          <w:vertAlign w:val="superscript"/>
          <w:lang w:eastAsia="en-US"/>
        </w:rPr>
        <w:t>[10]</w:t>
      </w:r>
      <w:r w:rsidRPr="00594A33">
        <w:rPr>
          <w:rFonts w:ascii="Book Antiqua" w:hAnsi="Book Antiqua"/>
          <w:kern w:val="0"/>
          <w:sz w:val="24"/>
          <w:szCs w:val="24"/>
          <w:lang w:eastAsia="en-US"/>
        </w:rPr>
        <w:t>.</w:t>
      </w:r>
    </w:p>
    <w:p w:rsidR="00C92AB1" w:rsidRPr="00594A33" w:rsidRDefault="00C92AB1" w:rsidP="0072294F">
      <w:pPr>
        <w:snapToGrid w:val="0"/>
        <w:spacing w:line="360" w:lineRule="auto"/>
        <w:ind w:firstLineChars="100" w:firstLine="240"/>
        <w:rPr>
          <w:rFonts w:ascii="Book Antiqua" w:hAnsi="Book Antiqua"/>
          <w:i/>
          <w:sz w:val="24"/>
          <w:szCs w:val="24"/>
        </w:rPr>
      </w:pPr>
      <w:r w:rsidRPr="00594A33">
        <w:rPr>
          <w:rFonts w:ascii="Book Antiqua" w:hAnsi="Book Antiqua"/>
          <w:kern w:val="0"/>
          <w:sz w:val="24"/>
          <w:szCs w:val="24"/>
          <w:lang w:eastAsia="en-US"/>
        </w:rPr>
        <w:t>Bleeding from gastric varices is often severe and difficult to control, particularly when</w:t>
      </w:r>
      <w:r w:rsidRPr="00594A33">
        <w:rPr>
          <w:rFonts w:ascii="Book Antiqua" w:hAnsi="Book Antiqua"/>
          <w:i/>
          <w:sz w:val="24"/>
          <w:szCs w:val="24"/>
        </w:rPr>
        <w:t xml:space="preserve"> </w:t>
      </w:r>
      <w:r w:rsidRPr="00594A33">
        <w:rPr>
          <w:rFonts w:ascii="Book Antiqua" w:hAnsi="Book Antiqua"/>
          <w:kern w:val="0"/>
          <w:sz w:val="24"/>
          <w:szCs w:val="24"/>
          <w:lang w:eastAsia="en-US"/>
        </w:rPr>
        <w:t>fundal varices are involved. The first-line treatment is endoscopic sclerotherapy with cyanoacrylate</w:t>
      </w:r>
      <w:r w:rsidRPr="00594A33">
        <w:rPr>
          <w:rFonts w:ascii="Book Antiqua" w:hAnsi="Book Antiqua"/>
          <w:kern w:val="0"/>
          <w:sz w:val="24"/>
          <w:szCs w:val="24"/>
          <w:vertAlign w:val="superscript"/>
          <w:lang w:eastAsia="en-US"/>
        </w:rPr>
        <w:t>[11]</w:t>
      </w:r>
      <w:r w:rsidRPr="00594A33">
        <w:rPr>
          <w:rFonts w:ascii="Book Antiqua" w:hAnsi="Book Antiqua"/>
          <w:kern w:val="0"/>
          <w:sz w:val="24"/>
          <w:szCs w:val="24"/>
          <w:lang w:eastAsia="en-US"/>
        </w:rPr>
        <w:t>. TIPS has been used in a number of uncontrolled trials in patients in</w:t>
      </w:r>
      <w:r w:rsidRPr="00594A33">
        <w:rPr>
          <w:rFonts w:ascii="Book Antiqua" w:hAnsi="Book Antiqua"/>
          <w:i/>
          <w:sz w:val="24"/>
          <w:szCs w:val="24"/>
        </w:rPr>
        <w:t xml:space="preserve"> </w:t>
      </w:r>
      <w:r w:rsidRPr="00594A33">
        <w:rPr>
          <w:rFonts w:ascii="Book Antiqua" w:hAnsi="Book Antiqua"/>
          <w:kern w:val="0"/>
          <w:sz w:val="24"/>
          <w:szCs w:val="24"/>
          <w:lang w:eastAsia="en-US"/>
        </w:rPr>
        <w:t>whom endoscopic therapy failed</w:t>
      </w:r>
      <w:r w:rsidRPr="00594A33">
        <w:rPr>
          <w:rFonts w:ascii="Book Antiqua" w:hAnsi="Book Antiqua"/>
          <w:kern w:val="0"/>
          <w:sz w:val="24"/>
          <w:szCs w:val="24"/>
          <w:vertAlign w:val="superscript"/>
          <w:lang w:eastAsia="en-US"/>
        </w:rPr>
        <w:t>[12,13]</w:t>
      </w:r>
      <w:r w:rsidRPr="00594A33">
        <w:rPr>
          <w:rFonts w:ascii="Book Antiqua" w:hAnsi="Book Antiqua"/>
          <w:kern w:val="0"/>
          <w:sz w:val="24"/>
          <w:szCs w:val="24"/>
          <w:lang w:eastAsia="en-US"/>
        </w:rPr>
        <w:t>. A recent controlled trial has shown that TIPS is more efficient than cyanoacrylate in prevention of rebleeding (secondary prophylaxis) from large gastric varices</w:t>
      </w:r>
      <w:r w:rsidRPr="00594A33">
        <w:rPr>
          <w:rFonts w:ascii="Book Antiqua" w:hAnsi="Book Antiqua"/>
          <w:kern w:val="0"/>
          <w:sz w:val="24"/>
          <w:szCs w:val="24"/>
          <w:vertAlign w:val="superscript"/>
          <w:lang w:eastAsia="en-US"/>
        </w:rPr>
        <w:t>[14]</w:t>
      </w:r>
      <w:r w:rsidRPr="00594A33">
        <w:rPr>
          <w:rFonts w:ascii="Book Antiqua" w:hAnsi="Book Antiqua"/>
          <w:kern w:val="0"/>
          <w:sz w:val="24"/>
          <w:szCs w:val="24"/>
          <w:lang w:eastAsia="en-US"/>
        </w:rPr>
        <w:t>. This finding, although interesting, must be confirmed by after a long-term follow-up. Importantly, due to the large size of fundal varices, the risk of rupture is still present even at a low portacaval gradient (</w:t>
      </w:r>
      <w:r w:rsidRPr="00594A33">
        <w:rPr>
          <w:rFonts w:ascii="Book Antiqua" w:hAnsi="Book Antiqua"/>
          <w:bCs/>
          <w:kern w:val="0"/>
          <w:sz w:val="24"/>
          <w:szCs w:val="24"/>
          <w:lang w:eastAsia="en-US"/>
        </w:rPr>
        <w:t>&lt;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12 mmHg) after TIPS</w:t>
      </w:r>
      <w:r w:rsidRPr="00594A33">
        <w:rPr>
          <w:rFonts w:ascii="Book Antiqua" w:hAnsi="Book Antiqua"/>
          <w:kern w:val="0"/>
          <w:sz w:val="24"/>
          <w:szCs w:val="24"/>
          <w:vertAlign w:val="superscript"/>
          <w:lang w:eastAsia="en-US"/>
        </w:rPr>
        <w:t>[15]</w:t>
      </w:r>
      <w:r w:rsidRPr="00594A33">
        <w:rPr>
          <w:rFonts w:ascii="Book Antiqua" w:hAnsi="Book Antiqua"/>
          <w:kern w:val="0"/>
          <w:sz w:val="24"/>
          <w:szCs w:val="24"/>
          <w:lang w:eastAsia="en-US"/>
        </w:rPr>
        <w:t xml:space="preserve">. </w:t>
      </w:r>
      <w:r w:rsidRPr="00594A33">
        <w:rPr>
          <w:rFonts w:ascii="Book Antiqua" w:hAnsi="Book Antiqua"/>
          <w:kern w:val="0"/>
          <w:sz w:val="24"/>
          <w:szCs w:val="24"/>
          <w:lang w:eastAsia="en-US"/>
        </w:rPr>
        <w:lastRenderedPageBreak/>
        <w:t>This is probably best explained by the relationship between the variceal tension (and therefore the risk of rupture) and the variceal size. For this reason, it is recommended to embolize gastric varices at the time of TIPS placement</w:t>
      </w:r>
      <w:r w:rsidRPr="00594A33">
        <w:rPr>
          <w:rFonts w:ascii="Book Antiqua" w:hAnsi="Book Antiqua"/>
          <w:kern w:val="0"/>
          <w:sz w:val="24"/>
          <w:szCs w:val="24"/>
          <w:vertAlign w:val="superscript"/>
          <w:lang w:eastAsia="en-US"/>
        </w:rPr>
        <w:t>[10,16]</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i/>
          <w:kern w:val="0"/>
          <w:sz w:val="24"/>
          <w:szCs w:val="24"/>
          <w:lang w:eastAsia="en-US"/>
        </w:rPr>
      </w:pPr>
      <w:r w:rsidRPr="00594A33">
        <w:rPr>
          <w:rFonts w:ascii="Book Antiqua" w:hAnsi="Book Antiqua"/>
          <w:b/>
          <w:i/>
          <w:sz w:val="24"/>
          <w:szCs w:val="24"/>
        </w:rPr>
        <w:t>Acute variceal bleeding</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When initial bleeding occurs, it is usually controlled with less invasive endoscopic treatment and/or pharmacological therapy. In the rare instance when bleeding remains uncontrollable, TIPS has been used as a rescue treatment with good results. However, prognosis relies on the general condition of the patient, the value of the liver function reserve, and the associated comorbidities</w:t>
      </w:r>
      <w:r w:rsidRPr="00594A33">
        <w:rPr>
          <w:rFonts w:ascii="Book Antiqua" w:hAnsi="Book Antiqua"/>
          <w:kern w:val="0"/>
          <w:sz w:val="24"/>
          <w:szCs w:val="24"/>
          <w:vertAlign w:val="superscript"/>
          <w:lang w:eastAsia="en-US"/>
        </w:rPr>
        <w:t>[17-20]</w:t>
      </w:r>
      <w:r w:rsidRPr="00594A33">
        <w:rPr>
          <w:rFonts w:ascii="Book Antiqua" w:hAnsi="Book Antiqua"/>
          <w:kern w:val="0"/>
          <w:sz w:val="24"/>
          <w:szCs w:val="24"/>
          <w:lang w:eastAsia="en-US"/>
        </w:rPr>
        <w:t>. However, a recent randomized controlled trial evaluated the use of emergent TIPS as compared to standard medical therapy in patients with severe portal hypertension and a Child-Pugh score of 7 to 13</w:t>
      </w:r>
      <w:r w:rsidRPr="00594A33">
        <w:rPr>
          <w:rFonts w:ascii="Book Antiqua" w:hAnsi="Book Antiqua"/>
          <w:kern w:val="0"/>
          <w:sz w:val="24"/>
          <w:szCs w:val="24"/>
          <w:vertAlign w:val="superscript"/>
          <w:lang w:eastAsia="en-US"/>
        </w:rPr>
        <w:t>[21]</w:t>
      </w:r>
      <w:r w:rsidRPr="00594A33">
        <w:rPr>
          <w:rFonts w:ascii="Book Antiqua" w:hAnsi="Book Antiqua"/>
          <w:kern w:val="0"/>
          <w:sz w:val="24"/>
          <w:szCs w:val="24"/>
          <w:lang w:eastAsia="en-US"/>
        </w:rPr>
        <w:t xml:space="preserve">. Treatment failure was more frequent in the medical group (50%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 xml:space="preserve">12%) and the survival rate was better in the TIPS group (11%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38%)</w:t>
      </w:r>
      <w:r w:rsidRPr="00594A33">
        <w:rPr>
          <w:rFonts w:ascii="Book Antiqua" w:hAnsi="Book Antiqua"/>
          <w:kern w:val="0"/>
          <w:sz w:val="24"/>
          <w:szCs w:val="24"/>
          <w:vertAlign w:val="superscript"/>
          <w:lang w:eastAsia="en-US"/>
        </w:rPr>
        <w:t>[21]</w:t>
      </w:r>
      <w:r w:rsidRPr="00594A33">
        <w:rPr>
          <w:rFonts w:ascii="Book Antiqua" w:hAnsi="Book Antiqua"/>
          <w:kern w:val="0"/>
          <w:sz w:val="24"/>
          <w:szCs w:val="24"/>
          <w:lang w:eastAsia="en-US"/>
        </w:rPr>
        <w:t>. This approach could justify the use of TIPS early after bleeding in patients with moderate or severe liver failure and severe portal hypertension. Current evidence supports the use of TIPS not as a primary form of treatment, but rather as a rescue treatment for patients with bleeding esophageal varices who failed pharmacological and endoscopic treatments.</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i/>
          <w:kern w:val="0"/>
          <w:sz w:val="24"/>
          <w:szCs w:val="24"/>
          <w:lang w:eastAsia="en-US"/>
        </w:rPr>
      </w:pPr>
      <w:r w:rsidRPr="00594A33">
        <w:rPr>
          <w:rFonts w:ascii="Book Antiqua" w:hAnsi="Book Antiqua"/>
          <w:b/>
          <w:i/>
          <w:sz w:val="24"/>
          <w:szCs w:val="24"/>
        </w:rPr>
        <w:t>Secondary prophylaxis of variceal bleeding</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The strongest evidence in favor of performing a TIPS procedure exists for the secondary prevention of variceal bleeding. Twelve randomized controlled trials have been published on this topic, describing results for 948 patients, 472 of whom received a TIPS</w:t>
      </w:r>
      <w:r w:rsidRPr="00594A33">
        <w:rPr>
          <w:rFonts w:ascii="Book Antiqua" w:hAnsi="Book Antiqua"/>
          <w:kern w:val="0"/>
          <w:sz w:val="24"/>
          <w:szCs w:val="24"/>
          <w:vertAlign w:val="superscript"/>
          <w:lang w:eastAsia="en-US"/>
        </w:rPr>
        <w:t>[22</w:t>
      </w:r>
      <w:r w:rsidRPr="00594A33">
        <w:rPr>
          <w:rFonts w:ascii="Book Antiqua" w:hAnsi="Book Antiqua"/>
          <w:kern w:val="0"/>
          <w:sz w:val="24"/>
          <w:szCs w:val="24"/>
          <w:vertAlign w:val="superscript"/>
        </w:rPr>
        <w:t>,</w:t>
      </w:r>
      <w:r w:rsidRPr="00594A33">
        <w:rPr>
          <w:rFonts w:ascii="Book Antiqua" w:hAnsi="Book Antiqua"/>
          <w:kern w:val="0"/>
          <w:sz w:val="24"/>
          <w:szCs w:val="24"/>
          <w:vertAlign w:val="superscript"/>
          <w:lang w:eastAsia="en-US"/>
        </w:rPr>
        <w:t>33]</w:t>
      </w:r>
      <w:r w:rsidRPr="00594A33">
        <w:rPr>
          <w:rFonts w:ascii="Book Antiqua" w:hAnsi="Book Antiqua"/>
          <w:kern w:val="0"/>
          <w:sz w:val="24"/>
          <w:szCs w:val="24"/>
          <w:lang w:eastAsia="en-US"/>
        </w:rPr>
        <w:t>. Recent meta-analyses found a more than threefold decrease in the risk of recurrent bleeding after insertion of a TIPS compared with various forms of endoscopic therapy (Table 1)</w:t>
      </w:r>
      <w:r w:rsidRPr="00594A33">
        <w:rPr>
          <w:rFonts w:ascii="Book Antiqua" w:hAnsi="Book Antiqua"/>
          <w:kern w:val="0"/>
          <w:sz w:val="24"/>
          <w:szCs w:val="24"/>
          <w:vertAlign w:val="superscript"/>
          <w:lang w:eastAsia="en-US"/>
        </w:rPr>
        <w:t>[34,35]</w:t>
      </w:r>
      <w:r w:rsidRPr="00594A33">
        <w:rPr>
          <w:rFonts w:ascii="Book Antiqua" w:hAnsi="Book Antiqua"/>
          <w:kern w:val="0"/>
          <w:sz w:val="24"/>
          <w:szCs w:val="24"/>
          <w:lang w:eastAsia="en-US"/>
        </w:rPr>
        <w:t>. Rates of rebleeding after insertion of TIPS ranged from 9.0% to 40.6%. Conversely, continued endoscopic therapy resulted in a 20.5% to 60.6% rate of rebleeding. All-cause mortality rates were similar between the TIPS and endoscopic therapy groups. However, there was a more than twofold increase in the rate of development of hepatic encephalopathy after a TIPS procedure</w:t>
      </w:r>
      <w:r w:rsidRPr="00594A33">
        <w:rPr>
          <w:rFonts w:ascii="Book Antiqua" w:hAnsi="Book Antiqua"/>
          <w:kern w:val="0"/>
          <w:sz w:val="24"/>
          <w:szCs w:val="24"/>
          <w:vertAlign w:val="superscript"/>
          <w:lang w:eastAsia="en-US"/>
        </w:rPr>
        <w:t>[22-33]</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i/>
          <w:sz w:val="24"/>
          <w:szCs w:val="24"/>
        </w:rPr>
      </w:pPr>
    </w:p>
    <w:p w:rsidR="00C92AB1" w:rsidRPr="00594A33" w:rsidRDefault="00C92AB1" w:rsidP="0072294F">
      <w:pPr>
        <w:snapToGrid w:val="0"/>
        <w:spacing w:line="360" w:lineRule="auto"/>
        <w:rPr>
          <w:rFonts w:ascii="Book Antiqua" w:hAnsi="Book Antiqua"/>
          <w:i/>
          <w:kern w:val="0"/>
          <w:sz w:val="24"/>
          <w:szCs w:val="24"/>
          <w:lang w:eastAsia="en-US"/>
        </w:rPr>
      </w:pPr>
      <w:r w:rsidRPr="00594A33">
        <w:rPr>
          <w:rFonts w:ascii="Book Antiqua" w:hAnsi="Book Antiqua"/>
          <w:b/>
          <w:i/>
          <w:sz w:val="24"/>
          <w:szCs w:val="24"/>
        </w:rPr>
        <w:lastRenderedPageBreak/>
        <w:t>Ectopic varices</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Varices may develop anywhere along the digestive tract in patients with portal hypertension (duodenum, jejunum, colon, rectum) and may bleed. Local treatments are either impossible or associated with a high rate of rebleeding. The best approach is the TIPS procedure, which can be combined with embolization of the varices</w:t>
      </w:r>
      <w:r w:rsidRPr="00594A33">
        <w:rPr>
          <w:rFonts w:ascii="Book Antiqua" w:hAnsi="Book Antiqua"/>
          <w:kern w:val="0"/>
          <w:sz w:val="24"/>
          <w:szCs w:val="24"/>
          <w:vertAlign w:val="superscript"/>
          <w:lang w:eastAsia="en-US"/>
        </w:rPr>
        <w:t>[36,37]</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i/>
          <w:kern w:val="0"/>
          <w:sz w:val="24"/>
          <w:szCs w:val="24"/>
          <w:lang w:eastAsia="en-US"/>
        </w:rPr>
      </w:pPr>
      <w:r w:rsidRPr="00594A33">
        <w:rPr>
          <w:rFonts w:ascii="Book Antiqua" w:hAnsi="Book Antiqua"/>
          <w:b/>
          <w:i/>
          <w:sz w:val="24"/>
          <w:szCs w:val="24"/>
        </w:rPr>
        <w:t>Portal hypertensive gastropathy</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These gastric lesions rarely induce problematic bleeding. Nonetheless, anecdotal case reports have suggested that TIPS may control bleeding in these patients</w:t>
      </w:r>
      <w:r w:rsidRPr="00594A33">
        <w:rPr>
          <w:rFonts w:ascii="Book Antiqua" w:hAnsi="Book Antiqua"/>
          <w:kern w:val="0"/>
          <w:sz w:val="24"/>
          <w:szCs w:val="24"/>
          <w:vertAlign w:val="superscript"/>
          <w:lang w:eastAsia="en-US"/>
        </w:rPr>
        <w:t>[38]</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i/>
          <w:kern w:val="0"/>
          <w:sz w:val="24"/>
          <w:szCs w:val="24"/>
          <w:lang w:eastAsia="en-US"/>
        </w:rPr>
      </w:pPr>
      <w:r w:rsidRPr="00594A33">
        <w:rPr>
          <w:rFonts w:ascii="Book Antiqua" w:hAnsi="Book Antiqua"/>
          <w:b/>
          <w:i/>
          <w:sz w:val="24"/>
          <w:szCs w:val="24"/>
        </w:rPr>
        <w:t>Gastric antral vascular ectasia</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Chronic bleeding from </w:t>
      </w:r>
      <w:r w:rsidRPr="00594A33">
        <w:rPr>
          <w:rFonts w:ascii="Book Antiqua" w:hAnsi="Book Antiqua"/>
          <w:sz w:val="24"/>
          <w:szCs w:val="24"/>
        </w:rPr>
        <w:t>gastric antral vascular ectasia</w:t>
      </w:r>
      <w:r w:rsidRPr="00594A33">
        <w:rPr>
          <w:rFonts w:ascii="Book Antiqua" w:hAnsi="Book Antiqua"/>
          <w:kern w:val="0"/>
          <w:sz w:val="24"/>
          <w:szCs w:val="24"/>
        </w:rPr>
        <w:t xml:space="preserve"> </w:t>
      </w:r>
      <w:r w:rsidRPr="00594A33">
        <w:rPr>
          <w:rFonts w:ascii="Book Antiqua" w:hAnsi="Book Antiqua"/>
          <w:kern w:val="0"/>
          <w:sz w:val="24"/>
          <w:szCs w:val="24"/>
          <w:lang w:eastAsia="en-US"/>
        </w:rPr>
        <w:t>may be difficult to manage. However, TIPS does not help to control this type of hemorrhage, probably because these vascular lesions are related to liver disease and not to portal hypertension</w:t>
      </w:r>
      <w:r w:rsidRPr="00594A33">
        <w:rPr>
          <w:rFonts w:ascii="Book Antiqua" w:hAnsi="Book Antiqua"/>
          <w:kern w:val="0"/>
          <w:sz w:val="24"/>
          <w:szCs w:val="24"/>
          <w:vertAlign w:val="superscript"/>
          <w:lang w:eastAsia="en-US"/>
        </w:rPr>
        <w:t>[38,39]</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Other indications</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Despite limited evidence, TIPS has found wider clinical use than just secondary prevention of variceal bleeding, treatment of refractory acute variceal bleeding and management of refractory ascites. These clinical indications include Budd-Chiari syndrome</w:t>
      </w:r>
      <w:r w:rsidRPr="00594A33">
        <w:rPr>
          <w:rFonts w:ascii="Book Antiqua" w:hAnsi="Book Antiqua"/>
          <w:kern w:val="0"/>
          <w:sz w:val="24"/>
          <w:szCs w:val="24"/>
          <w:vertAlign w:val="superscript"/>
          <w:lang w:eastAsia="en-US"/>
        </w:rPr>
        <w:t>[40,41]</w:t>
      </w:r>
      <w:r w:rsidRPr="00594A33">
        <w:rPr>
          <w:rFonts w:ascii="Book Antiqua" w:hAnsi="Book Antiqua"/>
          <w:kern w:val="0"/>
          <w:sz w:val="24"/>
          <w:szCs w:val="24"/>
          <w:lang w:eastAsia="en-US"/>
        </w:rPr>
        <w:t>, hepatic veno-occlusive disease</w:t>
      </w:r>
      <w:r w:rsidRPr="00594A33">
        <w:rPr>
          <w:rFonts w:ascii="Book Antiqua" w:hAnsi="Book Antiqua"/>
          <w:kern w:val="0"/>
          <w:sz w:val="24"/>
          <w:szCs w:val="24"/>
          <w:vertAlign w:val="superscript"/>
          <w:lang w:eastAsia="en-US"/>
        </w:rPr>
        <w:t>[42]</w:t>
      </w:r>
      <w:r w:rsidRPr="00594A33">
        <w:rPr>
          <w:rFonts w:ascii="Book Antiqua" w:hAnsi="Book Antiqua"/>
          <w:kern w:val="0"/>
          <w:sz w:val="24"/>
          <w:szCs w:val="24"/>
          <w:lang w:eastAsia="en-US"/>
        </w:rPr>
        <w:t>, hepatic hydrothorax</w:t>
      </w:r>
      <w:r w:rsidRPr="00594A33">
        <w:rPr>
          <w:rFonts w:ascii="Book Antiqua" w:hAnsi="Book Antiqua"/>
          <w:kern w:val="0"/>
          <w:sz w:val="24"/>
          <w:szCs w:val="24"/>
          <w:vertAlign w:val="superscript"/>
          <w:lang w:eastAsia="en-US"/>
        </w:rPr>
        <w:t>[43-46]</w:t>
      </w:r>
      <w:r w:rsidRPr="00594A33">
        <w:rPr>
          <w:rFonts w:ascii="Book Antiqua" w:hAnsi="Book Antiqua"/>
          <w:kern w:val="0"/>
          <w:sz w:val="24"/>
          <w:szCs w:val="24"/>
          <w:lang w:eastAsia="en-US"/>
        </w:rPr>
        <w:t>, hepatorenal syndrome</w:t>
      </w:r>
      <w:r w:rsidRPr="00594A33">
        <w:rPr>
          <w:rFonts w:ascii="Book Antiqua" w:hAnsi="Book Antiqua"/>
          <w:kern w:val="0"/>
          <w:sz w:val="24"/>
          <w:szCs w:val="24"/>
          <w:vertAlign w:val="superscript"/>
          <w:lang w:eastAsia="en-US"/>
        </w:rPr>
        <w:t>[47,48]</w:t>
      </w:r>
      <w:r w:rsidRPr="00594A33">
        <w:rPr>
          <w:rFonts w:ascii="Book Antiqua" w:hAnsi="Book Antiqua"/>
          <w:kern w:val="0"/>
          <w:sz w:val="24"/>
          <w:szCs w:val="24"/>
          <w:lang w:eastAsia="en-US"/>
        </w:rPr>
        <w:t>, and hepatopulmonary syndrome</w:t>
      </w:r>
      <w:r w:rsidRPr="00594A33">
        <w:rPr>
          <w:rFonts w:ascii="Book Antiqua" w:hAnsi="Book Antiqua"/>
          <w:kern w:val="0"/>
          <w:sz w:val="24"/>
          <w:szCs w:val="24"/>
          <w:vertAlign w:val="superscript"/>
          <w:lang w:eastAsia="en-US"/>
        </w:rPr>
        <w:t>[49]</w:t>
      </w:r>
      <w:r w:rsidRPr="00594A33">
        <w:rPr>
          <w:rFonts w:ascii="Book Antiqua" w:hAnsi="Book Antiqua"/>
          <w:kern w:val="0"/>
          <w:sz w:val="24"/>
          <w:szCs w:val="24"/>
          <w:lang w:eastAsia="en-US"/>
        </w:rPr>
        <w:t>.</w:t>
      </w:r>
    </w:p>
    <w:p w:rsidR="00C92AB1" w:rsidRPr="00594A33" w:rsidRDefault="00C92AB1" w:rsidP="0072294F">
      <w:pPr>
        <w:snapToGrid w:val="0"/>
        <w:spacing w:line="360" w:lineRule="auto"/>
        <w:rPr>
          <w:rFonts w:ascii="Book Antiqua" w:hAnsi="Book Antiqua"/>
          <w:i/>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CONTRAINDICATIONS</w:t>
      </w:r>
      <w:bookmarkStart w:id="376" w:name="_GoBack"/>
      <w:bookmarkEnd w:id="376"/>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Absolute contraindications to TIPS include right heart failure and pulmonary arterial hypertension. The TIPS survival benefit in patients with severe liver failure (Child-Pugh class C cirrhosis, model for end-stage liver disease score </w:t>
      </w:r>
      <w:r w:rsidRPr="00594A33">
        <w:rPr>
          <w:rFonts w:ascii="Book Antiqua" w:hAnsi="Book Antiqua"/>
          <w:bCs/>
          <w:kern w:val="0"/>
          <w:sz w:val="24"/>
          <w:szCs w:val="24"/>
          <w:lang w:eastAsia="en-US"/>
        </w:rPr>
        <w:t>&gt;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 xml:space="preserve">22, serum bilirubin </w:t>
      </w:r>
      <w:r w:rsidRPr="00594A33">
        <w:rPr>
          <w:rFonts w:ascii="Book Antiqua" w:hAnsi="Book Antiqua"/>
          <w:bCs/>
          <w:kern w:val="0"/>
          <w:sz w:val="24"/>
          <w:szCs w:val="24"/>
          <w:lang w:eastAsia="en-US"/>
        </w:rPr>
        <w:t>&gt;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 xml:space="preserve">3 mg/dL) also remains unclear. Relative contraindications include hepatic encephalopathy (which may worsen following TIPS creation), polycystic liver disease (technically challenging with a high incidence of hemorrhagic complications), active sepsis (poor outcomes), and chronic organized portal vein thrombosis (technically challenging for successful TIPS creation). Acute portal vein thrombus is not a contraindication for TIPS, </w:t>
      </w:r>
      <w:r w:rsidRPr="00594A33">
        <w:rPr>
          <w:rFonts w:ascii="Book Antiqua" w:hAnsi="Book Antiqua"/>
          <w:kern w:val="0"/>
          <w:sz w:val="24"/>
          <w:szCs w:val="24"/>
          <w:lang w:eastAsia="en-US"/>
        </w:rPr>
        <w:lastRenderedPageBreak/>
        <w:t>but it necessitates extensive stenting to prevent shunt occlusion</w:t>
      </w:r>
      <w:r w:rsidRPr="00594A33">
        <w:rPr>
          <w:rFonts w:ascii="Book Antiqua" w:hAnsi="Book Antiqua"/>
          <w:kern w:val="0"/>
          <w:sz w:val="24"/>
          <w:szCs w:val="24"/>
          <w:vertAlign w:val="superscript"/>
          <w:lang w:eastAsia="en-US"/>
        </w:rPr>
        <w:t>[50]</w:t>
      </w:r>
      <w:r w:rsidRPr="00594A33">
        <w:rPr>
          <w:rFonts w:ascii="Book Antiqua" w:hAnsi="Book Antiqua"/>
          <w:kern w:val="0"/>
          <w:sz w:val="24"/>
          <w:szCs w:val="24"/>
          <w:lang w:eastAsia="en-US"/>
        </w:rPr>
        <w:t>. The contraindications are summarized in Table 2.</w:t>
      </w: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PRE-TIPS TREATMENT OPTIONS FOR ACUTE VARICEAL BLEEDING</w:t>
      </w: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Initial management</w:t>
      </w:r>
    </w:p>
    <w:p w:rsidR="00C92AB1" w:rsidRPr="00594A33" w:rsidRDefault="00C92AB1" w:rsidP="0072294F">
      <w:pPr>
        <w:autoSpaceDE w:val="0"/>
        <w:autoSpaceDN w:val="0"/>
        <w:adjustRightInd w:val="0"/>
        <w:snapToGrid w:val="0"/>
        <w:spacing w:line="360" w:lineRule="auto"/>
        <w:rPr>
          <w:rFonts w:ascii="Book Antiqua" w:hAnsi="Book Antiqua"/>
          <w:bCs/>
          <w:kern w:val="0"/>
          <w:sz w:val="24"/>
          <w:szCs w:val="24"/>
          <w:lang w:eastAsia="en-US"/>
        </w:rPr>
      </w:pPr>
      <w:r w:rsidRPr="00594A33">
        <w:rPr>
          <w:rFonts w:ascii="Book Antiqua" w:hAnsi="Book Antiqua"/>
          <w:kern w:val="0"/>
          <w:sz w:val="24"/>
          <w:szCs w:val="24"/>
          <w:lang w:eastAsia="en-US"/>
        </w:rPr>
        <w:t>As with all acutely unwell patients, the basic resuscitation pathway (airway, breathing, circulation) should be instigated. Initially, the airway and breathing should be assessed. Endotracheal intubation should be considered early, especially in patients who are deemed at high risk for aspiration, that is, those demonstrating signs of encephalopathy or ongoing severe uncontrolled hemorrhage. The adequacy of filling of the circulation should then be assessed and two large bore intravenous cannula inserted before placement of a central line. Plasma expanders and packed red blood cells should be used to replace volume loss and any underlying coagulopathy corrected with platelets and fresh-frozen plasma. Despite portal pressure correlating directly with plasma volume, all cirrhotic patients with variceal hemorrhage should be maintained at a normal central venous pressure, while avoiding under filling the circulation</w:t>
      </w:r>
      <w:r w:rsidRPr="00594A33">
        <w:rPr>
          <w:rFonts w:ascii="Book Antiqua" w:hAnsi="Book Antiqua"/>
          <w:bCs/>
          <w:kern w:val="0"/>
          <w:sz w:val="24"/>
          <w:szCs w:val="24"/>
          <w:lang w:eastAsia="en-US"/>
        </w:rPr>
        <w:t xml:space="preserve"> in order to “keep the portal pressure low”</w:t>
      </w:r>
      <w:r w:rsidRPr="00594A33">
        <w:rPr>
          <w:rFonts w:ascii="Book Antiqua" w:hAnsi="Book Antiqua"/>
          <w:kern w:val="0"/>
          <w:sz w:val="24"/>
          <w:szCs w:val="24"/>
          <w:vertAlign w:val="superscript"/>
          <w:lang w:eastAsia="en-US"/>
        </w:rPr>
        <w:t>[51]</w:t>
      </w:r>
      <w:r w:rsidRPr="00594A33">
        <w:rPr>
          <w:rFonts w:ascii="Book Antiqua" w:hAnsi="Book Antiqua"/>
          <w:bCs/>
          <w:kern w:val="0"/>
          <w:sz w:val="24"/>
          <w:szCs w:val="24"/>
          <w:lang w:eastAsia="en-US"/>
        </w:rPr>
        <w:t>. Ideally,</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these patients should be admitted to an intensive care or</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high dependency unit where cardiac monitoring and high intensity</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nursing are readily available. All patients with cirrhosis and gastrointestinal bleeding</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are at an increased risk of bacterial</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infection and thus prophylactic antibiotics should</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be administered</w:t>
      </w:r>
      <w:r w:rsidRPr="00594A33">
        <w:rPr>
          <w:rFonts w:ascii="Book Antiqua" w:hAnsi="Book Antiqua"/>
          <w:bCs/>
          <w:kern w:val="0"/>
          <w:sz w:val="24"/>
          <w:szCs w:val="24"/>
          <w:vertAlign w:val="superscript"/>
          <w:lang w:eastAsia="en-US"/>
        </w:rPr>
        <w:t>[52,53]</w:t>
      </w:r>
      <w:r w:rsidRPr="00594A33">
        <w:rPr>
          <w:rFonts w:ascii="Book Antiqua" w:hAnsi="Book Antiqua"/>
          <w:bCs/>
          <w:kern w:val="0"/>
          <w:sz w:val="24"/>
          <w:szCs w:val="24"/>
          <w:lang w:eastAsia="en-US"/>
        </w:rPr>
        <w:t>. Several meta-analyses have demonstrated</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a reduction in bacterial infections and improved</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survival attributed to the use of short-term prophylactic</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antibiotics</w:t>
      </w:r>
      <w:r w:rsidRPr="00594A33">
        <w:rPr>
          <w:rFonts w:ascii="Book Antiqua" w:hAnsi="Book Antiqua"/>
          <w:bCs/>
          <w:kern w:val="0"/>
          <w:sz w:val="24"/>
          <w:szCs w:val="24"/>
          <w:vertAlign w:val="superscript"/>
          <w:lang w:eastAsia="en-US"/>
        </w:rPr>
        <w:t>[54]</w:t>
      </w:r>
      <w:r w:rsidRPr="00594A33">
        <w:rPr>
          <w:rFonts w:ascii="Book Antiqua" w:hAnsi="Book Antiqua"/>
          <w:bCs/>
          <w:kern w:val="0"/>
          <w:sz w:val="24"/>
          <w:szCs w:val="24"/>
          <w:lang w:eastAsia="en-US"/>
        </w:rPr>
        <w:t>. No consensus exists as to which</w:t>
      </w:r>
      <w:r w:rsidRPr="00594A33">
        <w:rPr>
          <w:rFonts w:ascii="Book Antiqua" w:hAnsi="Book Antiqua"/>
          <w:kern w:val="0"/>
          <w:sz w:val="24"/>
          <w:szCs w:val="24"/>
          <w:lang w:eastAsia="en-US"/>
        </w:rPr>
        <w:t xml:space="preserve"> </w:t>
      </w:r>
      <w:r w:rsidRPr="00594A33">
        <w:rPr>
          <w:rFonts w:ascii="Book Antiqua" w:hAnsi="Book Antiqua"/>
          <w:bCs/>
          <w:kern w:val="0"/>
          <w:sz w:val="24"/>
          <w:szCs w:val="24"/>
          <w:lang w:eastAsia="en-US"/>
        </w:rPr>
        <w:t>antibiotic should be given but intravenous quinolones are generally recommended for five to seven days followed by oral quinolones</w:t>
      </w:r>
      <w:r w:rsidRPr="00594A33">
        <w:rPr>
          <w:rFonts w:ascii="Book Antiqua" w:hAnsi="Book Antiqua"/>
          <w:bCs/>
          <w:kern w:val="0"/>
          <w:sz w:val="24"/>
          <w:szCs w:val="24"/>
          <w:vertAlign w:val="superscript"/>
          <w:lang w:eastAsia="en-US"/>
        </w:rPr>
        <w:t>[55-57]</w:t>
      </w:r>
      <w:r w:rsidRPr="00594A33">
        <w:rPr>
          <w:rFonts w:ascii="Book Antiqua" w:hAnsi="Book Antiqua"/>
          <w:bCs/>
          <w:kern w:val="0"/>
          <w:sz w:val="24"/>
          <w:szCs w:val="24"/>
          <w:lang w:eastAsia="en-US"/>
        </w:rPr>
        <w:t xml:space="preserve">. </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Endoscopic therapy</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Sclerotherapy and variceal band ligation are the two endoscopic interventions currently used. Endoscopic sclerotherapy involves a sclerosant such as ethanolamine injected directly into the bleeding varix. Variceal band ligation is associated with fewer side effects than sclerotherapy. Banding devices that allow multiple bands to be applied without repeated reintroduction of the endoscope should be used. Variceal band ligation </w:t>
      </w:r>
      <w:r w:rsidRPr="00594A33">
        <w:rPr>
          <w:rFonts w:ascii="Book Antiqua" w:hAnsi="Book Antiqua"/>
          <w:kern w:val="0"/>
          <w:sz w:val="24"/>
          <w:szCs w:val="24"/>
          <w:lang w:eastAsia="en-US"/>
        </w:rPr>
        <w:lastRenderedPageBreak/>
        <w:t>is the preferred endoscopic therapy for the secondary prevention of esophageal variceal hemorrhage and most centers now also use band ligation to control acute bleeding</w:t>
      </w:r>
      <w:r w:rsidRPr="00594A33">
        <w:rPr>
          <w:rFonts w:ascii="Book Antiqua" w:hAnsi="Book Antiqua"/>
          <w:kern w:val="0"/>
          <w:sz w:val="24"/>
          <w:szCs w:val="24"/>
          <w:vertAlign w:val="superscript"/>
          <w:lang w:eastAsia="en-US"/>
        </w:rPr>
        <w:t>[58]</w:t>
      </w:r>
      <w:r w:rsidRPr="00594A33">
        <w:rPr>
          <w:rFonts w:ascii="Book Antiqua" w:hAnsi="Book Antiqua"/>
          <w:kern w:val="0"/>
          <w:sz w:val="24"/>
          <w:szCs w:val="24"/>
          <w:lang w:eastAsia="en-US"/>
        </w:rPr>
        <w:t>.</w:t>
      </w:r>
    </w:p>
    <w:p w:rsidR="00C92AB1" w:rsidRPr="00594A33" w:rsidRDefault="00C92AB1" w:rsidP="0072294F">
      <w:pPr>
        <w:snapToGrid w:val="0"/>
        <w:spacing w:line="360" w:lineRule="auto"/>
        <w:rPr>
          <w:rFonts w:ascii="Book Antiqua" w:hAnsi="Book Antiqua"/>
          <w:b/>
          <w:i/>
          <w:sz w:val="24"/>
          <w:szCs w:val="24"/>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Pharmacological treatment</w:t>
      </w:r>
    </w:p>
    <w:p w:rsidR="00C92AB1" w:rsidRPr="00594A33" w:rsidDel="0005674C"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Various pharmacological agents, including vasopressin, somatostatin, octreotide and terlipressin, are of benefit in acute variceal bleeding</w:t>
      </w:r>
      <w:r w:rsidRPr="00594A33">
        <w:rPr>
          <w:rFonts w:ascii="Book Antiqua" w:hAnsi="Book Antiqua"/>
          <w:kern w:val="0"/>
          <w:sz w:val="24"/>
          <w:szCs w:val="24"/>
          <w:vertAlign w:val="superscript"/>
          <w:lang w:eastAsia="en-US"/>
        </w:rPr>
        <w:t>[59-61]</w:t>
      </w:r>
      <w:r w:rsidRPr="00594A33">
        <w:rPr>
          <w:rFonts w:ascii="Book Antiqua" w:hAnsi="Book Antiqua"/>
          <w:kern w:val="0"/>
          <w:sz w:val="24"/>
          <w:szCs w:val="24"/>
          <w:lang w:eastAsia="en-US"/>
        </w:rPr>
        <w:t>. These drugs cause splanchnic vasoconstriction and thus reduce portal flow. They are particularly useful when an out-of-hours endoscopy service is unavailable. Temporary cessation of bleeding and reduction in treatment failure has been reported with early administration of these drugs</w:t>
      </w:r>
      <w:r w:rsidRPr="00594A33">
        <w:rPr>
          <w:rFonts w:ascii="Book Antiqua" w:hAnsi="Book Antiqua"/>
          <w:kern w:val="0"/>
          <w:sz w:val="24"/>
          <w:szCs w:val="24"/>
          <w:vertAlign w:val="superscript"/>
          <w:lang w:eastAsia="en-US"/>
        </w:rPr>
        <w:t>[62]</w:t>
      </w:r>
      <w:r w:rsidRPr="00594A33">
        <w:rPr>
          <w:rFonts w:ascii="Book Antiqua" w:hAnsi="Book Antiqua"/>
          <w:kern w:val="0"/>
          <w:sz w:val="24"/>
          <w:szCs w:val="24"/>
          <w:lang w:eastAsia="en-US"/>
        </w:rPr>
        <w:t>. An ongoing debate does continue about the efficacy of these agents, particularly vasopressin analogues, as they are not without significant side effects such as increased risk of mesenteric ischemia and myocardial infarction. These agents should therefore be used with caution in patients with known atheromatous disease. Vasopressin is no longer used alone and rarely with nitrates, with terlipressin being the current agent of choice. Because a significant proportion of patients suspected of variceal hemorrhage will actually be bleeding from nonvariceal sources, widespread use of vasoactive drugs before endoscopy should be discouraged, as is diagnostic endoscopy attempted by someone who is unable to perform band ligation or sclerotherapy. Combination therapy of these vasoactive agents and endoscopic therapy is becoming common but a meta-analysis of several studies, although demonstrating initial improvement in hemostasis, did not reveal a reduction in mortality with combination therapy</w:t>
      </w:r>
      <w:r w:rsidRPr="00594A33">
        <w:rPr>
          <w:rFonts w:ascii="Book Antiqua" w:hAnsi="Book Antiqua"/>
          <w:kern w:val="0"/>
          <w:sz w:val="24"/>
          <w:szCs w:val="24"/>
          <w:vertAlign w:val="superscript"/>
          <w:lang w:eastAsia="en-US"/>
        </w:rPr>
        <w:t>[63]</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b/>
          <w:i/>
          <w:sz w:val="24"/>
          <w:szCs w:val="24"/>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Balloon tamponade</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Balloon tamponade is invaluable in cases of uncontrolled hemorrhage when an endoscopy service is unavailable or when control cannot be achieved endoscopically. Balloon tamponade, however, is not without complications that include gross esophageal ulceration and esophageal perforation. To minimize complication rates, this procedure should be performed only by experienced staff and in the majority of cases, lone inflation of the gastric balloon should be sufficient. In the rare cases that the esophageal balloon requires inflation, inflation pressure should be closely monitored </w:t>
      </w:r>
      <w:r w:rsidRPr="00594A33">
        <w:rPr>
          <w:rFonts w:ascii="Book Antiqua" w:hAnsi="Book Antiqua"/>
          <w:kern w:val="0"/>
          <w:sz w:val="24"/>
          <w:szCs w:val="24"/>
          <w:lang w:eastAsia="en-US"/>
        </w:rPr>
        <w:lastRenderedPageBreak/>
        <w:t xml:space="preserve">and regular deflation should also be performed. Nursing protocols should be produced and should include regular checks of the gastric balloon position and regular aspiration from both the gastric and esophageal ports. Medical staff should be alerted if blood aspiration volumes are increasing at either port. Panes </w:t>
      </w:r>
      <w:r w:rsidRPr="00594A33">
        <w:rPr>
          <w:rFonts w:ascii="Book Antiqua" w:hAnsi="Book Antiqua"/>
          <w:i/>
          <w:kern w:val="0"/>
          <w:sz w:val="24"/>
          <w:szCs w:val="24"/>
          <w:lang w:eastAsia="en-US"/>
        </w:rPr>
        <w:t>et al</w:t>
      </w:r>
      <w:r w:rsidRPr="00594A33">
        <w:rPr>
          <w:rFonts w:ascii="Book Antiqua" w:hAnsi="Book Antiqua"/>
          <w:kern w:val="0"/>
          <w:sz w:val="24"/>
          <w:szCs w:val="24"/>
          <w:vertAlign w:val="superscript"/>
          <w:lang w:eastAsia="en-US"/>
        </w:rPr>
        <w:t xml:space="preserve">[64] </w:t>
      </w:r>
      <w:r w:rsidRPr="00594A33">
        <w:rPr>
          <w:rFonts w:ascii="Book Antiqua" w:hAnsi="Book Antiqua"/>
          <w:kern w:val="0"/>
          <w:sz w:val="24"/>
          <w:szCs w:val="24"/>
          <w:lang w:eastAsia="en-US"/>
        </w:rPr>
        <w:t>examined the use of esophageal tamponade in 151 cases and reported that although balloon tamponade achieved hemostasis, 50% of patients experienced rebleeding on removal of the Stenstaken–Blackmore tube. It is essential therefore that balloon tamponade is considered only as a holding measure until a definitive procedure can be performed.</w:t>
      </w:r>
    </w:p>
    <w:p w:rsidR="00C92AB1" w:rsidRPr="00594A33" w:rsidRDefault="00C92AB1" w:rsidP="0072294F">
      <w:pPr>
        <w:snapToGrid w:val="0"/>
        <w:spacing w:line="360" w:lineRule="auto"/>
        <w:rPr>
          <w:rFonts w:ascii="Book Antiqua" w:hAnsi="Book Antiqua"/>
          <w:b/>
          <w:i/>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TIPS PROCEDURE</w:t>
      </w: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Timing of salvage therapy</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Although the above studies illustrate the efficacy and applicability of TIPS in the setting of uncontrolled variceal bleeding, there remains a debate about the best time to perform the procedure. Although a convenient definition of uncontrolled variceal bleeding can be taken as failure of two endoscopic treatments, this does not necessarily indicate criteria for TIPS insertion. Patients with a Child-Pugh A score and whose bleeding does not appear life threatening may be managed by balloon tamponade followed by further sessions of endoscopic band ligation and generally do not require TIPS. Conversely, patients with advanced liver disease who have had a single massive bleed and unsuccessful endoscopic treatment on one occasion and require balloon tamponade, may be better treated by TIPS early rather than undergoing a second endoscopic therapy session. Monescillo </w:t>
      </w:r>
      <w:r w:rsidRPr="00594A33">
        <w:rPr>
          <w:rFonts w:ascii="Book Antiqua" w:hAnsi="Book Antiqua"/>
          <w:i/>
          <w:kern w:val="0"/>
          <w:sz w:val="24"/>
          <w:szCs w:val="24"/>
          <w:lang w:eastAsia="en-US"/>
        </w:rPr>
        <w:t>et al</w:t>
      </w:r>
      <w:r w:rsidRPr="00594A33">
        <w:rPr>
          <w:rFonts w:ascii="Book Antiqua" w:hAnsi="Book Antiqua"/>
          <w:kern w:val="0"/>
          <w:sz w:val="24"/>
          <w:szCs w:val="24"/>
          <w:vertAlign w:val="superscript"/>
          <w:lang w:eastAsia="en-US"/>
        </w:rPr>
        <w:t>[65]</w:t>
      </w:r>
      <w:r w:rsidRPr="00594A33">
        <w:rPr>
          <w:rFonts w:ascii="Book Antiqua" w:hAnsi="Book Antiqua"/>
          <w:kern w:val="0"/>
          <w:sz w:val="24"/>
          <w:szCs w:val="24"/>
          <w:lang w:eastAsia="en-US"/>
        </w:rPr>
        <w:t xml:space="preserve"> showed that early insertion of TIPS might confer extra benefit. The basis of this is probably due to reducing the duration or risk of hypotension that is likely to be detrimental for patients with decompensated liver disease.</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Pre-procedural imaging</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Any prior imaging studies, (ultrasound, computed tomography, magnetic resonance imaging) should be reviewed to confirm portal vein patency and to assess the presence of gastroesophageal varices and other porto-systemic shunts that may compete with the TIPS. The location of the portal vein bifurcation should be determined based on prior imaging, as an extrahepatic portal vein bifurcation occurs in 25% of patients and </w:t>
      </w:r>
      <w:r w:rsidRPr="00594A33">
        <w:rPr>
          <w:rFonts w:ascii="Book Antiqua" w:hAnsi="Book Antiqua"/>
          <w:kern w:val="0"/>
          <w:sz w:val="24"/>
          <w:szCs w:val="24"/>
          <w:lang w:eastAsia="en-US"/>
        </w:rPr>
        <w:lastRenderedPageBreak/>
        <w:t>accessing an extrahepatic portal vein during TIPS carries a high mortality</w:t>
      </w:r>
      <w:r w:rsidRPr="00594A33">
        <w:rPr>
          <w:rFonts w:ascii="Book Antiqua" w:hAnsi="Book Antiqua"/>
          <w:kern w:val="0"/>
          <w:sz w:val="24"/>
          <w:szCs w:val="24"/>
          <w:vertAlign w:val="superscript"/>
          <w:lang w:eastAsia="en-US"/>
        </w:rPr>
        <w:t>[10,66]</w:t>
      </w:r>
      <w:r w:rsidRPr="00594A33">
        <w:rPr>
          <w:rFonts w:ascii="Book Antiqua" w:hAnsi="Book Antiqua"/>
          <w:kern w:val="0"/>
          <w:sz w:val="24"/>
          <w:szCs w:val="24"/>
          <w:lang w:eastAsia="en-US"/>
        </w:rPr>
        <w:t>. Imaging may also demonstrate the presence of splenic vein thrombosis, for which TIPS is not the treatment of choice, ascites, and general hepatic morphology. If there is large-volume ascites, pre-procedural paracentesis should be performed. If no imaging is available, Doppler ultrasound assessment of the portal vein is recommended before initiating the TIPS procedure</w:t>
      </w:r>
      <w:r w:rsidRPr="00594A33">
        <w:rPr>
          <w:rFonts w:ascii="Book Antiqua" w:hAnsi="Book Antiqua"/>
          <w:kern w:val="0"/>
          <w:sz w:val="24"/>
          <w:szCs w:val="24"/>
          <w:vertAlign w:val="superscript"/>
          <w:lang w:eastAsia="en-US"/>
        </w:rPr>
        <w:t>[66]</w:t>
      </w:r>
      <w:r w:rsidRPr="00594A33">
        <w:rPr>
          <w:rFonts w:ascii="Book Antiqua" w:hAnsi="Book Antiqua"/>
          <w:kern w:val="0"/>
          <w:sz w:val="24"/>
          <w:szCs w:val="24"/>
          <w:lang w:eastAsia="en-US"/>
        </w:rPr>
        <w:t>. The procedure is performed under general anesthesia and thus an emergency consultation with anesthesia is initiated as soon as TIPS is considered.</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Equipment specifications</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rPr>
      </w:pPr>
      <w:r w:rsidRPr="00594A33">
        <w:rPr>
          <w:rFonts w:ascii="Book Antiqua" w:hAnsi="Book Antiqua"/>
          <w:kern w:val="0"/>
          <w:sz w:val="24"/>
          <w:szCs w:val="24"/>
          <w:lang w:eastAsia="en-US"/>
        </w:rPr>
        <w:t>The procedure room should have the necessary equipment for continuous hemodynamic monitoring as well as for anesthesia, with access to oxygen, anesthetic gases, and suction. The angiographic equipment should allow for high-resolution fluoroscopy, digital subtraction angiography (DSA), and operator-definable protocols for performing CO</w:t>
      </w:r>
      <w:r w:rsidRPr="00594A33">
        <w:rPr>
          <w:rFonts w:ascii="Book Antiqua" w:hAnsi="Book Antiqua"/>
          <w:kern w:val="0"/>
          <w:sz w:val="24"/>
          <w:szCs w:val="24"/>
          <w:vertAlign w:val="subscript"/>
          <w:lang w:eastAsia="en-US"/>
        </w:rPr>
        <w:t>2</w:t>
      </w:r>
      <w:r w:rsidRPr="00594A33">
        <w:rPr>
          <w:rFonts w:ascii="Book Antiqua" w:hAnsi="Book Antiqua"/>
          <w:kern w:val="0"/>
          <w:sz w:val="24"/>
          <w:szCs w:val="24"/>
          <w:lang w:eastAsia="en-US"/>
        </w:rPr>
        <w:t xml:space="preserve"> DSA, low-frame-rate fluoroscopy, and road map imaging. A trained radiologic technologist who is familiar with the necessary catheters, guidewires, balloons, stents, and imaging equipment should be present. Anesthesia or nursing personnel are essential for patient monitoring and assistance with hemodynamic measurements. The physician operator should be an interventional radiologist who is trained in performing TIPS procedures, as these require a high level of technical expertise and knowledge of the equipment, materials, anatomy, physiology, pathology, appropriate technique, and potential complications. The operator must be able to cope with the difficulties that are often associated with emergency TIPS</w:t>
      </w:r>
      <w:r w:rsidRPr="00594A33">
        <w:rPr>
          <w:rFonts w:ascii="Book Antiqua" w:hAnsi="Book Antiqua"/>
          <w:kern w:val="0"/>
          <w:sz w:val="24"/>
          <w:szCs w:val="24"/>
          <w:vertAlign w:val="superscript"/>
          <w:lang w:eastAsia="en-US"/>
        </w:rPr>
        <w:t>[6,9,50,66]</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Shunt technique</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b/>
          <w:sz w:val="24"/>
          <w:szCs w:val="24"/>
        </w:rPr>
        <w:t>Sets:</w:t>
      </w:r>
      <w:r w:rsidRPr="00594A33">
        <w:rPr>
          <w:rFonts w:ascii="Book Antiqua" w:hAnsi="Book Antiqua"/>
          <w:kern w:val="0"/>
          <w:sz w:val="24"/>
          <w:szCs w:val="24"/>
          <w:lang w:eastAsia="en-US"/>
        </w:rPr>
        <w:t xml:space="preserve"> Three types of TIPS sets are commercially available. Two sets, made by Cook Medical (Bloomington, IN, USA), include the “RingTIPS set” and the “Rosch-Uchida TIPS set.” The RingTIPS set has a 16-G curved Colapinto needle, while the Rosch-Uchida set has a 16-G curved blunt cannula through which a 5-Fr catheter with an inner needle is advanced to access the portal vein. After using the needle to advance the catheter, the needle is removed and the catheter is slowly withdrawn while maintaining suction in the catheter. There is also a cope version of the ring set, which uses a 20- to 21-G-long </w:t>
      </w:r>
      <w:r w:rsidRPr="00594A33">
        <w:rPr>
          <w:rFonts w:ascii="Book Antiqua" w:hAnsi="Book Antiqua"/>
          <w:kern w:val="0"/>
          <w:sz w:val="24"/>
          <w:szCs w:val="24"/>
          <w:lang w:eastAsia="en-US"/>
        </w:rPr>
        <w:lastRenderedPageBreak/>
        <w:t>needle. Another set is made by AngioDynamics (Queensbury, NY, U</w:t>
      </w:r>
      <w:r w:rsidRPr="00594A33">
        <w:rPr>
          <w:rFonts w:ascii="Book Antiqua" w:hAnsi="Book Antiqua"/>
          <w:kern w:val="0"/>
          <w:sz w:val="24"/>
          <w:szCs w:val="24"/>
        </w:rPr>
        <w:t>nited States</w:t>
      </w:r>
      <w:r w:rsidRPr="00594A33">
        <w:rPr>
          <w:rFonts w:ascii="Book Antiqua" w:hAnsi="Book Antiqua"/>
          <w:kern w:val="0"/>
          <w:sz w:val="24"/>
          <w:szCs w:val="24"/>
          <w:lang w:eastAsia="en-US"/>
        </w:rPr>
        <w:t>) and has a hollow 21-G needle that is passed through a hollow, curved cannula.</w:t>
      </w:r>
    </w:p>
    <w:p w:rsidR="00C92AB1" w:rsidRPr="00594A33" w:rsidRDefault="00C92AB1" w:rsidP="0072294F">
      <w:pPr>
        <w:snapToGrid w:val="0"/>
        <w:spacing w:line="360" w:lineRule="auto"/>
        <w:rPr>
          <w:rFonts w:ascii="Book Antiqua" w:hAnsi="Book Antiqua"/>
          <w:i/>
          <w:sz w:val="24"/>
          <w:szCs w:val="24"/>
        </w:rPr>
      </w:pP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b/>
          <w:sz w:val="24"/>
          <w:szCs w:val="24"/>
        </w:rPr>
        <w:t>Steps:</w:t>
      </w:r>
      <w:r w:rsidRPr="00594A33">
        <w:rPr>
          <w:rFonts w:ascii="Book Antiqua" w:hAnsi="Book Antiqua"/>
          <w:kern w:val="0"/>
          <w:sz w:val="24"/>
          <w:szCs w:val="24"/>
          <w:lang w:eastAsia="en-US"/>
        </w:rPr>
        <w:t xml:space="preserve"> After entry into the internal jugular vein, a catheter is introduced and guided through the superior vena cava, right atrium, and inferior vena cava into a hepatic vein. The use of the proximal portion of the hepatic vein has two purposes. The first is to utilize, for shunt creation, the largest diameter of the hepatic vein to potentially prevent or delay any outflow shunt stenosis. The second is to be sure that one begins cephalad to the desired portal vein entry site. A needle inserted through the catheter is then used to puncture the liver from a central portion of the hepatic vein and enter the main portal branch, usually the right portal vein. In the right hepatic vein, the cannula is rotated approximately 90° anteriorly and then advanced and maintained with continual caudal pressure, so that it is wedged against the wall of the hepatic vein. When in the middle hepatic vein, the cannula is rotated posteriorly in the some way. Carbon dioxide wedged hepatic venography is used to identify the portal vein</w:t>
      </w:r>
      <w:r w:rsidRPr="00594A33">
        <w:rPr>
          <w:rFonts w:ascii="Book Antiqua" w:hAnsi="Book Antiqua"/>
          <w:kern w:val="0"/>
          <w:sz w:val="24"/>
          <w:szCs w:val="24"/>
          <w:vertAlign w:val="superscript"/>
          <w:lang w:eastAsia="en-US"/>
        </w:rPr>
        <w:t>[67]</w:t>
      </w:r>
      <w:r w:rsidRPr="00594A33">
        <w:rPr>
          <w:rFonts w:ascii="Book Antiqua" w:hAnsi="Book Antiqua"/>
          <w:kern w:val="0"/>
          <w:sz w:val="24"/>
          <w:szCs w:val="24"/>
          <w:lang w:eastAsia="en-US"/>
        </w:rPr>
        <w:t>. Iodinated contrast medium can also be used. The puncture can be also navigated with ultrasonography. Depending on the anatomy, it might by possible to use a tract from the right hepatic vein to the left portal branch, and vice versa. The needle tract is then dilated by a balloon catheter, establishing a connection between the portal and systemic circulation directly inside the liver parenchyma. The parenchymal tract is kept open by insertion of an expandable metallic stent. A dedicated TIPS stent graft was designed to extend the covered portion to the orifice of the hepatic vein at the inferior vena cava</w:t>
      </w:r>
      <w:r w:rsidRPr="00594A33">
        <w:rPr>
          <w:rFonts w:ascii="Book Antiqua" w:hAnsi="Book Antiqua"/>
          <w:kern w:val="0"/>
          <w:sz w:val="24"/>
          <w:szCs w:val="24"/>
          <w:vertAlign w:val="superscript"/>
          <w:lang w:eastAsia="en-US"/>
        </w:rPr>
        <w:t>[41]</w:t>
      </w:r>
      <w:r w:rsidRPr="00594A33">
        <w:rPr>
          <w:rFonts w:ascii="Book Antiqua" w:hAnsi="Book Antiqua"/>
          <w:kern w:val="0"/>
          <w:sz w:val="24"/>
          <w:szCs w:val="24"/>
          <w:lang w:eastAsia="en-US"/>
        </w:rPr>
        <w:t xml:space="preserve">. The only uncovered part of the stent graft, which is 2 cm long, is the section that protrudes into the portal vein. This both anchors the device and allows blood to flow through the interstices of the uncovered portion to the peripheral (parenchymal) portal vein branches. The alternative to the dedicated stent graft has been a self-expandable stent used for bridging portal and hepatic veins in a similar way. The bare stents are used for patients at high risk of hepatic encephalopathy or for recanalization of the portal vein. The shunt diameter is finalized by balloon dilatation of the deployed stent graft or stent. Depending on the diameter of the expandable stent or stent graft used for TIPS creation, various amounts of portal blood are diverted into the systemic circulation, resulting in the decompression </w:t>
      </w:r>
      <w:r w:rsidRPr="00594A33">
        <w:rPr>
          <w:rFonts w:ascii="Book Antiqua" w:hAnsi="Book Antiqua"/>
          <w:kern w:val="0"/>
          <w:sz w:val="24"/>
          <w:szCs w:val="24"/>
          <w:lang w:eastAsia="en-US"/>
        </w:rPr>
        <w:lastRenderedPageBreak/>
        <w:t>of portal hypertension. The size of the balloon catheter is usually 8 mm. Depending on the pressure gradient measured between the portal vein and right atrium after stent or stent graft placement, a larger angioplasty balloon catheter is an option to achieve adequate stepwise decompression. For liver transplant candidates, precise positioning of both ends of the stent or stent graft is critical</w:t>
      </w:r>
      <w:r w:rsidRPr="00594A33">
        <w:rPr>
          <w:rFonts w:ascii="Book Antiqua" w:hAnsi="Book Antiqua"/>
          <w:kern w:val="0"/>
          <w:sz w:val="24"/>
          <w:szCs w:val="24"/>
          <w:vertAlign w:val="superscript"/>
          <w:lang w:eastAsia="en-US"/>
        </w:rPr>
        <w:t>[6,50]</w:t>
      </w:r>
      <w:r w:rsidRPr="00594A33">
        <w:rPr>
          <w:rFonts w:ascii="Book Antiqua" w:hAnsi="Book Antiqua"/>
          <w:kern w:val="0"/>
          <w:sz w:val="24"/>
          <w:szCs w:val="24"/>
          <w:lang w:eastAsia="en-US"/>
        </w:rPr>
        <w:t>. The needle may exit the liver and lacerate the liver capsule or enter the hepatic artery. Embolization of the parenchymal tract is the first-line treatment to prevent hemoperitoneum. The TIPS tract must be intraparenchymal, or dilatation of the extrahepatic portion of the portal vein results in fast exsanguination, a complication that occurs in approximately 1% of procedures. Entry into the right or left portal vein branch should be at least 1 to 2 cm from the portal vein bifurcation. The direct injection into the dilated tract should be done as soon as possible to reveal potential extravasation. If it is positive, the balloon is again inflated and the stent graft placed to tamponade the extrahepatic leak. According to the patient’s blood pressure, fluid volume resuscitation is immediately initiated and the anesthesiologist is called</w:t>
      </w:r>
      <w:r w:rsidRPr="00594A33">
        <w:rPr>
          <w:rFonts w:ascii="Book Antiqua" w:hAnsi="Book Antiqua"/>
          <w:kern w:val="0"/>
          <w:sz w:val="24"/>
          <w:szCs w:val="24"/>
          <w:vertAlign w:val="superscript"/>
          <w:lang w:eastAsia="en-US"/>
        </w:rPr>
        <w:t>[6,9,50,66]</w:t>
      </w:r>
      <w:r w:rsidRPr="00594A33">
        <w:rPr>
          <w:rFonts w:ascii="Book Antiqua" w:hAnsi="Book Antiqua"/>
          <w:kern w:val="0"/>
          <w:sz w:val="24"/>
          <w:szCs w:val="24"/>
          <w:lang w:eastAsia="en-US"/>
        </w:rPr>
        <w:t>. The final step of the TIPS procedure is placement of pigtail catheter over the portal vein guide wire for follow-up portography and blood pressure measurement within the main portal vein. Once the value is stabilized and recorded, the tip of the sheath or pigtail catheter is moved to the hepatic vein or the suprahepatic inferior vena cava, and the blood pressure is again recorded. Thus, at the completion of the TIPS procedure, at least four pressure values will have been obtained: those in the portal vein and hepatic vein (or inferior vena cava) before and after shunt placement. The different steps are summarized in Figure 1.</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kern w:val="0"/>
          <w:sz w:val="24"/>
          <w:szCs w:val="24"/>
          <w:lang w:eastAsia="en-US"/>
        </w:rPr>
      </w:pPr>
      <w:r w:rsidRPr="00594A33">
        <w:rPr>
          <w:rFonts w:ascii="Book Antiqua" w:hAnsi="Book Antiqua"/>
          <w:b/>
          <w:i/>
          <w:kern w:val="0"/>
          <w:sz w:val="24"/>
          <w:szCs w:val="24"/>
          <w:lang w:eastAsia="en-US"/>
        </w:rPr>
        <w:t>Embolization of varices</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Embolization of the esophageal varices at the time of the TIPS is easily accomplished but its routine application has been also controversial. While embolization after TIPS occurs in 24% to 48% of patients</w:t>
      </w:r>
      <w:r w:rsidRPr="00594A33">
        <w:rPr>
          <w:rFonts w:ascii="Book Antiqua" w:hAnsi="Book Antiqua"/>
          <w:kern w:val="0"/>
          <w:sz w:val="24"/>
          <w:szCs w:val="24"/>
          <w:vertAlign w:val="superscript"/>
          <w:lang w:eastAsia="en-US"/>
        </w:rPr>
        <w:t>[68,69]</w:t>
      </w:r>
      <w:r w:rsidRPr="00594A33">
        <w:rPr>
          <w:rFonts w:ascii="Book Antiqua" w:hAnsi="Book Antiqua"/>
          <w:kern w:val="0"/>
          <w:sz w:val="24"/>
          <w:szCs w:val="24"/>
          <w:lang w:eastAsia="en-US"/>
        </w:rPr>
        <w:t>, it is not clear whether the combination of TIPS and variceal embolization is more effective than TIPS alone. Some authors recommend transjugular embolization of the varices to increase the effect of the shunt with respect to acute hemostasis</w:t>
      </w:r>
      <w:r w:rsidRPr="00594A33">
        <w:rPr>
          <w:rFonts w:ascii="Book Antiqua" w:hAnsi="Book Antiqua"/>
          <w:kern w:val="0"/>
          <w:sz w:val="24"/>
          <w:szCs w:val="24"/>
          <w:vertAlign w:val="superscript"/>
          <w:lang w:eastAsia="en-US"/>
        </w:rPr>
        <w:t>[68,70]</w:t>
      </w:r>
      <w:r w:rsidRPr="00594A33">
        <w:rPr>
          <w:rFonts w:ascii="Book Antiqua" w:hAnsi="Book Antiqua"/>
          <w:kern w:val="0"/>
          <w:sz w:val="24"/>
          <w:szCs w:val="24"/>
          <w:lang w:eastAsia="en-US"/>
        </w:rPr>
        <w:t>, and other authors do not perform embolization</w:t>
      </w:r>
      <w:r w:rsidRPr="00594A33">
        <w:rPr>
          <w:rFonts w:ascii="Book Antiqua" w:hAnsi="Book Antiqua"/>
          <w:kern w:val="0"/>
          <w:sz w:val="24"/>
          <w:szCs w:val="24"/>
          <w:vertAlign w:val="superscript"/>
          <w:lang w:eastAsia="en-US"/>
        </w:rPr>
        <w:t>[71]</w:t>
      </w:r>
      <w:r w:rsidRPr="00594A33">
        <w:rPr>
          <w:rFonts w:ascii="Book Antiqua" w:hAnsi="Book Antiqua"/>
          <w:kern w:val="0"/>
          <w:sz w:val="24"/>
          <w:szCs w:val="24"/>
          <w:lang w:eastAsia="en-US"/>
        </w:rPr>
        <w:t xml:space="preserve">. In our clinical practice, we perform embolization of varices only if we observe persistent contrast flow </w:t>
      </w:r>
      <w:r w:rsidRPr="00594A33">
        <w:rPr>
          <w:rFonts w:ascii="Book Antiqua" w:hAnsi="Book Antiqua"/>
          <w:kern w:val="0"/>
          <w:sz w:val="24"/>
          <w:szCs w:val="24"/>
          <w:lang w:eastAsia="en-US"/>
        </w:rPr>
        <w:lastRenderedPageBreak/>
        <w:t>into the varices in the control portography after TIPS. Variceal embolization is also indicated for patients with recurrent esophageal bleeding despite a patent shunt</w:t>
      </w:r>
      <w:r w:rsidRPr="00594A33">
        <w:rPr>
          <w:rFonts w:ascii="Book Antiqua" w:hAnsi="Book Antiqua"/>
          <w:kern w:val="0"/>
          <w:sz w:val="24"/>
          <w:szCs w:val="24"/>
          <w:vertAlign w:val="superscript"/>
          <w:lang w:eastAsia="en-US"/>
        </w:rPr>
        <w:t>[68]</w:t>
      </w:r>
      <w:r w:rsidRPr="00594A33">
        <w:rPr>
          <w:rFonts w:ascii="Book Antiqua" w:hAnsi="Book Antiqua"/>
          <w:kern w:val="0"/>
          <w:sz w:val="24"/>
          <w:szCs w:val="24"/>
          <w:lang w:eastAsia="en-US"/>
        </w:rPr>
        <w:t>. Embolization of esophageal varices is most commonly performed with the use of metallic coils, but the use of liquid agents such as opacified enbucrilate</w:t>
      </w:r>
      <w:r w:rsidRPr="00594A33" w:rsidDel="00EB0166">
        <w:rPr>
          <w:rFonts w:ascii="Book Antiqua" w:hAnsi="Book Antiqua"/>
          <w:kern w:val="0"/>
          <w:sz w:val="24"/>
          <w:szCs w:val="24"/>
          <w:lang w:eastAsia="en-US"/>
        </w:rPr>
        <w:t xml:space="preserve"> </w:t>
      </w:r>
      <w:r w:rsidRPr="00594A33">
        <w:rPr>
          <w:rFonts w:ascii="Book Antiqua" w:hAnsi="Book Antiqua"/>
          <w:kern w:val="0"/>
          <w:sz w:val="24"/>
          <w:szCs w:val="24"/>
          <w:lang w:eastAsia="en-US"/>
        </w:rPr>
        <w:t>and ethanol have also been described</w:t>
      </w:r>
      <w:r w:rsidRPr="00594A33">
        <w:rPr>
          <w:rFonts w:ascii="Book Antiqua" w:hAnsi="Book Antiqua"/>
          <w:kern w:val="0"/>
          <w:sz w:val="24"/>
          <w:szCs w:val="24"/>
          <w:vertAlign w:val="superscript"/>
          <w:lang w:eastAsia="en-US"/>
        </w:rPr>
        <w:t>[17]</w:t>
      </w:r>
      <w:r w:rsidRPr="00594A33">
        <w:rPr>
          <w:rFonts w:ascii="Book Antiqua" w:hAnsi="Book Antiqua"/>
          <w:kern w:val="0"/>
          <w:sz w:val="24"/>
          <w:szCs w:val="24"/>
          <w:lang w:eastAsia="en-US"/>
        </w:rPr>
        <w:t>. The use of absolute ethanol is not recommended due to the possible adverse effects including cardiovascular collapse due to the possible venous channels between the portal system and the pericardium, mainly from the pericardiophrenic vein.</w:t>
      </w:r>
    </w:p>
    <w:p w:rsidR="00C92AB1" w:rsidRPr="00594A33" w:rsidRDefault="00C92AB1" w:rsidP="0072294F">
      <w:pPr>
        <w:snapToGrid w:val="0"/>
        <w:spacing w:line="360" w:lineRule="auto"/>
        <w:rPr>
          <w:rFonts w:ascii="Book Antiqua" w:hAnsi="Book Antiqua"/>
          <w:i/>
          <w:sz w:val="24"/>
          <w:szCs w:val="24"/>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Post-procedural follow-up</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Recurrence or worsening of the portal hypertension symptoms should prompt an ultrasound with Doppler to exclude TIPS stenosis. Shunt velocities between 50 cm/s and 250 cm/s are associated with high (&gt;</w:t>
      </w:r>
      <w:r w:rsidRPr="00594A33">
        <w:rPr>
          <w:rFonts w:ascii="Book Antiqua" w:hAnsi="Book Antiqua"/>
          <w:kern w:val="0"/>
          <w:sz w:val="24"/>
          <w:szCs w:val="24"/>
        </w:rPr>
        <w:t xml:space="preserve"> </w:t>
      </w:r>
      <w:r w:rsidRPr="00594A33">
        <w:rPr>
          <w:rFonts w:ascii="Book Antiqua" w:hAnsi="Book Antiqua"/>
          <w:kern w:val="0"/>
          <w:sz w:val="24"/>
          <w:szCs w:val="24"/>
          <w:lang w:eastAsia="en-US"/>
        </w:rPr>
        <w:t>90%) sensitivity and specificity for shunt dysfunction</w:t>
      </w:r>
      <w:r w:rsidRPr="00594A33">
        <w:rPr>
          <w:rFonts w:ascii="Book Antiqua" w:hAnsi="Book Antiqua"/>
          <w:kern w:val="0"/>
          <w:sz w:val="24"/>
          <w:szCs w:val="24"/>
          <w:vertAlign w:val="superscript"/>
          <w:lang w:eastAsia="en-US"/>
        </w:rPr>
        <w:t>[72]</w:t>
      </w:r>
      <w:r w:rsidRPr="00594A33">
        <w:rPr>
          <w:rFonts w:ascii="Book Antiqua" w:hAnsi="Book Antiqua"/>
          <w:kern w:val="0"/>
          <w:sz w:val="24"/>
          <w:szCs w:val="24"/>
          <w:lang w:eastAsia="en-US"/>
        </w:rPr>
        <w:t>. In addition, most hepatologists order routine TIPS surveillance tests at regular intervals using ultrasound with Doppler in asymptomatic patients. Patients with a suspected TIPS dysfunction should undergo TIPS venography. If the original TIPS was created using a bare-metal stent, placement of a covered stent is likely to improve long-term shunt patency</w:t>
      </w:r>
      <w:r w:rsidRPr="00594A33">
        <w:rPr>
          <w:rFonts w:ascii="Book Antiqua" w:hAnsi="Book Antiqua"/>
          <w:kern w:val="0"/>
          <w:sz w:val="24"/>
          <w:szCs w:val="24"/>
          <w:vertAlign w:val="superscript"/>
          <w:lang w:eastAsia="en-US"/>
        </w:rPr>
        <w:t>[73]</w:t>
      </w:r>
      <w:r w:rsidRPr="00594A33">
        <w:rPr>
          <w:rFonts w:ascii="Book Antiqua" w:hAnsi="Book Antiqua"/>
          <w:kern w:val="0"/>
          <w:sz w:val="24"/>
          <w:szCs w:val="24"/>
          <w:lang w:eastAsia="en-US"/>
        </w:rPr>
        <w:t>. Other commonly used measures include balloon angioplasty within the stents and the placement of additional stents in patients to extend cranial or caudal length of the stent. Hepatic encephalopathy refractory to medical management or progressive hepatic dysfunction after TIPS placement might require endovascular shunt reduction. A commonly used technique involves shunt catheterization by two parallel guidewires followed by simultaneous deployment of two stents within the shunt. One of the stents is a covered endograft through which blood flow will be conducted, whereas the second device is a balloon-expandable bare-metal stent, the diameter of which determines the ultimate shunt diameter. Usually, the bare-metal stent is placed along the cephalic aspect of the covered stent. This allows continued access to the balloon expandable stent if further reduction is necessary</w:t>
      </w:r>
      <w:r w:rsidRPr="00594A33">
        <w:rPr>
          <w:rFonts w:ascii="Book Antiqua" w:hAnsi="Book Antiqua"/>
          <w:kern w:val="0"/>
          <w:sz w:val="24"/>
          <w:szCs w:val="24"/>
          <w:vertAlign w:val="superscript"/>
          <w:lang w:eastAsia="en-US"/>
        </w:rPr>
        <w:t>[74,75]</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OUTCOMES</w:t>
      </w: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Complications</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lastRenderedPageBreak/>
        <w:t>The TIPS procedure may lead to a number of adverse events (Table 3). Technical complications sustained at the time of TIPS placement can include transcapsular puncture, which may occur in as many as 33% of cases</w:t>
      </w:r>
      <w:r w:rsidRPr="00594A33">
        <w:rPr>
          <w:rFonts w:ascii="Book Antiqua" w:hAnsi="Book Antiqua"/>
          <w:kern w:val="0"/>
          <w:sz w:val="24"/>
          <w:szCs w:val="24"/>
          <w:vertAlign w:val="superscript"/>
          <w:lang w:eastAsia="en-US"/>
        </w:rPr>
        <w:t>[10]</w:t>
      </w:r>
      <w:r w:rsidRPr="00594A33">
        <w:rPr>
          <w:rFonts w:ascii="Book Antiqua" w:hAnsi="Book Antiqua"/>
          <w:kern w:val="0"/>
          <w:sz w:val="24"/>
          <w:szCs w:val="24"/>
          <w:lang w:eastAsia="en-US"/>
        </w:rPr>
        <w:t>. The capsular perforation leads to significant intraperitoneal hemorrhage 1% to 2% of the time</w:t>
      </w:r>
      <w:r w:rsidRPr="00594A33">
        <w:rPr>
          <w:rFonts w:ascii="Book Antiqua" w:hAnsi="Book Antiqua"/>
          <w:kern w:val="0"/>
          <w:sz w:val="24"/>
          <w:szCs w:val="24"/>
          <w:vertAlign w:val="superscript"/>
          <w:lang w:eastAsia="en-US"/>
        </w:rPr>
        <w:t>[10]</w:t>
      </w:r>
      <w:r w:rsidRPr="00594A33">
        <w:rPr>
          <w:rFonts w:ascii="Book Antiqua" w:hAnsi="Book Antiqua"/>
          <w:kern w:val="0"/>
          <w:sz w:val="24"/>
          <w:szCs w:val="24"/>
          <w:lang w:eastAsia="en-US"/>
        </w:rPr>
        <w:t>. Clinically significant hemobilia is also rarely observed after the procedure. The stent can be placed too far into the inferior vena cava or even into the right atrium at the cranial end or far into the main portal vein at the caudal end of the shunt in up to 20% of patients</w:t>
      </w:r>
      <w:r w:rsidRPr="00594A33">
        <w:rPr>
          <w:rFonts w:ascii="Book Antiqua" w:hAnsi="Book Antiqua"/>
          <w:kern w:val="0"/>
          <w:sz w:val="24"/>
          <w:szCs w:val="24"/>
          <w:vertAlign w:val="superscript"/>
          <w:lang w:eastAsia="en-US"/>
        </w:rPr>
        <w:t>[10]</w:t>
      </w:r>
      <w:r w:rsidRPr="00594A33">
        <w:rPr>
          <w:rFonts w:ascii="Book Antiqua" w:hAnsi="Book Antiqua"/>
          <w:kern w:val="0"/>
          <w:sz w:val="24"/>
          <w:szCs w:val="24"/>
          <w:lang w:eastAsia="en-US"/>
        </w:rPr>
        <w:t>. On occasion, stents may migrate because of catheter and balloon manipulation</w:t>
      </w:r>
      <w:r w:rsidRPr="00594A33">
        <w:rPr>
          <w:rFonts w:ascii="Book Antiqua" w:hAnsi="Book Antiqua"/>
          <w:kern w:val="0"/>
          <w:sz w:val="24"/>
          <w:szCs w:val="24"/>
          <w:vertAlign w:val="superscript"/>
          <w:lang w:eastAsia="en-US"/>
        </w:rPr>
        <w:t>[76]</w:t>
      </w:r>
      <w:r w:rsidRPr="00594A33">
        <w:rPr>
          <w:rFonts w:ascii="Book Antiqua" w:hAnsi="Book Antiqua"/>
          <w:kern w:val="0"/>
          <w:sz w:val="24"/>
          <w:szCs w:val="24"/>
          <w:lang w:eastAsia="en-US"/>
        </w:rPr>
        <w:t>. Diversion of portal venous flow through the shunt diminishes the metabolic filtering effect of the hepatic parenchyma, leading to new or worsened encephalopathy in 30% to 46% of patients</w:t>
      </w:r>
      <w:r w:rsidRPr="00594A33">
        <w:rPr>
          <w:rFonts w:ascii="Book Antiqua" w:hAnsi="Book Antiqua"/>
          <w:kern w:val="0"/>
          <w:sz w:val="24"/>
          <w:szCs w:val="24"/>
          <w:vertAlign w:val="superscript"/>
          <w:lang w:eastAsia="en-US"/>
        </w:rPr>
        <w:t>[34,35]</w:t>
      </w:r>
      <w:r w:rsidRPr="00594A33">
        <w:rPr>
          <w:rFonts w:ascii="Book Antiqua" w:hAnsi="Book Antiqua"/>
          <w:kern w:val="0"/>
          <w:sz w:val="24"/>
          <w:szCs w:val="24"/>
          <w:lang w:eastAsia="en-US"/>
        </w:rPr>
        <w:t>. Chronic recurrent disabling hepatic encephalopathy can occur in 5% to 10% of patients and may lead to a complete loss of the patient’s autonomy</w:t>
      </w:r>
      <w:r w:rsidRPr="00594A33">
        <w:rPr>
          <w:rFonts w:ascii="Book Antiqua" w:hAnsi="Book Antiqua"/>
          <w:kern w:val="0"/>
          <w:sz w:val="24"/>
          <w:szCs w:val="24"/>
          <w:vertAlign w:val="superscript"/>
          <w:lang w:eastAsia="en-US"/>
        </w:rPr>
        <w:t>[10,66]</w:t>
      </w:r>
      <w:r w:rsidRPr="00594A33">
        <w:rPr>
          <w:rFonts w:ascii="Book Antiqua" w:hAnsi="Book Antiqua"/>
          <w:kern w:val="0"/>
          <w:sz w:val="24"/>
          <w:szCs w:val="24"/>
          <w:lang w:eastAsia="en-US"/>
        </w:rPr>
        <w:t>. Several pre-TIPS parameters have been tested to predict post-TIPS hepatic encephalopathy (Table 4)</w:t>
      </w:r>
      <w:r w:rsidRPr="00594A33">
        <w:rPr>
          <w:rFonts w:ascii="Book Antiqua" w:hAnsi="Book Antiqua"/>
          <w:kern w:val="0"/>
          <w:sz w:val="24"/>
          <w:szCs w:val="24"/>
          <w:vertAlign w:val="superscript"/>
          <w:lang w:eastAsia="en-US"/>
        </w:rPr>
        <w:t>[10,34,35]</w:t>
      </w:r>
      <w:r w:rsidRPr="00594A33">
        <w:rPr>
          <w:rFonts w:ascii="Book Antiqua" w:hAnsi="Book Antiqua"/>
          <w:kern w:val="0"/>
          <w:sz w:val="24"/>
          <w:szCs w:val="24"/>
          <w:lang w:eastAsia="en-US"/>
        </w:rPr>
        <w:t>. Deterioration of hepatic function in approximately 10% of patients</w:t>
      </w:r>
      <w:r w:rsidRPr="00594A33">
        <w:rPr>
          <w:rFonts w:ascii="Book Antiqua" w:hAnsi="Book Antiqua"/>
          <w:kern w:val="0"/>
          <w:sz w:val="24"/>
          <w:szCs w:val="24"/>
          <w:vertAlign w:val="superscript"/>
          <w:lang w:eastAsia="en-US"/>
        </w:rPr>
        <w:t>[35]</w:t>
      </w:r>
      <w:r w:rsidRPr="00594A33">
        <w:rPr>
          <w:rFonts w:ascii="Book Antiqua" w:hAnsi="Book Antiqua"/>
          <w:kern w:val="0"/>
          <w:sz w:val="24"/>
          <w:szCs w:val="24"/>
          <w:lang w:eastAsia="en-US"/>
        </w:rPr>
        <w:t>, and hepatorenal syndrome is occasionally observed</w:t>
      </w:r>
      <w:r w:rsidRPr="00594A33">
        <w:rPr>
          <w:rFonts w:ascii="Book Antiqua" w:hAnsi="Book Antiqua"/>
          <w:kern w:val="0"/>
          <w:sz w:val="24"/>
          <w:szCs w:val="24"/>
          <w:vertAlign w:val="superscript"/>
          <w:lang w:eastAsia="en-US"/>
        </w:rPr>
        <w:t>[77]</w:t>
      </w:r>
      <w:r w:rsidRPr="00594A33">
        <w:rPr>
          <w:rFonts w:ascii="Book Antiqua" w:hAnsi="Book Antiqua"/>
          <w:kern w:val="0"/>
          <w:sz w:val="24"/>
          <w:szCs w:val="24"/>
          <w:lang w:eastAsia="en-US"/>
        </w:rPr>
        <w:t>. TIPS stenosis and occlusion was the method of choice before wide acceptance of PTFE-covered stents (Viatorr; W.L. Gore and Associates, Flagstaff, AZ, U</w:t>
      </w:r>
      <w:r w:rsidRPr="00594A33">
        <w:rPr>
          <w:rFonts w:ascii="Book Antiqua" w:hAnsi="Book Antiqua"/>
          <w:kern w:val="0"/>
          <w:sz w:val="24"/>
          <w:szCs w:val="24"/>
        </w:rPr>
        <w:t>nited States</w:t>
      </w:r>
      <w:r w:rsidRPr="00594A33">
        <w:rPr>
          <w:rFonts w:ascii="Book Antiqua" w:hAnsi="Book Antiqua"/>
          <w:kern w:val="0"/>
          <w:sz w:val="24"/>
          <w:szCs w:val="24"/>
          <w:lang w:eastAsia="en-US"/>
        </w:rPr>
        <w:t>). The most common site of shunt stenosis is at the hepatic venous end. The culprit of midstent stenosis is thought to be intimal hyperplasia within the bare-metal stent due to contact between traversed biliary radicles and stent lumen</w:t>
      </w:r>
      <w:r w:rsidRPr="00594A33">
        <w:rPr>
          <w:rFonts w:ascii="Book Antiqua" w:hAnsi="Book Antiqua"/>
          <w:kern w:val="0"/>
          <w:sz w:val="24"/>
          <w:szCs w:val="24"/>
          <w:vertAlign w:val="superscript"/>
          <w:lang w:eastAsia="en-US"/>
        </w:rPr>
        <w:t>[76]</w:t>
      </w:r>
      <w:r w:rsidRPr="00594A33">
        <w:rPr>
          <w:rFonts w:ascii="Book Antiqua" w:hAnsi="Book Antiqua"/>
          <w:kern w:val="0"/>
          <w:sz w:val="24"/>
          <w:szCs w:val="24"/>
          <w:lang w:eastAsia="en-US"/>
        </w:rPr>
        <w:t>. The incidence of stenosis due to hyperplasia within the stent ranged from 18% to 78%</w:t>
      </w:r>
      <w:r w:rsidRPr="00594A33">
        <w:rPr>
          <w:rFonts w:ascii="Book Antiqua" w:hAnsi="Book Antiqua"/>
          <w:kern w:val="0"/>
          <w:sz w:val="24"/>
          <w:szCs w:val="24"/>
          <w:vertAlign w:val="superscript"/>
          <w:lang w:eastAsia="en-US"/>
        </w:rPr>
        <w:t>[76]</w:t>
      </w:r>
      <w:r w:rsidRPr="00594A33">
        <w:rPr>
          <w:rFonts w:ascii="Book Antiqua" w:hAnsi="Book Antiqua"/>
          <w:kern w:val="0"/>
          <w:sz w:val="24"/>
          <w:szCs w:val="24"/>
          <w:lang w:eastAsia="en-US"/>
        </w:rPr>
        <w:t xml:space="preserve"> for bare-metal stents, which led to recurrence of portal hypertension complications and required frequent invasive procedures for reconstitution of flow. The introduction of PTFE-covered stent grafts led to dramatic improvement in long-term TIPS patency. A randomized controlled trial published in 2007 established a PTFE-covered stent as the preferred device for TIPS</w:t>
      </w:r>
      <w:r w:rsidRPr="00594A33">
        <w:rPr>
          <w:rFonts w:ascii="Book Antiqua" w:hAnsi="Book Antiqua"/>
          <w:kern w:val="0"/>
          <w:sz w:val="24"/>
          <w:szCs w:val="24"/>
          <w:vertAlign w:val="superscript"/>
          <w:lang w:eastAsia="en-US"/>
        </w:rPr>
        <w:t>[78]</w:t>
      </w:r>
      <w:r w:rsidRPr="00594A33">
        <w:rPr>
          <w:rFonts w:ascii="Book Antiqua" w:hAnsi="Book Antiqua"/>
          <w:kern w:val="0"/>
          <w:sz w:val="24"/>
          <w:szCs w:val="24"/>
          <w:lang w:eastAsia="en-US"/>
        </w:rPr>
        <w:t>. In that study, 80 patients were randomized to receive either a covered (</w:t>
      </w:r>
      <w:r w:rsidRPr="00594A33">
        <w:rPr>
          <w:rFonts w:ascii="Book Antiqua" w:hAnsi="Book Antiqua"/>
          <w:i/>
          <w:kern w:val="0"/>
          <w:sz w:val="24"/>
          <w:szCs w:val="24"/>
          <w:lang w:eastAsia="en-US"/>
        </w:rPr>
        <w:t>n</w:t>
      </w:r>
      <w:r w:rsidRPr="00594A33">
        <w:rPr>
          <w:rFonts w:ascii="Book Antiqua" w:hAnsi="Book Antiqua"/>
          <w:kern w:val="0"/>
          <w:sz w:val="24"/>
          <w:szCs w:val="24"/>
          <w:lang w:eastAsia="en-US"/>
        </w:rPr>
        <w:t xml:space="preserve"> = 39) or a bare (</w:t>
      </w:r>
      <w:r w:rsidRPr="00594A33">
        <w:rPr>
          <w:rFonts w:ascii="Book Antiqua" w:hAnsi="Book Antiqua"/>
          <w:i/>
          <w:kern w:val="0"/>
          <w:sz w:val="24"/>
          <w:szCs w:val="24"/>
          <w:lang w:eastAsia="en-US"/>
        </w:rPr>
        <w:t>n</w:t>
      </w:r>
      <w:r w:rsidRPr="00594A33">
        <w:rPr>
          <w:rFonts w:ascii="Book Antiqua" w:hAnsi="Book Antiqua"/>
          <w:kern w:val="0"/>
          <w:sz w:val="24"/>
          <w:szCs w:val="24"/>
          <w:lang w:eastAsia="en-US"/>
        </w:rPr>
        <w:t xml:space="preserve"> = 41) metal stent and were followed for two years after TIPS placement. Compared with patients treated with a bare-metal stent, patients with a PTFE-covered stent had a significantly lower rate of TIPS dysfunction (15%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 xml:space="preserve">44%), a higher rate of primary patency (76%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 xml:space="preserve">36%), a lower rate of clinical relapse (10%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 xml:space="preserve">29%), and were less likely to develop encephalopathy (33%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49%)</w:t>
      </w:r>
      <w:r w:rsidRPr="00594A33">
        <w:rPr>
          <w:rFonts w:ascii="Book Antiqua" w:hAnsi="Book Antiqua"/>
          <w:kern w:val="0"/>
          <w:sz w:val="24"/>
          <w:szCs w:val="24"/>
          <w:vertAlign w:val="superscript"/>
          <w:lang w:eastAsia="en-US"/>
        </w:rPr>
        <w:t>[78]</w:t>
      </w:r>
      <w:r w:rsidRPr="00594A33">
        <w:rPr>
          <w:rFonts w:ascii="Book Antiqua" w:hAnsi="Book Antiqua"/>
          <w:kern w:val="0"/>
          <w:sz w:val="24"/>
          <w:szCs w:val="24"/>
          <w:lang w:eastAsia="en-US"/>
        </w:rPr>
        <w:t xml:space="preserve">. On the basis of these data, a PTFE-covered stent became the standard of </w:t>
      </w:r>
      <w:r w:rsidRPr="00594A33">
        <w:rPr>
          <w:rFonts w:ascii="Book Antiqua" w:hAnsi="Book Antiqua"/>
          <w:kern w:val="0"/>
          <w:sz w:val="24"/>
          <w:szCs w:val="24"/>
          <w:lang w:eastAsia="en-US"/>
        </w:rPr>
        <w:lastRenderedPageBreak/>
        <w:t>care device for de novo TIPS. Patients who have a bare metal stent TIPS should undergo shunt revision with a PTFE-covered stent in the event of shunt dysfunction</w:t>
      </w:r>
      <w:r w:rsidRPr="00594A33">
        <w:rPr>
          <w:rFonts w:ascii="Book Antiqua" w:hAnsi="Book Antiqua"/>
          <w:kern w:val="0"/>
          <w:sz w:val="24"/>
          <w:szCs w:val="24"/>
          <w:vertAlign w:val="superscript"/>
          <w:lang w:eastAsia="en-US"/>
        </w:rPr>
        <w:t>[76]</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Mortality</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Acute variceal hemorrhage that is poorly controlled with endoscopic therapy is generally well controlled with TIPS, which has a success rate of 90% to 100%. However, TIPS also has a mortality rate of 27% to 50%</w:t>
      </w:r>
      <w:r w:rsidRPr="00594A33">
        <w:rPr>
          <w:rFonts w:ascii="Book Antiqua" w:hAnsi="Book Antiqua"/>
          <w:kern w:val="0"/>
          <w:sz w:val="24"/>
          <w:szCs w:val="24"/>
          <w:vertAlign w:val="superscript"/>
          <w:lang w:eastAsia="en-US"/>
        </w:rPr>
        <w:t>[19,66,79,80]</w:t>
      </w:r>
      <w:r w:rsidRPr="00594A33">
        <w:rPr>
          <w:rFonts w:ascii="Book Antiqua" w:hAnsi="Book Antiqua"/>
          <w:kern w:val="0"/>
          <w:sz w:val="24"/>
          <w:szCs w:val="24"/>
          <w:lang w:eastAsia="en-US"/>
        </w:rPr>
        <w:t>. Increased mortality is related to a Child-Pugh C clinical status, hemodynamic instability at the time of the TIPS procedure, and the presence of other comorbidities. In general, early TIPS intervention allows for better control of hemorrhage with decreased mortality. Patients with a high HVPG (</w:t>
      </w:r>
      <w:r w:rsidRPr="00594A33">
        <w:rPr>
          <w:rFonts w:ascii="Book Antiqua" w:hAnsi="Book Antiqua"/>
          <w:bCs/>
          <w:kern w:val="0"/>
          <w:sz w:val="24"/>
          <w:szCs w:val="24"/>
          <w:lang w:eastAsia="en-US"/>
        </w:rPr>
        <w:t>&gt;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20 mm Hg) and acute variceal bleeding have a better survival with TIPS than with endoscopic therapy</w:t>
      </w:r>
      <w:r w:rsidRPr="00594A33">
        <w:rPr>
          <w:rFonts w:ascii="Book Antiqua" w:hAnsi="Book Antiqua"/>
          <w:kern w:val="0"/>
          <w:sz w:val="24"/>
          <w:szCs w:val="24"/>
          <w:vertAlign w:val="superscript"/>
          <w:lang w:eastAsia="en-US"/>
        </w:rPr>
        <w:t>[65]</w:t>
      </w:r>
      <w:r w:rsidRPr="00594A33">
        <w:rPr>
          <w:rFonts w:ascii="Book Antiqua" w:hAnsi="Book Antiqua"/>
          <w:kern w:val="0"/>
          <w:sz w:val="24"/>
          <w:szCs w:val="24"/>
          <w:lang w:eastAsia="en-US"/>
        </w:rPr>
        <w:t>. Most of the deaths of patients after emergency TIPS are related to hepatic failure, multiorgan failure, and sepsis, often accompanied by variceal and nonvariceal bleeding, while only a minority are related to recurrent variceal bleeding</w:t>
      </w:r>
      <w:r w:rsidRPr="00594A33">
        <w:rPr>
          <w:rFonts w:ascii="Book Antiqua" w:hAnsi="Book Antiqua"/>
          <w:kern w:val="0"/>
          <w:sz w:val="24"/>
          <w:szCs w:val="24"/>
          <w:vertAlign w:val="superscript"/>
          <w:lang w:eastAsia="en-US"/>
        </w:rPr>
        <w:t>[13,69,81]</w:t>
      </w:r>
      <w:r w:rsidRPr="00594A33">
        <w:rPr>
          <w:rFonts w:ascii="Book Antiqua" w:hAnsi="Book Antiqua"/>
          <w:kern w:val="0"/>
          <w:sz w:val="24"/>
          <w:szCs w:val="24"/>
          <w:lang w:eastAsia="en-US"/>
        </w:rPr>
        <w:t>. Death occurring within 30 days of the procedure is most commonly caused by multiorgan failure, and death more than 30 d following the procedure is most commonly related to liver failure</w:t>
      </w:r>
      <w:r w:rsidRPr="00594A33">
        <w:rPr>
          <w:rFonts w:ascii="Book Antiqua" w:hAnsi="Book Antiqua"/>
          <w:kern w:val="0"/>
          <w:sz w:val="24"/>
          <w:szCs w:val="24"/>
          <w:vertAlign w:val="superscript"/>
          <w:lang w:eastAsia="en-US"/>
        </w:rPr>
        <w:t>[81]</w:t>
      </w:r>
      <w:r w:rsidRPr="00594A33">
        <w:rPr>
          <w:rFonts w:ascii="Book Antiqua" w:hAnsi="Book Antiqua"/>
          <w:kern w:val="0"/>
          <w:sz w:val="24"/>
          <w:szCs w:val="24"/>
          <w:lang w:eastAsia="en-US"/>
        </w:rPr>
        <w:t>. Many studies reporting on emergency TIPS for the rescue treatment of acute esophageal varices bleeding have shown low survival rates and significantly higher mortality rates than patients undergoing elective TIPS</w:t>
      </w:r>
      <w:r w:rsidRPr="00594A33">
        <w:rPr>
          <w:rFonts w:ascii="Book Antiqua" w:hAnsi="Book Antiqua"/>
          <w:kern w:val="0"/>
          <w:sz w:val="24"/>
          <w:szCs w:val="24"/>
          <w:vertAlign w:val="superscript"/>
          <w:lang w:eastAsia="en-US"/>
        </w:rPr>
        <w:t>[6,12,17,19,21,65]</w:t>
      </w:r>
      <w:r w:rsidRPr="00594A33">
        <w:rPr>
          <w:rFonts w:ascii="Book Antiqua" w:hAnsi="Book Antiqua"/>
          <w:kern w:val="0"/>
          <w:sz w:val="24"/>
          <w:szCs w:val="24"/>
          <w:lang w:eastAsia="en-US"/>
        </w:rPr>
        <w:t>. In one study, 42 of 123 (34.1%) of patients died within 30 d of TIPS for acute bleeding, while only 16.5% died following elective TIPS creation</w:t>
      </w:r>
      <w:r w:rsidRPr="00594A33">
        <w:rPr>
          <w:rFonts w:ascii="Book Antiqua" w:hAnsi="Book Antiqua"/>
          <w:kern w:val="0"/>
          <w:sz w:val="24"/>
          <w:szCs w:val="24"/>
          <w:vertAlign w:val="superscript"/>
          <w:lang w:eastAsia="en-US"/>
        </w:rPr>
        <w:t>[82]</w:t>
      </w:r>
      <w:r w:rsidRPr="00594A33">
        <w:rPr>
          <w:rFonts w:ascii="Book Antiqua" w:hAnsi="Book Antiqua"/>
          <w:kern w:val="0"/>
          <w:sz w:val="24"/>
          <w:szCs w:val="24"/>
          <w:lang w:eastAsia="en-US"/>
        </w:rPr>
        <w:t xml:space="preserve">. As an independent predictor of mortality, patients bleeding at the time of TIPS creation were 2.9 times more likely to die than those associated with elective TIPS placement. Similar findings have been reported by Helton </w:t>
      </w:r>
      <w:r w:rsidRPr="00594A33">
        <w:rPr>
          <w:rFonts w:ascii="Book Antiqua" w:hAnsi="Book Antiqua"/>
          <w:i/>
          <w:kern w:val="0"/>
          <w:sz w:val="24"/>
          <w:szCs w:val="24"/>
          <w:lang w:eastAsia="en-US"/>
        </w:rPr>
        <w:t>et al</w:t>
      </w:r>
      <w:r w:rsidRPr="00594A33">
        <w:rPr>
          <w:rFonts w:ascii="Book Antiqua" w:hAnsi="Book Antiqua"/>
          <w:kern w:val="0"/>
          <w:sz w:val="24"/>
          <w:szCs w:val="24"/>
          <w:vertAlign w:val="superscript"/>
          <w:lang w:eastAsia="en-US"/>
        </w:rPr>
        <w:t>[83]</w:t>
      </w:r>
      <w:r w:rsidRPr="00594A33">
        <w:rPr>
          <w:rFonts w:ascii="Book Antiqua" w:hAnsi="Book Antiqua"/>
          <w:kern w:val="0"/>
          <w:sz w:val="24"/>
          <w:szCs w:val="24"/>
          <w:lang w:eastAsia="en-US"/>
        </w:rPr>
        <w:t xml:space="preserve"> who reported a 56% in-hospital mortality rate for patients who were actively bleeding or hemodynamically unstable at the time of the TIPS </w:t>
      </w:r>
      <w:r w:rsidRPr="00594A33">
        <w:rPr>
          <w:rFonts w:ascii="Book Antiqua" w:hAnsi="Book Antiqua"/>
          <w:i/>
          <w:kern w:val="0"/>
          <w:sz w:val="24"/>
          <w:szCs w:val="24"/>
          <w:lang w:eastAsia="en-US"/>
        </w:rPr>
        <w:t xml:space="preserve">vs </w:t>
      </w:r>
      <w:r w:rsidRPr="00594A33">
        <w:rPr>
          <w:rFonts w:ascii="Book Antiqua" w:hAnsi="Book Antiqua"/>
          <w:kern w:val="0"/>
          <w:sz w:val="24"/>
          <w:szCs w:val="24"/>
          <w:lang w:eastAsia="en-US"/>
        </w:rPr>
        <w:t>5.5% following nonemergency procedures. The reported mortality associated with TIPS varies widely because the inclusion criteria, timing of the TIPS, and the severity of liver disease. Many reports combine the results of patients actively bleeding during TIPS with those of the patients who were stable during the procedure. Several reports describing different prognostic factors associated with mortality after TIPS have been published</w:t>
      </w:r>
      <w:r w:rsidRPr="00594A33">
        <w:rPr>
          <w:rFonts w:ascii="Book Antiqua" w:hAnsi="Book Antiqua"/>
          <w:kern w:val="0"/>
          <w:sz w:val="24"/>
          <w:szCs w:val="24"/>
          <w:vertAlign w:val="superscript"/>
          <w:lang w:eastAsia="en-US"/>
        </w:rPr>
        <w:t>[68,69,82]</w:t>
      </w:r>
      <w:r w:rsidRPr="00594A33">
        <w:rPr>
          <w:rFonts w:ascii="Book Antiqua" w:hAnsi="Book Antiqua"/>
          <w:kern w:val="0"/>
          <w:sz w:val="24"/>
          <w:szCs w:val="24"/>
          <w:lang w:eastAsia="en-US"/>
        </w:rPr>
        <w:t xml:space="preserve">. Prognostic factors are not intended to predict outcome or </w:t>
      </w:r>
      <w:r w:rsidRPr="00594A33">
        <w:rPr>
          <w:rFonts w:ascii="Book Antiqua" w:hAnsi="Book Antiqua"/>
          <w:kern w:val="0"/>
          <w:sz w:val="24"/>
          <w:szCs w:val="24"/>
          <w:lang w:eastAsia="en-US"/>
        </w:rPr>
        <w:lastRenderedPageBreak/>
        <w:t>management on individual basis or to deny a patient a potentially lifesaving intervention, but are useful as guidelines to develop appropriate expectations and to weigh different therapeutic options. Final decisions are based on the individual patient needs and overall clinical condition</w:t>
      </w:r>
      <w:r w:rsidRPr="00594A33">
        <w:rPr>
          <w:rFonts w:ascii="Book Antiqua" w:hAnsi="Book Antiqua"/>
          <w:kern w:val="0"/>
          <w:sz w:val="24"/>
          <w:szCs w:val="24"/>
          <w:vertAlign w:val="superscript"/>
          <w:lang w:eastAsia="en-US"/>
        </w:rPr>
        <w:t>[65,84]</w:t>
      </w:r>
      <w:r w:rsidRPr="00594A33">
        <w:rPr>
          <w:rFonts w:ascii="Book Antiqua" w:hAnsi="Book Antiqua"/>
          <w:kern w:val="0"/>
          <w:sz w:val="24"/>
          <w:szCs w:val="24"/>
          <w:lang w:eastAsia="en-US"/>
        </w:rPr>
        <w:t>. Many of these prognostic factors correlate with the mortality of patients undergoing elective TIPS. In patients with acute variceal bleeding, however, these predictors may fail because the hepatic reserve and renal function are difficult to evaluate in the acute setting</w:t>
      </w:r>
      <w:r w:rsidRPr="00594A33">
        <w:rPr>
          <w:rFonts w:ascii="Book Antiqua" w:hAnsi="Book Antiqua"/>
          <w:kern w:val="0"/>
          <w:sz w:val="24"/>
          <w:szCs w:val="24"/>
          <w:vertAlign w:val="superscript"/>
          <w:lang w:eastAsia="en-US"/>
        </w:rPr>
        <w:t>[65]</w:t>
      </w:r>
      <w:r w:rsidRPr="00594A33">
        <w:rPr>
          <w:rFonts w:ascii="Book Antiqua" w:hAnsi="Book Antiqua"/>
          <w:kern w:val="0"/>
          <w:sz w:val="24"/>
          <w:szCs w:val="24"/>
          <w:lang w:eastAsia="en-US"/>
        </w:rPr>
        <w:t>. Events such as bleeding, infection, and high-dose diuretic therapy may affect the renal and liver function in a transient way. No single prognostic criterion is available to accurately select patients with a very high risk of death</w:t>
      </w:r>
      <w:r w:rsidRPr="00594A33">
        <w:rPr>
          <w:rFonts w:ascii="Book Antiqua" w:hAnsi="Book Antiqua"/>
          <w:kern w:val="0"/>
          <w:sz w:val="24"/>
          <w:szCs w:val="24"/>
          <w:vertAlign w:val="superscript"/>
          <w:lang w:eastAsia="en-US"/>
        </w:rPr>
        <w:t>[85]</w:t>
      </w:r>
      <w:r w:rsidRPr="00594A33">
        <w:rPr>
          <w:rFonts w:ascii="Book Antiqua" w:hAnsi="Book Antiqua"/>
          <w:kern w:val="0"/>
          <w:sz w:val="24"/>
          <w:szCs w:val="24"/>
          <w:lang w:eastAsia="en-US"/>
        </w:rPr>
        <w:t>. However, several selection criteria have been described due to an increased amount of experience within the field with relation to TIPS</w:t>
      </w:r>
      <w:r w:rsidRPr="00594A33">
        <w:rPr>
          <w:rFonts w:ascii="Book Antiqua" w:hAnsi="Book Antiqua"/>
          <w:kern w:val="0"/>
          <w:sz w:val="24"/>
          <w:szCs w:val="24"/>
          <w:vertAlign w:val="superscript"/>
          <w:lang w:eastAsia="en-US"/>
        </w:rPr>
        <w:t>[86]</w:t>
      </w:r>
      <w:r w:rsidRPr="00594A33">
        <w:rPr>
          <w:rFonts w:ascii="Book Antiqua" w:hAnsi="Book Antiqua"/>
          <w:kern w:val="0"/>
          <w:sz w:val="24"/>
          <w:szCs w:val="24"/>
          <w:lang w:eastAsia="en-US"/>
        </w:rPr>
        <w: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Effect on liver and spleen stiffness</w:t>
      </w:r>
    </w:p>
    <w:p w:rsidR="00C92AB1" w:rsidRPr="00594A33" w:rsidRDefault="00C92AB1" w:rsidP="0072294F">
      <w:pPr>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Variceal bleeding still remains the major cause of death in patients with cirrhosis, with increasing numbers of inpatient cases with advanced liver disease and portal hypertension. For those patients, TIPS has become the rescue treatment of choice, preferred over liver transplantation. Therefore, it is crucial to ensure that the inserted TIPS effectively decreases portal vein pressure to prevent variceal bleeding. Non-invasively assessing the pressure of the portal vein as a function of the TIPS has been a challenge. Color Doppler sonography can measure flow velocities in the TIPS, but it cannot reflect the pressure of the portal vein and its pitfalls and inaccuracies lead to a lack in necessary sensitivity</w:t>
      </w:r>
      <w:r w:rsidRPr="00594A33">
        <w:rPr>
          <w:rFonts w:ascii="Book Antiqua" w:hAnsi="Book Antiqua"/>
          <w:kern w:val="0"/>
          <w:sz w:val="24"/>
          <w:szCs w:val="24"/>
          <w:vertAlign w:val="superscript"/>
          <w:lang w:eastAsia="en-US"/>
        </w:rPr>
        <w:t>[87]</w:t>
      </w:r>
      <w:r w:rsidRPr="00594A33">
        <w:rPr>
          <w:rFonts w:ascii="Book Antiqua" w:hAnsi="Book Antiqua"/>
          <w:kern w:val="0"/>
          <w:sz w:val="24"/>
          <w:szCs w:val="24"/>
          <w:lang w:eastAsia="en-US"/>
        </w:rPr>
        <w:t>. More recently, a novel ultrasound-based acoustic radiation force impulse (ARFI) elastography has been developed that can provide information on the local mechanical property of a tissue</w:t>
      </w:r>
      <w:r w:rsidRPr="00594A33">
        <w:rPr>
          <w:rFonts w:ascii="Book Antiqua" w:hAnsi="Book Antiqua"/>
          <w:kern w:val="0"/>
          <w:sz w:val="24"/>
          <w:szCs w:val="24"/>
          <w:vertAlign w:val="superscript"/>
          <w:lang w:eastAsia="en-US"/>
        </w:rPr>
        <w:t>[88]</w:t>
      </w:r>
      <w:r w:rsidRPr="00594A33">
        <w:rPr>
          <w:rFonts w:ascii="Book Antiqua" w:hAnsi="Book Antiqua"/>
          <w:kern w:val="0"/>
          <w:sz w:val="24"/>
          <w:szCs w:val="24"/>
          <w:lang w:eastAsia="en-US"/>
        </w:rPr>
        <w:t>. An acoustic push pulse transmitted by the transducer toward the tissue produces an elastic shear wave that propagates through the tissue. The propagation of the shear wave is followed by detection pulses that are used to measure the velocity of the shear wave propagation, which is directly related to tissue elasticity. In other words, the speed of shear wave is dependent on the elasticity of the tissue</w:t>
      </w:r>
      <w:r w:rsidRPr="00594A33">
        <w:rPr>
          <w:rFonts w:ascii="Book Antiqua" w:hAnsi="Book Antiqua"/>
          <w:kern w:val="0"/>
          <w:sz w:val="24"/>
          <w:szCs w:val="24"/>
          <w:vertAlign w:val="superscript"/>
          <w:lang w:eastAsia="en-US"/>
        </w:rPr>
        <w:t>[88]</w:t>
      </w:r>
      <w:r w:rsidRPr="00594A33">
        <w:rPr>
          <w:rFonts w:ascii="Book Antiqua" w:hAnsi="Book Antiqua"/>
          <w:kern w:val="0"/>
          <w:sz w:val="24"/>
          <w:szCs w:val="24"/>
          <w:lang w:eastAsia="en-US"/>
        </w:rPr>
        <w:t xml:space="preserve">. </w:t>
      </w:r>
    </w:p>
    <w:p w:rsidR="00C92AB1" w:rsidRPr="00594A33" w:rsidRDefault="00C92AB1" w:rsidP="0072294F">
      <w:pPr>
        <w:snapToGrid w:val="0"/>
        <w:spacing w:line="360" w:lineRule="auto"/>
        <w:ind w:firstLine="420"/>
        <w:rPr>
          <w:rFonts w:ascii="Book Antiqua" w:hAnsi="Book Antiqua"/>
          <w:kern w:val="0"/>
          <w:sz w:val="24"/>
          <w:szCs w:val="24"/>
          <w:lang w:eastAsia="en-US"/>
        </w:rPr>
      </w:pPr>
      <w:r w:rsidRPr="00594A33">
        <w:rPr>
          <w:rFonts w:ascii="Book Antiqua" w:hAnsi="Book Antiqua"/>
          <w:kern w:val="0"/>
          <w:sz w:val="24"/>
          <w:szCs w:val="24"/>
          <w:lang w:eastAsia="en-US"/>
        </w:rPr>
        <w:t xml:space="preserve">Gao </w:t>
      </w:r>
      <w:r w:rsidRPr="00594A33">
        <w:rPr>
          <w:rFonts w:ascii="Book Antiqua" w:hAnsi="Book Antiqua"/>
          <w:i/>
          <w:kern w:val="0"/>
          <w:sz w:val="24"/>
          <w:szCs w:val="24"/>
          <w:lang w:eastAsia="en-US"/>
        </w:rPr>
        <w:t>et al</w:t>
      </w:r>
      <w:r w:rsidRPr="00594A33">
        <w:rPr>
          <w:rFonts w:ascii="Book Antiqua" w:hAnsi="Book Antiqua"/>
          <w:kern w:val="0"/>
          <w:sz w:val="24"/>
          <w:szCs w:val="24"/>
          <w:vertAlign w:val="superscript"/>
          <w:lang w:eastAsia="en-US"/>
        </w:rPr>
        <w:t>[89]</w:t>
      </w:r>
      <w:r w:rsidRPr="00594A33">
        <w:rPr>
          <w:rFonts w:ascii="Book Antiqua" w:hAnsi="Book Antiqua"/>
          <w:kern w:val="0"/>
          <w:sz w:val="24"/>
          <w:szCs w:val="24"/>
          <w:lang w:eastAsia="en-US"/>
        </w:rPr>
        <w:t xml:space="preserve"> prospectively assessed the stiffness of the liver and spleen with ARFI imaging pre- and post-TIPS placement. The investigators measured stiffness of the liver </w:t>
      </w:r>
      <w:r w:rsidRPr="00594A33">
        <w:rPr>
          <w:rFonts w:ascii="Book Antiqua" w:hAnsi="Book Antiqua"/>
          <w:kern w:val="0"/>
          <w:sz w:val="24"/>
          <w:szCs w:val="24"/>
          <w:lang w:eastAsia="en-US"/>
        </w:rPr>
        <w:lastRenderedPageBreak/>
        <w:t>and spleen with mean shear wave velocity (MSV, m/s) on ARFI imaging for 10 healthy volunteers and 10 patients who underwent TIPS placement for treatment of portal hypertension. The portal vein pressure was measured during TIPS placement. A significant difference in portal vein pressure was found for the pre- (27.67 ± 5.86 mmHg) and post- (18.00 ± 6.93 mmHg) TIPS insertion. Significant differences were also found in MSV of the liver and spleen between healthy subjects and patients with portal hypertension. There was no significant difference found in MSV of the liver pre- and post-TIPS placement. However, a statistically significant difference in MSV of the spleen pre- and post-TIPS placement was demonstrated. In addition, the authors reported a significant difference in spleen index between healthy subjects and patients with portal hypertension, as well as between pre- and post-TIPS placement. The MSV of the spleen measured with ARFI correlated well with portal vein pressure. Hence, the authors concluded that spleen stiffness determined by means of MSV on ARFI imaging could be used as a quantitative marker for monitoring the portal vein pressure as the function of the TIPS.</w:t>
      </w:r>
    </w:p>
    <w:p w:rsidR="00C92AB1" w:rsidRPr="00594A33" w:rsidRDefault="00C92AB1" w:rsidP="0072294F">
      <w:pPr>
        <w:autoSpaceDE w:val="0"/>
        <w:autoSpaceDN w:val="0"/>
        <w:adjustRightInd w:val="0"/>
        <w:snapToGrid w:val="0"/>
        <w:spacing w:line="360" w:lineRule="auto"/>
        <w:ind w:firstLineChars="100" w:firstLine="240"/>
        <w:rPr>
          <w:rFonts w:ascii="Book Antiqua" w:hAnsi="Book Antiqua"/>
          <w:kern w:val="0"/>
          <w:sz w:val="24"/>
          <w:szCs w:val="24"/>
          <w:lang w:eastAsia="en-US"/>
        </w:rPr>
      </w:pPr>
      <w:r w:rsidRPr="00594A33">
        <w:rPr>
          <w:rFonts w:ascii="Book Antiqua" w:hAnsi="Book Antiqua"/>
          <w:kern w:val="0"/>
          <w:sz w:val="24"/>
          <w:szCs w:val="24"/>
          <w:lang w:eastAsia="en-US"/>
        </w:rPr>
        <w:t>In this study, as well, the authors had prospectively shown a close correlation between the stiffness of the spleen and portal vein pressure. Based on these data, one can clearly note that the stiffness of the spleen measured with MSV changes as the portal vein pressure changes following TIPS placement. This is the first quantitative demonstration of the effectiveness of TIPS on the stiffness of the spleen measured with MSV value on ARFI imaging. One parameter that was not significantly affected by TIPS placement was the MSV value of the liver. The most plausible explanation for this finding is that TIPS can have a direct impact on the pressure of the portal vein but have no effect on the stiffness of a fibrotic liver. The tissue mechanical property of a cirrhotic liver is very hard due to the severe fibrosis developed in the liver parenchyma, which has poor elasticity. In addition, MSV of the spleen has potential to serve as an indicating marker with which to assess portal vein pressure. Finally, it may be used as a non-invasive predictor in screening for recurrent portal hypertension when TIPS malfunction develops.</w:t>
      </w:r>
    </w:p>
    <w:p w:rsidR="00C92AB1" w:rsidRPr="00594A33" w:rsidDel="00E352A9" w:rsidRDefault="00C92AB1" w:rsidP="0072294F">
      <w:pPr>
        <w:snapToGrid w:val="0"/>
        <w:spacing w:line="360" w:lineRule="auto"/>
        <w:rPr>
          <w:rFonts w:ascii="Book Antiqua" w:hAnsi="Book Antiqua"/>
          <w:b/>
          <w:i/>
          <w:sz w:val="24"/>
          <w:szCs w:val="24"/>
        </w:rPr>
      </w:pPr>
    </w:p>
    <w:p w:rsidR="00C92AB1" w:rsidRPr="00594A33" w:rsidRDefault="00C92AB1" w:rsidP="0072294F">
      <w:pPr>
        <w:snapToGrid w:val="0"/>
        <w:spacing w:line="360" w:lineRule="auto"/>
        <w:rPr>
          <w:rFonts w:ascii="Book Antiqua" w:hAnsi="Book Antiqua"/>
          <w:b/>
          <w:i/>
          <w:sz w:val="24"/>
          <w:szCs w:val="24"/>
        </w:rPr>
      </w:pPr>
      <w:r w:rsidRPr="00594A33">
        <w:rPr>
          <w:rFonts w:ascii="Book Antiqua" w:hAnsi="Book Antiqua"/>
          <w:b/>
          <w:i/>
          <w:sz w:val="24"/>
          <w:szCs w:val="24"/>
        </w:rPr>
        <w:t>Economic benefit</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 xml:space="preserve">Early insertion of TIPS in high-risk patients with acute variceal hemorrhage reduces </w:t>
      </w:r>
      <w:r w:rsidRPr="00594A33">
        <w:rPr>
          <w:rFonts w:ascii="Book Antiqua" w:hAnsi="Book Antiqua"/>
          <w:kern w:val="0"/>
          <w:sz w:val="24"/>
          <w:szCs w:val="24"/>
          <w:lang w:eastAsia="en-US"/>
        </w:rPr>
        <w:lastRenderedPageBreak/>
        <w:t xml:space="preserve">rebleeding and mortality. However, the economic benefit of utilizing this approach remains unclear. Harman </w:t>
      </w:r>
      <w:r w:rsidRPr="00594A33">
        <w:rPr>
          <w:rFonts w:ascii="Book Antiqua" w:hAnsi="Book Antiqua"/>
          <w:i/>
          <w:kern w:val="0"/>
          <w:sz w:val="24"/>
          <w:szCs w:val="24"/>
          <w:lang w:eastAsia="en-US"/>
        </w:rPr>
        <w:t>et al</w:t>
      </w:r>
      <w:r w:rsidRPr="00594A33">
        <w:rPr>
          <w:rFonts w:ascii="Book Antiqua" w:hAnsi="Book Antiqua"/>
          <w:kern w:val="0"/>
          <w:sz w:val="24"/>
          <w:szCs w:val="24"/>
          <w:vertAlign w:val="superscript"/>
          <w:lang w:eastAsia="en-US"/>
        </w:rPr>
        <w:t>[90]</w:t>
      </w:r>
      <w:r w:rsidRPr="00594A33">
        <w:rPr>
          <w:rFonts w:ascii="Book Antiqua" w:hAnsi="Book Antiqua"/>
          <w:kern w:val="0"/>
          <w:sz w:val="24"/>
          <w:szCs w:val="24"/>
          <w:vertAlign w:val="superscript"/>
        </w:rPr>
        <w:t xml:space="preserve"> </w:t>
      </w:r>
      <w:r w:rsidRPr="00594A33">
        <w:rPr>
          <w:rFonts w:ascii="Book Antiqua" w:hAnsi="Book Antiqua"/>
          <w:kern w:val="0"/>
          <w:sz w:val="24"/>
          <w:szCs w:val="24"/>
          <w:lang w:eastAsia="en-US"/>
        </w:rPr>
        <w:t>retrospectively carried out a cost-effectiveness analysis of patients who may benefit from early TIPS insertion. The costs were calculated in a 12-month follow-up from index bleeding admission and compared to a theoretical 12-month follow-up cost related to early TIPS insertion. Over one year, 78 patients were admitted with variceal hemorrhage; 27 patients (35%) were eligible for early TIPS insertion. The actual cost for the 12-mo follow-up was £138 473.50. The authors estimated early TIPS insertion would save £534.70 per patient per year (</w:t>
      </w:r>
      <w:r w:rsidRPr="00594A33">
        <w:rPr>
          <w:rFonts w:ascii="Book Antiqua" w:hAnsi="Book Antiqua"/>
          <w:i/>
          <w:kern w:val="0"/>
          <w:sz w:val="24"/>
          <w:szCs w:val="24"/>
          <w:lang w:eastAsia="en-US"/>
        </w:rPr>
        <w:t>P</w:t>
      </w:r>
      <w:r w:rsidRPr="00594A33">
        <w:rPr>
          <w:rFonts w:ascii="Book Antiqua" w:hAnsi="Book Antiqua"/>
          <w:i/>
          <w:kern w:val="0"/>
          <w:sz w:val="24"/>
          <w:szCs w:val="24"/>
        </w:rPr>
        <w:t xml:space="preserve"> </w:t>
      </w:r>
      <w:r w:rsidRPr="00594A33">
        <w:rPr>
          <w:rFonts w:ascii="Book Antiqua" w:hAnsi="Book Antiqua"/>
          <w:kern w:val="0"/>
          <w:sz w:val="24"/>
          <w:szCs w:val="24"/>
          <w:lang w:eastAsia="en-US"/>
        </w:rPr>
        <w:t>&lt;</w:t>
      </w:r>
      <w:r w:rsidRPr="00594A33">
        <w:rPr>
          <w:rFonts w:ascii="Book Antiqua" w:hAnsi="Book Antiqua"/>
          <w:kern w:val="0"/>
          <w:sz w:val="24"/>
          <w:szCs w:val="24"/>
        </w:rPr>
        <w:t xml:space="preserve"> </w:t>
      </w:r>
      <w:r w:rsidRPr="00594A33">
        <w:rPr>
          <w:rFonts w:ascii="Book Antiqua" w:hAnsi="Book Antiqua"/>
          <w:kern w:val="0"/>
          <w:sz w:val="24"/>
          <w:szCs w:val="24"/>
          <w:lang w:eastAsia="en-US"/>
        </w:rPr>
        <w:t xml:space="preserve">0.0001). According to sensitivity analysis, early TIPS was the dominant treatment modality up to a theoretical rebleeding rate of 6%, and the economic threshold of £15 000 per bleeding episode saved was achieved at a 12% yearly rebleeding rate, suggesting it would be financially viable to adopt early TIPS as an intervention up to a 12% yearly rebleeding rate. This study indicates strict patient selection is vital to reduce the rebleeding rate when utilizing early TIPS insertion. There is an important balance between selecting patients at high risk of rebleeding, who are likely to benefit from early TIPS insertion to prevent rebleeding, but also to exclude patients with the most severe hepatic dysfunction where early TIPS insertion is unlikely to alter the natural history of their disease. Strict patient selection reduces rebleeding-related admissions, thus reducing follow-up costs; this is a key concept for centers to focus on before introducing early TIPS as routine practice. Finally, Harman </w:t>
      </w:r>
      <w:r w:rsidRPr="00594A33">
        <w:rPr>
          <w:rFonts w:ascii="Book Antiqua" w:hAnsi="Book Antiqua"/>
          <w:i/>
          <w:kern w:val="0"/>
          <w:sz w:val="24"/>
          <w:szCs w:val="24"/>
          <w:lang w:eastAsia="en-US"/>
        </w:rPr>
        <w:t>et al</w:t>
      </w:r>
      <w:r w:rsidRPr="00594A33">
        <w:rPr>
          <w:rFonts w:ascii="Book Antiqua" w:hAnsi="Book Antiqua"/>
          <w:kern w:val="0"/>
          <w:sz w:val="24"/>
          <w:szCs w:val="24"/>
          <w:vertAlign w:val="superscript"/>
          <w:lang w:eastAsia="en-US"/>
        </w:rPr>
        <w:t>[90]</w:t>
      </w:r>
      <w:r w:rsidRPr="00594A33">
        <w:rPr>
          <w:rFonts w:ascii="Book Antiqua" w:hAnsi="Book Antiqua"/>
          <w:kern w:val="0"/>
          <w:sz w:val="24"/>
          <w:szCs w:val="24"/>
          <w:lang w:eastAsia="en-US"/>
        </w:rPr>
        <w:t xml:space="preserve"> found 35% of their bleeding cohort were eligible for early TIPS insertion, further establishing early TIPS insertion as a cost-effective intervention. This has important implications for the future provision and organization of interventional radiology services. Future prospective studies evaluating early TIPS insertion are warranted, and including similar economic modeling will help to confirm the financial viability of introducing early TIPS insertion into routine clinical practice.</w:t>
      </w: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CONCLUSION</w:t>
      </w: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kern w:val="0"/>
          <w:sz w:val="24"/>
          <w:szCs w:val="24"/>
          <w:lang w:eastAsia="en-US"/>
        </w:rPr>
        <w:t xml:space="preserve">The TIPS procedure is now a well-established treatment for complications of portal hypertension. Technical advances and well-designed clinical studies provide a scientific basis to define the best indications. Patients with acute variceal bleeding with a </w:t>
      </w:r>
      <w:r w:rsidRPr="00594A33">
        <w:rPr>
          <w:rFonts w:ascii="Book Antiqua" w:hAnsi="Book Antiqua"/>
          <w:kern w:val="0"/>
          <w:sz w:val="24"/>
          <w:szCs w:val="24"/>
          <w:lang w:eastAsia="en-US"/>
        </w:rPr>
        <w:lastRenderedPageBreak/>
        <w:t xml:space="preserve">Child-Pugh score </w:t>
      </w:r>
      <w:r w:rsidRPr="00594A33">
        <w:rPr>
          <w:rFonts w:ascii="Book Antiqua" w:hAnsi="Book Antiqua"/>
          <w:bCs/>
          <w:kern w:val="0"/>
          <w:sz w:val="24"/>
          <w:szCs w:val="24"/>
          <w:lang w:eastAsia="en-US"/>
        </w:rPr>
        <w:t>&gt;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 xml:space="preserve">12, APACHE score II </w:t>
      </w:r>
      <w:r w:rsidRPr="00594A33">
        <w:rPr>
          <w:rFonts w:ascii="Book Antiqua" w:hAnsi="Book Antiqua"/>
          <w:bCs/>
          <w:kern w:val="0"/>
          <w:sz w:val="24"/>
          <w:szCs w:val="24"/>
          <w:lang w:eastAsia="en-US"/>
        </w:rPr>
        <w:t>&gt;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 xml:space="preserve">18 points, hemodynamically unstable, receiving vasopressors and coagulopathy, and/or bilirubin </w:t>
      </w:r>
      <w:r w:rsidRPr="00594A33">
        <w:rPr>
          <w:rFonts w:ascii="Book Antiqua" w:hAnsi="Book Antiqua"/>
          <w:bCs/>
          <w:kern w:val="0"/>
          <w:sz w:val="24"/>
          <w:szCs w:val="24"/>
          <w:lang w:eastAsia="en-US"/>
        </w:rPr>
        <w:t>&gt;</w:t>
      </w:r>
      <w:r w:rsidRPr="00594A33">
        <w:rPr>
          <w:rFonts w:ascii="Book Antiqua" w:hAnsi="Book Antiqua"/>
          <w:bCs/>
          <w:kern w:val="0"/>
          <w:sz w:val="24"/>
          <w:szCs w:val="24"/>
        </w:rPr>
        <w:t xml:space="preserve"> </w:t>
      </w:r>
      <w:r w:rsidRPr="00594A33">
        <w:rPr>
          <w:rFonts w:ascii="Book Antiqua" w:hAnsi="Book Antiqua"/>
          <w:kern w:val="0"/>
          <w:sz w:val="24"/>
          <w:szCs w:val="24"/>
          <w:lang w:eastAsia="en-US"/>
        </w:rPr>
        <w:t>6 mg/dL have a high risk of early death after TIPS. In specific, in some individual clinical situations it may be wise to withhold the TIPS because the mortality rate will be very high regardless of the therapy given. Every effort should be taken to stabilize the patient before TIPS, including the use of tamponade tubes and aggressive correction of coagulopathy. Once medical treatment and sclerotherapy fail, emergency TIPS should be considered early before the clinical condition worsens. Patients at high risk for early mortality after TIPS should be considered for expedited liver transplantation if available.</w:t>
      </w:r>
      <w:r w:rsidRPr="00594A33">
        <w:rPr>
          <w:rFonts w:ascii="Book Antiqua" w:hAnsi="Book Antiqua"/>
          <w:b/>
          <w:sz w:val="24"/>
          <w:szCs w:val="24"/>
        </w:rPr>
        <w:t xml:space="preserve"> </w:t>
      </w:r>
      <w:r w:rsidRPr="00594A33">
        <w:rPr>
          <w:rFonts w:ascii="Book Antiqua" w:hAnsi="Book Antiqua"/>
          <w:kern w:val="0"/>
          <w:sz w:val="24"/>
          <w:szCs w:val="24"/>
          <w:lang w:eastAsia="en-US"/>
        </w:rPr>
        <w:t xml:space="preserve">Cost analysis must be performed in the future taking into account recent developments including technical improvements, better patient selection, and better post-TIPS management. </w:t>
      </w:r>
    </w:p>
    <w:p w:rsidR="00C92AB1" w:rsidRPr="00594A33" w:rsidRDefault="00C92AB1" w:rsidP="0072294F">
      <w:pPr>
        <w:snapToGrid w:val="0"/>
        <w:spacing w:line="360" w:lineRule="auto"/>
        <w:rPr>
          <w:rFonts w:ascii="Book Antiqua" w:hAnsi="Book Antiqua"/>
          <w:b/>
          <w:sz w:val="24"/>
          <w:szCs w:val="24"/>
        </w:rPr>
      </w:pPr>
    </w:p>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REFERENCES</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 </w:t>
      </w:r>
      <w:r w:rsidRPr="00594A33">
        <w:rPr>
          <w:rFonts w:ascii="Book Antiqua" w:hAnsi="Book Antiqua" w:cs="宋体"/>
          <w:b/>
          <w:bCs/>
          <w:kern w:val="0"/>
          <w:sz w:val="24"/>
          <w:szCs w:val="24"/>
        </w:rPr>
        <w:t>Jalan R</w:t>
      </w:r>
      <w:r w:rsidRPr="00594A33">
        <w:rPr>
          <w:rFonts w:ascii="Book Antiqua" w:hAnsi="Book Antiqua" w:cs="宋体"/>
          <w:kern w:val="0"/>
          <w:sz w:val="24"/>
          <w:szCs w:val="24"/>
        </w:rPr>
        <w:t xml:space="preserve">, Hayes PC. UK guidelines on the management of variceal haemorrhage in cirrhotic patients. British Society of Gastroenterology. </w:t>
      </w:r>
      <w:r w:rsidRPr="00594A33">
        <w:rPr>
          <w:rFonts w:ascii="Book Antiqua" w:hAnsi="Book Antiqua" w:cs="宋体"/>
          <w:i/>
          <w:iCs/>
          <w:kern w:val="0"/>
          <w:sz w:val="24"/>
          <w:szCs w:val="24"/>
        </w:rPr>
        <w:t>Gut</w:t>
      </w:r>
      <w:r w:rsidRPr="00594A33">
        <w:rPr>
          <w:rFonts w:ascii="Book Antiqua" w:hAnsi="Book Antiqua" w:cs="宋体"/>
          <w:kern w:val="0"/>
          <w:sz w:val="24"/>
          <w:szCs w:val="24"/>
        </w:rPr>
        <w:t xml:space="preserve"> 2000; </w:t>
      </w:r>
      <w:r w:rsidRPr="00594A33">
        <w:rPr>
          <w:rFonts w:ascii="Book Antiqua" w:hAnsi="Book Antiqua" w:cs="宋体"/>
          <w:b/>
          <w:bCs/>
          <w:kern w:val="0"/>
          <w:sz w:val="24"/>
          <w:szCs w:val="24"/>
        </w:rPr>
        <w:t xml:space="preserve">46 </w:t>
      </w:r>
      <w:r w:rsidRPr="00594A33">
        <w:rPr>
          <w:rFonts w:ascii="Book Antiqua" w:hAnsi="Book Antiqua" w:cs="宋体"/>
          <w:bCs/>
          <w:kern w:val="0"/>
          <w:sz w:val="24"/>
          <w:szCs w:val="24"/>
        </w:rPr>
        <w:t>Suppl 3-4</w:t>
      </w:r>
      <w:r w:rsidRPr="00594A33">
        <w:rPr>
          <w:rFonts w:ascii="Book Antiqua" w:hAnsi="Book Antiqua" w:cs="宋体"/>
          <w:kern w:val="0"/>
          <w:sz w:val="24"/>
          <w:szCs w:val="24"/>
        </w:rPr>
        <w:t>: III1-III15 [PMID: 10862604]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 . Prediction of the first variceal hemorrhage in patients with cirrhosis of the liver and esophageal varices. A prospective multicenter study. </w:t>
      </w:r>
      <w:r w:rsidRPr="00594A33">
        <w:rPr>
          <w:rFonts w:ascii="Book Antiqua" w:hAnsi="Book Antiqua" w:cs="宋体"/>
          <w:i/>
          <w:iCs/>
          <w:kern w:val="0"/>
          <w:sz w:val="24"/>
          <w:szCs w:val="24"/>
        </w:rPr>
        <w:t>N Engl J Med</w:t>
      </w:r>
      <w:r w:rsidRPr="00594A33">
        <w:rPr>
          <w:rFonts w:ascii="Book Antiqua" w:hAnsi="Book Antiqua" w:cs="宋体"/>
          <w:kern w:val="0"/>
          <w:sz w:val="24"/>
          <w:szCs w:val="24"/>
        </w:rPr>
        <w:t xml:space="preserve"> 1988; </w:t>
      </w:r>
      <w:r w:rsidRPr="00594A33">
        <w:rPr>
          <w:rFonts w:ascii="Book Antiqua" w:hAnsi="Book Antiqua" w:cs="宋体"/>
          <w:b/>
          <w:bCs/>
          <w:kern w:val="0"/>
          <w:sz w:val="24"/>
          <w:szCs w:val="24"/>
        </w:rPr>
        <w:t>319</w:t>
      </w:r>
      <w:r w:rsidRPr="00594A33">
        <w:rPr>
          <w:rFonts w:ascii="Book Antiqua" w:hAnsi="Book Antiqua" w:cs="宋体"/>
          <w:kern w:val="0"/>
          <w:sz w:val="24"/>
          <w:szCs w:val="24"/>
        </w:rPr>
        <w:t>: 983-989 [PMID: 3262200 DOI: 10.1056/NEJM198810133191505]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 </w:t>
      </w:r>
      <w:r w:rsidRPr="00594A33">
        <w:rPr>
          <w:rFonts w:ascii="Book Antiqua" w:hAnsi="Book Antiqua" w:cs="宋体"/>
          <w:b/>
          <w:bCs/>
          <w:kern w:val="0"/>
          <w:sz w:val="24"/>
          <w:szCs w:val="24"/>
        </w:rPr>
        <w:t>D'Amico G</w:t>
      </w:r>
      <w:r w:rsidRPr="00594A33">
        <w:rPr>
          <w:rFonts w:ascii="Book Antiqua" w:hAnsi="Book Antiqua" w:cs="宋体"/>
          <w:kern w:val="0"/>
          <w:sz w:val="24"/>
          <w:szCs w:val="24"/>
        </w:rPr>
        <w:t xml:space="preserve">, Pagliaro L, Bosch J. The treatment of portal hypertension: a meta-analytic review.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1995; </w:t>
      </w:r>
      <w:r w:rsidRPr="00594A33">
        <w:rPr>
          <w:rFonts w:ascii="Book Antiqua" w:hAnsi="Book Antiqua" w:cs="宋体"/>
          <w:b/>
          <w:bCs/>
          <w:kern w:val="0"/>
          <w:sz w:val="24"/>
          <w:szCs w:val="24"/>
        </w:rPr>
        <w:t>22</w:t>
      </w:r>
      <w:r w:rsidRPr="00594A33">
        <w:rPr>
          <w:rFonts w:ascii="Book Antiqua" w:hAnsi="Book Antiqua" w:cs="宋体"/>
          <w:kern w:val="0"/>
          <w:sz w:val="24"/>
          <w:szCs w:val="24"/>
        </w:rPr>
        <w:t>: 332-354 [PMID: 7601427 DOI: 10.1002/hep.1840220145]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 </w:t>
      </w:r>
      <w:r w:rsidRPr="00594A33">
        <w:rPr>
          <w:rFonts w:ascii="Book Antiqua" w:hAnsi="Book Antiqua" w:cs="宋体"/>
          <w:b/>
          <w:bCs/>
          <w:kern w:val="0"/>
          <w:sz w:val="24"/>
          <w:szCs w:val="24"/>
        </w:rPr>
        <w:t>de Dombal FT</w:t>
      </w:r>
      <w:r w:rsidRPr="00594A33">
        <w:rPr>
          <w:rFonts w:ascii="Book Antiqua" w:hAnsi="Book Antiqua" w:cs="宋体"/>
          <w:kern w:val="0"/>
          <w:sz w:val="24"/>
          <w:szCs w:val="24"/>
        </w:rPr>
        <w:t xml:space="preserve">, Clarke JR, Clamp SE, Malizia G, Kotwal MR, Morgan AG. Prognostic factors in upper G.I. bleeding. </w:t>
      </w:r>
      <w:r w:rsidRPr="00594A33">
        <w:rPr>
          <w:rFonts w:ascii="Book Antiqua" w:hAnsi="Book Antiqua" w:cs="宋体"/>
          <w:i/>
          <w:iCs/>
          <w:kern w:val="0"/>
          <w:sz w:val="24"/>
          <w:szCs w:val="24"/>
        </w:rPr>
        <w:t>Endoscopy</w:t>
      </w:r>
      <w:r w:rsidRPr="00594A33">
        <w:rPr>
          <w:rFonts w:ascii="Book Antiqua" w:hAnsi="Book Antiqua" w:cs="宋体"/>
          <w:kern w:val="0"/>
          <w:sz w:val="24"/>
          <w:szCs w:val="24"/>
        </w:rPr>
        <w:t xml:space="preserve"> 1986; </w:t>
      </w:r>
      <w:r w:rsidRPr="00594A33">
        <w:rPr>
          <w:rFonts w:ascii="Book Antiqua" w:hAnsi="Book Antiqua" w:cs="宋体"/>
          <w:b/>
          <w:bCs/>
          <w:kern w:val="0"/>
          <w:sz w:val="24"/>
          <w:szCs w:val="24"/>
        </w:rPr>
        <w:t xml:space="preserve">18 </w:t>
      </w:r>
      <w:r w:rsidRPr="00594A33">
        <w:rPr>
          <w:rFonts w:ascii="Book Antiqua" w:hAnsi="Book Antiqua" w:cs="宋体"/>
          <w:bCs/>
          <w:kern w:val="0"/>
          <w:sz w:val="24"/>
          <w:szCs w:val="24"/>
        </w:rPr>
        <w:t>Suppl 2</w:t>
      </w:r>
      <w:r w:rsidRPr="00594A33">
        <w:rPr>
          <w:rFonts w:ascii="Book Antiqua" w:hAnsi="Book Antiqua" w:cs="宋体"/>
          <w:kern w:val="0"/>
          <w:sz w:val="24"/>
          <w:szCs w:val="24"/>
        </w:rPr>
        <w:t>: 6-10 [PMID: 3519197 DOI: 10.1055/s-2007-1018418]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 </w:t>
      </w:r>
      <w:r w:rsidRPr="00594A33">
        <w:rPr>
          <w:rFonts w:ascii="Book Antiqua" w:hAnsi="Book Antiqua" w:cs="宋体"/>
          <w:b/>
          <w:bCs/>
          <w:kern w:val="0"/>
          <w:sz w:val="24"/>
          <w:szCs w:val="24"/>
        </w:rPr>
        <w:t>Gores GJ</w:t>
      </w:r>
      <w:r w:rsidRPr="00594A33">
        <w:rPr>
          <w:rFonts w:ascii="Book Antiqua" w:hAnsi="Book Antiqua" w:cs="宋体"/>
          <w:kern w:val="0"/>
          <w:sz w:val="24"/>
          <w:szCs w:val="24"/>
        </w:rPr>
        <w:t xml:space="preserve">, Wiesner RH, Dickson ER, Zinsmeister AR, Jorgensen RA, Langworthy A. Prospective evaluation of esophageal varices in primary biliary cirrhosis: development, natural history, and influence on survival.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1989; </w:t>
      </w:r>
      <w:r w:rsidRPr="00594A33">
        <w:rPr>
          <w:rFonts w:ascii="Book Antiqua" w:hAnsi="Book Antiqua" w:cs="宋体"/>
          <w:b/>
          <w:bCs/>
          <w:kern w:val="0"/>
          <w:sz w:val="24"/>
          <w:szCs w:val="24"/>
        </w:rPr>
        <w:t>96</w:t>
      </w:r>
      <w:r w:rsidRPr="00594A33">
        <w:rPr>
          <w:rFonts w:ascii="Book Antiqua" w:hAnsi="Book Antiqua" w:cs="宋体"/>
          <w:kern w:val="0"/>
          <w:sz w:val="24"/>
          <w:szCs w:val="24"/>
        </w:rPr>
        <w:t>: 1552-1559 [PMID: 2785470]</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 </w:t>
      </w:r>
      <w:r w:rsidRPr="00594A33">
        <w:rPr>
          <w:rFonts w:ascii="Book Antiqua" w:hAnsi="Book Antiqua" w:cs="宋体"/>
          <w:b/>
          <w:bCs/>
          <w:kern w:val="0"/>
          <w:sz w:val="24"/>
          <w:szCs w:val="24"/>
        </w:rPr>
        <w:t>McAvoy NC</w:t>
      </w:r>
      <w:r w:rsidRPr="00594A33">
        <w:rPr>
          <w:rFonts w:ascii="Book Antiqua" w:hAnsi="Book Antiqua" w:cs="宋体"/>
          <w:kern w:val="0"/>
          <w:sz w:val="24"/>
          <w:szCs w:val="24"/>
        </w:rPr>
        <w:t xml:space="preserve">, Hayes PC. The use of transjugular intrahepatic portosystemic stent shunt in the management of acute oesophageal variceal haemorrhage. </w:t>
      </w:r>
      <w:r w:rsidRPr="00594A33">
        <w:rPr>
          <w:rFonts w:ascii="Book Antiqua" w:hAnsi="Book Antiqua" w:cs="宋体"/>
          <w:i/>
          <w:iCs/>
          <w:kern w:val="0"/>
          <w:sz w:val="24"/>
          <w:szCs w:val="24"/>
        </w:rPr>
        <w:t>Eur J Gastroenterol Hepatol</w:t>
      </w:r>
      <w:r w:rsidRPr="00594A33">
        <w:rPr>
          <w:rFonts w:ascii="Book Antiqua" w:hAnsi="Book Antiqua" w:cs="宋体"/>
          <w:kern w:val="0"/>
          <w:sz w:val="24"/>
          <w:szCs w:val="24"/>
        </w:rPr>
        <w:t xml:space="preserve"> 2006; </w:t>
      </w:r>
      <w:r w:rsidRPr="00594A33">
        <w:rPr>
          <w:rFonts w:ascii="Book Antiqua" w:hAnsi="Book Antiqua" w:cs="宋体"/>
          <w:b/>
          <w:bCs/>
          <w:kern w:val="0"/>
          <w:sz w:val="24"/>
          <w:szCs w:val="24"/>
        </w:rPr>
        <w:t>18</w:t>
      </w:r>
      <w:r w:rsidRPr="00594A33">
        <w:rPr>
          <w:rFonts w:ascii="Book Antiqua" w:hAnsi="Book Antiqua" w:cs="宋体"/>
          <w:kern w:val="0"/>
          <w:sz w:val="24"/>
          <w:szCs w:val="24"/>
        </w:rPr>
        <w:t>: 1135-1141 [PMID: 17033431 DOI: 10.1097/01.meg.0000236877.98472.58]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 </w:t>
      </w:r>
      <w:r w:rsidRPr="00594A33">
        <w:rPr>
          <w:rFonts w:ascii="Book Antiqua" w:hAnsi="Book Antiqua" w:cs="宋体"/>
          <w:b/>
          <w:bCs/>
          <w:kern w:val="0"/>
          <w:sz w:val="24"/>
          <w:szCs w:val="24"/>
        </w:rPr>
        <w:t>Moitinho E</w:t>
      </w:r>
      <w:r w:rsidRPr="00594A33">
        <w:rPr>
          <w:rFonts w:ascii="Book Antiqua" w:hAnsi="Book Antiqua" w:cs="宋体"/>
          <w:kern w:val="0"/>
          <w:sz w:val="24"/>
          <w:szCs w:val="24"/>
        </w:rPr>
        <w:t xml:space="preserve">, Escorsell A, Bandi JC, Salmerón JM, García-Pagán JC, Rodés J, Bosch J. Prognostic value of early measurements of portal pressure in acute variceal bleeding.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1999; </w:t>
      </w:r>
      <w:r w:rsidRPr="00594A33">
        <w:rPr>
          <w:rFonts w:ascii="Book Antiqua" w:hAnsi="Book Antiqua" w:cs="宋体"/>
          <w:b/>
          <w:bCs/>
          <w:kern w:val="0"/>
          <w:sz w:val="24"/>
          <w:szCs w:val="24"/>
        </w:rPr>
        <w:t>117</w:t>
      </w:r>
      <w:r w:rsidRPr="00594A33">
        <w:rPr>
          <w:rFonts w:ascii="Book Antiqua" w:hAnsi="Book Antiqua" w:cs="宋体"/>
          <w:kern w:val="0"/>
          <w:sz w:val="24"/>
          <w:szCs w:val="24"/>
        </w:rPr>
        <w:t>: 626-631 [PMID: 10464138 DOI: 10.1016/S0016-5085(99)70455-5]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 </w:t>
      </w:r>
      <w:r w:rsidRPr="00594A33">
        <w:rPr>
          <w:rFonts w:ascii="Book Antiqua" w:hAnsi="Book Antiqua" w:cs="宋体"/>
          <w:b/>
          <w:bCs/>
          <w:kern w:val="0"/>
          <w:sz w:val="24"/>
          <w:szCs w:val="24"/>
        </w:rPr>
        <w:t>Beppu K</w:t>
      </w:r>
      <w:r w:rsidRPr="00594A33">
        <w:rPr>
          <w:rFonts w:ascii="Book Antiqua" w:hAnsi="Book Antiqua" w:cs="宋体"/>
          <w:kern w:val="0"/>
          <w:sz w:val="24"/>
          <w:szCs w:val="24"/>
        </w:rPr>
        <w:t xml:space="preserve">, Inokuchi K, Koyanagi N, Nakayama S, Sakata H, Kitano S, Kobayashi M. Prediction of variceal hemorrhage by esophageal endoscopy. </w:t>
      </w:r>
      <w:r w:rsidRPr="00594A33">
        <w:rPr>
          <w:rFonts w:ascii="Book Antiqua" w:hAnsi="Book Antiqua" w:cs="宋体"/>
          <w:i/>
          <w:iCs/>
          <w:kern w:val="0"/>
          <w:sz w:val="24"/>
          <w:szCs w:val="24"/>
        </w:rPr>
        <w:t>Gastrointest Endosc</w:t>
      </w:r>
      <w:r w:rsidRPr="00594A33">
        <w:rPr>
          <w:rFonts w:ascii="Book Antiqua" w:hAnsi="Book Antiqua" w:cs="宋体"/>
          <w:kern w:val="0"/>
          <w:sz w:val="24"/>
          <w:szCs w:val="24"/>
        </w:rPr>
        <w:t xml:space="preserve"> 1981; </w:t>
      </w:r>
      <w:r w:rsidRPr="00594A33">
        <w:rPr>
          <w:rFonts w:ascii="Book Antiqua" w:hAnsi="Book Antiqua" w:cs="宋体"/>
          <w:b/>
          <w:bCs/>
          <w:kern w:val="0"/>
          <w:sz w:val="24"/>
          <w:szCs w:val="24"/>
        </w:rPr>
        <w:t>27</w:t>
      </w:r>
      <w:r w:rsidRPr="00594A33">
        <w:rPr>
          <w:rFonts w:ascii="Book Antiqua" w:hAnsi="Book Antiqua" w:cs="宋体"/>
          <w:kern w:val="0"/>
          <w:sz w:val="24"/>
          <w:szCs w:val="24"/>
        </w:rPr>
        <w:t>: 213-218 [PMID: 6975734 DOI: 10.1016/S0016-5107(81)73224-3]</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lastRenderedPageBreak/>
        <w:t xml:space="preserve">9 </w:t>
      </w:r>
      <w:r w:rsidRPr="00594A33">
        <w:rPr>
          <w:rFonts w:ascii="Book Antiqua" w:hAnsi="Book Antiqua" w:cs="宋体"/>
          <w:b/>
          <w:bCs/>
          <w:kern w:val="0"/>
          <w:sz w:val="24"/>
          <w:szCs w:val="24"/>
        </w:rPr>
        <w:t>March RE</w:t>
      </w:r>
      <w:r w:rsidRPr="00594A33">
        <w:rPr>
          <w:rFonts w:ascii="Book Antiqua" w:hAnsi="Book Antiqua" w:cs="宋体"/>
          <w:kern w:val="0"/>
          <w:sz w:val="24"/>
          <w:szCs w:val="24"/>
        </w:rPr>
        <w:t xml:space="preserve">, Kirwan JR, Davies PG, Winrow VR, Holborow EJ. Sensitive ELISA measurement of IgA, IgG and IgM antiglobulins in rheumatic and other diseases and a comparison of their specificity in rheumatoid arthritis and infectious mononucleosis. </w:t>
      </w:r>
      <w:r w:rsidRPr="00594A33">
        <w:rPr>
          <w:rFonts w:ascii="Book Antiqua" w:hAnsi="Book Antiqua" w:cs="宋体"/>
          <w:i/>
          <w:iCs/>
          <w:kern w:val="0"/>
          <w:sz w:val="24"/>
          <w:szCs w:val="24"/>
        </w:rPr>
        <w:t>Scand J Rheumatol</w:t>
      </w:r>
      <w:r w:rsidRPr="00594A33">
        <w:rPr>
          <w:rFonts w:ascii="Book Antiqua" w:hAnsi="Book Antiqua" w:cs="宋体"/>
          <w:kern w:val="0"/>
          <w:sz w:val="24"/>
          <w:szCs w:val="24"/>
        </w:rPr>
        <w:t xml:space="preserve"> 1987; </w:t>
      </w:r>
      <w:r w:rsidRPr="00594A33">
        <w:rPr>
          <w:rFonts w:ascii="Book Antiqua" w:hAnsi="Book Antiqua" w:cs="宋体"/>
          <w:b/>
          <w:bCs/>
          <w:kern w:val="0"/>
          <w:sz w:val="24"/>
          <w:szCs w:val="24"/>
        </w:rPr>
        <w:t>16</w:t>
      </w:r>
      <w:r w:rsidRPr="00594A33">
        <w:rPr>
          <w:rFonts w:ascii="Book Antiqua" w:hAnsi="Book Antiqua" w:cs="宋体"/>
          <w:kern w:val="0"/>
          <w:sz w:val="24"/>
          <w:szCs w:val="24"/>
        </w:rPr>
        <w:t>: 445-449 [PMID: 3501161 DOI: 10.1007/s00270-012-0493-y]</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10 </w:t>
      </w:r>
      <w:r w:rsidRPr="00594A33">
        <w:rPr>
          <w:rFonts w:ascii="Book Antiqua" w:hAnsi="Book Antiqua" w:cs="宋体"/>
          <w:b/>
          <w:bCs/>
          <w:kern w:val="0"/>
          <w:sz w:val="24"/>
          <w:szCs w:val="24"/>
        </w:rPr>
        <w:t>Pomier-Layrargues G</w:t>
      </w:r>
      <w:r w:rsidRPr="00594A33">
        <w:rPr>
          <w:rFonts w:ascii="Book Antiqua" w:hAnsi="Book Antiqua" w:cs="宋体"/>
          <w:kern w:val="0"/>
          <w:sz w:val="24"/>
          <w:szCs w:val="24"/>
        </w:rPr>
        <w:t xml:space="preserve">, Bouchard L, Lafortune M, Bissonnette J, Guérette D, Perreault P. The transjugular intrahepatic portosystemic shunt in the treatment of portal hypertension: current status. </w:t>
      </w:r>
      <w:r w:rsidRPr="00594A33">
        <w:rPr>
          <w:rFonts w:ascii="Book Antiqua" w:hAnsi="Book Antiqua" w:cs="宋体"/>
          <w:i/>
          <w:iCs/>
          <w:kern w:val="0"/>
          <w:sz w:val="24"/>
          <w:szCs w:val="24"/>
        </w:rPr>
        <w:t>Int J Hepatol</w:t>
      </w:r>
      <w:r w:rsidRPr="00594A33">
        <w:rPr>
          <w:rFonts w:ascii="Book Antiqua" w:hAnsi="Book Antiqua" w:cs="宋体"/>
          <w:kern w:val="0"/>
          <w:sz w:val="24"/>
          <w:szCs w:val="24"/>
        </w:rPr>
        <w:t xml:space="preserve"> 2012; </w:t>
      </w:r>
      <w:r w:rsidRPr="00594A33">
        <w:rPr>
          <w:rFonts w:ascii="Book Antiqua" w:hAnsi="Book Antiqua" w:cs="宋体"/>
          <w:b/>
          <w:bCs/>
          <w:kern w:val="0"/>
          <w:sz w:val="24"/>
          <w:szCs w:val="24"/>
        </w:rPr>
        <w:t>2012</w:t>
      </w:r>
      <w:r w:rsidRPr="00594A33">
        <w:rPr>
          <w:rFonts w:ascii="Book Antiqua" w:hAnsi="Book Antiqua" w:cs="宋体"/>
          <w:kern w:val="0"/>
          <w:sz w:val="24"/>
          <w:szCs w:val="24"/>
        </w:rPr>
        <w:t>: 167868 [PMID: 22888442]</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11 </w:t>
      </w:r>
      <w:r w:rsidRPr="00594A33">
        <w:rPr>
          <w:rFonts w:ascii="Book Antiqua" w:hAnsi="Book Antiqua" w:cs="宋体"/>
          <w:b/>
          <w:bCs/>
          <w:kern w:val="0"/>
          <w:sz w:val="24"/>
          <w:szCs w:val="24"/>
        </w:rPr>
        <w:t>Irani S</w:t>
      </w:r>
      <w:r w:rsidRPr="00594A33">
        <w:rPr>
          <w:rFonts w:ascii="Book Antiqua" w:hAnsi="Book Antiqua" w:cs="宋体"/>
          <w:kern w:val="0"/>
          <w:sz w:val="24"/>
          <w:szCs w:val="24"/>
        </w:rPr>
        <w:t xml:space="preserve">, Kowdley K, Kozarek R. Gastric varices: an updated review of management. </w:t>
      </w:r>
      <w:r w:rsidRPr="00594A33">
        <w:rPr>
          <w:rFonts w:ascii="Book Antiqua" w:hAnsi="Book Antiqua" w:cs="宋体"/>
          <w:i/>
          <w:iCs/>
          <w:kern w:val="0"/>
          <w:sz w:val="24"/>
          <w:szCs w:val="24"/>
        </w:rPr>
        <w:t>J Clin Gastroenterol</w:t>
      </w:r>
      <w:r w:rsidRPr="00594A33">
        <w:rPr>
          <w:rFonts w:ascii="Book Antiqua" w:hAnsi="Book Antiqua" w:cs="宋体"/>
          <w:kern w:val="0"/>
          <w:sz w:val="24"/>
          <w:szCs w:val="24"/>
        </w:rPr>
        <w:t xml:space="preserve"> 2011; </w:t>
      </w:r>
      <w:r w:rsidRPr="00594A33">
        <w:rPr>
          <w:rFonts w:ascii="Book Antiqua" w:hAnsi="Book Antiqua" w:cs="宋体"/>
          <w:b/>
          <w:bCs/>
          <w:kern w:val="0"/>
          <w:sz w:val="24"/>
          <w:szCs w:val="24"/>
        </w:rPr>
        <w:t>45</w:t>
      </w:r>
      <w:r w:rsidRPr="00594A33">
        <w:rPr>
          <w:rFonts w:ascii="Book Antiqua" w:hAnsi="Book Antiqua" w:cs="宋体"/>
          <w:kern w:val="0"/>
          <w:sz w:val="24"/>
          <w:szCs w:val="24"/>
        </w:rPr>
        <w:t>: 133-148 [PMID: 21135706 DOI: 10.1097/MCG.0b013e3181fbe249]</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12 </w:t>
      </w:r>
      <w:r w:rsidRPr="00594A33">
        <w:rPr>
          <w:rFonts w:ascii="Book Antiqua" w:hAnsi="Book Antiqua" w:cs="宋体"/>
          <w:b/>
          <w:bCs/>
          <w:kern w:val="0"/>
          <w:sz w:val="24"/>
          <w:szCs w:val="24"/>
        </w:rPr>
        <w:t>Barange K</w:t>
      </w:r>
      <w:r w:rsidRPr="00594A33">
        <w:rPr>
          <w:rFonts w:ascii="Book Antiqua" w:hAnsi="Book Antiqua" w:cs="宋体"/>
          <w:kern w:val="0"/>
          <w:sz w:val="24"/>
          <w:szCs w:val="24"/>
        </w:rPr>
        <w:t xml:space="preserve">, Péron JM, Imani K, Otal P, Payen JL, Rousseau H, Pascal JP, Joffre F, Vinel JP. Transjugular intrahepatic portosystemic shunt in the treatment of refractory bleeding from ruptured gastric varices.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1999; </w:t>
      </w:r>
      <w:r w:rsidRPr="00594A33">
        <w:rPr>
          <w:rFonts w:ascii="Book Antiqua" w:hAnsi="Book Antiqua" w:cs="宋体"/>
          <w:b/>
          <w:bCs/>
          <w:kern w:val="0"/>
          <w:sz w:val="24"/>
          <w:szCs w:val="24"/>
        </w:rPr>
        <w:t>30</w:t>
      </w:r>
      <w:r w:rsidRPr="00594A33">
        <w:rPr>
          <w:rFonts w:ascii="Book Antiqua" w:hAnsi="Book Antiqua" w:cs="宋体"/>
          <w:kern w:val="0"/>
          <w:sz w:val="24"/>
          <w:szCs w:val="24"/>
        </w:rPr>
        <w:t>: 1139-1143 [PMID: 10534333 DOI: 10.1002/hep.510300523]</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13 </w:t>
      </w:r>
      <w:r w:rsidRPr="00594A33">
        <w:rPr>
          <w:rFonts w:ascii="Book Antiqua" w:hAnsi="Book Antiqua" w:cs="宋体"/>
          <w:b/>
          <w:bCs/>
          <w:kern w:val="0"/>
          <w:sz w:val="24"/>
          <w:szCs w:val="24"/>
        </w:rPr>
        <w:t>Chau TN</w:t>
      </w:r>
      <w:r w:rsidRPr="00594A33">
        <w:rPr>
          <w:rFonts w:ascii="Book Antiqua" w:hAnsi="Book Antiqua" w:cs="宋体"/>
          <w:kern w:val="0"/>
          <w:sz w:val="24"/>
          <w:szCs w:val="24"/>
        </w:rPr>
        <w:t xml:space="preserve">, Patch D, Chan YW, Nagral A, Dick R, Burroughs AK. "Salvage" transjugular intrahepatic portosystemic shunts: gastric fundal compared with esophageal variceal bleeding.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114</w:t>
      </w:r>
      <w:r w:rsidRPr="00594A33">
        <w:rPr>
          <w:rFonts w:ascii="Book Antiqua" w:hAnsi="Book Antiqua" w:cs="宋体"/>
          <w:kern w:val="0"/>
          <w:sz w:val="24"/>
          <w:szCs w:val="24"/>
        </w:rPr>
        <w:t>: 981-987 [PMID: 9558287 DOI: 10.1016/S0016-5085(98)00640-4]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14 </w:t>
      </w:r>
      <w:r w:rsidRPr="00594A33">
        <w:rPr>
          <w:rFonts w:ascii="Book Antiqua" w:hAnsi="Book Antiqua" w:cs="宋体"/>
          <w:b/>
          <w:bCs/>
          <w:kern w:val="0"/>
          <w:sz w:val="24"/>
          <w:szCs w:val="24"/>
        </w:rPr>
        <w:t>Lo GH</w:t>
      </w:r>
      <w:r w:rsidRPr="00594A33">
        <w:rPr>
          <w:rFonts w:ascii="Book Antiqua" w:hAnsi="Book Antiqua" w:cs="宋体"/>
          <w:kern w:val="0"/>
          <w:sz w:val="24"/>
          <w:szCs w:val="24"/>
        </w:rPr>
        <w:t xml:space="preserve">, Liang HL, Chen WC, Chen MH, Lai KH, Hsu PI, Lin CK, Chan HH, Pan HB. A prospective, randomized controlled trial of transjugular intrahepatic portosystemic shunt versus cyanoacrylate injection in the prevention of gastric variceal rebleeding. </w:t>
      </w:r>
      <w:r w:rsidRPr="00594A33">
        <w:rPr>
          <w:rFonts w:ascii="Book Antiqua" w:hAnsi="Book Antiqua" w:cs="宋体"/>
          <w:i/>
          <w:iCs/>
          <w:kern w:val="0"/>
          <w:sz w:val="24"/>
          <w:szCs w:val="24"/>
        </w:rPr>
        <w:t>Endoscopy</w:t>
      </w:r>
      <w:r w:rsidRPr="00594A33">
        <w:rPr>
          <w:rFonts w:ascii="Book Antiqua" w:hAnsi="Book Antiqua" w:cs="宋体"/>
          <w:kern w:val="0"/>
          <w:sz w:val="24"/>
          <w:szCs w:val="24"/>
        </w:rPr>
        <w:t xml:space="preserve"> 2007; </w:t>
      </w:r>
      <w:r w:rsidRPr="00594A33">
        <w:rPr>
          <w:rFonts w:ascii="Book Antiqua" w:hAnsi="Book Antiqua" w:cs="宋体"/>
          <w:b/>
          <w:bCs/>
          <w:kern w:val="0"/>
          <w:sz w:val="24"/>
          <w:szCs w:val="24"/>
        </w:rPr>
        <w:t>39</w:t>
      </w:r>
      <w:r w:rsidRPr="00594A33">
        <w:rPr>
          <w:rFonts w:ascii="Book Antiqua" w:hAnsi="Book Antiqua" w:cs="宋体"/>
          <w:kern w:val="0"/>
          <w:sz w:val="24"/>
          <w:szCs w:val="24"/>
        </w:rPr>
        <w:t>: 679-685 [PMID: 17661241 DOI: 10.1055/s-2007-966591]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15 </w:t>
      </w:r>
      <w:r w:rsidRPr="00594A33">
        <w:rPr>
          <w:rFonts w:ascii="Book Antiqua" w:hAnsi="Book Antiqua" w:cs="宋体"/>
          <w:b/>
          <w:bCs/>
          <w:kern w:val="0"/>
          <w:sz w:val="24"/>
          <w:szCs w:val="24"/>
        </w:rPr>
        <w:t>Tripathi D</w:t>
      </w:r>
      <w:r w:rsidRPr="00594A33">
        <w:rPr>
          <w:rFonts w:ascii="Book Antiqua" w:hAnsi="Book Antiqua" w:cs="宋体"/>
          <w:kern w:val="0"/>
          <w:sz w:val="24"/>
          <w:szCs w:val="24"/>
        </w:rPr>
        <w:t xml:space="preserve">, Therapondos G, Jackson E, Redhead DN, Hayes PC. The role of the transjugular intrahepatic portosystemic stent shunt (TIPSS) in the management of bleeding gastric varices: clinical and haemodynamic correlations. </w:t>
      </w:r>
      <w:r w:rsidRPr="00594A33">
        <w:rPr>
          <w:rFonts w:ascii="Book Antiqua" w:hAnsi="Book Antiqua" w:cs="宋体"/>
          <w:i/>
          <w:iCs/>
          <w:kern w:val="0"/>
          <w:sz w:val="24"/>
          <w:szCs w:val="24"/>
        </w:rPr>
        <w:t>Gut</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51</w:t>
      </w:r>
      <w:r w:rsidRPr="00594A33">
        <w:rPr>
          <w:rFonts w:ascii="Book Antiqua" w:hAnsi="Book Antiqua" w:cs="宋体"/>
          <w:kern w:val="0"/>
          <w:sz w:val="24"/>
          <w:szCs w:val="24"/>
        </w:rPr>
        <w:t>: 270-274 [PMID: 12117893 DOI: 10.1136/gut.51.2.270]</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16 </w:t>
      </w:r>
      <w:r w:rsidRPr="00594A33">
        <w:rPr>
          <w:rFonts w:ascii="Book Antiqua" w:hAnsi="Book Antiqua" w:cs="宋体"/>
          <w:b/>
          <w:bCs/>
          <w:kern w:val="0"/>
          <w:sz w:val="24"/>
          <w:szCs w:val="24"/>
        </w:rPr>
        <w:t>Tesdal IK</w:t>
      </w:r>
      <w:r w:rsidRPr="00594A33">
        <w:rPr>
          <w:rFonts w:ascii="Book Antiqua" w:hAnsi="Book Antiqua" w:cs="宋体"/>
          <w:kern w:val="0"/>
          <w:sz w:val="24"/>
          <w:szCs w:val="24"/>
        </w:rPr>
        <w:t xml:space="preserve">, Filser T, Weiss C, Holm E, Dueber C, Jaschke W. Transjugular intrahepatic portosystemic shunts: adjunctive embolotherapy of gastroesophageal collateral vessels in the prevention of variceal rebleeding. </w:t>
      </w:r>
      <w:r w:rsidRPr="00594A33">
        <w:rPr>
          <w:rFonts w:ascii="Book Antiqua" w:hAnsi="Book Antiqua" w:cs="宋体"/>
          <w:i/>
          <w:iCs/>
          <w:kern w:val="0"/>
          <w:sz w:val="24"/>
          <w:szCs w:val="24"/>
        </w:rPr>
        <w:t>Radiology</w:t>
      </w:r>
      <w:r w:rsidRPr="00594A33">
        <w:rPr>
          <w:rFonts w:ascii="Book Antiqua" w:hAnsi="Book Antiqua" w:cs="宋体"/>
          <w:kern w:val="0"/>
          <w:sz w:val="24"/>
          <w:szCs w:val="24"/>
        </w:rPr>
        <w:t xml:space="preserve"> 2005; </w:t>
      </w:r>
      <w:r w:rsidRPr="00594A33">
        <w:rPr>
          <w:rFonts w:ascii="Book Antiqua" w:hAnsi="Book Antiqua" w:cs="宋体"/>
          <w:b/>
          <w:bCs/>
          <w:kern w:val="0"/>
          <w:sz w:val="24"/>
          <w:szCs w:val="24"/>
        </w:rPr>
        <w:t>236</w:t>
      </w:r>
      <w:r w:rsidRPr="00594A33">
        <w:rPr>
          <w:rFonts w:ascii="Book Antiqua" w:hAnsi="Book Antiqua" w:cs="宋体"/>
          <w:kern w:val="0"/>
          <w:sz w:val="24"/>
          <w:szCs w:val="24"/>
        </w:rPr>
        <w:t>: 360-367 [PMID: 15955858 DOI: 10.1148/radiol.2361040530]</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17 </w:t>
      </w:r>
      <w:r w:rsidRPr="00594A33">
        <w:rPr>
          <w:rFonts w:ascii="Book Antiqua" w:hAnsi="Book Antiqua"/>
          <w:b/>
          <w:bCs/>
          <w:sz w:val="24"/>
          <w:szCs w:val="24"/>
        </w:rPr>
        <w:t>Azoulay D</w:t>
      </w:r>
      <w:r w:rsidRPr="00594A33">
        <w:rPr>
          <w:rFonts w:ascii="Book Antiqua" w:hAnsi="Book Antiqua"/>
          <w:sz w:val="24"/>
          <w:szCs w:val="24"/>
        </w:rPr>
        <w:t xml:space="preserve">, Castaing D, Majno P, Saliba F, Ichaï P, Smail A, Delvart V, Danaoui M, Samuel D, Bismuth H. Salvage transjugular intrahepatic portosystemic shunt for uncontrolled variceal bleeding in patients with decompensated cirrhosis. </w:t>
      </w:r>
      <w:r w:rsidRPr="00594A33">
        <w:rPr>
          <w:rFonts w:ascii="Book Antiqua" w:hAnsi="Book Antiqua"/>
          <w:i/>
          <w:iCs/>
          <w:sz w:val="24"/>
          <w:szCs w:val="24"/>
        </w:rPr>
        <w:t>J Hepatol</w:t>
      </w:r>
      <w:r w:rsidRPr="00594A33">
        <w:rPr>
          <w:rFonts w:ascii="Book Antiqua" w:hAnsi="Book Antiqua"/>
          <w:sz w:val="24"/>
          <w:szCs w:val="24"/>
        </w:rPr>
        <w:t xml:space="preserve"> 2001; </w:t>
      </w:r>
      <w:r w:rsidRPr="00594A33">
        <w:rPr>
          <w:rFonts w:ascii="Book Antiqua" w:hAnsi="Book Antiqua"/>
          <w:b/>
          <w:bCs/>
          <w:sz w:val="24"/>
          <w:szCs w:val="24"/>
        </w:rPr>
        <w:t>35</w:t>
      </w:r>
      <w:r w:rsidRPr="00594A33">
        <w:rPr>
          <w:rFonts w:ascii="Book Antiqua" w:hAnsi="Book Antiqua"/>
          <w:sz w:val="24"/>
          <w:szCs w:val="24"/>
        </w:rPr>
        <w:t>: 590-597 [PMID: 11690704]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18 </w:t>
      </w:r>
      <w:r w:rsidRPr="00594A33">
        <w:rPr>
          <w:rFonts w:ascii="Book Antiqua" w:hAnsi="Book Antiqua" w:cs="宋体"/>
          <w:b/>
          <w:bCs/>
          <w:kern w:val="0"/>
          <w:sz w:val="24"/>
          <w:szCs w:val="24"/>
        </w:rPr>
        <w:t>D'Amico G</w:t>
      </w:r>
      <w:r w:rsidRPr="00594A33">
        <w:rPr>
          <w:rFonts w:ascii="Book Antiqua" w:hAnsi="Book Antiqua" w:cs="宋体"/>
          <w:kern w:val="0"/>
          <w:sz w:val="24"/>
          <w:szCs w:val="24"/>
        </w:rPr>
        <w:t xml:space="preserve">, Luca A. TIPS is a cost effective alternative to surgical shunt as a rescue therapy for prevention of recurrent bleeding from esophageal varices. </w:t>
      </w:r>
      <w:r w:rsidRPr="00594A33">
        <w:rPr>
          <w:rFonts w:ascii="Book Antiqua" w:hAnsi="Book Antiqua" w:cs="宋体"/>
          <w:i/>
          <w:iCs/>
          <w:kern w:val="0"/>
          <w:sz w:val="24"/>
          <w:szCs w:val="24"/>
        </w:rPr>
        <w:t>J Hepatol</w:t>
      </w:r>
      <w:r w:rsidRPr="00594A33">
        <w:rPr>
          <w:rFonts w:ascii="Book Antiqua" w:hAnsi="Book Antiqua" w:cs="宋体"/>
          <w:kern w:val="0"/>
          <w:sz w:val="24"/>
          <w:szCs w:val="24"/>
        </w:rPr>
        <w:t xml:space="preserve"> 2008; </w:t>
      </w:r>
      <w:r w:rsidRPr="00594A33">
        <w:rPr>
          <w:rFonts w:ascii="Book Antiqua" w:hAnsi="Book Antiqua" w:cs="宋体"/>
          <w:b/>
          <w:bCs/>
          <w:kern w:val="0"/>
          <w:sz w:val="24"/>
          <w:szCs w:val="24"/>
        </w:rPr>
        <w:t>48</w:t>
      </w:r>
      <w:r w:rsidRPr="00594A33">
        <w:rPr>
          <w:rFonts w:ascii="Book Antiqua" w:hAnsi="Book Antiqua" w:cs="宋体"/>
          <w:kern w:val="0"/>
          <w:sz w:val="24"/>
          <w:szCs w:val="24"/>
        </w:rPr>
        <w:t>: 387-390 [PMID: 18199520 DOI: 10.1016/j.jhep.2007.12.009]</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19 </w:t>
      </w:r>
      <w:r w:rsidRPr="00594A33">
        <w:rPr>
          <w:rFonts w:ascii="Book Antiqua" w:hAnsi="Book Antiqua" w:cs="宋体"/>
          <w:b/>
          <w:bCs/>
          <w:kern w:val="0"/>
          <w:sz w:val="24"/>
          <w:szCs w:val="24"/>
        </w:rPr>
        <w:t>Sanyal AJ</w:t>
      </w:r>
      <w:r w:rsidRPr="00594A33">
        <w:rPr>
          <w:rFonts w:ascii="Book Antiqua" w:hAnsi="Book Antiqua" w:cs="宋体"/>
          <w:kern w:val="0"/>
          <w:sz w:val="24"/>
          <w:szCs w:val="24"/>
        </w:rPr>
        <w:t xml:space="preserve">, Freedman AM, Luketic VA, Purdum PP, Shiffman ML, Tisnado J, Cole PE. Transjugular intrahepatic portosystemic shunts for patients with active variceal hemorrhage unresponsive to sclerotherapy.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1996; </w:t>
      </w:r>
      <w:r w:rsidRPr="00594A33">
        <w:rPr>
          <w:rFonts w:ascii="Book Antiqua" w:hAnsi="Book Antiqua" w:cs="宋体"/>
          <w:b/>
          <w:bCs/>
          <w:kern w:val="0"/>
          <w:sz w:val="24"/>
          <w:szCs w:val="24"/>
        </w:rPr>
        <w:t>111</w:t>
      </w:r>
      <w:r w:rsidRPr="00594A33">
        <w:rPr>
          <w:rFonts w:ascii="Book Antiqua" w:hAnsi="Book Antiqua" w:cs="宋体"/>
          <w:kern w:val="0"/>
          <w:sz w:val="24"/>
          <w:szCs w:val="24"/>
        </w:rPr>
        <w:t>: 138-146 [PMID: 8698192 DOI: 10.1053/gast.1996.v111.pm8698192]</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20 </w:t>
      </w:r>
      <w:r w:rsidRPr="00594A33">
        <w:rPr>
          <w:rFonts w:ascii="Book Antiqua" w:hAnsi="Book Antiqua" w:cs="宋体"/>
          <w:b/>
          <w:bCs/>
          <w:kern w:val="0"/>
          <w:sz w:val="24"/>
          <w:szCs w:val="24"/>
        </w:rPr>
        <w:t>Vangeli M</w:t>
      </w:r>
      <w:r w:rsidRPr="00594A33">
        <w:rPr>
          <w:rFonts w:ascii="Book Antiqua" w:hAnsi="Book Antiqua" w:cs="宋体"/>
          <w:kern w:val="0"/>
          <w:sz w:val="24"/>
          <w:szCs w:val="24"/>
        </w:rPr>
        <w:t xml:space="preserve">, Patch D, Burroughs AK. Salvage tips for uncontrolled variceal bleeding. </w:t>
      </w:r>
      <w:r w:rsidRPr="00594A33">
        <w:rPr>
          <w:rFonts w:ascii="Book Antiqua" w:hAnsi="Book Antiqua" w:cs="宋体"/>
          <w:i/>
          <w:iCs/>
          <w:kern w:val="0"/>
          <w:sz w:val="24"/>
          <w:szCs w:val="24"/>
        </w:rPr>
        <w:t>J Hepatol</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37</w:t>
      </w:r>
      <w:r w:rsidRPr="00594A33">
        <w:rPr>
          <w:rFonts w:ascii="Book Antiqua" w:hAnsi="Book Antiqua" w:cs="宋体"/>
          <w:kern w:val="0"/>
          <w:sz w:val="24"/>
          <w:szCs w:val="24"/>
        </w:rPr>
        <w:t>: 703-704 [PMID: 12399244 DOI: 10.1016/S0168-8278(02)00321-5]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lastRenderedPageBreak/>
        <w:t xml:space="preserve">21 </w:t>
      </w:r>
      <w:r w:rsidRPr="00594A33">
        <w:rPr>
          <w:rFonts w:ascii="Book Antiqua" w:hAnsi="Book Antiqua" w:cs="宋体"/>
          <w:b/>
          <w:bCs/>
          <w:kern w:val="0"/>
          <w:sz w:val="24"/>
          <w:szCs w:val="24"/>
        </w:rPr>
        <w:t>García-Pagán JC</w:t>
      </w:r>
      <w:r w:rsidRPr="00594A33">
        <w:rPr>
          <w:rFonts w:ascii="Book Antiqua" w:hAnsi="Book Antiqua" w:cs="宋体"/>
          <w:kern w:val="0"/>
          <w:sz w:val="24"/>
          <w:szCs w:val="24"/>
        </w:rPr>
        <w:t xml:space="preserve">, Caca K, Bureau C, Laleman W, Appenrodt B, Luca A, Abraldes JG, Nevens F, Vinel JP, Mössner J, Bosch J. Early use of TIPS in patients with cirrhosis and variceal bleeding. </w:t>
      </w:r>
      <w:r w:rsidRPr="00594A33">
        <w:rPr>
          <w:rFonts w:ascii="Book Antiqua" w:hAnsi="Book Antiqua" w:cs="宋体"/>
          <w:i/>
          <w:iCs/>
          <w:kern w:val="0"/>
          <w:sz w:val="24"/>
          <w:szCs w:val="24"/>
        </w:rPr>
        <w:t>N Engl J Med</w:t>
      </w:r>
      <w:r w:rsidRPr="00594A33">
        <w:rPr>
          <w:rFonts w:ascii="Book Antiqua" w:hAnsi="Book Antiqua" w:cs="宋体"/>
          <w:kern w:val="0"/>
          <w:sz w:val="24"/>
          <w:szCs w:val="24"/>
        </w:rPr>
        <w:t xml:space="preserve"> 2010; </w:t>
      </w:r>
      <w:r w:rsidRPr="00594A33">
        <w:rPr>
          <w:rFonts w:ascii="Book Antiqua" w:hAnsi="Book Antiqua" w:cs="宋体"/>
          <w:b/>
          <w:bCs/>
          <w:kern w:val="0"/>
          <w:sz w:val="24"/>
          <w:szCs w:val="24"/>
        </w:rPr>
        <w:t>362</w:t>
      </w:r>
      <w:r w:rsidRPr="00594A33">
        <w:rPr>
          <w:rFonts w:ascii="Book Antiqua" w:hAnsi="Book Antiqua" w:cs="宋体"/>
          <w:kern w:val="0"/>
          <w:sz w:val="24"/>
          <w:szCs w:val="24"/>
        </w:rPr>
        <w:t>: 2370-2379 [PMID: 20573925 DOI: 10.1056/NEJMoa0910102]</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22 </w:t>
      </w:r>
      <w:r w:rsidRPr="00594A33">
        <w:rPr>
          <w:rFonts w:ascii="Book Antiqua" w:hAnsi="Book Antiqua" w:cs="宋体"/>
          <w:b/>
          <w:bCs/>
          <w:kern w:val="0"/>
          <w:sz w:val="24"/>
          <w:szCs w:val="24"/>
        </w:rPr>
        <w:t>Rössle M</w:t>
      </w:r>
      <w:r w:rsidRPr="00594A33">
        <w:rPr>
          <w:rFonts w:ascii="Book Antiqua" w:hAnsi="Book Antiqua" w:cs="宋体"/>
          <w:kern w:val="0"/>
          <w:sz w:val="24"/>
          <w:szCs w:val="24"/>
        </w:rPr>
        <w:t xml:space="preserve">, Haag K, Ochs A, Sellinger M, Nöldge G, Perarnau JM, Berger E, Blum U, Gabelmann A, Hauenstein K. The transjugular intrahepatic portosystemic stent-shunt procedure for variceal bleeding. </w:t>
      </w:r>
      <w:r w:rsidRPr="00594A33">
        <w:rPr>
          <w:rFonts w:ascii="Book Antiqua" w:hAnsi="Book Antiqua" w:cs="宋体"/>
          <w:i/>
          <w:iCs/>
          <w:kern w:val="0"/>
          <w:sz w:val="24"/>
          <w:szCs w:val="24"/>
        </w:rPr>
        <w:t>N Engl J Med</w:t>
      </w:r>
      <w:r w:rsidRPr="00594A33">
        <w:rPr>
          <w:rFonts w:ascii="Book Antiqua" w:hAnsi="Book Antiqua" w:cs="宋体"/>
          <w:kern w:val="0"/>
          <w:sz w:val="24"/>
          <w:szCs w:val="24"/>
        </w:rPr>
        <w:t xml:space="preserve"> 1994; </w:t>
      </w:r>
      <w:r w:rsidRPr="00594A33">
        <w:rPr>
          <w:rFonts w:ascii="Book Antiqua" w:hAnsi="Book Antiqua" w:cs="宋体"/>
          <w:b/>
          <w:bCs/>
          <w:kern w:val="0"/>
          <w:sz w:val="24"/>
          <w:szCs w:val="24"/>
        </w:rPr>
        <w:t>330</w:t>
      </w:r>
      <w:r w:rsidRPr="00594A33">
        <w:rPr>
          <w:rFonts w:ascii="Book Antiqua" w:hAnsi="Book Antiqua" w:cs="宋体"/>
          <w:kern w:val="0"/>
          <w:sz w:val="24"/>
          <w:szCs w:val="24"/>
        </w:rPr>
        <w:t>: 165-171 [PMID: 8264738 DOI: 10.1056/NEJM199401203300303]</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23 </w:t>
      </w:r>
      <w:r w:rsidRPr="00594A33">
        <w:rPr>
          <w:rFonts w:ascii="Book Antiqua" w:hAnsi="Book Antiqua" w:cs="宋体"/>
          <w:b/>
          <w:bCs/>
          <w:kern w:val="0"/>
          <w:sz w:val="24"/>
          <w:szCs w:val="24"/>
        </w:rPr>
        <w:t>Cello JP</w:t>
      </w:r>
      <w:r w:rsidRPr="00594A33">
        <w:rPr>
          <w:rFonts w:ascii="Book Antiqua" w:hAnsi="Book Antiqua" w:cs="宋体"/>
          <w:kern w:val="0"/>
          <w:sz w:val="24"/>
          <w:szCs w:val="24"/>
        </w:rPr>
        <w:t xml:space="preserve">, Ring EJ, Olcott EW, Koch J, Gordon R, Sandhu J, Morgan DR, Ostroff JW, Rockey DC, Bacchetti P, LaBerge J, Lake JR, Somberg K, Doherty C, Davila M, McQuaid K, Wall SD. Endoscopic sclerotherapy compared with percutaneous transjugular intrahepatic portosystemic shunt after initial sclerotherapy in patients with acute variceal hemorrhage. A randomized, controlled trial. </w:t>
      </w:r>
      <w:r w:rsidRPr="00594A33">
        <w:rPr>
          <w:rFonts w:ascii="Book Antiqua" w:hAnsi="Book Antiqua" w:cs="宋体"/>
          <w:i/>
          <w:iCs/>
          <w:kern w:val="0"/>
          <w:sz w:val="24"/>
          <w:szCs w:val="24"/>
        </w:rPr>
        <w:t>Ann Intern Med</w:t>
      </w:r>
      <w:r w:rsidRPr="00594A33">
        <w:rPr>
          <w:rFonts w:ascii="Book Antiqua" w:hAnsi="Book Antiqua" w:cs="宋体"/>
          <w:kern w:val="0"/>
          <w:sz w:val="24"/>
          <w:szCs w:val="24"/>
        </w:rPr>
        <w:t xml:space="preserve"> 1997; </w:t>
      </w:r>
      <w:r w:rsidRPr="00594A33">
        <w:rPr>
          <w:rFonts w:ascii="Book Antiqua" w:hAnsi="Book Antiqua" w:cs="宋体"/>
          <w:b/>
          <w:bCs/>
          <w:kern w:val="0"/>
          <w:sz w:val="24"/>
          <w:szCs w:val="24"/>
        </w:rPr>
        <w:t>126</w:t>
      </w:r>
      <w:r w:rsidRPr="00594A33">
        <w:rPr>
          <w:rFonts w:ascii="Book Antiqua" w:hAnsi="Book Antiqua" w:cs="宋体"/>
          <w:kern w:val="0"/>
          <w:sz w:val="24"/>
          <w:szCs w:val="24"/>
        </w:rPr>
        <w:t>: 858-865 [PMID: 9163286 DOI: 10.7326/0003-4819-126-11-199706010-00002]</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24 </w:t>
      </w:r>
      <w:r w:rsidRPr="00594A33">
        <w:rPr>
          <w:rFonts w:ascii="Book Antiqua" w:hAnsi="Book Antiqua" w:cs="宋体"/>
          <w:b/>
          <w:bCs/>
          <w:kern w:val="0"/>
          <w:sz w:val="24"/>
          <w:szCs w:val="24"/>
        </w:rPr>
        <w:t>Sanyal AJ</w:t>
      </w:r>
      <w:r w:rsidRPr="00594A33">
        <w:rPr>
          <w:rFonts w:ascii="Book Antiqua" w:hAnsi="Book Antiqua" w:cs="宋体"/>
          <w:kern w:val="0"/>
          <w:sz w:val="24"/>
          <w:szCs w:val="24"/>
        </w:rPr>
        <w:t xml:space="preserve">, Freedman AM, Luketic VA, Purdum PP, Shiffman ML, Cole PE, Tisnado J, Simmons S. Transjugular intrahepatic portosystemic shunts compared with endoscopic sclerotherapy for the prevention of recurrent variceal hemorrhage. A randomized, controlled trial. </w:t>
      </w:r>
      <w:r w:rsidRPr="00594A33">
        <w:rPr>
          <w:rFonts w:ascii="Book Antiqua" w:hAnsi="Book Antiqua" w:cs="宋体"/>
          <w:i/>
          <w:iCs/>
          <w:kern w:val="0"/>
          <w:sz w:val="24"/>
          <w:szCs w:val="24"/>
        </w:rPr>
        <w:t>Ann Intern Med</w:t>
      </w:r>
      <w:r w:rsidRPr="00594A33">
        <w:rPr>
          <w:rFonts w:ascii="Book Antiqua" w:hAnsi="Book Antiqua" w:cs="宋体"/>
          <w:kern w:val="0"/>
          <w:sz w:val="24"/>
          <w:szCs w:val="24"/>
        </w:rPr>
        <w:t xml:space="preserve"> 1997; </w:t>
      </w:r>
      <w:r w:rsidRPr="00594A33">
        <w:rPr>
          <w:rFonts w:ascii="Book Antiqua" w:hAnsi="Book Antiqua" w:cs="宋体"/>
          <w:b/>
          <w:bCs/>
          <w:kern w:val="0"/>
          <w:sz w:val="24"/>
          <w:szCs w:val="24"/>
        </w:rPr>
        <w:t>126</w:t>
      </w:r>
      <w:r w:rsidRPr="00594A33">
        <w:rPr>
          <w:rFonts w:ascii="Book Antiqua" w:hAnsi="Book Antiqua" w:cs="宋体"/>
          <w:kern w:val="0"/>
          <w:sz w:val="24"/>
          <w:szCs w:val="24"/>
        </w:rPr>
        <w:t>: 849-857 [PMID: 9163285 DOI: 10.7326/0003-4819-126-11-199706010-00001]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25 </w:t>
      </w:r>
      <w:r w:rsidRPr="00594A33">
        <w:rPr>
          <w:rFonts w:ascii="Book Antiqua" w:hAnsi="Book Antiqua" w:cs="宋体"/>
          <w:b/>
          <w:bCs/>
          <w:kern w:val="0"/>
          <w:sz w:val="24"/>
          <w:szCs w:val="24"/>
        </w:rPr>
        <w:t>Cabrera J</w:t>
      </w:r>
      <w:r w:rsidRPr="00594A33">
        <w:rPr>
          <w:rFonts w:ascii="Book Antiqua" w:hAnsi="Book Antiqua" w:cs="宋体"/>
          <w:kern w:val="0"/>
          <w:sz w:val="24"/>
          <w:szCs w:val="24"/>
        </w:rPr>
        <w:t xml:space="preserve">, Maynar M, Granados R, Gorriz E, Reyes R, Pulido-Duque JM, Rodriguez SanRoman JL, Guerra C, Kravetz D. Transjugular intrahepatic portosystemic shunt versus sclerotherapy in the elective treatment of variceal hemorrhage.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1996; </w:t>
      </w:r>
      <w:r w:rsidRPr="00594A33">
        <w:rPr>
          <w:rFonts w:ascii="Book Antiqua" w:hAnsi="Book Antiqua" w:cs="宋体"/>
          <w:b/>
          <w:bCs/>
          <w:kern w:val="0"/>
          <w:sz w:val="24"/>
          <w:szCs w:val="24"/>
        </w:rPr>
        <w:t>110</w:t>
      </w:r>
      <w:r w:rsidRPr="00594A33">
        <w:rPr>
          <w:rFonts w:ascii="Book Antiqua" w:hAnsi="Book Antiqua" w:cs="宋体"/>
          <w:kern w:val="0"/>
          <w:sz w:val="24"/>
          <w:szCs w:val="24"/>
        </w:rPr>
        <w:t>: 832-839 [PMID: 8608893 DOI: 10.1053/gast.1996.v110.pm8608893]</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26 </w:t>
      </w:r>
      <w:r w:rsidRPr="00594A33">
        <w:rPr>
          <w:rFonts w:ascii="Book Antiqua" w:hAnsi="Book Antiqua" w:cs="宋体"/>
          <w:b/>
          <w:bCs/>
          <w:kern w:val="0"/>
          <w:sz w:val="24"/>
          <w:szCs w:val="24"/>
        </w:rPr>
        <w:t>Sauer P</w:t>
      </w:r>
      <w:r w:rsidRPr="00594A33">
        <w:rPr>
          <w:rFonts w:ascii="Book Antiqua" w:hAnsi="Book Antiqua" w:cs="宋体"/>
          <w:kern w:val="0"/>
          <w:sz w:val="24"/>
          <w:szCs w:val="24"/>
        </w:rPr>
        <w:t xml:space="preserve">, Theilmann L, Stremmel W, Benz C, Richter GM, Stiehl A. Transjugular intrahepatic portosystemic stent shunt versus sclerotherapy plus propranolol for variceal rebleeding.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1997; </w:t>
      </w:r>
      <w:r w:rsidRPr="00594A33">
        <w:rPr>
          <w:rFonts w:ascii="Book Antiqua" w:hAnsi="Book Antiqua" w:cs="宋体"/>
          <w:b/>
          <w:bCs/>
          <w:kern w:val="0"/>
          <w:sz w:val="24"/>
          <w:szCs w:val="24"/>
        </w:rPr>
        <w:t>113</w:t>
      </w:r>
      <w:r w:rsidRPr="00594A33">
        <w:rPr>
          <w:rFonts w:ascii="Book Antiqua" w:hAnsi="Book Antiqua" w:cs="宋体"/>
          <w:kern w:val="0"/>
          <w:sz w:val="24"/>
          <w:szCs w:val="24"/>
        </w:rPr>
        <w:t>: 1623-1631 [PMID: 9352865 DOI: 10.1053/gast.1997.v113.pm9352865]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27 </w:t>
      </w:r>
      <w:r w:rsidRPr="00594A33">
        <w:rPr>
          <w:rFonts w:ascii="Book Antiqua" w:hAnsi="Book Antiqua" w:cs="宋体"/>
          <w:b/>
          <w:bCs/>
          <w:kern w:val="0"/>
          <w:sz w:val="24"/>
          <w:szCs w:val="24"/>
        </w:rPr>
        <w:t>Jalan R</w:t>
      </w:r>
      <w:r w:rsidRPr="00594A33">
        <w:rPr>
          <w:rFonts w:ascii="Book Antiqua" w:hAnsi="Book Antiqua" w:cs="宋体"/>
          <w:kern w:val="0"/>
          <w:sz w:val="24"/>
          <w:szCs w:val="24"/>
        </w:rPr>
        <w:t xml:space="preserve">, Forrest EH, Stanley AJ, Redhead DN, Forbes J, Dillon JF, MacGilchrist AJ, Finlayson ND, Hayes PC. A randomized trial comparing transjugular intrahepatic portosystemic stent-shunt with variceal band ligation in the prevention of rebleeding from esophageal varices.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1997; </w:t>
      </w:r>
      <w:r w:rsidRPr="00594A33">
        <w:rPr>
          <w:rFonts w:ascii="Book Antiqua" w:hAnsi="Book Antiqua" w:cs="宋体"/>
          <w:b/>
          <w:bCs/>
          <w:kern w:val="0"/>
          <w:sz w:val="24"/>
          <w:szCs w:val="24"/>
        </w:rPr>
        <w:t>26</w:t>
      </w:r>
      <w:r w:rsidRPr="00594A33">
        <w:rPr>
          <w:rFonts w:ascii="Book Antiqua" w:hAnsi="Book Antiqua" w:cs="宋体"/>
          <w:kern w:val="0"/>
          <w:sz w:val="24"/>
          <w:szCs w:val="24"/>
        </w:rPr>
        <w:t>: 1115-1122 [PMID: 9362350 DOI: 10.1002/hep.510260505]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28 </w:t>
      </w:r>
      <w:r w:rsidRPr="00594A33">
        <w:rPr>
          <w:rFonts w:ascii="Book Antiqua" w:hAnsi="Book Antiqua" w:cs="宋体"/>
          <w:b/>
          <w:bCs/>
          <w:kern w:val="0"/>
          <w:sz w:val="24"/>
          <w:szCs w:val="24"/>
        </w:rPr>
        <w:t>Merli M</w:t>
      </w:r>
      <w:r w:rsidRPr="00594A33">
        <w:rPr>
          <w:rFonts w:ascii="Book Antiqua" w:hAnsi="Book Antiqua" w:cs="宋体"/>
          <w:kern w:val="0"/>
          <w:sz w:val="24"/>
          <w:szCs w:val="24"/>
        </w:rPr>
        <w:t xml:space="preserve">, Salerno F, Riggio O, de Franchis R, Fiaccadori F, Meddi P, Primignani M, Pedretti G, Maggi A, Capocaccia L, Lovaria A, Ugolotti U, Salvatori F, Bezzi M, Rossi P. Transjugular intrahepatic portosystemic shunt versus endoscopic sclerotherapy for the prevention of variceal bleeding in cirrhosis: a randomized multicenter trial. Gruppo Italiano Studio TIPS (G.I.S.T.).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27</w:t>
      </w:r>
      <w:r w:rsidRPr="00594A33">
        <w:rPr>
          <w:rFonts w:ascii="Book Antiqua" w:hAnsi="Book Antiqua" w:cs="宋体"/>
          <w:kern w:val="0"/>
          <w:sz w:val="24"/>
          <w:szCs w:val="24"/>
        </w:rPr>
        <w:t>: 48-53 [PMID: 9425916 DOI: 10.1002/hep.510270109]</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29 </w:t>
      </w:r>
      <w:r w:rsidRPr="00594A33">
        <w:rPr>
          <w:rFonts w:ascii="Book Antiqua" w:hAnsi="Book Antiqua"/>
          <w:b/>
          <w:bCs/>
          <w:sz w:val="24"/>
          <w:szCs w:val="24"/>
        </w:rPr>
        <w:t>Rössle M</w:t>
      </w:r>
      <w:r w:rsidRPr="00594A33">
        <w:rPr>
          <w:rFonts w:ascii="Book Antiqua" w:hAnsi="Book Antiqua"/>
          <w:sz w:val="24"/>
          <w:szCs w:val="24"/>
        </w:rPr>
        <w:t xml:space="preserve">, Deibert P, Haag K, Ochs A, Olschewski M, Siegerstetter V, Hauenstein KH, Geiger R, Stiepak C, Keller W, Blum HE. Randomised trial of transjugular-intrahepatic-portosystemic shunt versus endoscopy plus propranolol for prevention of variceal rebleeding. </w:t>
      </w:r>
      <w:r w:rsidRPr="00594A33">
        <w:rPr>
          <w:rFonts w:ascii="Book Antiqua" w:hAnsi="Book Antiqua"/>
          <w:i/>
          <w:iCs/>
          <w:sz w:val="24"/>
          <w:szCs w:val="24"/>
        </w:rPr>
        <w:t>Lancet</w:t>
      </w:r>
      <w:r w:rsidRPr="00594A33">
        <w:rPr>
          <w:rFonts w:ascii="Book Antiqua" w:hAnsi="Book Antiqua"/>
          <w:sz w:val="24"/>
          <w:szCs w:val="24"/>
        </w:rPr>
        <w:t xml:space="preserve"> 1997; </w:t>
      </w:r>
      <w:r w:rsidRPr="00594A33">
        <w:rPr>
          <w:rFonts w:ascii="Book Antiqua" w:hAnsi="Book Antiqua"/>
          <w:b/>
          <w:bCs/>
          <w:sz w:val="24"/>
          <w:szCs w:val="24"/>
        </w:rPr>
        <w:t>349</w:t>
      </w:r>
      <w:r w:rsidRPr="00594A33">
        <w:rPr>
          <w:rFonts w:ascii="Book Antiqua" w:hAnsi="Book Antiqua"/>
          <w:sz w:val="24"/>
          <w:szCs w:val="24"/>
        </w:rPr>
        <w:t>: 1043-1049 [PMID: 9107241]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30 </w:t>
      </w:r>
      <w:r w:rsidRPr="00594A33">
        <w:rPr>
          <w:rFonts w:ascii="Book Antiqua" w:hAnsi="Book Antiqua" w:cs="宋体"/>
          <w:b/>
          <w:bCs/>
          <w:kern w:val="0"/>
          <w:sz w:val="24"/>
          <w:szCs w:val="24"/>
        </w:rPr>
        <w:t>García-Villarreal L</w:t>
      </w:r>
      <w:r w:rsidRPr="00594A33">
        <w:rPr>
          <w:rFonts w:ascii="Book Antiqua" w:hAnsi="Book Antiqua" w:cs="宋体"/>
          <w:kern w:val="0"/>
          <w:sz w:val="24"/>
          <w:szCs w:val="24"/>
        </w:rPr>
        <w:t xml:space="preserve">, Martínez-Lagares F, Sierra A, Guevara C, Marrero JM, Jiménez E, Monescillo A, Hernández-Cabrero T, Alonso JM, Fuentes R. Transjugular intrahepatic </w:t>
      </w:r>
      <w:r w:rsidRPr="00594A33">
        <w:rPr>
          <w:rFonts w:ascii="Book Antiqua" w:hAnsi="Book Antiqua" w:cs="宋体"/>
          <w:kern w:val="0"/>
          <w:sz w:val="24"/>
          <w:szCs w:val="24"/>
        </w:rPr>
        <w:lastRenderedPageBreak/>
        <w:t xml:space="preserve">portosystemic shunt versus endoscopic sclerotherapy for the prevention of variceal rebleeding after recent variceal hemorrhage.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1999; </w:t>
      </w:r>
      <w:r w:rsidRPr="00594A33">
        <w:rPr>
          <w:rFonts w:ascii="Book Antiqua" w:hAnsi="Book Antiqua" w:cs="宋体"/>
          <w:b/>
          <w:bCs/>
          <w:kern w:val="0"/>
          <w:sz w:val="24"/>
          <w:szCs w:val="24"/>
        </w:rPr>
        <w:t>29</w:t>
      </w:r>
      <w:r w:rsidRPr="00594A33">
        <w:rPr>
          <w:rFonts w:ascii="Book Antiqua" w:hAnsi="Book Antiqua" w:cs="宋体"/>
          <w:kern w:val="0"/>
          <w:sz w:val="24"/>
          <w:szCs w:val="24"/>
        </w:rPr>
        <w:t>: 27-32 [PMID: 9862845 DOI: 10.1002/hep.510290125]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31 </w:t>
      </w:r>
      <w:r w:rsidRPr="00594A33">
        <w:rPr>
          <w:rFonts w:ascii="Book Antiqua" w:hAnsi="Book Antiqua" w:cs="宋体"/>
          <w:b/>
          <w:bCs/>
          <w:kern w:val="0"/>
          <w:sz w:val="24"/>
          <w:szCs w:val="24"/>
        </w:rPr>
        <w:t>Pomier-Layrargues G</w:t>
      </w:r>
      <w:r w:rsidRPr="00594A33">
        <w:rPr>
          <w:rFonts w:ascii="Book Antiqua" w:hAnsi="Book Antiqua" w:cs="宋体"/>
          <w:kern w:val="0"/>
          <w:sz w:val="24"/>
          <w:szCs w:val="24"/>
        </w:rPr>
        <w:t xml:space="preserve">, Villeneuve JP, Deschênes M, Bui B, Perreault P, Fenyves D, Willems B, Marleau D, Bilodeau M, Lafortune M, Dufresne MP. Transjugular intrahepatic portosystemic shunt (TIPS) versus endoscopic variceal ligation in the prevention of variceal rebleeding in patients with cirrhosis: a randomised trial. </w:t>
      </w:r>
      <w:r w:rsidRPr="00594A33">
        <w:rPr>
          <w:rFonts w:ascii="Book Antiqua" w:hAnsi="Book Antiqua" w:cs="宋体"/>
          <w:i/>
          <w:iCs/>
          <w:kern w:val="0"/>
          <w:sz w:val="24"/>
          <w:szCs w:val="24"/>
        </w:rPr>
        <w:t>Gut</w:t>
      </w:r>
      <w:r w:rsidRPr="00594A33">
        <w:rPr>
          <w:rFonts w:ascii="Book Antiqua" w:hAnsi="Book Antiqua" w:cs="宋体"/>
          <w:kern w:val="0"/>
          <w:sz w:val="24"/>
          <w:szCs w:val="24"/>
        </w:rPr>
        <w:t xml:space="preserve"> 2001; </w:t>
      </w:r>
      <w:r w:rsidRPr="00594A33">
        <w:rPr>
          <w:rFonts w:ascii="Book Antiqua" w:hAnsi="Book Antiqua" w:cs="宋体"/>
          <w:b/>
          <w:bCs/>
          <w:kern w:val="0"/>
          <w:sz w:val="24"/>
          <w:szCs w:val="24"/>
        </w:rPr>
        <w:t>48</w:t>
      </w:r>
      <w:r w:rsidRPr="00594A33">
        <w:rPr>
          <w:rFonts w:ascii="Book Antiqua" w:hAnsi="Book Antiqua" w:cs="宋体"/>
          <w:kern w:val="0"/>
          <w:sz w:val="24"/>
          <w:szCs w:val="24"/>
        </w:rPr>
        <w:t>: 390-396 [PMID: 11171831 DOI: 10.1136/gut.48.3.390]</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32 </w:t>
      </w:r>
      <w:r w:rsidRPr="00594A33">
        <w:rPr>
          <w:rFonts w:ascii="Book Antiqua" w:hAnsi="Book Antiqua" w:cs="宋体"/>
          <w:b/>
          <w:bCs/>
          <w:kern w:val="0"/>
          <w:sz w:val="24"/>
          <w:szCs w:val="24"/>
        </w:rPr>
        <w:t>Narahara Y</w:t>
      </w:r>
      <w:r w:rsidRPr="00594A33">
        <w:rPr>
          <w:rFonts w:ascii="Book Antiqua" w:hAnsi="Book Antiqua" w:cs="宋体"/>
          <w:kern w:val="0"/>
          <w:sz w:val="24"/>
          <w:szCs w:val="24"/>
        </w:rPr>
        <w:t xml:space="preserve">, Kanazawa H, Kawamata H, Tada N, Saitoh H, Matsuzaka S, Osada Y, Mamiya Y, Nakatsuka K, Yoshimoto H, Koizumi N, Sakamoto C, Kobayashi M. A randomized clinical trial comparing transjugular intrahepatic portosystemic shunt with endoscopic sclerotherapy in the long-term management of patients with cirrhosis after recent variceal hemorrhage. </w:t>
      </w:r>
      <w:r w:rsidRPr="00594A33">
        <w:rPr>
          <w:rFonts w:ascii="Book Antiqua" w:hAnsi="Book Antiqua" w:cs="宋体"/>
          <w:i/>
          <w:iCs/>
          <w:kern w:val="0"/>
          <w:sz w:val="24"/>
          <w:szCs w:val="24"/>
        </w:rPr>
        <w:t>Hepatol Res</w:t>
      </w:r>
      <w:r w:rsidRPr="00594A33">
        <w:rPr>
          <w:rFonts w:ascii="Book Antiqua" w:hAnsi="Book Antiqua" w:cs="宋体"/>
          <w:kern w:val="0"/>
          <w:sz w:val="24"/>
          <w:szCs w:val="24"/>
        </w:rPr>
        <w:t xml:space="preserve"> 2001; </w:t>
      </w:r>
      <w:r w:rsidRPr="00594A33">
        <w:rPr>
          <w:rFonts w:ascii="Book Antiqua" w:hAnsi="Book Antiqua" w:cs="宋体"/>
          <w:b/>
          <w:bCs/>
          <w:kern w:val="0"/>
          <w:sz w:val="24"/>
          <w:szCs w:val="24"/>
        </w:rPr>
        <w:t>21</w:t>
      </w:r>
      <w:r w:rsidRPr="00594A33">
        <w:rPr>
          <w:rFonts w:ascii="Book Antiqua" w:hAnsi="Book Antiqua" w:cs="宋体"/>
          <w:kern w:val="0"/>
          <w:sz w:val="24"/>
          <w:szCs w:val="24"/>
        </w:rPr>
        <w:t>: 189-198 [PMID: 11673103 DOI: 10.1016/S1386-6346(01)00104-8]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33 </w:t>
      </w:r>
      <w:r w:rsidRPr="00594A33">
        <w:rPr>
          <w:rFonts w:ascii="Book Antiqua" w:hAnsi="Book Antiqua" w:cs="宋体"/>
          <w:b/>
          <w:bCs/>
          <w:kern w:val="0"/>
          <w:sz w:val="24"/>
          <w:szCs w:val="24"/>
        </w:rPr>
        <w:t>Gülberg V</w:t>
      </w:r>
      <w:r w:rsidRPr="00594A33">
        <w:rPr>
          <w:rFonts w:ascii="Book Antiqua" w:hAnsi="Book Antiqua" w:cs="宋体"/>
          <w:kern w:val="0"/>
          <w:sz w:val="24"/>
          <w:szCs w:val="24"/>
        </w:rPr>
        <w:t xml:space="preserve">, Schepke M, Geigenberger G, Holl J, Brensing KA, Waggershauser T, Reiser M, Schild HH, Sauerbruch T, Gerbes AL. Transjugular intrahepatic portosystemic shunting is not superior to endoscopic variceal band ligation for prevention of variceal rebleeding in cirrhotic patients: a randomized, controlled trial. </w:t>
      </w:r>
      <w:r w:rsidRPr="00594A33">
        <w:rPr>
          <w:rFonts w:ascii="Book Antiqua" w:hAnsi="Book Antiqua" w:cs="宋体"/>
          <w:i/>
          <w:iCs/>
          <w:kern w:val="0"/>
          <w:sz w:val="24"/>
          <w:szCs w:val="24"/>
        </w:rPr>
        <w:t>Scand J Gastroenterol</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37</w:t>
      </w:r>
      <w:r w:rsidRPr="00594A33">
        <w:rPr>
          <w:rFonts w:ascii="Book Antiqua" w:hAnsi="Book Antiqua" w:cs="宋体"/>
          <w:kern w:val="0"/>
          <w:sz w:val="24"/>
          <w:szCs w:val="24"/>
        </w:rPr>
        <w:t>: 338-343 [PMID: 11916197 DOI: 10.1080/003655202317284255]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34 </w:t>
      </w:r>
      <w:r w:rsidRPr="00594A33">
        <w:rPr>
          <w:rFonts w:ascii="Book Antiqua" w:hAnsi="Book Antiqua" w:cs="宋体"/>
          <w:b/>
          <w:bCs/>
          <w:kern w:val="0"/>
          <w:sz w:val="24"/>
          <w:szCs w:val="24"/>
        </w:rPr>
        <w:t>Burroughs AK</w:t>
      </w:r>
      <w:r w:rsidRPr="00594A33">
        <w:rPr>
          <w:rFonts w:ascii="Book Antiqua" w:hAnsi="Book Antiqua" w:cs="宋体"/>
          <w:kern w:val="0"/>
          <w:sz w:val="24"/>
          <w:szCs w:val="24"/>
        </w:rPr>
        <w:t xml:space="preserve">, Vangeli M. Transjugular intrahepatic portosystemic shunt versus endoscopic therapy: randomized trials for secondary prophylaxis of variceal bleeding: an updated meta-analysis. </w:t>
      </w:r>
      <w:r w:rsidRPr="00594A33">
        <w:rPr>
          <w:rFonts w:ascii="Book Antiqua" w:hAnsi="Book Antiqua" w:cs="宋体"/>
          <w:i/>
          <w:iCs/>
          <w:kern w:val="0"/>
          <w:sz w:val="24"/>
          <w:szCs w:val="24"/>
        </w:rPr>
        <w:t>Scand J Gastroenterol</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37</w:t>
      </w:r>
      <w:r w:rsidRPr="00594A33">
        <w:rPr>
          <w:rFonts w:ascii="Book Antiqua" w:hAnsi="Book Antiqua" w:cs="宋体"/>
          <w:kern w:val="0"/>
          <w:sz w:val="24"/>
          <w:szCs w:val="24"/>
        </w:rPr>
        <w:t>: 249-252 [PMID: 11916185 DOI: 10.1080/003655202317284138]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35 </w:t>
      </w:r>
      <w:r w:rsidRPr="00594A33">
        <w:rPr>
          <w:rFonts w:ascii="Book Antiqua" w:hAnsi="Book Antiqua" w:cs="宋体"/>
          <w:b/>
          <w:bCs/>
          <w:kern w:val="0"/>
          <w:sz w:val="24"/>
          <w:szCs w:val="24"/>
        </w:rPr>
        <w:t>Zheng M</w:t>
      </w:r>
      <w:r w:rsidRPr="00594A33">
        <w:rPr>
          <w:rFonts w:ascii="Book Antiqua" w:hAnsi="Book Antiqua" w:cs="宋体"/>
          <w:kern w:val="0"/>
          <w:sz w:val="24"/>
          <w:szCs w:val="24"/>
        </w:rPr>
        <w:t xml:space="preserve">, Chen Y, Bai J, Zeng Q, You J, Jin R, Zhou X, Shen H, Zheng Y, Du Z. Transjugular intrahepatic portosystemic shunt versus endoscopic therapy in the secondary prophylaxis of variceal rebleeding in cirrhotic patients: meta-analysis update. </w:t>
      </w:r>
      <w:r w:rsidRPr="00594A33">
        <w:rPr>
          <w:rFonts w:ascii="Book Antiqua" w:hAnsi="Book Antiqua" w:cs="宋体"/>
          <w:i/>
          <w:iCs/>
          <w:kern w:val="0"/>
          <w:sz w:val="24"/>
          <w:szCs w:val="24"/>
        </w:rPr>
        <w:t>J Clin Gastroenterol</w:t>
      </w:r>
      <w:r w:rsidRPr="00594A33">
        <w:rPr>
          <w:rFonts w:ascii="Book Antiqua" w:hAnsi="Book Antiqua" w:cs="宋体"/>
          <w:kern w:val="0"/>
          <w:sz w:val="24"/>
          <w:szCs w:val="24"/>
        </w:rPr>
        <w:t xml:space="preserve"> </w:t>
      </w:r>
      <w:r>
        <w:rPr>
          <w:rFonts w:ascii="Book Antiqua" w:hAnsi="Book Antiqua" w:cs="宋体"/>
          <w:kern w:val="0"/>
          <w:sz w:val="24"/>
          <w:szCs w:val="24"/>
        </w:rPr>
        <w:t>2008</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42</w:t>
      </w:r>
      <w:r w:rsidRPr="00594A33">
        <w:rPr>
          <w:rFonts w:ascii="Book Antiqua" w:hAnsi="Book Antiqua" w:cs="宋体"/>
          <w:kern w:val="0"/>
          <w:sz w:val="24"/>
          <w:szCs w:val="24"/>
        </w:rPr>
        <w:t>: 507-516 [PMID: 18344888 DOI: 10.1097/MCG.0b013e31815576e6]</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36 </w:t>
      </w:r>
      <w:r w:rsidRPr="00594A33">
        <w:rPr>
          <w:rFonts w:ascii="Book Antiqua" w:hAnsi="Book Antiqua" w:cs="宋体"/>
          <w:b/>
          <w:bCs/>
          <w:kern w:val="0"/>
          <w:sz w:val="24"/>
          <w:szCs w:val="24"/>
        </w:rPr>
        <w:t>Vangeli M</w:t>
      </w:r>
      <w:r w:rsidRPr="00594A33">
        <w:rPr>
          <w:rFonts w:ascii="Book Antiqua" w:hAnsi="Book Antiqua" w:cs="宋体"/>
          <w:kern w:val="0"/>
          <w:sz w:val="24"/>
          <w:szCs w:val="24"/>
        </w:rPr>
        <w:t xml:space="preserve">, Patch D, Terreni N, Tibballs J, Watkinson A, Davies N, Burroughs AK. Bleeding ectopic varices--treatment with transjugular intrahepatic porto-systemic shunt (TIPS) and embolisation. </w:t>
      </w:r>
      <w:r w:rsidRPr="00594A33">
        <w:rPr>
          <w:rFonts w:ascii="Book Antiqua" w:hAnsi="Book Antiqua" w:cs="宋体"/>
          <w:i/>
          <w:iCs/>
          <w:kern w:val="0"/>
          <w:sz w:val="24"/>
          <w:szCs w:val="24"/>
        </w:rPr>
        <w:t>J Hepatol</w:t>
      </w:r>
      <w:r w:rsidRPr="00594A33">
        <w:rPr>
          <w:rFonts w:ascii="Book Antiqua" w:hAnsi="Book Antiqua" w:cs="宋体"/>
          <w:kern w:val="0"/>
          <w:sz w:val="24"/>
          <w:szCs w:val="24"/>
        </w:rPr>
        <w:t xml:space="preserve"> 2004; </w:t>
      </w:r>
      <w:r w:rsidRPr="00594A33">
        <w:rPr>
          <w:rFonts w:ascii="Book Antiqua" w:hAnsi="Book Antiqua" w:cs="宋体"/>
          <w:b/>
          <w:bCs/>
          <w:kern w:val="0"/>
          <w:sz w:val="24"/>
          <w:szCs w:val="24"/>
        </w:rPr>
        <w:t>41</w:t>
      </w:r>
      <w:r w:rsidRPr="00594A33">
        <w:rPr>
          <w:rFonts w:ascii="Book Antiqua" w:hAnsi="Book Antiqua" w:cs="宋体"/>
          <w:kern w:val="0"/>
          <w:sz w:val="24"/>
          <w:szCs w:val="24"/>
        </w:rPr>
        <w:t>: 560-566 [PMID: 15464235 DOI: 10.1016/j.jhep.2004.06.024]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37 </w:t>
      </w:r>
      <w:r w:rsidRPr="00594A33">
        <w:rPr>
          <w:rFonts w:ascii="Book Antiqua" w:hAnsi="Book Antiqua" w:cs="宋体"/>
          <w:b/>
          <w:bCs/>
          <w:kern w:val="0"/>
          <w:sz w:val="24"/>
          <w:szCs w:val="24"/>
        </w:rPr>
        <w:t>Vidal V</w:t>
      </w:r>
      <w:r w:rsidRPr="00594A33">
        <w:rPr>
          <w:rFonts w:ascii="Book Antiqua" w:hAnsi="Book Antiqua" w:cs="宋体"/>
          <w:kern w:val="0"/>
          <w:sz w:val="24"/>
          <w:szCs w:val="24"/>
        </w:rPr>
        <w:t xml:space="preserve">, Joly L, Perreault P, Bouchard L, Lafortune M, Pomier-Layrargues G. Usefulness of transjugular intrahepatic portosystemic shunt in the management of bleeding ectopic varices in cirrhotic patients. </w:t>
      </w:r>
      <w:r w:rsidRPr="00594A33">
        <w:rPr>
          <w:rFonts w:ascii="Book Antiqua" w:hAnsi="Book Antiqua" w:cs="宋体"/>
          <w:i/>
          <w:iCs/>
          <w:kern w:val="0"/>
          <w:sz w:val="24"/>
          <w:szCs w:val="24"/>
        </w:rPr>
        <w:t>Cardiovasc Intervent Radiol</w:t>
      </w:r>
      <w:r w:rsidRPr="00594A33">
        <w:rPr>
          <w:rFonts w:ascii="Book Antiqua" w:hAnsi="Book Antiqua" w:cs="宋体"/>
          <w:kern w:val="0"/>
          <w:sz w:val="24"/>
          <w:szCs w:val="24"/>
        </w:rPr>
        <w:t xml:space="preserve"> </w:t>
      </w:r>
      <w:r>
        <w:rPr>
          <w:rFonts w:ascii="Book Antiqua" w:hAnsi="Book Antiqua" w:cs="宋体"/>
          <w:kern w:val="0"/>
          <w:sz w:val="24"/>
          <w:szCs w:val="24"/>
        </w:rPr>
        <w:t>2006</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29</w:t>
      </w:r>
      <w:r w:rsidRPr="00594A33">
        <w:rPr>
          <w:rFonts w:ascii="Book Antiqua" w:hAnsi="Book Antiqua" w:cs="宋体"/>
          <w:kern w:val="0"/>
          <w:sz w:val="24"/>
          <w:szCs w:val="24"/>
        </w:rPr>
        <w:t>: 216-219 [PMID: 16284702 DOI: 10.1007/s00270-004-0346-4]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38 </w:t>
      </w:r>
      <w:r w:rsidRPr="00594A33">
        <w:rPr>
          <w:rFonts w:ascii="Book Antiqua" w:hAnsi="Book Antiqua" w:cs="宋体"/>
          <w:b/>
          <w:bCs/>
          <w:kern w:val="0"/>
          <w:sz w:val="24"/>
          <w:szCs w:val="24"/>
        </w:rPr>
        <w:t>Kamath PS</w:t>
      </w:r>
      <w:r w:rsidRPr="00594A33">
        <w:rPr>
          <w:rFonts w:ascii="Book Antiqua" w:hAnsi="Book Antiqua" w:cs="宋体"/>
          <w:kern w:val="0"/>
          <w:sz w:val="24"/>
          <w:szCs w:val="24"/>
        </w:rPr>
        <w:t xml:space="preserve">, Lacerda M, Ahlquist DA, McKusick MA, Andrews JC, Nagorney DA. Gastric mucosal responses to intrahepatic portosystemic shunting in patients with cirrhosis.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2000; </w:t>
      </w:r>
      <w:r w:rsidRPr="00594A33">
        <w:rPr>
          <w:rFonts w:ascii="Book Antiqua" w:hAnsi="Book Antiqua" w:cs="宋体"/>
          <w:b/>
          <w:bCs/>
          <w:kern w:val="0"/>
          <w:sz w:val="24"/>
          <w:szCs w:val="24"/>
        </w:rPr>
        <w:t>118</w:t>
      </w:r>
      <w:r w:rsidRPr="00594A33">
        <w:rPr>
          <w:rFonts w:ascii="Book Antiqua" w:hAnsi="Book Antiqua" w:cs="宋体"/>
          <w:kern w:val="0"/>
          <w:sz w:val="24"/>
          <w:szCs w:val="24"/>
        </w:rPr>
        <w:t>: 905-911 [PMID: 10784589 DOI: 10.1016/S0016-5085(00)70176-4]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39 </w:t>
      </w:r>
      <w:r w:rsidRPr="00594A33">
        <w:rPr>
          <w:rFonts w:ascii="Book Antiqua" w:hAnsi="Book Antiqua" w:cs="宋体"/>
          <w:b/>
          <w:bCs/>
          <w:kern w:val="0"/>
          <w:sz w:val="24"/>
          <w:szCs w:val="24"/>
        </w:rPr>
        <w:t>Spahr L</w:t>
      </w:r>
      <w:r w:rsidRPr="00594A33">
        <w:rPr>
          <w:rFonts w:ascii="Book Antiqua" w:hAnsi="Book Antiqua" w:cs="宋体"/>
          <w:kern w:val="0"/>
          <w:sz w:val="24"/>
          <w:szCs w:val="24"/>
        </w:rPr>
        <w:t xml:space="preserve">, Villeneuve JP, Dufresne MP, Tassé D, Bui B, Willems B, Fenyves D, Pomier-Layrargues G. Gastric antral vascular ectasia in cirrhotic patients: absence of relation with portal hypertension. </w:t>
      </w:r>
      <w:r w:rsidRPr="00594A33">
        <w:rPr>
          <w:rFonts w:ascii="Book Antiqua" w:hAnsi="Book Antiqua" w:cs="宋体"/>
          <w:i/>
          <w:iCs/>
          <w:kern w:val="0"/>
          <w:sz w:val="24"/>
          <w:szCs w:val="24"/>
        </w:rPr>
        <w:t>Gut</w:t>
      </w:r>
      <w:r w:rsidRPr="00594A33">
        <w:rPr>
          <w:rFonts w:ascii="Book Antiqua" w:hAnsi="Book Antiqua" w:cs="宋体"/>
          <w:kern w:val="0"/>
          <w:sz w:val="24"/>
          <w:szCs w:val="24"/>
        </w:rPr>
        <w:t xml:space="preserve"> 1999; </w:t>
      </w:r>
      <w:r w:rsidRPr="00594A33">
        <w:rPr>
          <w:rFonts w:ascii="Book Antiqua" w:hAnsi="Book Antiqua" w:cs="宋体"/>
          <w:b/>
          <w:bCs/>
          <w:kern w:val="0"/>
          <w:sz w:val="24"/>
          <w:szCs w:val="24"/>
        </w:rPr>
        <w:t>44</w:t>
      </w:r>
      <w:r w:rsidRPr="00594A33">
        <w:rPr>
          <w:rFonts w:ascii="Book Antiqua" w:hAnsi="Book Antiqua" w:cs="宋体"/>
          <w:kern w:val="0"/>
          <w:sz w:val="24"/>
          <w:szCs w:val="24"/>
        </w:rPr>
        <w:t>: 739-742 [PMID: 10205216 DOI: 10.1136/gut.44.5.739]</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lastRenderedPageBreak/>
        <w:t xml:space="preserve">40 </w:t>
      </w:r>
      <w:r w:rsidRPr="00594A33">
        <w:rPr>
          <w:rFonts w:ascii="Book Antiqua" w:hAnsi="Book Antiqua" w:cs="宋体"/>
          <w:b/>
          <w:bCs/>
          <w:kern w:val="0"/>
          <w:sz w:val="24"/>
          <w:szCs w:val="24"/>
        </w:rPr>
        <w:t>Garcia-Pagán JC</w:t>
      </w:r>
      <w:r w:rsidRPr="00594A33">
        <w:rPr>
          <w:rFonts w:ascii="Book Antiqua" w:hAnsi="Book Antiqua" w:cs="宋体"/>
          <w:kern w:val="0"/>
          <w:sz w:val="24"/>
          <w:szCs w:val="24"/>
        </w:rPr>
        <w:t xml:space="preserve">, Heydtmann M, Raffa S, Plessier A, Murad S, Fabris F, Vizzini G, Gonzales Abraldes J, Olliff S, Nicolini A, Luca A, Primignani M, Janssen HL, Valla D, Elias E, Bosch J. TIPS for Budd-Chiari syndrome: long-term results and prognostics factors in 124 patients.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2008; </w:t>
      </w:r>
      <w:r w:rsidRPr="00594A33">
        <w:rPr>
          <w:rFonts w:ascii="Book Antiqua" w:hAnsi="Book Antiqua" w:cs="宋体"/>
          <w:b/>
          <w:bCs/>
          <w:kern w:val="0"/>
          <w:sz w:val="24"/>
          <w:szCs w:val="24"/>
        </w:rPr>
        <w:t>135</w:t>
      </w:r>
      <w:r w:rsidRPr="00594A33">
        <w:rPr>
          <w:rFonts w:ascii="Book Antiqua" w:hAnsi="Book Antiqua" w:cs="宋体"/>
          <w:kern w:val="0"/>
          <w:sz w:val="24"/>
          <w:szCs w:val="24"/>
        </w:rPr>
        <w:t>: 808-815 [PMID: 18621047 DOI: 10.1053/j.gastro.2008.05.051]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41 </w:t>
      </w:r>
      <w:r w:rsidRPr="00594A33">
        <w:rPr>
          <w:rFonts w:ascii="Book Antiqua" w:hAnsi="Book Antiqua" w:cs="宋体"/>
          <w:b/>
          <w:bCs/>
          <w:kern w:val="0"/>
          <w:sz w:val="24"/>
          <w:szCs w:val="24"/>
        </w:rPr>
        <w:t>Hernández-Guerra M</w:t>
      </w:r>
      <w:r w:rsidRPr="00594A33">
        <w:rPr>
          <w:rFonts w:ascii="Book Antiqua" w:hAnsi="Book Antiqua" w:cs="宋体"/>
          <w:kern w:val="0"/>
          <w:sz w:val="24"/>
          <w:szCs w:val="24"/>
        </w:rPr>
        <w:t xml:space="preserve">, Turnes J, Rubinstein P, Olliff S, Elias E, Bosch J, García-Pagán JC. PTFE-covered stents improve TIPS patency in Budd-Chiari syndrome.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2004; </w:t>
      </w:r>
      <w:r w:rsidRPr="00594A33">
        <w:rPr>
          <w:rFonts w:ascii="Book Antiqua" w:hAnsi="Book Antiqua" w:cs="宋体"/>
          <w:b/>
          <w:bCs/>
          <w:kern w:val="0"/>
          <w:sz w:val="24"/>
          <w:szCs w:val="24"/>
        </w:rPr>
        <w:t>40</w:t>
      </w:r>
      <w:r w:rsidRPr="00594A33">
        <w:rPr>
          <w:rFonts w:ascii="Book Antiqua" w:hAnsi="Book Antiqua" w:cs="宋体"/>
          <w:kern w:val="0"/>
          <w:sz w:val="24"/>
          <w:szCs w:val="24"/>
        </w:rPr>
        <w:t>: 1197-1202 [PMID: 15486923 DOI: 10.1002/hep.20436]</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42 </w:t>
      </w:r>
      <w:r w:rsidRPr="00594A33">
        <w:rPr>
          <w:rFonts w:ascii="Book Antiqua" w:hAnsi="Book Antiqua" w:cs="宋体"/>
          <w:b/>
          <w:bCs/>
          <w:kern w:val="0"/>
          <w:sz w:val="24"/>
          <w:szCs w:val="24"/>
        </w:rPr>
        <w:t>Azoulay D</w:t>
      </w:r>
      <w:r w:rsidRPr="00594A33">
        <w:rPr>
          <w:rFonts w:ascii="Book Antiqua" w:hAnsi="Book Antiqua" w:cs="宋体"/>
          <w:kern w:val="0"/>
          <w:sz w:val="24"/>
          <w:szCs w:val="24"/>
        </w:rPr>
        <w:t xml:space="preserve">, Castaing D, Lemoine A, Hargreaves GM, Bismuth H. Transjugular intrahepatic portosystemic shunt (TIPS) for severe veno-occlusive disease of the liver following bone marrow transplantation. </w:t>
      </w:r>
      <w:r w:rsidRPr="00594A33">
        <w:rPr>
          <w:rFonts w:ascii="Book Antiqua" w:hAnsi="Book Antiqua" w:cs="宋体"/>
          <w:i/>
          <w:iCs/>
          <w:kern w:val="0"/>
          <w:sz w:val="24"/>
          <w:szCs w:val="24"/>
        </w:rPr>
        <w:t>Bone Marrow Transplant</w:t>
      </w:r>
      <w:r w:rsidRPr="00594A33">
        <w:rPr>
          <w:rFonts w:ascii="Book Antiqua" w:hAnsi="Book Antiqua" w:cs="宋体"/>
          <w:kern w:val="0"/>
          <w:sz w:val="24"/>
          <w:szCs w:val="24"/>
        </w:rPr>
        <w:t xml:space="preserve"> 2000; </w:t>
      </w:r>
      <w:r w:rsidRPr="00594A33">
        <w:rPr>
          <w:rFonts w:ascii="Book Antiqua" w:hAnsi="Book Antiqua" w:cs="宋体"/>
          <w:b/>
          <w:bCs/>
          <w:kern w:val="0"/>
          <w:sz w:val="24"/>
          <w:szCs w:val="24"/>
        </w:rPr>
        <w:t>25</w:t>
      </w:r>
      <w:r w:rsidRPr="00594A33">
        <w:rPr>
          <w:rFonts w:ascii="Book Antiqua" w:hAnsi="Book Antiqua" w:cs="宋体"/>
          <w:kern w:val="0"/>
          <w:sz w:val="24"/>
          <w:szCs w:val="24"/>
        </w:rPr>
        <w:t>: 987-992 [PMID: 10800068 DOI: 10.1038/sj.bmt.1702386]</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43 </w:t>
      </w:r>
      <w:r w:rsidRPr="00594A33">
        <w:rPr>
          <w:rFonts w:ascii="Book Antiqua" w:hAnsi="Book Antiqua" w:cs="宋体"/>
          <w:b/>
          <w:bCs/>
          <w:kern w:val="0"/>
          <w:sz w:val="24"/>
          <w:szCs w:val="24"/>
        </w:rPr>
        <w:t>Dhanasekaran R</w:t>
      </w:r>
      <w:r w:rsidRPr="00594A33">
        <w:rPr>
          <w:rFonts w:ascii="Book Antiqua" w:hAnsi="Book Antiqua" w:cs="宋体"/>
          <w:kern w:val="0"/>
          <w:sz w:val="24"/>
          <w:szCs w:val="24"/>
        </w:rPr>
        <w:t xml:space="preserve">, West JK, Gonzales PC, Subramanian R, Parekh S, Spivey JR, Martin LG, Kim HS. Transjugular intrahepatic portosystemic shunt for symptomatic refractory hepatic hydrothorax in patients with cirrhosis. </w:t>
      </w:r>
      <w:r w:rsidRPr="00594A33">
        <w:rPr>
          <w:rFonts w:ascii="Book Antiqua" w:hAnsi="Book Antiqua" w:cs="宋体"/>
          <w:i/>
          <w:iCs/>
          <w:kern w:val="0"/>
          <w:sz w:val="24"/>
          <w:szCs w:val="24"/>
        </w:rPr>
        <w:t>Am J Gastroenterol</w:t>
      </w:r>
      <w:r w:rsidRPr="00594A33">
        <w:rPr>
          <w:rFonts w:ascii="Book Antiqua" w:hAnsi="Book Antiqua" w:cs="宋体"/>
          <w:kern w:val="0"/>
          <w:sz w:val="24"/>
          <w:szCs w:val="24"/>
        </w:rPr>
        <w:t xml:space="preserve"> 2010; </w:t>
      </w:r>
      <w:r w:rsidRPr="00594A33">
        <w:rPr>
          <w:rFonts w:ascii="Book Antiqua" w:hAnsi="Book Antiqua" w:cs="宋体"/>
          <w:b/>
          <w:bCs/>
          <w:kern w:val="0"/>
          <w:sz w:val="24"/>
          <w:szCs w:val="24"/>
        </w:rPr>
        <w:t>105</w:t>
      </w:r>
      <w:r w:rsidRPr="00594A33">
        <w:rPr>
          <w:rFonts w:ascii="Book Antiqua" w:hAnsi="Book Antiqua" w:cs="宋体"/>
          <w:kern w:val="0"/>
          <w:sz w:val="24"/>
          <w:szCs w:val="24"/>
        </w:rPr>
        <w:t>: 635-641 [PMID: 19904245 DOI: 10.1038/ajg.2009.634]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44 </w:t>
      </w:r>
      <w:r w:rsidRPr="00594A33">
        <w:rPr>
          <w:rFonts w:ascii="Book Antiqua" w:hAnsi="Book Antiqua" w:cs="宋体"/>
          <w:b/>
          <w:bCs/>
          <w:kern w:val="0"/>
          <w:sz w:val="24"/>
          <w:szCs w:val="24"/>
        </w:rPr>
        <w:t>Siegerstetter V</w:t>
      </w:r>
      <w:r w:rsidRPr="00594A33">
        <w:rPr>
          <w:rFonts w:ascii="Book Antiqua" w:hAnsi="Book Antiqua" w:cs="宋体"/>
          <w:kern w:val="0"/>
          <w:sz w:val="24"/>
          <w:szCs w:val="24"/>
        </w:rPr>
        <w:t xml:space="preserve">, Deibert P, Ochs A, Olschewski M, Blum HE, Rössle M. Treatment of refractory hepatic hydrothorax with transjugular intrahepatic portosystemic shunt: long-term results in 40 patients. </w:t>
      </w:r>
      <w:r w:rsidRPr="00594A33">
        <w:rPr>
          <w:rFonts w:ascii="Book Antiqua" w:hAnsi="Book Antiqua" w:cs="宋体"/>
          <w:i/>
          <w:iCs/>
          <w:kern w:val="0"/>
          <w:sz w:val="24"/>
          <w:szCs w:val="24"/>
        </w:rPr>
        <w:t>Eur J Gastroenterol Hepatol</w:t>
      </w:r>
      <w:r w:rsidRPr="00594A33">
        <w:rPr>
          <w:rFonts w:ascii="Book Antiqua" w:hAnsi="Book Antiqua" w:cs="宋体"/>
          <w:kern w:val="0"/>
          <w:sz w:val="24"/>
          <w:szCs w:val="24"/>
        </w:rPr>
        <w:t xml:space="preserve"> 2001; </w:t>
      </w:r>
      <w:r w:rsidRPr="00594A33">
        <w:rPr>
          <w:rFonts w:ascii="Book Antiqua" w:hAnsi="Book Antiqua" w:cs="宋体"/>
          <w:b/>
          <w:bCs/>
          <w:kern w:val="0"/>
          <w:sz w:val="24"/>
          <w:szCs w:val="24"/>
        </w:rPr>
        <w:t>13</w:t>
      </w:r>
      <w:r w:rsidRPr="00594A33">
        <w:rPr>
          <w:rFonts w:ascii="Book Antiqua" w:hAnsi="Book Antiqua" w:cs="宋体"/>
          <w:kern w:val="0"/>
          <w:sz w:val="24"/>
          <w:szCs w:val="24"/>
        </w:rPr>
        <w:t>: 529-534 [PMID: 11396532 DOI: 10.1097/00042737-200105000-00011]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45 </w:t>
      </w:r>
      <w:r w:rsidRPr="00594A33">
        <w:rPr>
          <w:rFonts w:ascii="Book Antiqua" w:hAnsi="Book Antiqua" w:cs="宋体"/>
          <w:b/>
          <w:bCs/>
          <w:kern w:val="0"/>
          <w:sz w:val="24"/>
          <w:szCs w:val="24"/>
        </w:rPr>
        <w:t>Wilputte JY</w:t>
      </w:r>
      <w:r w:rsidRPr="00594A33">
        <w:rPr>
          <w:rFonts w:ascii="Book Antiqua" w:hAnsi="Book Antiqua" w:cs="宋体"/>
          <w:kern w:val="0"/>
          <w:sz w:val="24"/>
          <w:szCs w:val="24"/>
        </w:rPr>
        <w:t xml:space="preserve">, Goffette P, Zech F, Godoy-Gepert A, Geubel A. The outcome after transjugular intrahepatic portosystemic shunt (TIPS) for hepatic hydrothorax is closely related to liver dysfunction: a long-term study in 28 patients. </w:t>
      </w:r>
      <w:r w:rsidRPr="00594A33">
        <w:rPr>
          <w:rFonts w:ascii="Book Antiqua" w:hAnsi="Book Antiqua" w:cs="宋体"/>
          <w:i/>
          <w:iCs/>
          <w:kern w:val="0"/>
          <w:sz w:val="24"/>
          <w:szCs w:val="24"/>
        </w:rPr>
        <w:t>Acta Gastroenterol Belg</w:t>
      </w:r>
      <w:r w:rsidRPr="00594A33">
        <w:rPr>
          <w:rFonts w:ascii="Book Antiqua" w:hAnsi="Book Antiqua" w:cs="宋体"/>
          <w:kern w:val="0"/>
          <w:sz w:val="24"/>
          <w:szCs w:val="24"/>
        </w:rPr>
        <w:t xml:space="preserve"> </w:t>
      </w:r>
      <w:r>
        <w:rPr>
          <w:rFonts w:ascii="Book Antiqua" w:hAnsi="Book Antiqua" w:cs="宋体"/>
          <w:kern w:val="0"/>
          <w:sz w:val="24"/>
          <w:szCs w:val="24"/>
        </w:rPr>
        <w:t>2007</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70</w:t>
      </w:r>
      <w:r w:rsidRPr="00594A33">
        <w:rPr>
          <w:rFonts w:ascii="Book Antiqua" w:hAnsi="Book Antiqua" w:cs="宋体"/>
          <w:kern w:val="0"/>
          <w:sz w:val="24"/>
          <w:szCs w:val="24"/>
        </w:rPr>
        <w:t>: 6-10 [PMID: 17619531]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46 </w:t>
      </w:r>
      <w:r w:rsidRPr="00594A33">
        <w:rPr>
          <w:rFonts w:ascii="Book Antiqua" w:hAnsi="Book Antiqua" w:cs="宋体"/>
          <w:b/>
          <w:bCs/>
          <w:kern w:val="0"/>
          <w:sz w:val="24"/>
          <w:szCs w:val="24"/>
        </w:rPr>
        <w:t>Spencer EB</w:t>
      </w:r>
      <w:r w:rsidRPr="00594A33">
        <w:rPr>
          <w:rFonts w:ascii="Book Antiqua" w:hAnsi="Book Antiqua" w:cs="宋体"/>
          <w:kern w:val="0"/>
          <w:sz w:val="24"/>
          <w:szCs w:val="24"/>
        </w:rPr>
        <w:t xml:space="preserve">, Cohen DT, Darcy MD. Safety and efficacy of transjugular intrahepatic portosystemic shunt creation for the treatment of hepatic hydrothorax.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13</w:t>
      </w:r>
      <w:r w:rsidRPr="00594A33">
        <w:rPr>
          <w:rFonts w:ascii="Book Antiqua" w:hAnsi="Book Antiqua" w:cs="宋体"/>
          <w:kern w:val="0"/>
          <w:sz w:val="24"/>
          <w:szCs w:val="24"/>
        </w:rPr>
        <w:t>: 385-390 [PMID: 11932369 DOI: 10.1016/S1051-0443(07)61741-2]</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47 </w:t>
      </w:r>
      <w:r w:rsidRPr="00594A33">
        <w:rPr>
          <w:rFonts w:ascii="Book Antiqua" w:hAnsi="Book Antiqua" w:cs="宋体"/>
          <w:b/>
          <w:bCs/>
          <w:kern w:val="0"/>
          <w:sz w:val="24"/>
          <w:szCs w:val="24"/>
        </w:rPr>
        <w:t>Brensing KA</w:t>
      </w:r>
      <w:r w:rsidRPr="00594A33">
        <w:rPr>
          <w:rFonts w:ascii="Book Antiqua" w:hAnsi="Book Antiqua" w:cs="宋体"/>
          <w:kern w:val="0"/>
          <w:sz w:val="24"/>
          <w:szCs w:val="24"/>
        </w:rPr>
        <w:t xml:space="preserve">, Textor J, Perz J, Schiedermaier P, Raab P, Strunk H, Klehr HU, Kramer HJ, Spengler U, Schild H, Sauerbruch T. Long term outcome after transjugular intrahepatic portosystemic stent-shunt in non-transplant cirrhotics with hepatorenal syndrome: a phase II study. </w:t>
      </w:r>
      <w:r w:rsidRPr="00594A33">
        <w:rPr>
          <w:rFonts w:ascii="Book Antiqua" w:hAnsi="Book Antiqua" w:cs="宋体"/>
          <w:i/>
          <w:iCs/>
          <w:kern w:val="0"/>
          <w:sz w:val="24"/>
          <w:szCs w:val="24"/>
        </w:rPr>
        <w:t>Gut</w:t>
      </w:r>
      <w:r w:rsidRPr="00594A33">
        <w:rPr>
          <w:rFonts w:ascii="Book Antiqua" w:hAnsi="Book Antiqua" w:cs="宋体"/>
          <w:kern w:val="0"/>
          <w:sz w:val="24"/>
          <w:szCs w:val="24"/>
        </w:rPr>
        <w:t xml:space="preserve"> 2000; </w:t>
      </w:r>
      <w:r w:rsidRPr="00594A33">
        <w:rPr>
          <w:rFonts w:ascii="Book Antiqua" w:hAnsi="Book Antiqua" w:cs="宋体"/>
          <w:b/>
          <w:bCs/>
          <w:kern w:val="0"/>
          <w:sz w:val="24"/>
          <w:szCs w:val="24"/>
        </w:rPr>
        <w:t>47</w:t>
      </w:r>
      <w:r w:rsidRPr="00594A33">
        <w:rPr>
          <w:rFonts w:ascii="Book Antiqua" w:hAnsi="Book Antiqua" w:cs="宋体"/>
          <w:kern w:val="0"/>
          <w:sz w:val="24"/>
          <w:szCs w:val="24"/>
        </w:rPr>
        <w:t>: 288-295 [PMID: 10896924 DOI: 10.1136/gut.47.2.288]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48 </w:t>
      </w:r>
      <w:r w:rsidRPr="00594A33">
        <w:rPr>
          <w:rFonts w:ascii="Book Antiqua" w:hAnsi="Book Antiqua" w:cs="宋体"/>
          <w:b/>
          <w:bCs/>
          <w:kern w:val="0"/>
          <w:sz w:val="24"/>
          <w:szCs w:val="24"/>
        </w:rPr>
        <w:t>Testino G</w:t>
      </w:r>
      <w:r w:rsidRPr="00594A33">
        <w:rPr>
          <w:rFonts w:ascii="Book Antiqua" w:hAnsi="Book Antiqua" w:cs="宋体"/>
          <w:kern w:val="0"/>
          <w:sz w:val="24"/>
          <w:szCs w:val="24"/>
        </w:rPr>
        <w:t xml:space="preserve">, Ferro C, Sumberaz A, Messa P, Morelli N, Guadagni B, Ardizzone G, Valente U. Type-2 hepatorenal syndrome and refractory ascites: role of transjugular intrahepatic portosystemic stent-shunt in eighteen patients with advanced cirrhosis awaiting orthotopic liver transplantation. </w:t>
      </w:r>
      <w:r w:rsidRPr="00594A33">
        <w:rPr>
          <w:rFonts w:ascii="Book Antiqua" w:hAnsi="Book Antiqua" w:cs="宋体"/>
          <w:i/>
          <w:iCs/>
          <w:kern w:val="0"/>
          <w:sz w:val="24"/>
          <w:szCs w:val="24"/>
        </w:rPr>
        <w:t>Hepatogastroenterology</w:t>
      </w:r>
      <w:r w:rsidRPr="00594A33">
        <w:rPr>
          <w:rFonts w:ascii="Book Antiqua" w:hAnsi="Book Antiqua" w:cs="宋体"/>
          <w:kern w:val="0"/>
          <w:sz w:val="24"/>
          <w:szCs w:val="24"/>
        </w:rPr>
        <w:t xml:space="preserve"> </w:t>
      </w:r>
      <w:r>
        <w:rPr>
          <w:rFonts w:ascii="Book Antiqua" w:hAnsi="Book Antiqua" w:cs="宋体"/>
          <w:kern w:val="0"/>
          <w:sz w:val="24"/>
          <w:szCs w:val="24"/>
        </w:rPr>
        <w:t>2003</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50</w:t>
      </w:r>
      <w:r w:rsidRPr="00594A33">
        <w:rPr>
          <w:rFonts w:ascii="Book Antiqua" w:hAnsi="Book Antiqua" w:cs="宋体"/>
          <w:kern w:val="0"/>
          <w:sz w:val="24"/>
          <w:szCs w:val="24"/>
        </w:rPr>
        <w:t>: 1753-1755 [PMID: 14696397]</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49 </w:t>
      </w:r>
      <w:r w:rsidRPr="00594A33">
        <w:rPr>
          <w:rFonts w:ascii="Book Antiqua" w:hAnsi="Book Antiqua" w:cs="宋体"/>
          <w:b/>
          <w:bCs/>
          <w:kern w:val="0"/>
          <w:sz w:val="24"/>
          <w:szCs w:val="24"/>
        </w:rPr>
        <w:t>Martinez-Palli G</w:t>
      </w:r>
      <w:r w:rsidRPr="00594A33">
        <w:rPr>
          <w:rFonts w:ascii="Book Antiqua" w:hAnsi="Book Antiqua" w:cs="宋体"/>
          <w:kern w:val="0"/>
          <w:sz w:val="24"/>
          <w:szCs w:val="24"/>
        </w:rPr>
        <w:t xml:space="preserve">, Drake BB, Garcia-Pagan JC, Barbera JA, Arguedas MR, Rodriguez-Roisin R, Bosch J, Fallon MB. Effect of transjugular intrahepatic portosystemic shunt on pulmonary gas exchange in patients with portal hypertension and hepatopulmonary syndrome. </w:t>
      </w:r>
      <w:r w:rsidRPr="00594A33">
        <w:rPr>
          <w:rFonts w:ascii="Book Antiqua" w:hAnsi="Book Antiqua" w:cs="宋体"/>
          <w:i/>
          <w:iCs/>
          <w:kern w:val="0"/>
          <w:sz w:val="24"/>
          <w:szCs w:val="24"/>
        </w:rPr>
        <w:t>World J Gastroenterol</w:t>
      </w:r>
      <w:r w:rsidRPr="00594A33">
        <w:rPr>
          <w:rFonts w:ascii="Book Antiqua" w:hAnsi="Book Antiqua" w:cs="宋体"/>
          <w:kern w:val="0"/>
          <w:sz w:val="24"/>
          <w:szCs w:val="24"/>
        </w:rPr>
        <w:t xml:space="preserve"> 2005; </w:t>
      </w:r>
      <w:r w:rsidRPr="00594A33">
        <w:rPr>
          <w:rFonts w:ascii="Book Antiqua" w:hAnsi="Book Antiqua" w:cs="宋体"/>
          <w:b/>
          <w:bCs/>
          <w:kern w:val="0"/>
          <w:sz w:val="24"/>
          <w:szCs w:val="24"/>
        </w:rPr>
        <w:t>11</w:t>
      </w:r>
      <w:r w:rsidRPr="00594A33">
        <w:rPr>
          <w:rFonts w:ascii="Book Antiqua" w:hAnsi="Book Antiqua" w:cs="宋体"/>
          <w:kern w:val="0"/>
          <w:sz w:val="24"/>
          <w:szCs w:val="24"/>
        </w:rPr>
        <w:t>: 6858-6862 [PMID: 16425397]</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50 </w:t>
      </w:r>
      <w:r w:rsidRPr="00594A33">
        <w:rPr>
          <w:rFonts w:ascii="Book Antiqua" w:hAnsi="Book Antiqua" w:cs="宋体"/>
          <w:b/>
          <w:bCs/>
          <w:kern w:val="0"/>
          <w:sz w:val="24"/>
          <w:szCs w:val="24"/>
        </w:rPr>
        <w:t>Fidelman N</w:t>
      </w:r>
      <w:r w:rsidRPr="00594A33">
        <w:rPr>
          <w:rFonts w:ascii="Book Antiqua" w:hAnsi="Book Antiqua" w:cs="宋体"/>
          <w:kern w:val="0"/>
          <w:sz w:val="24"/>
          <w:szCs w:val="24"/>
        </w:rPr>
        <w:t xml:space="preserve">, Kwan SW, LaBerge JM, Gordon RL, Ring EJ, Kerlan RK. The transjugular intrahepatic portosystemic shunt: an update. </w:t>
      </w:r>
      <w:r w:rsidRPr="00594A33">
        <w:rPr>
          <w:rFonts w:ascii="Book Antiqua" w:hAnsi="Book Antiqua" w:cs="宋体"/>
          <w:i/>
          <w:iCs/>
          <w:kern w:val="0"/>
          <w:sz w:val="24"/>
          <w:szCs w:val="24"/>
        </w:rPr>
        <w:t>AJR Am J Roentgenol</w:t>
      </w:r>
      <w:r w:rsidRPr="00594A33">
        <w:rPr>
          <w:rFonts w:ascii="Book Antiqua" w:hAnsi="Book Antiqua" w:cs="宋体"/>
          <w:kern w:val="0"/>
          <w:sz w:val="24"/>
          <w:szCs w:val="24"/>
        </w:rPr>
        <w:t xml:space="preserve"> 2012; </w:t>
      </w:r>
      <w:r w:rsidRPr="00594A33">
        <w:rPr>
          <w:rFonts w:ascii="Book Antiqua" w:hAnsi="Book Antiqua" w:cs="宋体"/>
          <w:b/>
          <w:bCs/>
          <w:kern w:val="0"/>
          <w:sz w:val="24"/>
          <w:szCs w:val="24"/>
        </w:rPr>
        <w:t>199</w:t>
      </w:r>
      <w:r w:rsidRPr="00594A33">
        <w:rPr>
          <w:rFonts w:ascii="Book Antiqua" w:hAnsi="Book Antiqua" w:cs="宋体"/>
          <w:kern w:val="0"/>
          <w:sz w:val="24"/>
          <w:szCs w:val="24"/>
        </w:rPr>
        <w:t>: 746-755 [PMID: 22997364 DOI: 10.2214/AJR.12.9101]</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lastRenderedPageBreak/>
        <w:t xml:space="preserve">51 </w:t>
      </w:r>
      <w:r w:rsidRPr="00594A33">
        <w:rPr>
          <w:rFonts w:ascii="Book Antiqua" w:hAnsi="Book Antiqua" w:cs="宋体"/>
          <w:b/>
          <w:bCs/>
          <w:kern w:val="0"/>
          <w:sz w:val="24"/>
          <w:szCs w:val="24"/>
        </w:rPr>
        <w:t>Kravetz D</w:t>
      </w:r>
      <w:r w:rsidRPr="00594A33">
        <w:rPr>
          <w:rFonts w:ascii="Book Antiqua" w:hAnsi="Book Antiqua" w:cs="宋体"/>
          <w:kern w:val="0"/>
          <w:sz w:val="24"/>
          <w:szCs w:val="24"/>
        </w:rPr>
        <w:t xml:space="preserve">, Bosch J, Arderiu M, Pilar Pizcueta M, Rodés J. Hemodynamic effects of blood volume restitution following a hemorrhage in rats with portal hypertension due to cirrhosis of the liver: influence of the extent of portal-systemic shunting.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1989; </w:t>
      </w:r>
      <w:r w:rsidRPr="00594A33">
        <w:rPr>
          <w:rFonts w:ascii="Book Antiqua" w:hAnsi="Book Antiqua" w:cs="宋体"/>
          <w:b/>
          <w:bCs/>
          <w:kern w:val="0"/>
          <w:sz w:val="24"/>
          <w:szCs w:val="24"/>
        </w:rPr>
        <w:t>9</w:t>
      </w:r>
      <w:r w:rsidRPr="00594A33">
        <w:rPr>
          <w:rFonts w:ascii="Book Antiqua" w:hAnsi="Book Antiqua" w:cs="宋体"/>
          <w:kern w:val="0"/>
          <w:sz w:val="24"/>
          <w:szCs w:val="24"/>
        </w:rPr>
        <w:t>: 808-814 [PMID: 2714733 DOI: 10.1002/hep.1840090603]</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52 </w:t>
      </w:r>
      <w:r w:rsidRPr="00594A33">
        <w:rPr>
          <w:rFonts w:ascii="Book Antiqua" w:hAnsi="Book Antiqua" w:cs="宋体"/>
          <w:b/>
          <w:bCs/>
          <w:kern w:val="0"/>
          <w:sz w:val="24"/>
          <w:szCs w:val="24"/>
        </w:rPr>
        <w:t>Bernard B</w:t>
      </w:r>
      <w:r w:rsidRPr="00594A33">
        <w:rPr>
          <w:rFonts w:ascii="Book Antiqua" w:hAnsi="Book Antiqua" w:cs="宋体"/>
          <w:kern w:val="0"/>
          <w:sz w:val="24"/>
          <w:szCs w:val="24"/>
        </w:rPr>
        <w:t xml:space="preserve">, Cadranel JF, Valla D, Escolano S, Jarlier V, Opolon P. Prognostic significance of bacterial infection in bleeding cirrhotic patients: a prospective study.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1995; </w:t>
      </w:r>
      <w:r w:rsidRPr="00594A33">
        <w:rPr>
          <w:rFonts w:ascii="Book Antiqua" w:hAnsi="Book Antiqua" w:cs="宋体"/>
          <w:b/>
          <w:bCs/>
          <w:kern w:val="0"/>
          <w:sz w:val="24"/>
          <w:szCs w:val="24"/>
        </w:rPr>
        <w:t>108</w:t>
      </w:r>
      <w:r w:rsidRPr="00594A33">
        <w:rPr>
          <w:rFonts w:ascii="Book Antiqua" w:hAnsi="Book Antiqua" w:cs="宋体"/>
          <w:kern w:val="0"/>
          <w:sz w:val="24"/>
          <w:szCs w:val="24"/>
        </w:rPr>
        <w:t>: 1828-1834 [PMID: 7768389 DOI: 10.1016/0016-5085(95)90146-9]</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53 </w:t>
      </w:r>
      <w:r w:rsidRPr="00594A33">
        <w:rPr>
          <w:rFonts w:ascii="Book Antiqua" w:hAnsi="Book Antiqua" w:cs="宋体"/>
          <w:b/>
          <w:bCs/>
          <w:kern w:val="0"/>
          <w:sz w:val="24"/>
          <w:szCs w:val="24"/>
        </w:rPr>
        <w:t>Goulis J</w:t>
      </w:r>
      <w:r w:rsidRPr="00594A33">
        <w:rPr>
          <w:rFonts w:ascii="Book Antiqua" w:hAnsi="Book Antiqua" w:cs="宋体"/>
          <w:kern w:val="0"/>
          <w:sz w:val="24"/>
          <w:szCs w:val="24"/>
        </w:rPr>
        <w:t xml:space="preserve">, Armonis A, Patch D, Sabin C, Greenslade L, Burroughs AK. Bacterial infection is independently associated with failure to control bleeding in cirrhotic patients with gastrointestinal hemorrhage.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27</w:t>
      </w:r>
      <w:r w:rsidRPr="00594A33">
        <w:rPr>
          <w:rFonts w:ascii="Book Antiqua" w:hAnsi="Book Antiqua" w:cs="宋体"/>
          <w:kern w:val="0"/>
          <w:sz w:val="24"/>
          <w:szCs w:val="24"/>
        </w:rPr>
        <w:t>: 1207-1212 [PMID: 9581672 DOI: 10.1002/hep.510270504]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54 </w:t>
      </w:r>
      <w:r w:rsidRPr="00594A33">
        <w:rPr>
          <w:rFonts w:ascii="Book Antiqua" w:hAnsi="Book Antiqua" w:cs="宋体"/>
          <w:b/>
          <w:bCs/>
          <w:kern w:val="0"/>
          <w:sz w:val="24"/>
          <w:szCs w:val="24"/>
        </w:rPr>
        <w:t>Bernard B</w:t>
      </w:r>
      <w:r w:rsidRPr="00594A33">
        <w:rPr>
          <w:rFonts w:ascii="Book Antiqua" w:hAnsi="Book Antiqua" w:cs="宋体"/>
          <w:kern w:val="0"/>
          <w:sz w:val="24"/>
          <w:szCs w:val="24"/>
        </w:rPr>
        <w:t xml:space="preserve">, Grangé JD, Khac EN, Amiot X, Opolon P, Poynard T. Antibiotic prophylaxis for the prevention of bacterial infections in cirrhotic patients with gastrointestinal bleeding: a meta-analysis.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1999; </w:t>
      </w:r>
      <w:r w:rsidRPr="00594A33">
        <w:rPr>
          <w:rFonts w:ascii="Book Antiqua" w:hAnsi="Book Antiqua" w:cs="宋体"/>
          <w:b/>
          <w:bCs/>
          <w:kern w:val="0"/>
          <w:sz w:val="24"/>
          <w:szCs w:val="24"/>
        </w:rPr>
        <w:t>29</w:t>
      </w:r>
      <w:r w:rsidRPr="00594A33">
        <w:rPr>
          <w:rFonts w:ascii="Book Antiqua" w:hAnsi="Book Antiqua" w:cs="宋体"/>
          <w:kern w:val="0"/>
          <w:sz w:val="24"/>
          <w:szCs w:val="24"/>
        </w:rPr>
        <w:t>: 1655-1661 [PMID: 10347104 DOI: 10.1002/hep.510290608]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55 </w:t>
      </w:r>
      <w:r w:rsidRPr="00594A33">
        <w:rPr>
          <w:rFonts w:ascii="Book Antiqua" w:hAnsi="Book Antiqua" w:cs="宋体"/>
          <w:b/>
          <w:bCs/>
          <w:kern w:val="0"/>
          <w:sz w:val="24"/>
          <w:szCs w:val="24"/>
        </w:rPr>
        <w:t>Blaise M</w:t>
      </w:r>
      <w:r w:rsidRPr="00594A33">
        <w:rPr>
          <w:rFonts w:ascii="Book Antiqua" w:hAnsi="Book Antiqua" w:cs="宋体"/>
          <w:kern w:val="0"/>
          <w:sz w:val="24"/>
          <w:szCs w:val="24"/>
        </w:rPr>
        <w:t xml:space="preserve">, Pateron D, Trinchet JC, Levacher S, Beaugrand M, Pourriat JL. Systemic antibiotic therapy prevents bacterial infection in cirrhotic patients with gastrointestinal hemorrhage.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1994; </w:t>
      </w:r>
      <w:r w:rsidRPr="00594A33">
        <w:rPr>
          <w:rFonts w:ascii="Book Antiqua" w:hAnsi="Book Antiqua" w:cs="宋体"/>
          <w:b/>
          <w:bCs/>
          <w:kern w:val="0"/>
          <w:sz w:val="24"/>
          <w:szCs w:val="24"/>
        </w:rPr>
        <w:t>20</w:t>
      </w:r>
      <w:r w:rsidRPr="00594A33">
        <w:rPr>
          <w:rFonts w:ascii="Book Antiqua" w:hAnsi="Book Antiqua" w:cs="宋体"/>
          <w:kern w:val="0"/>
          <w:sz w:val="24"/>
          <w:szCs w:val="24"/>
        </w:rPr>
        <w:t>: 34-38 [PMID: 8020902 DOI: 10.1002/hep.1840200107]</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56 </w:t>
      </w:r>
      <w:r w:rsidRPr="00594A33">
        <w:rPr>
          <w:rFonts w:ascii="Book Antiqua" w:hAnsi="Book Antiqua" w:cs="宋体"/>
          <w:b/>
          <w:bCs/>
          <w:kern w:val="0"/>
          <w:sz w:val="24"/>
          <w:szCs w:val="24"/>
        </w:rPr>
        <w:t>Selby WS</w:t>
      </w:r>
      <w:r w:rsidRPr="00594A33">
        <w:rPr>
          <w:rFonts w:ascii="Book Antiqua" w:hAnsi="Book Antiqua" w:cs="宋体"/>
          <w:kern w:val="0"/>
          <w:sz w:val="24"/>
          <w:szCs w:val="24"/>
        </w:rPr>
        <w:t xml:space="preserve">, Norton ID, Pokorny CS, Benn RA. Bacteremia and bacterascites after endoscopic sclerotherapy for bleeding esophageal varices and prevention by intravenous cefotaxime: a randomized trial. </w:t>
      </w:r>
      <w:r w:rsidRPr="00594A33">
        <w:rPr>
          <w:rFonts w:ascii="Book Antiqua" w:hAnsi="Book Antiqua" w:cs="宋体"/>
          <w:i/>
          <w:iCs/>
          <w:kern w:val="0"/>
          <w:sz w:val="24"/>
          <w:szCs w:val="24"/>
        </w:rPr>
        <w:t>Gastrointest Endosc</w:t>
      </w:r>
      <w:r w:rsidRPr="00594A33">
        <w:rPr>
          <w:rFonts w:ascii="Book Antiqua" w:hAnsi="Book Antiqua" w:cs="宋体"/>
          <w:kern w:val="0"/>
          <w:sz w:val="24"/>
          <w:szCs w:val="24"/>
        </w:rPr>
        <w:t xml:space="preserve"> </w:t>
      </w:r>
      <w:r>
        <w:rPr>
          <w:rFonts w:ascii="Book Antiqua" w:hAnsi="Book Antiqua" w:cs="宋体"/>
          <w:kern w:val="0"/>
          <w:sz w:val="24"/>
          <w:szCs w:val="24"/>
        </w:rPr>
        <w:t>1994</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40</w:t>
      </w:r>
      <w:r w:rsidRPr="00594A33">
        <w:rPr>
          <w:rFonts w:ascii="Book Antiqua" w:hAnsi="Book Antiqua" w:cs="宋体"/>
          <w:kern w:val="0"/>
          <w:sz w:val="24"/>
          <w:szCs w:val="24"/>
        </w:rPr>
        <w:t>: 680-684 [PMID: 7859964]</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57 </w:t>
      </w:r>
      <w:r w:rsidRPr="00594A33">
        <w:rPr>
          <w:rFonts w:ascii="Book Antiqua" w:hAnsi="Book Antiqua" w:cs="宋体"/>
          <w:b/>
          <w:bCs/>
          <w:kern w:val="0"/>
          <w:sz w:val="24"/>
          <w:szCs w:val="24"/>
        </w:rPr>
        <w:t>Hsieh WJ</w:t>
      </w:r>
      <w:r w:rsidRPr="00594A33">
        <w:rPr>
          <w:rFonts w:ascii="Book Antiqua" w:hAnsi="Book Antiqua" w:cs="宋体"/>
          <w:kern w:val="0"/>
          <w:sz w:val="24"/>
          <w:szCs w:val="24"/>
        </w:rPr>
        <w:t xml:space="preserve">, Lin HC, Hwang SJ, Hou MC, Lee FY, Chang FY, Lee SD. The effect of ciprofloxacin in the prevention of bacterial infection in patients with cirrhosis after upper gastrointestinal bleeding. </w:t>
      </w:r>
      <w:r w:rsidRPr="00594A33">
        <w:rPr>
          <w:rFonts w:ascii="Book Antiqua" w:hAnsi="Book Antiqua" w:cs="宋体"/>
          <w:i/>
          <w:iCs/>
          <w:kern w:val="0"/>
          <w:sz w:val="24"/>
          <w:szCs w:val="24"/>
        </w:rPr>
        <w:t>Am J Gastroenterol</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93</w:t>
      </w:r>
      <w:r w:rsidRPr="00594A33">
        <w:rPr>
          <w:rFonts w:ascii="Book Antiqua" w:hAnsi="Book Antiqua" w:cs="宋体"/>
          <w:kern w:val="0"/>
          <w:sz w:val="24"/>
          <w:szCs w:val="24"/>
        </w:rPr>
        <w:t>: 962-966 [PMID: 9647029 DOI: 10.1111/j.1572-0241.1998.00288.x]</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58 </w:t>
      </w:r>
      <w:r w:rsidRPr="00594A33">
        <w:rPr>
          <w:rFonts w:ascii="Book Antiqua" w:hAnsi="Book Antiqua" w:cs="宋体"/>
          <w:b/>
          <w:bCs/>
          <w:kern w:val="0"/>
          <w:sz w:val="24"/>
          <w:szCs w:val="24"/>
        </w:rPr>
        <w:t>Young MF</w:t>
      </w:r>
      <w:r w:rsidRPr="00594A33">
        <w:rPr>
          <w:rFonts w:ascii="Book Antiqua" w:hAnsi="Book Antiqua" w:cs="宋体"/>
          <w:kern w:val="0"/>
          <w:sz w:val="24"/>
          <w:szCs w:val="24"/>
        </w:rPr>
        <w:t xml:space="preserve">, Sanowski RA, Rasche R. Comparison and characterization of ulcerations induced by endoscopic ligation of esophageal varices versus endoscopic sclerotherapy. </w:t>
      </w:r>
      <w:r w:rsidRPr="00594A33">
        <w:rPr>
          <w:rFonts w:ascii="Book Antiqua" w:hAnsi="Book Antiqua" w:cs="宋体"/>
          <w:i/>
          <w:iCs/>
          <w:kern w:val="0"/>
          <w:sz w:val="24"/>
          <w:szCs w:val="24"/>
        </w:rPr>
        <w:t>Gastrointest Endosc</w:t>
      </w:r>
      <w:r w:rsidRPr="00594A33">
        <w:rPr>
          <w:rFonts w:ascii="Book Antiqua" w:hAnsi="Book Antiqua" w:cs="宋体"/>
          <w:kern w:val="0"/>
          <w:sz w:val="24"/>
          <w:szCs w:val="24"/>
        </w:rPr>
        <w:t xml:space="preserve"> </w:t>
      </w:r>
      <w:r>
        <w:rPr>
          <w:rFonts w:ascii="Book Antiqua" w:hAnsi="Book Antiqua" w:cs="宋体"/>
          <w:kern w:val="0"/>
          <w:sz w:val="24"/>
          <w:szCs w:val="24"/>
        </w:rPr>
        <w:t>1993</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39</w:t>
      </w:r>
      <w:r w:rsidRPr="00594A33">
        <w:rPr>
          <w:rFonts w:ascii="Book Antiqua" w:hAnsi="Book Antiqua" w:cs="宋体"/>
          <w:kern w:val="0"/>
          <w:sz w:val="24"/>
          <w:szCs w:val="24"/>
        </w:rPr>
        <w:t>: 119-122 [PMID: 8495829 DOI: 10.1016/S0016-5107(93)70049-8]</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59 </w:t>
      </w:r>
      <w:r w:rsidRPr="00594A33">
        <w:rPr>
          <w:rFonts w:ascii="Book Antiqua" w:hAnsi="Book Antiqua" w:cs="宋体"/>
          <w:b/>
          <w:bCs/>
          <w:kern w:val="0"/>
          <w:sz w:val="24"/>
          <w:szCs w:val="24"/>
        </w:rPr>
        <w:t>Levacher S</w:t>
      </w:r>
      <w:r w:rsidRPr="00594A33">
        <w:rPr>
          <w:rFonts w:ascii="Book Antiqua" w:hAnsi="Book Antiqua" w:cs="宋体"/>
          <w:kern w:val="0"/>
          <w:sz w:val="24"/>
          <w:szCs w:val="24"/>
        </w:rPr>
        <w:t xml:space="preserve">, Letoumelin P, Pateron D, Blaise M, Lapandry C, Pourriat JL. Early administration of terlipressin plus glyceryl trinitrate to control active upper gastrointestinal bleeding in cirrhotic patients. </w:t>
      </w:r>
      <w:r w:rsidRPr="00594A33">
        <w:rPr>
          <w:rFonts w:ascii="Book Antiqua" w:hAnsi="Book Antiqua" w:cs="宋体"/>
          <w:i/>
          <w:iCs/>
          <w:kern w:val="0"/>
          <w:sz w:val="24"/>
          <w:szCs w:val="24"/>
        </w:rPr>
        <w:t>Lancet</w:t>
      </w:r>
      <w:r w:rsidRPr="00594A33">
        <w:rPr>
          <w:rFonts w:ascii="Book Antiqua" w:hAnsi="Book Antiqua" w:cs="宋体"/>
          <w:kern w:val="0"/>
          <w:sz w:val="24"/>
          <w:szCs w:val="24"/>
        </w:rPr>
        <w:t xml:space="preserve"> 1995; </w:t>
      </w:r>
      <w:r w:rsidRPr="00594A33">
        <w:rPr>
          <w:rFonts w:ascii="Book Antiqua" w:hAnsi="Book Antiqua" w:cs="宋体"/>
          <w:b/>
          <w:bCs/>
          <w:kern w:val="0"/>
          <w:sz w:val="24"/>
          <w:szCs w:val="24"/>
        </w:rPr>
        <w:t>346</w:t>
      </w:r>
      <w:r w:rsidRPr="00594A33">
        <w:rPr>
          <w:rFonts w:ascii="Book Antiqua" w:hAnsi="Book Antiqua" w:cs="宋体"/>
          <w:kern w:val="0"/>
          <w:sz w:val="24"/>
          <w:szCs w:val="24"/>
        </w:rPr>
        <w:t>: 865-868 [PMID: 7564670 DOI: 10.1016/S0140-6736(95)92708-5]</w:t>
      </w:r>
    </w:p>
    <w:p w:rsidR="00C92AB1" w:rsidRPr="00594A33" w:rsidRDefault="00C92AB1" w:rsidP="00B340C9">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60 </w:t>
      </w:r>
      <w:r w:rsidRPr="00594A33">
        <w:rPr>
          <w:rFonts w:ascii="Book Antiqua" w:hAnsi="Book Antiqua" w:cs="宋体"/>
          <w:b/>
          <w:bCs/>
          <w:kern w:val="0"/>
          <w:sz w:val="24"/>
          <w:szCs w:val="24"/>
        </w:rPr>
        <w:t>Avgerinos A</w:t>
      </w:r>
      <w:r w:rsidRPr="00594A33">
        <w:rPr>
          <w:rFonts w:ascii="Book Antiqua" w:hAnsi="Book Antiqua" w:cs="宋体"/>
          <w:kern w:val="0"/>
          <w:sz w:val="24"/>
          <w:szCs w:val="24"/>
        </w:rPr>
        <w:t xml:space="preserve">, Nevens F, Raptis S, Fevery J. Early administration of somatostatin and efficacy of sclerotherapy in acute oesophageal variceal bleeds: the European Acute Bleeding Oesophageal Variceal Episodes (ABOVE) randomised trial. </w:t>
      </w:r>
      <w:r w:rsidRPr="00594A33">
        <w:rPr>
          <w:rFonts w:ascii="Book Antiqua" w:hAnsi="Book Antiqua" w:cs="宋体"/>
          <w:i/>
          <w:iCs/>
          <w:kern w:val="0"/>
          <w:sz w:val="24"/>
          <w:szCs w:val="24"/>
        </w:rPr>
        <w:t>Lancet</w:t>
      </w:r>
      <w:r w:rsidRPr="00594A33">
        <w:rPr>
          <w:rFonts w:ascii="Book Antiqua" w:hAnsi="Book Antiqua" w:cs="宋体"/>
          <w:kern w:val="0"/>
          <w:sz w:val="24"/>
          <w:szCs w:val="24"/>
        </w:rPr>
        <w:t xml:space="preserve"> 1997; </w:t>
      </w:r>
      <w:r w:rsidRPr="00594A33">
        <w:rPr>
          <w:rFonts w:ascii="Book Antiqua" w:hAnsi="Book Antiqua" w:cs="宋体"/>
          <w:b/>
          <w:bCs/>
          <w:kern w:val="0"/>
          <w:sz w:val="24"/>
          <w:szCs w:val="24"/>
        </w:rPr>
        <w:t>350</w:t>
      </w:r>
      <w:r w:rsidRPr="00594A33">
        <w:rPr>
          <w:rFonts w:ascii="Book Antiqua" w:hAnsi="Book Antiqua" w:cs="宋体"/>
          <w:kern w:val="0"/>
          <w:sz w:val="24"/>
          <w:szCs w:val="24"/>
        </w:rPr>
        <w:t>: 1495-1499 [PMID: 9388396 DOI: 10.1016/S0140-6736(97)05099-X]</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61 </w:t>
      </w:r>
      <w:r w:rsidRPr="00594A33">
        <w:rPr>
          <w:rFonts w:ascii="Book Antiqua" w:hAnsi="Book Antiqua" w:cs="宋体"/>
          <w:b/>
          <w:bCs/>
          <w:kern w:val="0"/>
          <w:sz w:val="24"/>
          <w:szCs w:val="24"/>
        </w:rPr>
        <w:t>Calès P</w:t>
      </w:r>
      <w:r w:rsidRPr="00594A33">
        <w:rPr>
          <w:rFonts w:ascii="Book Antiqua" w:hAnsi="Book Antiqua" w:cs="宋体"/>
          <w:kern w:val="0"/>
          <w:sz w:val="24"/>
          <w:szCs w:val="24"/>
        </w:rPr>
        <w:t xml:space="preserve">, Masliah C, Bernard B, Garnier PP, Silvain C, Szostak-Talbodec N, Bronowicki JP, Ribard D, Botta-Fridlund D, Hillon P, Besseghir K, Lebrec D. Early administration of vapreotide for variceal bleeding in patients with cirrhosis. </w:t>
      </w:r>
      <w:r w:rsidRPr="00594A33">
        <w:rPr>
          <w:rFonts w:ascii="Book Antiqua" w:hAnsi="Book Antiqua" w:cs="宋体"/>
          <w:i/>
          <w:iCs/>
          <w:kern w:val="0"/>
          <w:sz w:val="24"/>
          <w:szCs w:val="24"/>
        </w:rPr>
        <w:t>N Engl J Med</w:t>
      </w:r>
      <w:r w:rsidRPr="00594A33">
        <w:rPr>
          <w:rFonts w:ascii="Book Antiqua" w:hAnsi="Book Antiqua" w:cs="宋体"/>
          <w:kern w:val="0"/>
          <w:sz w:val="24"/>
          <w:szCs w:val="24"/>
        </w:rPr>
        <w:t xml:space="preserve"> 2001; </w:t>
      </w:r>
      <w:r w:rsidRPr="00594A33">
        <w:rPr>
          <w:rFonts w:ascii="Book Antiqua" w:hAnsi="Book Antiqua" w:cs="宋体"/>
          <w:b/>
          <w:bCs/>
          <w:kern w:val="0"/>
          <w:sz w:val="24"/>
          <w:szCs w:val="24"/>
        </w:rPr>
        <w:t>344</w:t>
      </w:r>
      <w:r w:rsidRPr="00594A33">
        <w:rPr>
          <w:rFonts w:ascii="Book Antiqua" w:hAnsi="Book Antiqua" w:cs="宋体"/>
          <w:kern w:val="0"/>
          <w:sz w:val="24"/>
          <w:szCs w:val="24"/>
        </w:rPr>
        <w:t>: 23-28 [PMID: 11136956 DOI: 10.1056/NEJM200101043440104]</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62 </w:t>
      </w:r>
      <w:r w:rsidRPr="00594A33">
        <w:rPr>
          <w:rFonts w:ascii="Book Antiqua" w:hAnsi="Book Antiqua" w:cs="宋体"/>
          <w:b/>
          <w:bCs/>
          <w:kern w:val="0"/>
          <w:sz w:val="24"/>
          <w:szCs w:val="24"/>
        </w:rPr>
        <w:t>Sung JJ</w:t>
      </w:r>
      <w:r w:rsidRPr="00594A33">
        <w:rPr>
          <w:rFonts w:ascii="Book Antiqua" w:hAnsi="Book Antiqua" w:cs="宋体"/>
          <w:kern w:val="0"/>
          <w:sz w:val="24"/>
          <w:szCs w:val="24"/>
        </w:rPr>
        <w:t xml:space="preserve">, Chung SC, Yung MY, Lai CW, Lau JY, Lee YT, Leung VK, Li MK, Li AK. Prospective randomised study of effect of octreotide on rebleeding from oesophageal </w:t>
      </w:r>
      <w:r w:rsidRPr="00594A33">
        <w:rPr>
          <w:rFonts w:ascii="Book Antiqua" w:hAnsi="Book Antiqua" w:cs="宋体"/>
          <w:kern w:val="0"/>
          <w:sz w:val="24"/>
          <w:szCs w:val="24"/>
        </w:rPr>
        <w:lastRenderedPageBreak/>
        <w:t xml:space="preserve">varices after endoscopic ligation. </w:t>
      </w:r>
      <w:r w:rsidRPr="00594A33">
        <w:rPr>
          <w:rFonts w:ascii="Book Antiqua" w:hAnsi="Book Antiqua" w:cs="宋体"/>
          <w:i/>
          <w:iCs/>
          <w:kern w:val="0"/>
          <w:sz w:val="24"/>
          <w:szCs w:val="24"/>
        </w:rPr>
        <w:t>Lancet</w:t>
      </w:r>
      <w:r w:rsidRPr="00594A33">
        <w:rPr>
          <w:rFonts w:ascii="Book Antiqua" w:hAnsi="Book Antiqua" w:cs="宋体"/>
          <w:kern w:val="0"/>
          <w:sz w:val="24"/>
          <w:szCs w:val="24"/>
        </w:rPr>
        <w:t xml:space="preserve"> </w:t>
      </w:r>
      <w:r>
        <w:rPr>
          <w:rFonts w:ascii="Book Antiqua" w:hAnsi="Book Antiqua" w:cs="宋体"/>
          <w:kern w:val="0"/>
          <w:sz w:val="24"/>
          <w:szCs w:val="24"/>
        </w:rPr>
        <w:t>1995</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346</w:t>
      </w:r>
      <w:r w:rsidRPr="00594A33">
        <w:rPr>
          <w:rFonts w:ascii="Book Antiqua" w:hAnsi="Book Antiqua" w:cs="宋体"/>
          <w:kern w:val="0"/>
          <w:sz w:val="24"/>
          <w:szCs w:val="24"/>
        </w:rPr>
        <w:t>: 1666-1669 [PMID: 8551824 DOI: 10.1016/S0140-6736(95)92840-5]</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63 </w:t>
      </w:r>
      <w:r w:rsidRPr="00594A33">
        <w:rPr>
          <w:rFonts w:ascii="Book Antiqua" w:hAnsi="Book Antiqua" w:cs="宋体"/>
          <w:b/>
          <w:bCs/>
          <w:kern w:val="0"/>
          <w:sz w:val="24"/>
          <w:szCs w:val="24"/>
        </w:rPr>
        <w:t>Bañares R</w:t>
      </w:r>
      <w:r w:rsidRPr="00594A33">
        <w:rPr>
          <w:rFonts w:ascii="Book Antiqua" w:hAnsi="Book Antiqua" w:cs="宋体"/>
          <w:kern w:val="0"/>
          <w:sz w:val="24"/>
          <w:szCs w:val="24"/>
        </w:rPr>
        <w:t xml:space="preserve">, Albillos A, Rincón D, Alonso S, González M, Ruiz-del-Arbol L, Salcedo M, Molinero LM. Endoscopic treatment versus endoscopic plus pharmacologic treatment for acute variceal bleeding: a meta-analysis.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35</w:t>
      </w:r>
      <w:r w:rsidRPr="00594A33">
        <w:rPr>
          <w:rFonts w:ascii="Book Antiqua" w:hAnsi="Book Antiqua" w:cs="宋体"/>
          <w:kern w:val="0"/>
          <w:sz w:val="24"/>
          <w:szCs w:val="24"/>
        </w:rPr>
        <w:t>: 609-615 [PMID: 11870374 DOI: 10.1053/jhep.2002.31354]</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64 </w:t>
      </w:r>
      <w:r w:rsidRPr="00594A33">
        <w:rPr>
          <w:rFonts w:ascii="Book Antiqua" w:hAnsi="Book Antiqua" w:cs="宋体"/>
          <w:b/>
          <w:bCs/>
          <w:kern w:val="0"/>
          <w:sz w:val="24"/>
          <w:szCs w:val="24"/>
        </w:rPr>
        <w:t>Panés J</w:t>
      </w:r>
      <w:r w:rsidRPr="00594A33">
        <w:rPr>
          <w:rFonts w:ascii="Book Antiqua" w:hAnsi="Book Antiqua" w:cs="宋体"/>
          <w:kern w:val="0"/>
          <w:sz w:val="24"/>
          <w:szCs w:val="24"/>
        </w:rPr>
        <w:t xml:space="preserve">, Terés J, Bosch J, Rodés J. Efficacy of balloon tamponade in treatment of bleeding gastric and esophageal varices. Results in 151 consecutive episodes. </w:t>
      </w:r>
      <w:r w:rsidRPr="00594A33">
        <w:rPr>
          <w:rFonts w:ascii="Book Antiqua" w:hAnsi="Book Antiqua" w:cs="宋体"/>
          <w:i/>
          <w:iCs/>
          <w:kern w:val="0"/>
          <w:sz w:val="24"/>
          <w:szCs w:val="24"/>
        </w:rPr>
        <w:t>Dig Dis Sci</w:t>
      </w:r>
      <w:r w:rsidRPr="00594A33">
        <w:rPr>
          <w:rFonts w:ascii="Book Antiqua" w:hAnsi="Book Antiqua" w:cs="宋体"/>
          <w:kern w:val="0"/>
          <w:sz w:val="24"/>
          <w:szCs w:val="24"/>
        </w:rPr>
        <w:t xml:space="preserve"> 1988; </w:t>
      </w:r>
      <w:r w:rsidRPr="00594A33">
        <w:rPr>
          <w:rFonts w:ascii="Book Antiqua" w:hAnsi="Book Antiqua" w:cs="宋体"/>
          <w:b/>
          <w:bCs/>
          <w:kern w:val="0"/>
          <w:sz w:val="24"/>
          <w:szCs w:val="24"/>
        </w:rPr>
        <w:t>33</w:t>
      </w:r>
      <w:r w:rsidRPr="00594A33">
        <w:rPr>
          <w:rFonts w:ascii="Book Antiqua" w:hAnsi="Book Antiqua" w:cs="宋体"/>
          <w:kern w:val="0"/>
          <w:sz w:val="24"/>
          <w:szCs w:val="24"/>
        </w:rPr>
        <w:t>: 454-459 [PMID: 3280273 DOI: 10.1007/BF01536031]</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65 </w:t>
      </w:r>
      <w:r w:rsidRPr="00594A33">
        <w:rPr>
          <w:rFonts w:ascii="Book Antiqua" w:hAnsi="Book Antiqua" w:cs="宋体"/>
          <w:b/>
          <w:bCs/>
          <w:kern w:val="0"/>
          <w:sz w:val="24"/>
          <w:szCs w:val="24"/>
        </w:rPr>
        <w:t>Monescillo A</w:t>
      </w:r>
      <w:r w:rsidRPr="00594A33">
        <w:rPr>
          <w:rFonts w:ascii="Book Antiqua" w:hAnsi="Book Antiqua" w:cs="宋体"/>
          <w:kern w:val="0"/>
          <w:sz w:val="24"/>
          <w:szCs w:val="24"/>
        </w:rPr>
        <w:t xml:space="preserve">, Martínez-Lagares F, Ruiz-del-Arbol L, Sierra A, Guevara C, Jiménez E, Marrero JM, Buceta E, Sánchez J, Castellot A, Peñate M, Cruz A, Peña E. Influence of portal hypertension and its early decompression by TIPS placement on the outcome of variceal bleeding. </w:t>
      </w:r>
      <w:r w:rsidRPr="00594A33">
        <w:rPr>
          <w:rFonts w:ascii="Book Antiqua" w:hAnsi="Book Antiqua" w:cs="宋体"/>
          <w:i/>
          <w:iCs/>
          <w:kern w:val="0"/>
          <w:sz w:val="24"/>
          <w:szCs w:val="24"/>
        </w:rPr>
        <w:t>Hepatology</w:t>
      </w:r>
      <w:r w:rsidRPr="00594A33">
        <w:rPr>
          <w:rFonts w:ascii="Book Antiqua" w:hAnsi="Book Antiqua" w:cs="宋体"/>
          <w:kern w:val="0"/>
          <w:sz w:val="24"/>
          <w:szCs w:val="24"/>
        </w:rPr>
        <w:t xml:space="preserve"> 2004; </w:t>
      </w:r>
      <w:r w:rsidRPr="00594A33">
        <w:rPr>
          <w:rFonts w:ascii="Book Antiqua" w:hAnsi="Book Antiqua" w:cs="宋体"/>
          <w:b/>
          <w:bCs/>
          <w:kern w:val="0"/>
          <w:sz w:val="24"/>
          <w:szCs w:val="24"/>
        </w:rPr>
        <w:t>40</w:t>
      </w:r>
      <w:r w:rsidRPr="00594A33">
        <w:rPr>
          <w:rFonts w:ascii="Book Antiqua" w:hAnsi="Book Antiqua" w:cs="宋体"/>
          <w:kern w:val="0"/>
          <w:sz w:val="24"/>
          <w:szCs w:val="24"/>
        </w:rPr>
        <w:t>: 793-801 [PMID: 15382120 DOI: 10.1002/hep.20386]</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66 </w:t>
      </w:r>
      <w:r w:rsidRPr="00594A33">
        <w:rPr>
          <w:rFonts w:ascii="Book Antiqua" w:hAnsi="Book Antiqua" w:cs="宋体"/>
          <w:b/>
          <w:bCs/>
          <w:kern w:val="0"/>
          <w:sz w:val="24"/>
          <w:szCs w:val="24"/>
        </w:rPr>
        <w:t>Kalva SP</w:t>
      </w:r>
      <w:r w:rsidRPr="00594A33">
        <w:rPr>
          <w:rFonts w:ascii="Book Antiqua" w:hAnsi="Book Antiqua" w:cs="宋体"/>
          <w:kern w:val="0"/>
          <w:sz w:val="24"/>
          <w:szCs w:val="24"/>
        </w:rPr>
        <w:t xml:space="preserve">, Salazar GM, Walker TG. Transjugular intrahepatic portosystemic shunt for acute variceal hemorrhage. </w:t>
      </w:r>
      <w:r w:rsidRPr="00594A33">
        <w:rPr>
          <w:rFonts w:ascii="Book Antiqua" w:hAnsi="Book Antiqua" w:cs="宋体"/>
          <w:i/>
          <w:iCs/>
          <w:kern w:val="0"/>
          <w:sz w:val="24"/>
          <w:szCs w:val="24"/>
        </w:rPr>
        <w:t>Tech Vasc Interv Radiol</w:t>
      </w:r>
      <w:r w:rsidRPr="00594A33">
        <w:rPr>
          <w:rFonts w:ascii="Book Antiqua" w:hAnsi="Book Antiqua" w:cs="宋体"/>
          <w:kern w:val="0"/>
          <w:sz w:val="24"/>
          <w:szCs w:val="24"/>
        </w:rPr>
        <w:t xml:space="preserve"> 2009; </w:t>
      </w:r>
      <w:r w:rsidRPr="00594A33">
        <w:rPr>
          <w:rFonts w:ascii="Book Antiqua" w:hAnsi="Book Antiqua" w:cs="宋体"/>
          <w:b/>
          <w:bCs/>
          <w:kern w:val="0"/>
          <w:sz w:val="24"/>
          <w:szCs w:val="24"/>
        </w:rPr>
        <w:t>12</w:t>
      </w:r>
      <w:r w:rsidRPr="00594A33">
        <w:rPr>
          <w:rFonts w:ascii="Book Antiqua" w:hAnsi="Book Antiqua" w:cs="宋体"/>
          <w:kern w:val="0"/>
          <w:sz w:val="24"/>
          <w:szCs w:val="24"/>
        </w:rPr>
        <w:t>: 92-101 [PMID: 19853227 DOI: 10.1053/j.tvir.2009.08.003]</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67 </w:t>
      </w:r>
      <w:r w:rsidRPr="00594A33">
        <w:rPr>
          <w:rFonts w:ascii="Book Antiqua" w:hAnsi="Book Antiqua" w:cs="宋体"/>
          <w:b/>
          <w:bCs/>
          <w:kern w:val="0"/>
          <w:sz w:val="24"/>
          <w:szCs w:val="24"/>
        </w:rPr>
        <w:t>Maleux G</w:t>
      </w:r>
      <w:r w:rsidRPr="00594A33">
        <w:rPr>
          <w:rFonts w:ascii="Book Antiqua" w:hAnsi="Book Antiqua" w:cs="宋体"/>
          <w:kern w:val="0"/>
          <w:sz w:val="24"/>
          <w:szCs w:val="24"/>
        </w:rPr>
        <w:t xml:space="preserve">, Nevens F, Heye S, Verslype C, Marchal G. The use of carbon dioxide wedged hepatic venography to identify the portal vein: comparison with direct catheter portography with iodinated contrast medium and analysis of predictive factors influencing level of opacification.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2006; </w:t>
      </w:r>
      <w:r w:rsidRPr="00594A33">
        <w:rPr>
          <w:rFonts w:ascii="Book Antiqua" w:hAnsi="Book Antiqua" w:cs="宋体"/>
          <w:b/>
          <w:bCs/>
          <w:kern w:val="0"/>
          <w:sz w:val="24"/>
          <w:szCs w:val="24"/>
        </w:rPr>
        <w:t>17</w:t>
      </w:r>
      <w:r w:rsidRPr="00594A33">
        <w:rPr>
          <w:rFonts w:ascii="Book Antiqua" w:hAnsi="Book Antiqua" w:cs="宋体"/>
          <w:kern w:val="0"/>
          <w:sz w:val="24"/>
          <w:szCs w:val="24"/>
        </w:rPr>
        <w:t>: 1771-1779 [PMID: 17142707 DOI: 10.1097/01.RVI.0000242185.26944.60]</w:t>
      </w:r>
    </w:p>
    <w:p w:rsidR="00C92AB1" w:rsidRPr="00594A33" w:rsidRDefault="00C92AB1" w:rsidP="00076C8C">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68 </w:t>
      </w:r>
      <w:r w:rsidRPr="00594A33">
        <w:rPr>
          <w:rFonts w:ascii="Book Antiqua" w:hAnsi="Book Antiqua" w:cs="宋体"/>
          <w:b/>
          <w:bCs/>
          <w:kern w:val="0"/>
          <w:sz w:val="24"/>
          <w:szCs w:val="24"/>
        </w:rPr>
        <w:t>Lopera JE</w:t>
      </w:r>
      <w:r w:rsidRPr="00594A33">
        <w:rPr>
          <w:rFonts w:ascii="Book Antiqua" w:hAnsi="Book Antiqua" w:cs="宋体"/>
          <w:kern w:val="0"/>
          <w:sz w:val="24"/>
          <w:szCs w:val="24"/>
        </w:rPr>
        <w:t xml:space="preserve">. Role of emergency transjugular intrahepatic portosystemic shunts. </w:t>
      </w:r>
      <w:r w:rsidRPr="00594A33">
        <w:rPr>
          <w:rFonts w:ascii="Book Antiqua" w:hAnsi="Book Antiqua" w:cs="宋体"/>
          <w:i/>
          <w:iCs/>
          <w:kern w:val="0"/>
          <w:sz w:val="24"/>
          <w:szCs w:val="24"/>
        </w:rPr>
        <w:t>Semin Intervent Radiol</w:t>
      </w:r>
      <w:r w:rsidRPr="00594A33">
        <w:rPr>
          <w:rFonts w:ascii="Book Antiqua" w:hAnsi="Book Antiqua" w:cs="宋体"/>
          <w:kern w:val="0"/>
          <w:sz w:val="24"/>
          <w:szCs w:val="24"/>
        </w:rPr>
        <w:t xml:space="preserve"> 2005; </w:t>
      </w:r>
      <w:r w:rsidRPr="00594A33">
        <w:rPr>
          <w:rFonts w:ascii="Book Antiqua" w:hAnsi="Book Antiqua" w:cs="宋体"/>
          <w:b/>
          <w:bCs/>
          <w:kern w:val="0"/>
          <w:sz w:val="24"/>
          <w:szCs w:val="24"/>
        </w:rPr>
        <w:t>22</w:t>
      </w:r>
      <w:r w:rsidRPr="00594A33">
        <w:rPr>
          <w:rFonts w:ascii="Book Antiqua" w:hAnsi="Book Antiqua" w:cs="宋体"/>
          <w:kern w:val="0"/>
          <w:sz w:val="24"/>
          <w:szCs w:val="24"/>
        </w:rPr>
        <w:t>: 253-265 [PMID: 21326703 DOI: 10.1055/s-2005-925551]</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69 </w:t>
      </w:r>
      <w:r w:rsidRPr="00594A33">
        <w:rPr>
          <w:rFonts w:ascii="Book Antiqua" w:hAnsi="Book Antiqua" w:cs="宋体"/>
          <w:b/>
          <w:bCs/>
          <w:kern w:val="0"/>
          <w:sz w:val="24"/>
          <w:szCs w:val="24"/>
        </w:rPr>
        <w:t>Rubin RA</w:t>
      </w:r>
      <w:r w:rsidRPr="00594A33">
        <w:rPr>
          <w:rFonts w:ascii="Book Antiqua" w:hAnsi="Book Antiqua" w:cs="宋体"/>
          <w:kern w:val="0"/>
          <w:sz w:val="24"/>
          <w:szCs w:val="24"/>
        </w:rPr>
        <w:t xml:space="preserve">, Haskal ZJ, O'Brien CB, Cope C, Brass CA. Transjugular intrahepatic portosystemic shunting: decreased survival for patients with high APACHE II scores. </w:t>
      </w:r>
      <w:r w:rsidRPr="00594A33">
        <w:rPr>
          <w:rFonts w:ascii="Book Antiqua" w:hAnsi="Book Antiqua" w:cs="宋体"/>
          <w:i/>
          <w:iCs/>
          <w:kern w:val="0"/>
          <w:sz w:val="24"/>
          <w:szCs w:val="24"/>
        </w:rPr>
        <w:t>Am J Gastroenterol</w:t>
      </w:r>
      <w:r w:rsidRPr="00594A33">
        <w:rPr>
          <w:rFonts w:ascii="Book Antiqua" w:hAnsi="Book Antiqua" w:cs="宋体"/>
          <w:kern w:val="0"/>
          <w:sz w:val="24"/>
          <w:szCs w:val="24"/>
        </w:rPr>
        <w:t xml:space="preserve"> 1995; </w:t>
      </w:r>
      <w:r w:rsidRPr="00594A33">
        <w:rPr>
          <w:rFonts w:ascii="Book Antiqua" w:hAnsi="Book Antiqua" w:cs="宋体"/>
          <w:b/>
          <w:bCs/>
          <w:kern w:val="0"/>
          <w:sz w:val="24"/>
          <w:szCs w:val="24"/>
        </w:rPr>
        <w:t>90</w:t>
      </w:r>
      <w:r w:rsidRPr="00594A33">
        <w:rPr>
          <w:rFonts w:ascii="Book Antiqua" w:hAnsi="Book Antiqua" w:cs="宋体"/>
          <w:kern w:val="0"/>
          <w:sz w:val="24"/>
          <w:szCs w:val="24"/>
        </w:rPr>
        <w:t>: 556-563 [PMID: 7717310]</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70 </w:t>
      </w:r>
      <w:r w:rsidRPr="00594A33">
        <w:rPr>
          <w:rFonts w:ascii="Book Antiqua" w:hAnsi="Book Antiqua" w:cs="宋体"/>
          <w:b/>
          <w:bCs/>
          <w:kern w:val="0"/>
          <w:sz w:val="24"/>
          <w:szCs w:val="24"/>
        </w:rPr>
        <w:t>Sahagun G</w:t>
      </w:r>
      <w:r w:rsidRPr="00594A33">
        <w:rPr>
          <w:rFonts w:ascii="Book Antiqua" w:hAnsi="Book Antiqua" w:cs="宋体"/>
          <w:kern w:val="0"/>
          <w:sz w:val="24"/>
          <w:szCs w:val="24"/>
        </w:rPr>
        <w:t xml:space="preserve">, Benner KG, Saxon R, Barton RE, Rabkin J, Keller FS, Rosch J. Outcome of 100 patients after transjugular intrahepatic portosystemic shunt for variceal hemorrhage. </w:t>
      </w:r>
      <w:r w:rsidRPr="00594A33">
        <w:rPr>
          <w:rFonts w:ascii="Book Antiqua" w:hAnsi="Book Antiqua" w:cs="宋体"/>
          <w:i/>
          <w:iCs/>
          <w:kern w:val="0"/>
          <w:sz w:val="24"/>
          <w:szCs w:val="24"/>
        </w:rPr>
        <w:t>Am J Gastroenterol</w:t>
      </w:r>
      <w:r w:rsidRPr="00594A33">
        <w:rPr>
          <w:rFonts w:ascii="Book Antiqua" w:hAnsi="Book Antiqua" w:cs="宋体"/>
          <w:kern w:val="0"/>
          <w:sz w:val="24"/>
          <w:szCs w:val="24"/>
        </w:rPr>
        <w:t xml:space="preserve"> 1997; </w:t>
      </w:r>
      <w:r w:rsidRPr="00594A33">
        <w:rPr>
          <w:rFonts w:ascii="Book Antiqua" w:hAnsi="Book Antiqua" w:cs="宋体"/>
          <w:b/>
          <w:bCs/>
          <w:kern w:val="0"/>
          <w:sz w:val="24"/>
          <w:szCs w:val="24"/>
        </w:rPr>
        <w:t>92</w:t>
      </w:r>
      <w:r w:rsidRPr="00594A33">
        <w:rPr>
          <w:rFonts w:ascii="Book Antiqua" w:hAnsi="Book Antiqua" w:cs="宋体"/>
          <w:kern w:val="0"/>
          <w:sz w:val="24"/>
          <w:szCs w:val="24"/>
        </w:rPr>
        <w:t>: 1444-1452 [PMID: 9317060]</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71 </w:t>
      </w:r>
      <w:r w:rsidRPr="00594A33">
        <w:rPr>
          <w:rFonts w:ascii="Book Antiqua" w:hAnsi="Book Antiqua" w:cs="宋体"/>
          <w:b/>
          <w:bCs/>
          <w:kern w:val="0"/>
          <w:sz w:val="24"/>
          <w:szCs w:val="24"/>
        </w:rPr>
        <w:t>Bizollon T</w:t>
      </w:r>
      <w:r w:rsidRPr="00594A33">
        <w:rPr>
          <w:rFonts w:ascii="Book Antiqua" w:hAnsi="Book Antiqua" w:cs="宋体"/>
          <w:kern w:val="0"/>
          <w:sz w:val="24"/>
          <w:szCs w:val="24"/>
        </w:rPr>
        <w:t xml:space="preserve">, Dumortier J, Jouisse C, Rode A, Henry L, Boillot O, Valette PJ, Ducerf C, Souquet JC, Baulieux J, Paliard P, Trepo C. Transjugular intra-hepatic portosystemic shunt for refractory variceal bleeding. </w:t>
      </w:r>
      <w:r w:rsidRPr="00594A33">
        <w:rPr>
          <w:rFonts w:ascii="Book Antiqua" w:hAnsi="Book Antiqua" w:cs="宋体"/>
          <w:i/>
          <w:iCs/>
          <w:kern w:val="0"/>
          <w:sz w:val="24"/>
          <w:szCs w:val="24"/>
        </w:rPr>
        <w:t>Eur J Gastroenterol Hepatol</w:t>
      </w:r>
      <w:r w:rsidRPr="00594A33">
        <w:rPr>
          <w:rFonts w:ascii="Book Antiqua" w:hAnsi="Book Antiqua" w:cs="宋体"/>
          <w:kern w:val="0"/>
          <w:sz w:val="24"/>
          <w:szCs w:val="24"/>
        </w:rPr>
        <w:t xml:space="preserve"> 2001; </w:t>
      </w:r>
      <w:r w:rsidRPr="00594A33">
        <w:rPr>
          <w:rFonts w:ascii="Book Antiqua" w:hAnsi="Book Antiqua" w:cs="宋体"/>
          <w:b/>
          <w:bCs/>
          <w:kern w:val="0"/>
          <w:sz w:val="24"/>
          <w:szCs w:val="24"/>
        </w:rPr>
        <w:t>13</w:t>
      </w:r>
      <w:r w:rsidRPr="00594A33">
        <w:rPr>
          <w:rFonts w:ascii="Book Antiqua" w:hAnsi="Book Antiqua" w:cs="宋体"/>
          <w:kern w:val="0"/>
          <w:sz w:val="24"/>
          <w:szCs w:val="24"/>
        </w:rPr>
        <w:t>: 369-375 [PMID: 11338064 DOI: 10.1097/00042737-200104000-00011]</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72 </w:t>
      </w:r>
      <w:r w:rsidRPr="00594A33">
        <w:rPr>
          <w:rFonts w:ascii="Book Antiqua" w:hAnsi="Book Antiqua" w:cs="宋体"/>
          <w:b/>
          <w:bCs/>
          <w:kern w:val="0"/>
          <w:sz w:val="24"/>
          <w:szCs w:val="24"/>
        </w:rPr>
        <w:t>Zizka J</w:t>
      </w:r>
      <w:r w:rsidRPr="00594A33">
        <w:rPr>
          <w:rFonts w:ascii="Book Antiqua" w:hAnsi="Book Antiqua" w:cs="宋体"/>
          <w:kern w:val="0"/>
          <w:sz w:val="24"/>
          <w:szCs w:val="24"/>
        </w:rPr>
        <w:t>, Eliás P, Krajina A, Michl A, Lojík M, Ryska P, Masková J, H</w:t>
      </w:r>
      <w:r w:rsidRPr="00594A33">
        <w:rPr>
          <w:rFonts w:ascii="Book Antiqua" w:eastAsia="MS Mincho" w:hAnsi="Book Antiqua" w:cs="MS Mincho"/>
          <w:kern w:val="0"/>
          <w:sz w:val="24"/>
          <w:szCs w:val="24"/>
        </w:rPr>
        <w:t>ů</w:t>
      </w:r>
      <w:r w:rsidRPr="00594A33">
        <w:rPr>
          <w:rFonts w:ascii="Book Antiqua" w:hAnsi="Book Antiqua" w:cs="宋体"/>
          <w:kern w:val="0"/>
          <w:sz w:val="24"/>
          <w:szCs w:val="24"/>
        </w:rPr>
        <w:t xml:space="preserve">lek P, Safka V, Vanásek T, Bukac J. Value of Doppler sonography in revealing transjugular intrahepatic portosystemic shunt malfunction: a 5-year experience in 216 patients. </w:t>
      </w:r>
      <w:r w:rsidRPr="00594A33">
        <w:rPr>
          <w:rFonts w:ascii="Book Antiqua" w:hAnsi="Book Antiqua" w:cs="宋体"/>
          <w:i/>
          <w:iCs/>
          <w:kern w:val="0"/>
          <w:sz w:val="24"/>
          <w:szCs w:val="24"/>
        </w:rPr>
        <w:t>AJR Am J Roentgenol</w:t>
      </w:r>
      <w:r w:rsidRPr="00594A33">
        <w:rPr>
          <w:rFonts w:ascii="Book Antiqua" w:hAnsi="Book Antiqua" w:cs="宋体"/>
          <w:kern w:val="0"/>
          <w:sz w:val="24"/>
          <w:szCs w:val="24"/>
        </w:rPr>
        <w:t xml:space="preserve"> 2000; </w:t>
      </w:r>
      <w:r w:rsidRPr="00594A33">
        <w:rPr>
          <w:rFonts w:ascii="Book Antiqua" w:hAnsi="Book Antiqua" w:cs="宋体"/>
          <w:b/>
          <w:bCs/>
          <w:kern w:val="0"/>
          <w:sz w:val="24"/>
          <w:szCs w:val="24"/>
        </w:rPr>
        <w:t>175</w:t>
      </w:r>
      <w:r w:rsidRPr="00594A33">
        <w:rPr>
          <w:rFonts w:ascii="Book Antiqua" w:hAnsi="Book Antiqua" w:cs="宋体"/>
          <w:kern w:val="0"/>
          <w:sz w:val="24"/>
          <w:szCs w:val="24"/>
        </w:rPr>
        <w:t>: 141-148 [PMID: 10882264 DOI: 10.2214/ajr.175.1.1750141]</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73 </w:t>
      </w:r>
      <w:r w:rsidRPr="00594A33">
        <w:rPr>
          <w:rFonts w:ascii="Book Antiqua" w:hAnsi="Book Antiqua" w:cs="宋体"/>
          <w:b/>
          <w:bCs/>
          <w:kern w:val="0"/>
          <w:sz w:val="24"/>
          <w:szCs w:val="24"/>
        </w:rPr>
        <w:t>Jirkovsky V</w:t>
      </w:r>
      <w:r w:rsidRPr="00594A33">
        <w:rPr>
          <w:rFonts w:ascii="Book Antiqua" w:hAnsi="Book Antiqua" w:cs="宋体"/>
          <w:kern w:val="0"/>
          <w:sz w:val="24"/>
          <w:szCs w:val="24"/>
        </w:rPr>
        <w:t xml:space="preserve">, Fejfar T, Safka V, Hulek P, Krajina A, Chovanec V, Raupach J, Lojik M, Vanasek T, Renc O, Ali SM. Influence of the secondary deployment of expanded polytetrafluoroethylene-covered stent grafts on maintenance of transjugular intrahepatic portosystemic shunt patency.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2011; </w:t>
      </w:r>
      <w:r w:rsidRPr="00594A33">
        <w:rPr>
          <w:rFonts w:ascii="Book Antiqua" w:hAnsi="Book Antiqua" w:cs="宋体"/>
          <w:b/>
          <w:bCs/>
          <w:kern w:val="0"/>
          <w:sz w:val="24"/>
          <w:szCs w:val="24"/>
        </w:rPr>
        <w:t>22</w:t>
      </w:r>
      <w:r w:rsidRPr="00594A33">
        <w:rPr>
          <w:rFonts w:ascii="Book Antiqua" w:hAnsi="Book Antiqua" w:cs="宋体"/>
          <w:kern w:val="0"/>
          <w:sz w:val="24"/>
          <w:szCs w:val="24"/>
        </w:rPr>
        <w:t>: 55-60 [PMID: 21106389 DOI: 10.1016/j.jvir.2010.09.016]</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lastRenderedPageBreak/>
        <w:t xml:space="preserve">74 </w:t>
      </w:r>
      <w:r w:rsidRPr="00594A33">
        <w:rPr>
          <w:rFonts w:ascii="Book Antiqua" w:hAnsi="Book Antiqua" w:cs="宋体"/>
          <w:b/>
          <w:bCs/>
          <w:kern w:val="0"/>
          <w:sz w:val="24"/>
          <w:szCs w:val="24"/>
        </w:rPr>
        <w:t>Sze DY</w:t>
      </w:r>
      <w:r w:rsidRPr="00594A33">
        <w:rPr>
          <w:rFonts w:ascii="Book Antiqua" w:hAnsi="Book Antiqua" w:cs="宋体"/>
          <w:kern w:val="0"/>
          <w:sz w:val="24"/>
          <w:szCs w:val="24"/>
        </w:rPr>
        <w:t xml:space="preserve">, Hwang GL, Kao JS, Frisoli JK, Kee ST, Razavi MK, Ahmed A. Bidirectionally adjustable TIPS reduction by parallel stent and stent-graft deployment.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2008; </w:t>
      </w:r>
      <w:r w:rsidRPr="00594A33">
        <w:rPr>
          <w:rFonts w:ascii="Book Antiqua" w:hAnsi="Book Antiqua" w:cs="宋体"/>
          <w:b/>
          <w:bCs/>
          <w:kern w:val="0"/>
          <w:sz w:val="24"/>
          <w:szCs w:val="24"/>
        </w:rPr>
        <w:t>19</w:t>
      </w:r>
      <w:r w:rsidRPr="00594A33">
        <w:rPr>
          <w:rFonts w:ascii="Book Antiqua" w:hAnsi="Book Antiqua" w:cs="宋体"/>
          <w:kern w:val="0"/>
          <w:sz w:val="24"/>
          <w:szCs w:val="24"/>
        </w:rPr>
        <w:t>: 1653-1658 [PMID: 18823797 DOI: 10.1016/j.jvir.2008.08.011]</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75 </w:t>
      </w:r>
      <w:r w:rsidRPr="00594A33">
        <w:rPr>
          <w:rFonts w:ascii="Book Antiqua" w:hAnsi="Book Antiqua"/>
          <w:b/>
          <w:bCs/>
          <w:sz w:val="24"/>
          <w:szCs w:val="24"/>
        </w:rPr>
        <w:t>Fanelli F</w:t>
      </w:r>
      <w:r w:rsidRPr="00594A33">
        <w:rPr>
          <w:rFonts w:ascii="Book Antiqua" w:hAnsi="Book Antiqua"/>
          <w:sz w:val="24"/>
          <w:szCs w:val="24"/>
        </w:rPr>
        <w:t xml:space="preserve">, Salvatori FM, Rabuffi P, Boatta E, Riggio O, Lucatelli P, Passariello R. Management of refractory hepatic encephalopathy after insertion of TIPS: long-term results of shunt reduction with hourglass-shaped balloon-expandable stent-graft. </w:t>
      </w:r>
      <w:r w:rsidRPr="00594A33">
        <w:rPr>
          <w:rFonts w:ascii="Book Antiqua" w:hAnsi="Book Antiqua"/>
          <w:i/>
          <w:iCs/>
          <w:sz w:val="24"/>
          <w:szCs w:val="24"/>
        </w:rPr>
        <w:t>AJR Am J Roentgenol</w:t>
      </w:r>
      <w:r w:rsidRPr="00594A33">
        <w:rPr>
          <w:rFonts w:ascii="Book Antiqua" w:hAnsi="Book Antiqua"/>
          <w:sz w:val="24"/>
          <w:szCs w:val="24"/>
        </w:rPr>
        <w:t xml:space="preserve"> 2009; </w:t>
      </w:r>
      <w:r w:rsidRPr="00594A33">
        <w:rPr>
          <w:rFonts w:ascii="Book Antiqua" w:hAnsi="Book Antiqua"/>
          <w:b/>
          <w:bCs/>
          <w:sz w:val="24"/>
          <w:szCs w:val="24"/>
        </w:rPr>
        <w:t>193</w:t>
      </w:r>
      <w:r w:rsidRPr="00594A33">
        <w:rPr>
          <w:rFonts w:ascii="Book Antiqua" w:hAnsi="Book Antiqua"/>
          <w:sz w:val="24"/>
          <w:szCs w:val="24"/>
        </w:rPr>
        <w:t>: 1696-1702 [PMID: 19933667 DOI: 10.2214/AJR.09.2968]</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76 </w:t>
      </w:r>
      <w:r w:rsidRPr="00594A33">
        <w:rPr>
          <w:rFonts w:ascii="Book Antiqua" w:hAnsi="Book Antiqua" w:cs="宋体"/>
          <w:b/>
          <w:bCs/>
          <w:kern w:val="0"/>
          <w:sz w:val="24"/>
          <w:szCs w:val="24"/>
        </w:rPr>
        <w:t>Boyer TD</w:t>
      </w:r>
      <w:r w:rsidRPr="00594A33">
        <w:rPr>
          <w:rFonts w:ascii="Book Antiqua" w:hAnsi="Book Antiqua" w:cs="宋体"/>
          <w:kern w:val="0"/>
          <w:sz w:val="24"/>
          <w:szCs w:val="24"/>
        </w:rPr>
        <w:t xml:space="preserve">, Haskal ZJ. American Association for the Study of Liver Diseases Practice Guidelines: the role of transjugular intrahepatic portosystemic shunt creation in the management of portal hypertension.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2005; </w:t>
      </w:r>
      <w:r w:rsidRPr="00594A33">
        <w:rPr>
          <w:rFonts w:ascii="Book Antiqua" w:hAnsi="Book Antiqua" w:cs="宋体"/>
          <w:b/>
          <w:bCs/>
          <w:kern w:val="0"/>
          <w:sz w:val="24"/>
          <w:szCs w:val="24"/>
        </w:rPr>
        <w:t>16</w:t>
      </w:r>
      <w:r w:rsidRPr="00594A33">
        <w:rPr>
          <w:rFonts w:ascii="Book Antiqua" w:hAnsi="Book Antiqua" w:cs="宋体"/>
          <w:kern w:val="0"/>
          <w:sz w:val="24"/>
          <w:szCs w:val="24"/>
        </w:rPr>
        <w:t>: 615-629 [PMID: 15872315 DOI: 10.1097/01.RVI.0000157297.91510.21]</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77 </w:t>
      </w:r>
      <w:r w:rsidRPr="00594A33">
        <w:rPr>
          <w:rFonts w:ascii="Book Antiqua" w:hAnsi="Book Antiqua"/>
          <w:b/>
          <w:bCs/>
          <w:sz w:val="24"/>
          <w:szCs w:val="24"/>
        </w:rPr>
        <w:t>D'Amico G</w:t>
      </w:r>
      <w:r w:rsidRPr="00594A33">
        <w:rPr>
          <w:rFonts w:ascii="Book Antiqua" w:hAnsi="Book Antiqua"/>
          <w:sz w:val="24"/>
          <w:szCs w:val="24"/>
        </w:rPr>
        <w:t xml:space="preserve">, Luca A, Morabito A, Miraglia R, D'Amico M. Uncovered transjugular intrahepatic portosystemic shunt for refractory ascites: a meta-analysis. </w:t>
      </w:r>
      <w:r w:rsidRPr="00594A33">
        <w:rPr>
          <w:rFonts w:ascii="Book Antiqua" w:hAnsi="Book Antiqua"/>
          <w:i/>
          <w:iCs/>
          <w:sz w:val="24"/>
          <w:szCs w:val="24"/>
        </w:rPr>
        <w:t>Gastroenterology</w:t>
      </w:r>
      <w:r w:rsidRPr="00594A33">
        <w:rPr>
          <w:rFonts w:ascii="Book Antiqua" w:hAnsi="Book Antiqua"/>
          <w:sz w:val="24"/>
          <w:szCs w:val="24"/>
        </w:rPr>
        <w:t xml:space="preserve"> 2005; </w:t>
      </w:r>
      <w:r w:rsidRPr="00594A33">
        <w:rPr>
          <w:rFonts w:ascii="Book Antiqua" w:hAnsi="Book Antiqua"/>
          <w:b/>
          <w:bCs/>
          <w:sz w:val="24"/>
          <w:szCs w:val="24"/>
        </w:rPr>
        <w:t>129</w:t>
      </w:r>
      <w:r w:rsidRPr="00594A33">
        <w:rPr>
          <w:rFonts w:ascii="Book Antiqua" w:hAnsi="Book Antiqua"/>
          <w:sz w:val="24"/>
          <w:szCs w:val="24"/>
        </w:rPr>
        <w:t>: 1282-1293 [PMID: 16230081 DOI: 10.1053/j.gastro.2005.07.031]</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78 </w:t>
      </w:r>
      <w:r w:rsidRPr="00594A33">
        <w:rPr>
          <w:rFonts w:ascii="Book Antiqua" w:hAnsi="Book Antiqua" w:cs="宋体"/>
          <w:b/>
          <w:bCs/>
          <w:kern w:val="0"/>
          <w:sz w:val="24"/>
          <w:szCs w:val="24"/>
        </w:rPr>
        <w:t>Bureau C</w:t>
      </w:r>
      <w:r w:rsidRPr="00594A33">
        <w:rPr>
          <w:rFonts w:ascii="Book Antiqua" w:hAnsi="Book Antiqua" w:cs="宋体"/>
          <w:kern w:val="0"/>
          <w:sz w:val="24"/>
          <w:szCs w:val="24"/>
        </w:rPr>
        <w:t xml:space="preserve">, Pagan JC, Layrargues GP, Metivier S, Bellot P, Perreault P, Otal P, Abraldes JG, Peron JM, Rousseau H, Bosch J, Vinel JP. Patency of stents covered with polytetrafluoroethylene in patients treated by transjugular intrahepatic portosystemic shunts: long-term results of a randomized multicentre study. </w:t>
      </w:r>
      <w:r w:rsidRPr="00594A33">
        <w:rPr>
          <w:rFonts w:ascii="Book Antiqua" w:hAnsi="Book Antiqua" w:cs="宋体"/>
          <w:i/>
          <w:iCs/>
          <w:kern w:val="0"/>
          <w:sz w:val="24"/>
          <w:szCs w:val="24"/>
        </w:rPr>
        <w:t>Liver Int</w:t>
      </w:r>
      <w:r w:rsidRPr="00594A33">
        <w:rPr>
          <w:rFonts w:ascii="Book Antiqua" w:hAnsi="Book Antiqua" w:cs="宋体"/>
          <w:kern w:val="0"/>
          <w:sz w:val="24"/>
          <w:szCs w:val="24"/>
        </w:rPr>
        <w:t xml:space="preserve"> 2007; </w:t>
      </w:r>
      <w:r w:rsidRPr="00594A33">
        <w:rPr>
          <w:rFonts w:ascii="Book Antiqua" w:hAnsi="Book Antiqua" w:cs="宋体"/>
          <w:b/>
          <w:bCs/>
          <w:kern w:val="0"/>
          <w:sz w:val="24"/>
          <w:szCs w:val="24"/>
        </w:rPr>
        <w:t>27</w:t>
      </w:r>
      <w:r w:rsidRPr="00594A33">
        <w:rPr>
          <w:rFonts w:ascii="Book Antiqua" w:hAnsi="Book Antiqua" w:cs="宋体"/>
          <w:kern w:val="0"/>
          <w:sz w:val="24"/>
          <w:szCs w:val="24"/>
        </w:rPr>
        <w:t>: 742-747 [PMID: 17617116 DOI: 10.1111/j.1478-3231.2007.01522.x]</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79 </w:t>
      </w:r>
      <w:r w:rsidRPr="00594A33">
        <w:rPr>
          <w:rFonts w:ascii="Book Antiqua" w:hAnsi="Book Antiqua" w:cs="宋体"/>
          <w:b/>
          <w:bCs/>
          <w:kern w:val="0"/>
          <w:sz w:val="24"/>
          <w:szCs w:val="24"/>
        </w:rPr>
        <w:t>Bañares R</w:t>
      </w:r>
      <w:r w:rsidRPr="00594A33">
        <w:rPr>
          <w:rFonts w:ascii="Book Antiqua" w:hAnsi="Book Antiqua" w:cs="宋体"/>
          <w:kern w:val="0"/>
          <w:sz w:val="24"/>
          <w:szCs w:val="24"/>
        </w:rPr>
        <w:t xml:space="preserve">, Casado M, Rodríguez-Láiz JM, Camúñez F, Matilla A, Echenagusía A, Simó G, Piqueras B, Clemente G, Cos E. Urgent transjugular intrahepatic portosystemic shunt for control of acute variceal bleeding. </w:t>
      </w:r>
      <w:r w:rsidRPr="00594A33">
        <w:rPr>
          <w:rFonts w:ascii="Book Antiqua" w:hAnsi="Book Antiqua" w:cs="宋体"/>
          <w:i/>
          <w:iCs/>
          <w:kern w:val="0"/>
          <w:sz w:val="24"/>
          <w:szCs w:val="24"/>
        </w:rPr>
        <w:t>Am J Gastroenterol</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93</w:t>
      </w:r>
      <w:r w:rsidRPr="00594A33">
        <w:rPr>
          <w:rFonts w:ascii="Book Antiqua" w:hAnsi="Book Antiqua" w:cs="宋体"/>
          <w:kern w:val="0"/>
          <w:sz w:val="24"/>
          <w:szCs w:val="24"/>
        </w:rPr>
        <w:t>: 75-79 [PMID: 9448179 DOI: 10.1111/j.1572-0241.1998.075_c.x]</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80 </w:t>
      </w:r>
      <w:r w:rsidRPr="00594A33">
        <w:rPr>
          <w:rFonts w:ascii="Book Antiqua" w:hAnsi="Book Antiqua" w:cs="宋体"/>
          <w:b/>
          <w:bCs/>
          <w:kern w:val="0"/>
          <w:sz w:val="24"/>
          <w:szCs w:val="24"/>
        </w:rPr>
        <w:t>Gerbes AL</w:t>
      </w:r>
      <w:r w:rsidRPr="00594A33">
        <w:rPr>
          <w:rFonts w:ascii="Book Antiqua" w:hAnsi="Book Antiqua" w:cs="宋体"/>
          <w:kern w:val="0"/>
          <w:sz w:val="24"/>
          <w:szCs w:val="24"/>
        </w:rPr>
        <w:t xml:space="preserve">, Gülberg V, Waggershauser T, Holl J, Reiser M. Transjugular intrahepatic portosystemic shunt (TIPS) for variceal bleeding in portal hypertension: comparison of emergency and elective interventions. </w:t>
      </w:r>
      <w:r w:rsidRPr="00594A33">
        <w:rPr>
          <w:rFonts w:ascii="Book Antiqua" w:hAnsi="Book Antiqua" w:cs="宋体"/>
          <w:i/>
          <w:iCs/>
          <w:kern w:val="0"/>
          <w:sz w:val="24"/>
          <w:szCs w:val="24"/>
        </w:rPr>
        <w:t>Dig Dis Sci</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43</w:t>
      </w:r>
      <w:r w:rsidRPr="00594A33">
        <w:rPr>
          <w:rFonts w:ascii="Book Antiqua" w:hAnsi="Book Antiqua" w:cs="宋体"/>
          <w:kern w:val="0"/>
          <w:sz w:val="24"/>
          <w:szCs w:val="24"/>
        </w:rPr>
        <w:t>: 2463-2469 [PMID: 9824135 DOI: 10.1023/A: 1026686232756]</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81 </w:t>
      </w:r>
      <w:r w:rsidRPr="00594A33">
        <w:rPr>
          <w:rFonts w:ascii="Book Antiqua" w:hAnsi="Book Antiqua" w:cs="宋体"/>
          <w:b/>
          <w:bCs/>
          <w:kern w:val="0"/>
          <w:sz w:val="24"/>
          <w:szCs w:val="24"/>
        </w:rPr>
        <w:t>LaBerge JM</w:t>
      </w:r>
      <w:r w:rsidRPr="00594A33">
        <w:rPr>
          <w:rFonts w:ascii="Book Antiqua" w:hAnsi="Book Antiqua" w:cs="宋体"/>
          <w:kern w:val="0"/>
          <w:sz w:val="24"/>
          <w:szCs w:val="24"/>
        </w:rPr>
        <w:t xml:space="preserve">, Somberg KA, Lake JR, Gordon RL, Kerlan RK, Ascher NL, Roberts JP, Simor MM, Doherty CA, Hahn J. Two-year outcome following transjugular intrahepatic portosystemic shunt for variceal bleeding: results in 90 patients.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1995; </w:t>
      </w:r>
      <w:r w:rsidRPr="00594A33">
        <w:rPr>
          <w:rFonts w:ascii="Book Antiqua" w:hAnsi="Book Antiqua" w:cs="宋体"/>
          <w:b/>
          <w:bCs/>
          <w:kern w:val="0"/>
          <w:sz w:val="24"/>
          <w:szCs w:val="24"/>
        </w:rPr>
        <w:t>108</w:t>
      </w:r>
      <w:r w:rsidRPr="00594A33">
        <w:rPr>
          <w:rFonts w:ascii="Book Antiqua" w:hAnsi="Book Antiqua" w:cs="宋体"/>
          <w:kern w:val="0"/>
          <w:sz w:val="24"/>
          <w:szCs w:val="24"/>
        </w:rPr>
        <w:t>: 1143-1151 [PMID: 7698582 DOI: 10.1016/0016-5085(95)90213-9]</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82 </w:t>
      </w:r>
      <w:r w:rsidRPr="00594A33">
        <w:rPr>
          <w:rFonts w:ascii="Book Antiqua" w:hAnsi="Book Antiqua" w:cs="宋体"/>
          <w:b/>
          <w:bCs/>
          <w:kern w:val="0"/>
          <w:sz w:val="24"/>
          <w:szCs w:val="24"/>
        </w:rPr>
        <w:t>Rajan DK</w:t>
      </w:r>
      <w:r w:rsidRPr="00594A33">
        <w:rPr>
          <w:rFonts w:ascii="Book Antiqua" w:hAnsi="Book Antiqua" w:cs="宋体"/>
          <w:kern w:val="0"/>
          <w:sz w:val="24"/>
          <w:szCs w:val="24"/>
        </w:rPr>
        <w:t xml:space="preserve">, Haskal ZJ, Clark TW. Serum bilirubin and early mortality after transjugular intrahepatic portosystemic shunts: results of a multivariate analysis.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2002; </w:t>
      </w:r>
      <w:r w:rsidRPr="00594A33">
        <w:rPr>
          <w:rFonts w:ascii="Book Antiqua" w:hAnsi="Book Antiqua" w:cs="宋体"/>
          <w:b/>
          <w:bCs/>
          <w:kern w:val="0"/>
          <w:sz w:val="24"/>
          <w:szCs w:val="24"/>
        </w:rPr>
        <w:t>13</w:t>
      </w:r>
      <w:r w:rsidRPr="00594A33">
        <w:rPr>
          <w:rFonts w:ascii="Book Antiqua" w:hAnsi="Book Antiqua" w:cs="宋体"/>
          <w:kern w:val="0"/>
          <w:sz w:val="24"/>
          <w:szCs w:val="24"/>
        </w:rPr>
        <w:t>: 155-161 [PMID: 11830621 DOI: 10.1016/S1051-0443(07)61932-0]</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83 </w:t>
      </w:r>
      <w:r w:rsidRPr="00594A33">
        <w:rPr>
          <w:rFonts w:ascii="Book Antiqua" w:hAnsi="Book Antiqua" w:cs="宋体"/>
          <w:b/>
          <w:bCs/>
          <w:kern w:val="0"/>
          <w:sz w:val="24"/>
          <w:szCs w:val="24"/>
        </w:rPr>
        <w:t>Helton WS</w:t>
      </w:r>
      <w:r w:rsidRPr="00594A33">
        <w:rPr>
          <w:rFonts w:ascii="Book Antiqua" w:hAnsi="Book Antiqua" w:cs="宋体"/>
          <w:kern w:val="0"/>
          <w:sz w:val="24"/>
          <w:szCs w:val="24"/>
        </w:rPr>
        <w:t xml:space="preserve">, Belshaw A, Althaus S, Park S, Coldwell D, Johansen K. Critical appraisal of the angiographic portacaval shunt (TIPS). </w:t>
      </w:r>
      <w:r w:rsidRPr="00594A33">
        <w:rPr>
          <w:rFonts w:ascii="Book Antiqua" w:hAnsi="Book Antiqua" w:cs="宋体"/>
          <w:i/>
          <w:iCs/>
          <w:kern w:val="0"/>
          <w:sz w:val="24"/>
          <w:szCs w:val="24"/>
        </w:rPr>
        <w:t>Am J Surg</w:t>
      </w:r>
      <w:r w:rsidRPr="00594A33">
        <w:rPr>
          <w:rFonts w:ascii="Book Antiqua" w:hAnsi="Book Antiqua" w:cs="宋体"/>
          <w:kern w:val="0"/>
          <w:sz w:val="24"/>
          <w:szCs w:val="24"/>
        </w:rPr>
        <w:t xml:space="preserve"> 1993; </w:t>
      </w:r>
      <w:r w:rsidRPr="00594A33">
        <w:rPr>
          <w:rFonts w:ascii="Book Antiqua" w:hAnsi="Book Antiqua" w:cs="宋体"/>
          <w:b/>
          <w:bCs/>
          <w:kern w:val="0"/>
          <w:sz w:val="24"/>
          <w:szCs w:val="24"/>
        </w:rPr>
        <w:t>165</w:t>
      </w:r>
      <w:r w:rsidRPr="00594A33">
        <w:rPr>
          <w:rFonts w:ascii="Book Antiqua" w:hAnsi="Book Antiqua" w:cs="宋体"/>
          <w:kern w:val="0"/>
          <w:sz w:val="24"/>
          <w:szCs w:val="24"/>
        </w:rPr>
        <w:t>: 566-571 [PMID: 8488938 DOI: 10.1016/S0002-9610(05)80436-2]</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84 </w:t>
      </w:r>
      <w:r w:rsidRPr="00594A33">
        <w:rPr>
          <w:rFonts w:ascii="Book Antiqua" w:hAnsi="Book Antiqua" w:cs="宋体"/>
          <w:b/>
          <w:bCs/>
          <w:kern w:val="0"/>
          <w:sz w:val="24"/>
          <w:szCs w:val="24"/>
        </w:rPr>
        <w:t>McCormick PA</w:t>
      </w:r>
      <w:r w:rsidRPr="00594A33">
        <w:rPr>
          <w:rFonts w:ascii="Book Antiqua" w:hAnsi="Book Antiqua" w:cs="宋体"/>
          <w:kern w:val="0"/>
          <w:sz w:val="24"/>
          <w:szCs w:val="24"/>
        </w:rPr>
        <w:t xml:space="preserve">, Dick R, Panagou EB, Chin JK, Greenslade L, McIntyre N, Burroughs AK. Emergency transjugular intrahepatic portasystemic stent shunting as salvage treatment for uncontrolled variceal bleeding. </w:t>
      </w:r>
      <w:r w:rsidRPr="00594A33">
        <w:rPr>
          <w:rFonts w:ascii="Book Antiqua" w:hAnsi="Book Antiqua" w:cs="宋体"/>
          <w:i/>
          <w:iCs/>
          <w:kern w:val="0"/>
          <w:sz w:val="24"/>
          <w:szCs w:val="24"/>
        </w:rPr>
        <w:t>Br J Surg</w:t>
      </w:r>
      <w:r w:rsidRPr="00594A33">
        <w:rPr>
          <w:rFonts w:ascii="Book Antiqua" w:hAnsi="Book Antiqua" w:cs="宋体"/>
          <w:kern w:val="0"/>
          <w:sz w:val="24"/>
          <w:szCs w:val="24"/>
        </w:rPr>
        <w:t xml:space="preserve"> 1994; </w:t>
      </w:r>
      <w:r w:rsidRPr="00594A33">
        <w:rPr>
          <w:rFonts w:ascii="Book Antiqua" w:hAnsi="Book Antiqua" w:cs="宋体"/>
          <w:b/>
          <w:bCs/>
          <w:kern w:val="0"/>
          <w:sz w:val="24"/>
          <w:szCs w:val="24"/>
        </w:rPr>
        <w:t>81</w:t>
      </w:r>
      <w:r w:rsidRPr="00594A33">
        <w:rPr>
          <w:rFonts w:ascii="Book Antiqua" w:hAnsi="Book Antiqua" w:cs="宋体"/>
          <w:kern w:val="0"/>
          <w:sz w:val="24"/>
          <w:szCs w:val="24"/>
        </w:rPr>
        <w:t>: 1324-1327 [PMID: 7953401 DOI: 10.1002/bjs.1800810922]</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85 </w:t>
      </w:r>
      <w:r w:rsidRPr="00594A33">
        <w:rPr>
          <w:rFonts w:ascii="Book Antiqua" w:hAnsi="Book Antiqua" w:cs="宋体"/>
          <w:b/>
          <w:bCs/>
          <w:kern w:val="0"/>
          <w:sz w:val="24"/>
          <w:szCs w:val="24"/>
        </w:rPr>
        <w:t>Bosch J</w:t>
      </w:r>
      <w:r w:rsidRPr="00594A33">
        <w:rPr>
          <w:rFonts w:ascii="Book Antiqua" w:hAnsi="Book Antiqua" w:cs="宋体"/>
          <w:kern w:val="0"/>
          <w:sz w:val="24"/>
          <w:szCs w:val="24"/>
        </w:rPr>
        <w:t xml:space="preserve">. Salvage transjugular intrahepatic portosystemic shunt: is it really life-saving? </w:t>
      </w:r>
      <w:r w:rsidRPr="00594A33">
        <w:rPr>
          <w:rFonts w:ascii="Book Antiqua" w:hAnsi="Book Antiqua" w:cs="宋体"/>
          <w:i/>
          <w:iCs/>
          <w:kern w:val="0"/>
          <w:sz w:val="24"/>
          <w:szCs w:val="24"/>
        </w:rPr>
        <w:t>J Hepatol</w:t>
      </w:r>
      <w:r w:rsidRPr="00594A33">
        <w:rPr>
          <w:rFonts w:ascii="Book Antiqua" w:hAnsi="Book Antiqua" w:cs="宋体"/>
          <w:kern w:val="0"/>
          <w:sz w:val="24"/>
          <w:szCs w:val="24"/>
        </w:rPr>
        <w:t xml:space="preserve"> 2001; </w:t>
      </w:r>
      <w:r w:rsidRPr="00594A33">
        <w:rPr>
          <w:rFonts w:ascii="Book Antiqua" w:hAnsi="Book Antiqua" w:cs="宋体"/>
          <w:b/>
          <w:bCs/>
          <w:kern w:val="0"/>
          <w:sz w:val="24"/>
          <w:szCs w:val="24"/>
        </w:rPr>
        <w:t>35</w:t>
      </w:r>
      <w:r w:rsidRPr="00594A33">
        <w:rPr>
          <w:rFonts w:ascii="Book Antiqua" w:hAnsi="Book Antiqua" w:cs="宋体"/>
          <w:kern w:val="0"/>
          <w:sz w:val="24"/>
          <w:szCs w:val="24"/>
        </w:rPr>
        <w:t>: 658-660 [PMID: 11690713 DOI: 10.1016/S0168-8278(01)00238-0]</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lastRenderedPageBreak/>
        <w:t xml:space="preserve">86 </w:t>
      </w:r>
      <w:r w:rsidRPr="00594A33">
        <w:rPr>
          <w:rFonts w:ascii="Book Antiqua" w:hAnsi="Book Antiqua" w:cs="宋体"/>
          <w:b/>
          <w:bCs/>
          <w:kern w:val="0"/>
          <w:sz w:val="24"/>
          <w:szCs w:val="24"/>
        </w:rPr>
        <w:t>Ferral H</w:t>
      </w:r>
      <w:r w:rsidRPr="00594A33">
        <w:rPr>
          <w:rFonts w:ascii="Book Antiqua" w:hAnsi="Book Antiqua" w:cs="宋体"/>
          <w:kern w:val="0"/>
          <w:sz w:val="24"/>
          <w:szCs w:val="24"/>
        </w:rPr>
        <w:t xml:space="preserve">, Patel NH. Selection criteria for patients undergoing transjugular intrahepatic portosystemic shunt procedures: current status. </w:t>
      </w:r>
      <w:r w:rsidRPr="00594A33">
        <w:rPr>
          <w:rFonts w:ascii="Book Antiqua" w:hAnsi="Book Antiqua" w:cs="宋体"/>
          <w:i/>
          <w:iCs/>
          <w:kern w:val="0"/>
          <w:sz w:val="24"/>
          <w:szCs w:val="24"/>
        </w:rPr>
        <w:t>J Vasc Interv Radiol</w:t>
      </w:r>
      <w:r w:rsidRPr="00594A33">
        <w:rPr>
          <w:rFonts w:ascii="Book Antiqua" w:hAnsi="Book Antiqua" w:cs="宋体"/>
          <w:kern w:val="0"/>
          <w:sz w:val="24"/>
          <w:szCs w:val="24"/>
        </w:rPr>
        <w:t xml:space="preserve"> 2005; </w:t>
      </w:r>
      <w:r w:rsidRPr="00594A33">
        <w:rPr>
          <w:rFonts w:ascii="Book Antiqua" w:hAnsi="Book Antiqua" w:cs="宋体"/>
          <w:b/>
          <w:bCs/>
          <w:kern w:val="0"/>
          <w:sz w:val="24"/>
          <w:szCs w:val="24"/>
        </w:rPr>
        <w:t>16</w:t>
      </w:r>
      <w:r w:rsidRPr="00594A33">
        <w:rPr>
          <w:rFonts w:ascii="Book Antiqua" w:hAnsi="Book Antiqua" w:cs="宋体"/>
          <w:kern w:val="0"/>
          <w:sz w:val="24"/>
          <w:szCs w:val="24"/>
        </w:rPr>
        <w:t>: 449-455 [PMID: 15802443 DOI: 10.1097/01.RVI.0000149508.64029.02]</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87 </w:t>
      </w:r>
      <w:r w:rsidRPr="00594A33">
        <w:rPr>
          <w:rFonts w:ascii="Book Antiqua" w:hAnsi="Book Antiqua" w:cs="宋体"/>
          <w:b/>
          <w:bCs/>
          <w:kern w:val="0"/>
          <w:sz w:val="24"/>
          <w:szCs w:val="24"/>
        </w:rPr>
        <w:t>Owens CA</w:t>
      </w:r>
      <w:r w:rsidRPr="00594A33">
        <w:rPr>
          <w:rFonts w:ascii="Book Antiqua" w:hAnsi="Book Antiqua" w:cs="宋体"/>
          <w:kern w:val="0"/>
          <w:sz w:val="24"/>
          <w:szCs w:val="24"/>
        </w:rPr>
        <w:t xml:space="preserve">, Bartolone C, Warner DL, Aizenstein R, Hibblen J, Yaghmai B, Wiley TE, Layden TJ. The inaccuracy of duplex ultrasonography in predicting patency of transjugular intrahepatic portosystemic shunts. </w:t>
      </w:r>
      <w:r w:rsidRPr="00594A33">
        <w:rPr>
          <w:rFonts w:ascii="Book Antiqua" w:hAnsi="Book Antiqua" w:cs="宋体"/>
          <w:i/>
          <w:iCs/>
          <w:kern w:val="0"/>
          <w:sz w:val="24"/>
          <w:szCs w:val="24"/>
        </w:rPr>
        <w:t>Gastroenterology</w:t>
      </w:r>
      <w:r w:rsidRPr="00594A33">
        <w:rPr>
          <w:rFonts w:ascii="Book Antiqua" w:hAnsi="Book Antiqua" w:cs="宋体"/>
          <w:kern w:val="0"/>
          <w:sz w:val="24"/>
          <w:szCs w:val="24"/>
        </w:rPr>
        <w:t xml:space="preserve"> 1998; </w:t>
      </w:r>
      <w:r w:rsidRPr="00594A33">
        <w:rPr>
          <w:rFonts w:ascii="Book Antiqua" w:hAnsi="Book Antiqua" w:cs="宋体"/>
          <w:b/>
          <w:bCs/>
          <w:kern w:val="0"/>
          <w:sz w:val="24"/>
          <w:szCs w:val="24"/>
        </w:rPr>
        <w:t>114</w:t>
      </w:r>
      <w:r w:rsidRPr="00594A33">
        <w:rPr>
          <w:rFonts w:ascii="Book Antiqua" w:hAnsi="Book Antiqua" w:cs="宋体"/>
          <w:kern w:val="0"/>
          <w:sz w:val="24"/>
          <w:szCs w:val="24"/>
        </w:rPr>
        <w:t>: 975-980 [PMID: 9558286 DOI: 10.1016/S0016-5085(98)70317-8]</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88 </w:t>
      </w:r>
      <w:r w:rsidRPr="00594A33">
        <w:rPr>
          <w:rFonts w:ascii="Book Antiqua" w:hAnsi="Book Antiqua" w:cs="宋体"/>
          <w:b/>
          <w:bCs/>
          <w:kern w:val="0"/>
          <w:sz w:val="24"/>
          <w:szCs w:val="24"/>
        </w:rPr>
        <w:t>Hirooka M</w:t>
      </w:r>
      <w:r w:rsidRPr="00594A33">
        <w:rPr>
          <w:rFonts w:ascii="Book Antiqua" w:hAnsi="Book Antiqua" w:cs="宋体"/>
          <w:kern w:val="0"/>
          <w:sz w:val="24"/>
          <w:szCs w:val="24"/>
        </w:rPr>
        <w:t xml:space="preserve">, Ochi H, Koizumi Y, Kisaka Y, Abe M, Ikeda Y, Matsuura B, Hiasa Y, Onji M. Splenic elasticity measured with real-time tissue elastography is a marker of portal hypertension. </w:t>
      </w:r>
      <w:r w:rsidRPr="00594A33">
        <w:rPr>
          <w:rFonts w:ascii="Book Antiqua" w:hAnsi="Book Antiqua" w:cs="宋体"/>
          <w:i/>
          <w:iCs/>
          <w:kern w:val="0"/>
          <w:sz w:val="24"/>
          <w:szCs w:val="24"/>
        </w:rPr>
        <w:t>Radiology</w:t>
      </w:r>
      <w:r w:rsidRPr="00594A33">
        <w:rPr>
          <w:rFonts w:ascii="Book Antiqua" w:hAnsi="Book Antiqua" w:cs="宋体"/>
          <w:kern w:val="0"/>
          <w:sz w:val="24"/>
          <w:szCs w:val="24"/>
        </w:rPr>
        <w:t xml:space="preserve"> 2011; </w:t>
      </w:r>
      <w:r w:rsidRPr="00594A33">
        <w:rPr>
          <w:rFonts w:ascii="Book Antiqua" w:hAnsi="Book Antiqua" w:cs="宋体"/>
          <w:b/>
          <w:bCs/>
          <w:kern w:val="0"/>
          <w:sz w:val="24"/>
          <w:szCs w:val="24"/>
        </w:rPr>
        <w:t>261</w:t>
      </w:r>
      <w:r w:rsidRPr="00594A33">
        <w:rPr>
          <w:rFonts w:ascii="Book Antiqua" w:hAnsi="Book Antiqua" w:cs="宋体"/>
          <w:kern w:val="0"/>
          <w:sz w:val="24"/>
          <w:szCs w:val="24"/>
        </w:rPr>
        <w:t>: 960-968 [PMID: 21926379 DOI: 10.1148/radiol.11110156]</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89 </w:t>
      </w:r>
      <w:r w:rsidRPr="00594A33">
        <w:rPr>
          <w:rFonts w:ascii="Book Antiqua" w:hAnsi="Book Antiqua" w:cs="宋体"/>
          <w:b/>
          <w:bCs/>
          <w:kern w:val="0"/>
          <w:sz w:val="24"/>
          <w:szCs w:val="24"/>
        </w:rPr>
        <w:t>Gao J</w:t>
      </w:r>
      <w:r w:rsidRPr="00594A33">
        <w:rPr>
          <w:rFonts w:ascii="Book Antiqua" w:hAnsi="Book Antiqua" w:cs="宋体"/>
          <w:kern w:val="0"/>
          <w:sz w:val="24"/>
          <w:szCs w:val="24"/>
        </w:rPr>
        <w:t xml:space="preserve">, Ran HT, Ye XP, Zheng YY, Zhang DZ, Wang ZG. The stiffness of the liver and spleen on ARFI Imaging pre and post TIPS placement: a preliminary observation. </w:t>
      </w:r>
      <w:r w:rsidRPr="00594A33">
        <w:rPr>
          <w:rFonts w:ascii="Book Antiqua" w:hAnsi="Book Antiqua" w:cs="宋体"/>
          <w:i/>
          <w:iCs/>
          <w:kern w:val="0"/>
          <w:sz w:val="24"/>
          <w:szCs w:val="24"/>
        </w:rPr>
        <w:t>Clin Imaging</w:t>
      </w:r>
      <w:r w:rsidRPr="00594A33">
        <w:rPr>
          <w:rFonts w:ascii="Book Antiqua" w:hAnsi="Book Antiqua" w:cs="宋体"/>
          <w:kern w:val="0"/>
          <w:sz w:val="24"/>
          <w:szCs w:val="24"/>
        </w:rPr>
        <w:t xml:space="preserve"> </w:t>
      </w:r>
      <w:r>
        <w:rPr>
          <w:rFonts w:ascii="Book Antiqua" w:hAnsi="Book Antiqua" w:cs="宋体"/>
          <w:kern w:val="0"/>
          <w:sz w:val="24"/>
          <w:szCs w:val="24"/>
        </w:rPr>
        <w:t>2012</w:t>
      </w:r>
      <w:r w:rsidRPr="00594A33">
        <w:rPr>
          <w:rFonts w:ascii="Book Antiqua" w:hAnsi="Book Antiqua" w:cs="宋体"/>
          <w:kern w:val="0"/>
          <w:sz w:val="24"/>
          <w:szCs w:val="24"/>
        </w:rPr>
        <w:t xml:space="preserve">; </w:t>
      </w:r>
      <w:r w:rsidRPr="00594A33">
        <w:rPr>
          <w:rFonts w:ascii="Book Antiqua" w:hAnsi="Book Antiqua" w:cs="宋体"/>
          <w:b/>
          <w:bCs/>
          <w:kern w:val="0"/>
          <w:sz w:val="24"/>
          <w:szCs w:val="24"/>
        </w:rPr>
        <w:t>36</w:t>
      </w:r>
      <w:r w:rsidRPr="00594A33">
        <w:rPr>
          <w:rFonts w:ascii="Book Antiqua" w:hAnsi="Book Antiqua" w:cs="宋体"/>
          <w:kern w:val="0"/>
          <w:sz w:val="24"/>
          <w:szCs w:val="24"/>
        </w:rPr>
        <w:t>: 135-141 [PMID: 22370134 DOI: 10.1016/j.clinimag.2011.11.014]</w:t>
      </w:r>
    </w:p>
    <w:p w:rsidR="00C92AB1" w:rsidRPr="00594A33" w:rsidRDefault="00C92AB1" w:rsidP="000A16B0">
      <w:pPr>
        <w:widowControl/>
        <w:jc w:val="left"/>
        <w:rPr>
          <w:rFonts w:ascii="Book Antiqua" w:hAnsi="Book Antiqua" w:cs="宋体"/>
          <w:kern w:val="0"/>
          <w:sz w:val="24"/>
          <w:szCs w:val="24"/>
        </w:rPr>
      </w:pPr>
      <w:r w:rsidRPr="00594A33">
        <w:rPr>
          <w:rFonts w:ascii="Book Antiqua" w:hAnsi="Book Antiqua" w:cs="宋体"/>
          <w:kern w:val="0"/>
          <w:sz w:val="24"/>
          <w:szCs w:val="24"/>
        </w:rPr>
        <w:t xml:space="preserve">90 </w:t>
      </w:r>
      <w:r w:rsidRPr="00594A33">
        <w:rPr>
          <w:rFonts w:ascii="Book Antiqua" w:hAnsi="Book Antiqua" w:cs="宋体"/>
          <w:b/>
          <w:bCs/>
          <w:kern w:val="0"/>
          <w:sz w:val="24"/>
          <w:szCs w:val="24"/>
        </w:rPr>
        <w:t>Harman DJ</w:t>
      </w:r>
      <w:r w:rsidRPr="00594A33">
        <w:rPr>
          <w:rFonts w:ascii="Book Antiqua" w:hAnsi="Book Antiqua" w:cs="宋体"/>
          <w:kern w:val="0"/>
          <w:sz w:val="24"/>
          <w:szCs w:val="24"/>
        </w:rPr>
        <w:t xml:space="preserve">, McCorry RB, Jacob RP, Lim TR, O'Neill R, Ryder SD, James MW, Aithal GP, Guha IN. Economic modelling of early transjugular intrahepatic portosystemic shunt insertion for acute variceal haemorrhage. </w:t>
      </w:r>
      <w:r w:rsidRPr="00594A33">
        <w:rPr>
          <w:rFonts w:ascii="Book Antiqua" w:hAnsi="Book Antiqua" w:cs="宋体"/>
          <w:i/>
          <w:iCs/>
          <w:kern w:val="0"/>
          <w:sz w:val="24"/>
          <w:szCs w:val="24"/>
        </w:rPr>
        <w:t>Eur J Gastroenterol Hepatol</w:t>
      </w:r>
      <w:r w:rsidRPr="00594A33">
        <w:rPr>
          <w:rFonts w:ascii="Book Antiqua" w:hAnsi="Book Antiqua" w:cs="宋体"/>
          <w:kern w:val="0"/>
          <w:sz w:val="24"/>
          <w:szCs w:val="24"/>
        </w:rPr>
        <w:t xml:space="preserve"> 2013; </w:t>
      </w:r>
      <w:r w:rsidRPr="00594A33">
        <w:rPr>
          <w:rFonts w:ascii="Book Antiqua" w:hAnsi="Book Antiqua" w:cs="宋体"/>
          <w:b/>
          <w:bCs/>
          <w:kern w:val="0"/>
          <w:sz w:val="24"/>
          <w:szCs w:val="24"/>
        </w:rPr>
        <w:t>25</w:t>
      </w:r>
      <w:r w:rsidRPr="00594A33">
        <w:rPr>
          <w:rFonts w:ascii="Book Antiqua" w:hAnsi="Book Antiqua" w:cs="宋体"/>
          <w:kern w:val="0"/>
          <w:sz w:val="24"/>
          <w:szCs w:val="24"/>
        </w:rPr>
        <w:t>: 201-207 [PMID: 23089879 DOI: 10.1097/MEG.0b013e32835a4cb0]</w:t>
      </w:r>
    </w:p>
    <w:p w:rsidR="00C92AB1" w:rsidRDefault="00C92AB1" w:rsidP="00A464CB">
      <w:pPr>
        <w:tabs>
          <w:tab w:val="left" w:pos="180"/>
          <w:tab w:val="left" w:pos="360"/>
        </w:tabs>
        <w:adjustRightInd w:val="0"/>
        <w:snapToGrid w:val="0"/>
        <w:spacing w:line="360" w:lineRule="auto"/>
        <w:jc w:val="right"/>
        <w:rPr>
          <w:rFonts w:ascii="Book Antiqua" w:hAnsi="Book Antiqua"/>
          <w:b/>
          <w:sz w:val="24"/>
          <w:szCs w:val="24"/>
        </w:rPr>
      </w:pPr>
      <w:bookmarkStart w:id="377" w:name="OLE_LINK874"/>
      <w:bookmarkStart w:id="378" w:name="OLE_LINK875"/>
      <w:bookmarkStart w:id="379" w:name="OLE_LINK347"/>
      <w:bookmarkStart w:id="380" w:name="OLE_LINK384"/>
      <w:bookmarkStart w:id="381" w:name="OLE_LINK557"/>
      <w:bookmarkStart w:id="382" w:name="OLE_LINK558"/>
      <w:bookmarkStart w:id="383" w:name="OLE_LINK631"/>
      <w:bookmarkStart w:id="384" w:name="OLE_LINK632"/>
      <w:bookmarkStart w:id="385" w:name="OLE_LINK386"/>
      <w:bookmarkStart w:id="386" w:name="OLE_LINK431"/>
      <w:bookmarkStart w:id="387" w:name="OLE_LINK564"/>
      <w:bookmarkStart w:id="388" w:name="OLE_LINK493"/>
      <w:bookmarkStart w:id="389" w:name="OLE_LINK442"/>
      <w:bookmarkStart w:id="390" w:name="OLE_LINK551"/>
      <w:bookmarkStart w:id="391" w:name="OLE_LINK668"/>
      <w:bookmarkStart w:id="392" w:name="OLE_LINK669"/>
      <w:bookmarkStart w:id="393" w:name="OLE_LINK725"/>
      <w:bookmarkStart w:id="394" w:name="OLE_LINK489"/>
      <w:bookmarkStart w:id="395" w:name="OLE_LINK602"/>
      <w:bookmarkStart w:id="396" w:name="OLE_LINK658"/>
      <w:bookmarkStart w:id="397" w:name="OLE_LINK747"/>
      <w:bookmarkStart w:id="398" w:name="OLE_LINK897"/>
      <w:bookmarkStart w:id="399" w:name="OLE_LINK1138"/>
      <w:bookmarkStart w:id="400" w:name="OLE_LINK1139"/>
      <w:bookmarkStart w:id="401" w:name="OLE_LINK882"/>
      <w:bookmarkStart w:id="402" w:name="OLE_LINK1095"/>
      <w:bookmarkStart w:id="403" w:name="OLE_LINK1305"/>
      <w:bookmarkStart w:id="404" w:name="OLE_LINK1390"/>
      <w:bookmarkStart w:id="405" w:name="OLE_LINK964"/>
      <w:bookmarkStart w:id="406" w:name="OLE_LINK1190"/>
      <w:bookmarkStart w:id="407" w:name="OLE_LINK1314"/>
      <w:bookmarkStart w:id="408" w:name="OLE_LINK1031"/>
      <w:bookmarkStart w:id="409" w:name="OLE_LINK1092"/>
      <w:bookmarkStart w:id="410" w:name="OLE_LINK1258"/>
      <w:bookmarkStart w:id="411" w:name="OLE_LINK1259"/>
      <w:bookmarkStart w:id="412" w:name="OLE_LINK1337"/>
      <w:bookmarkStart w:id="413" w:name="OLE_LINK1338"/>
      <w:bookmarkStart w:id="414" w:name="OLE_LINK1363"/>
      <w:bookmarkStart w:id="415" w:name="OLE_LINK1364"/>
      <w:bookmarkStart w:id="416" w:name="OLE_LINK86"/>
      <w:bookmarkStart w:id="417" w:name="OLE_LINK1595"/>
      <w:bookmarkStart w:id="418" w:name="OLE_LINK1613"/>
      <w:bookmarkStart w:id="419" w:name="OLE_LINK1708"/>
      <w:bookmarkStart w:id="420" w:name="OLE_LINK1774"/>
      <w:bookmarkStart w:id="421" w:name="OLE_LINK1872"/>
      <w:bookmarkStart w:id="422" w:name="OLE_LINK1899"/>
      <w:bookmarkStart w:id="423" w:name="OLE_LINK1492"/>
      <w:bookmarkStart w:id="424" w:name="OLE_LINK1497"/>
      <w:bookmarkStart w:id="425" w:name="OLE_LINK1498"/>
      <w:bookmarkStart w:id="426" w:name="OLE_LINK1589"/>
      <w:bookmarkStart w:id="427" w:name="OLE_LINK1666"/>
      <w:bookmarkStart w:id="428" w:name="OLE_LINK1752"/>
      <w:bookmarkStart w:id="429" w:name="OLE_LINK1616"/>
      <w:bookmarkStart w:id="430" w:name="OLE_LINK1696"/>
      <w:bookmarkStart w:id="431" w:name="OLE_LINK1855"/>
      <w:bookmarkStart w:id="432" w:name="OLE_LINK1942"/>
      <w:bookmarkStart w:id="433" w:name="OLE_LINK1943"/>
      <w:bookmarkStart w:id="434" w:name="OLE_LINK1573"/>
      <w:bookmarkStart w:id="435" w:name="OLE_LINK1574"/>
      <w:bookmarkStart w:id="436" w:name="OLE_LINK1575"/>
      <w:bookmarkStart w:id="437" w:name="OLE_LINK1739"/>
      <w:bookmarkStart w:id="438" w:name="OLE_LINK1761"/>
      <w:bookmarkStart w:id="439" w:name="OLE_LINK1743"/>
      <w:bookmarkStart w:id="440" w:name="OLE_LINK1841"/>
      <w:bookmarkStart w:id="441" w:name="OLE_LINK1858"/>
      <w:bookmarkStart w:id="442" w:name="OLE_LINK1890"/>
      <w:bookmarkStart w:id="443" w:name="OLE_LINK1915"/>
      <w:bookmarkStart w:id="444" w:name="OLE_LINK1980"/>
      <w:bookmarkStart w:id="445" w:name="OLE_LINK1883"/>
      <w:bookmarkStart w:id="446" w:name="OLE_LINK1935"/>
      <w:bookmarkStart w:id="447" w:name="OLE_LINK1936"/>
      <w:bookmarkStart w:id="448" w:name="OLE_LINK1952"/>
      <w:bookmarkStart w:id="449" w:name="OLE_LINK1953"/>
      <w:bookmarkStart w:id="450" w:name="OLE_LINK1999"/>
      <w:bookmarkStart w:id="451" w:name="OLE_LINK2050"/>
      <w:bookmarkStart w:id="452" w:name="OLE_LINK1862"/>
      <w:bookmarkStart w:id="453" w:name="OLE_LINK1963"/>
      <w:bookmarkStart w:id="454" w:name="OLE_LINK2052"/>
      <w:bookmarkStart w:id="455" w:name="OLE_LINK1906"/>
      <w:bookmarkStart w:id="456" w:name="OLE_LINK2031"/>
      <w:bookmarkStart w:id="457" w:name="OLE_LINK2032"/>
      <w:bookmarkStart w:id="458" w:name="OLE_LINK1907"/>
      <w:bookmarkStart w:id="459" w:name="OLE_LINK2004"/>
      <w:bookmarkStart w:id="460" w:name="OLE_LINK2238"/>
      <w:bookmarkStart w:id="461" w:name="OLE_LINK2239"/>
      <w:bookmarkStart w:id="462" w:name="OLE_LINK2163"/>
      <w:bookmarkStart w:id="463" w:name="OLE_LINK2207"/>
      <w:bookmarkStart w:id="464" w:name="OLE_LINK2341"/>
      <w:bookmarkStart w:id="465" w:name="OLE_LINK2417"/>
      <w:bookmarkStart w:id="466" w:name="OLE_LINK2509"/>
      <w:bookmarkStart w:id="467" w:name="OLE_LINK2510"/>
      <w:bookmarkStart w:id="468" w:name="OLE_LINK2511"/>
      <w:bookmarkStart w:id="469" w:name="OLE_LINK2512"/>
      <w:bookmarkStart w:id="470" w:name="OLE_LINK2513"/>
      <w:bookmarkStart w:id="471" w:name="OLE_LINK2514"/>
      <w:bookmarkStart w:id="472" w:name="OLE_LINK2515"/>
      <w:bookmarkStart w:id="473" w:name="OLE_LINK2516"/>
      <w:bookmarkStart w:id="474" w:name="OLE_LINK2517"/>
      <w:bookmarkStart w:id="475" w:name="OLE_LINK2518"/>
      <w:bookmarkStart w:id="476" w:name="OLE_LINK2519"/>
      <w:bookmarkStart w:id="477" w:name="OLE_LINK2520"/>
      <w:bookmarkStart w:id="478" w:name="OLE_LINK2521"/>
      <w:bookmarkStart w:id="479" w:name="OLE_LINK2522"/>
      <w:bookmarkStart w:id="480" w:name="OLE_LINK2523"/>
      <w:bookmarkStart w:id="481" w:name="OLE_LINK2524"/>
      <w:bookmarkStart w:id="482" w:name="OLE_LINK2051"/>
      <w:bookmarkStart w:id="483" w:name="OLE_LINK2109"/>
      <w:bookmarkStart w:id="484" w:name="OLE_LINK2165"/>
      <w:bookmarkStart w:id="485" w:name="OLE_LINK2385"/>
      <w:bookmarkStart w:id="486" w:name="OLE_LINK2593"/>
      <w:bookmarkStart w:id="487" w:name="OLE_LINK2332"/>
      <w:bookmarkStart w:id="488" w:name="OLE_LINK2448"/>
      <w:bookmarkStart w:id="489" w:name="OLE_LINK2525"/>
      <w:bookmarkStart w:id="490" w:name="OLE_LINK2506"/>
      <w:bookmarkStart w:id="491" w:name="OLE_LINK2507"/>
      <w:bookmarkStart w:id="492" w:name="OLE_LINK2291"/>
      <w:bookmarkStart w:id="493" w:name="OLE_LINK2294"/>
      <w:bookmarkStart w:id="494" w:name="OLE_LINK2298"/>
      <w:bookmarkStart w:id="495" w:name="OLE_LINK2300"/>
      <w:bookmarkStart w:id="496" w:name="OLE_LINK2301"/>
      <w:bookmarkStart w:id="497" w:name="OLE_LINK2546"/>
      <w:bookmarkStart w:id="498" w:name="OLE_LINK2756"/>
      <w:bookmarkStart w:id="499" w:name="OLE_LINK2757"/>
      <w:bookmarkStart w:id="500" w:name="OLE_LINK2736"/>
      <w:bookmarkStart w:id="501" w:name="OLE_LINK2923"/>
      <w:bookmarkStart w:id="502" w:name="OLE_LINK2974"/>
      <w:bookmarkStart w:id="503" w:name="OLE_LINK3125"/>
      <w:bookmarkStart w:id="504" w:name="OLE_LINK3218"/>
      <w:bookmarkStart w:id="505" w:name="OLE_LINK2575"/>
      <w:bookmarkStart w:id="506" w:name="OLE_LINK2687"/>
      <w:bookmarkStart w:id="507" w:name="OLE_LINK2688"/>
      <w:bookmarkStart w:id="508" w:name="OLE_LINK2700"/>
      <w:bookmarkStart w:id="509" w:name="OLE_LINK2576"/>
      <w:bookmarkStart w:id="510" w:name="OLE_LINK2674"/>
      <w:bookmarkStart w:id="511" w:name="OLE_LINK2738"/>
      <w:bookmarkStart w:id="512" w:name="OLE_LINK2983"/>
    </w:p>
    <w:p w:rsidR="00C92AB1" w:rsidRDefault="00C92AB1" w:rsidP="00FA0215">
      <w:pPr>
        <w:tabs>
          <w:tab w:val="left" w:pos="180"/>
          <w:tab w:val="left" w:pos="360"/>
        </w:tabs>
        <w:adjustRightInd w:val="0"/>
        <w:snapToGrid w:val="0"/>
        <w:spacing w:line="360" w:lineRule="auto"/>
        <w:jc w:val="right"/>
        <w:rPr>
          <w:rFonts w:ascii="Book Antiqua" w:hAnsi="Book Antiqua" w:cs="Tahoma"/>
          <w:b/>
          <w:color w:val="000000"/>
          <w:sz w:val="24"/>
          <w:szCs w:val="24"/>
        </w:rPr>
      </w:pPr>
      <w:r w:rsidRPr="00594A33">
        <w:rPr>
          <w:rFonts w:ascii="Book Antiqua" w:hAnsi="Book Antiqua" w:cs="Tahoma"/>
          <w:b/>
          <w:color w:val="000000"/>
          <w:sz w:val="24"/>
          <w:szCs w:val="24"/>
        </w:rPr>
        <w:t>P-Reviewer</w:t>
      </w:r>
      <w:r>
        <w:rPr>
          <w:rFonts w:ascii="Book Antiqua" w:hAnsi="Book Antiqua" w:cs="Tahoma"/>
          <w:b/>
          <w:color w:val="000000"/>
          <w:sz w:val="24"/>
          <w:szCs w:val="24"/>
        </w:rPr>
        <w:t xml:space="preserve">s </w:t>
      </w:r>
      <w:r w:rsidRPr="00FA0215">
        <w:rPr>
          <w:rFonts w:ascii="Book Antiqua" w:hAnsi="Book Antiqua" w:cs="Tahoma"/>
          <w:color w:val="000000"/>
          <w:sz w:val="24"/>
          <w:szCs w:val="24"/>
        </w:rPr>
        <w:t>Abenavoli L, Morales-Gonzalez JA</w:t>
      </w:r>
      <w:r w:rsidRPr="00594A33">
        <w:rPr>
          <w:rFonts w:ascii="Book Antiqua" w:hAnsi="Book Antiqua" w:cs="Tahoma"/>
          <w:b/>
          <w:color w:val="000000"/>
          <w:sz w:val="24"/>
          <w:szCs w:val="24"/>
        </w:rPr>
        <w:t xml:space="preserve"> S-Editor </w:t>
      </w:r>
      <w:r w:rsidRPr="00594A33">
        <w:rPr>
          <w:rFonts w:ascii="Book Antiqua" w:hAnsi="Book Antiqua" w:cs="Tahoma"/>
          <w:color w:val="000000"/>
          <w:sz w:val="24"/>
          <w:szCs w:val="24"/>
        </w:rPr>
        <w:t xml:space="preserve">Gou SX </w:t>
      </w:r>
      <w:r w:rsidRPr="00594A33">
        <w:rPr>
          <w:rFonts w:ascii="Book Antiqua" w:hAnsi="Book Antiqua" w:cs="Tahoma"/>
          <w:b/>
          <w:color w:val="000000"/>
          <w:sz w:val="24"/>
          <w:szCs w:val="24"/>
        </w:rPr>
        <w:t xml:space="preserve"> </w:t>
      </w:r>
    </w:p>
    <w:p w:rsidR="00C92AB1" w:rsidRPr="00594A33" w:rsidRDefault="00C92AB1" w:rsidP="00FA0215">
      <w:pPr>
        <w:tabs>
          <w:tab w:val="left" w:pos="180"/>
          <w:tab w:val="left" w:pos="360"/>
        </w:tabs>
        <w:adjustRightInd w:val="0"/>
        <w:snapToGrid w:val="0"/>
        <w:spacing w:line="360" w:lineRule="auto"/>
        <w:jc w:val="right"/>
        <w:rPr>
          <w:rFonts w:ascii="Book Antiqua" w:hAnsi="Book Antiqua" w:cs="Tahoma"/>
          <w:b/>
          <w:color w:val="000000"/>
          <w:sz w:val="24"/>
          <w:szCs w:val="24"/>
        </w:rPr>
      </w:pPr>
      <w:r w:rsidRPr="00594A33">
        <w:rPr>
          <w:rFonts w:ascii="Book Antiqua" w:hAnsi="Book Antiqua" w:cs="Tahoma"/>
          <w:b/>
          <w:color w:val="000000"/>
          <w:sz w:val="24"/>
          <w:szCs w:val="24"/>
        </w:rPr>
        <w:t xml:space="preserve"> L-Editor    E-Edito</w:t>
      </w:r>
      <w:bookmarkEnd w:id="377"/>
      <w:bookmarkEnd w:id="378"/>
      <w:r w:rsidRPr="00594A33">
        <w:rPr>
          <w:rFonts w:ascii="Book Antiqua" w:hAnsi="Book Antiqua" w:cs="Tahoma"/>
          <w:b/>
          <w:color w:val="000000"/>
          <w:sz w:val="24"/>
          <w:szCs w:val="24"/>
        </w:rPr>
        <w:t>r</w:t>
      </w:r>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Default="00C92AB1" w:rsidP="0072294F">
      <w:pPr>
        <w:autoSpaceDE w:val="0"/>
        <w:autoSpaceDN w:val="0"/>
        <w:adjustRightInd w:val="0"/>
        <w:snapToGrid w:val="0"/>
        <w:spacing w:line="360" w:lineRule="auto"/>
        <w:rPr>
          <w:rFonts w:ascii="Book Antiqua" w:hAnsi="Book Antiqua"/>
          <w:b/>
          <w:sz w:val="24"/>
          <w:szCs w:val="24"/>
        </w:rPr>
      </w:pPr>
    </w:p>
    <w:p w:rsidR="00C92AB1" w:rsidRDefault="00C92AB1" w:rsidP="0072294F">
      <w:pPr>
        <w:autoSpaceDE w:val="0"/>
        <w:autoSpaceDN w:val="0"/>
        <w:adjustRightInd w:val="0"/>
        <w:snapToGrid w:val="0"/>
        <w:spacing w:line="360" w:lineRule="auto"/>
        <w:rPr>
          <w:rFonts w:ascii="Book Antiqua" w:hAnsi="Book Antiqua"/>
          <w:b/>
          <w:sz w:val="24"/>
          <w:szCs w:val="24"/>
        </w:rPr>
      </w:pPr>
    </w:p>
    <w:p w:rsidR="00C92AB1" w:rsidRDefault="00C92AB1" w:rsidP="0072294F">
      <w:pPr>
        <w:autoSpaceDE w:val="0"/>
        <w:autoSpaceDN w:val="0"/>
        <w:adjustRightInd w:val="0"/>
        <w:snapToGrid w:val="0"/>
        <w:spacing w:line="360" w:lineRule="auto"/>
        <w:rPr>
          <w:rFonts w:ascii="Book Antiqua" w:hAnsi="Book Antiqua"/>
          <w:b/>
          <w:sz w:val="24"/>
          <w:szCs w:val="24"/>
        </w:rPr>
      </w:pPr>
    </w:p>
    <w:p w:rsidR="00C92AB1" w:rsidRDefault="00C92AB1" w:rsidP="0072294F">
      <w:pPr>
        <w:autoSpaceDE w:val="0"/>
        <w:autoSpaceDN w:val="0"/>
        <w:adjustRightInd w:val="0"/>
        <w:snapToGrid w:val="0"/>
        <w:spacing w:line="360" w:lineRule="auto"/>
        <w:rPr>
          <w:rFonts w:ascii="Book Antiqua" w:hAnsi="Book Antiqua"/>
          <w:b/>
          <w:sz w:val="24"/>
          <w:szCs w:val="24"/>
        </w:rPr>
      </w:pPr>
    </w:p>
    <w:p w:rsidR="00C92AB1"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sz w:val="24"/>
          <w:szCs w:val="24"/>
        </w:rPr>
      </w:pP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b/>
          <w:kern w:val="0"/>
          <w:sz w:val="24"/>
          <w:szCs w:val="24"/>
          <w:lang w:eastAsia="en-US"/>
        </w:rPr>
        <w:lastRenderedPageBreak/>
        <w:t xml:space="preserve">Figure 1 Conventional transjugular intrahepatic portosystemic shunt creation technique. </w:t>
      </w:r>
      <w:r w:rsidRPr="00594A33">
        <w:rPr>
          <w:rFonts w:ascii="Book Antiqua" w:hAnsi="Book Antiqua"/>
          <w:kern w:val="0"/>
          <w:sz w:val="24"/>
          <w:szCs w:val="24"/>
          <w:lang w:eastAsia="en-US"/>
        </w:rPr>
        <w:t>A</w:t>
      </w:r>
      <w:r w:rsidRPr="00594A33">
        <w:rPr>
          <w:rFonts w:ascii="Book Antiqua" w:hAnsi="Book Antiqua"/>
          <w:kern w:val="0"/>
          <w:sz w:val="24"/>
          <w:szCs w:val="24"/>
        </w:rPr>
        <w:t>:</w:t>
      </w:r>
      <w:r w:rsidRPr="00594A33">
        <w:rPr>
          <w:rFonts w:ascii="Book Antiqua" w:hAnsi="Book Antiqua"/>
          <w:kern w:val="0"/>
          <w:sz w:val="24"/>
          <w:szCs w:val="24"/>
          <w:lang w:eastAsia="en-US"/>
        </w:rPr>
        <w:t xml:space="preserve"> Schematic diagram shows transjugular intrahepatic portosystemic shunt (TIPS) connecting the right hepatic vein to the right portal vein. The shunt extends from main portal vein to confluence of right hepatic vein and</w:t>
      </w:r>
      <w:r w:rsidRPr="00594A33">
        <w:rPr>
          <w:rFonts w:ascii="Book Antiqua" w:hAnsi="Book Antiqua"/>
          <w:b/>
          <w:kern w:val="0"/>
          <w:sz w:val="24"/>
          <w:szCs w:val="24"/>
          <w:lang w:eastAsia="en-US"/>
        </w:rPr>
        <w:t xml:space="preserve"> </w:t>
      </w:r>
      <w:r w:rsidRPr="00594A33">
        <w:rPr>
          <w:rFonts w:ascii="Book Antiqua" w:hAnsi="Book Antiqua"/>
          <w:kern w:val="0"/>
          <w:sz w:val="24"/>
          <w:szCs w:val="24"/>
          <w:lang w:eastAsia="en-US"/>
        </w:rPr>
        <w:t>inferior vena cava</w:t>
      </w:r>
      <w:r w:rsidRPr="00594A33">
        <w:rPr>
          <w:rFonts w:ascii="Book Antiqua" w:hAnsi="Book Antiqua"/>
          <w:kern w:val="0"/>
          <w:sz w:val="24"/>
          <w:szCs w:val="24"/>
        </w:rPr>
        <w:t>;</w:t>
      </w:r>
      <w:r w:rsidRPr="00594A33">
        <w:rPr>
          <w:rFonts w:ascii="Book Antiqua" w:hAnsi="Book Antiqua"/>
          <w:b/>
          <w:kern w:val="0"/>
          <w:sz w:val="24"/>
          <w:szCs w:val="24"/>
          <w:lang w:eastAsia="en-US"/>
        </w:rPr>
        <w:t xml:space="preserve"> </w:t>
      </w:r>
      <w:r w:rsidRPr="00594A33">
        <w:rPr>
          <w:rFonts w:ascii="Book Antiqua" w:hAnsi="Book Antiqua"/>
          <w:kern w:val="0"/>
          <w:sz w:val="24"/>
          <w:szCs w:val="24"/>
          <w:lang w:eastAsia="en-US"/>
        </w:rPr>
        <w:t>B</w:t>
      </w:r>
      <w:r w:rsidRPr="00594A33">
        <w:rPr>
          <w:rFonts w:ascii="Book Antiqua" w:hAnsi="Book Antiqua"/>
          <w:kern w:val="0"/>
          <w:sz w:val="24"/>
          <w:szCs w:val="24"/>
        </w:rPr>
        <w:t>:</w:t>
      </w:r>
      <w:r w:rsidRPr="00594A33">
        <w:rPr>
          <w:rFonts w:ascii="Book Antiqua" w:hAnsi="Book Antiqua"/>
          <w:kern w:val="0"/>
          <w:sz w:val="24"/>
          <w:szCs w:val="24"/>
          <w:lang w:eastAsia="en-US"/>
        </w:rPr>
        <w:t xml:space="preserve"> Right hepatic venogram shows course of hepatic vein</w:t>
      </w:r>
      <w:r w:rsidRPr="00594A33">
        <w:rPr>
          <w:rFonts w:ascii="Book Antiqua" w:hAnsi="Book Antiqua"/>
          <w:kern w:val="0"/>
          <w:sz w:val="24"/>
          <w:szCs w:val="24"/>
        </w:rPr>
        <w:t>;</w:t>
      </w:r>
      <w:r w:rsidRPr="00594A33">
        <w:rPr>
          <w:rFonts w:ascii="Book Antiqua" w:hAnsi="Book Antiqua"/>
          <w:b/>
          <w:kern w:val="0"/>
          <w:sz w:val="24"/>
          <w:szCs w:val="24"/>
          <w:lang w:eastAsia="en-US"/>
        </w:rPr>
        <w:t xml:space="preserve"> </w:t>
      </w:r>
      <w:r w:rsidRPr="00594A33">
        <w:rPr>
          <w:rFonts w:ascii="Book Antiqua" w:hAnsi="Book Antiqua"/>
          <w:kern w:val="0"/>
          <w:sz w:val="24"/>
          <w:szCs w:val="24"/>
          <w:lang w:eastAsia="en-US"/>
        </w:rPr>
        <w:t>C</w:t>
      </w:r>
      <w:r w:rsidRPr="00594A33">
        <w:rPr>
          <w:rFonts w:ascii="Book Antiqua" w:hAnsi="Book Antiqua"/>
          <w:kern w:val="0"/>
          <w:sz w:val="24"/>
          <w:szCs w:val="24"/>
        </w:rPr>
        <w:t>:</w:t>
      </w:r>
      <w:r w:rsidRPr="00594A33">
        <w:rPr>
          <w:rFonts w:ascii="Book Antiqua" w:hAnsi="Book Antiqua"/>
          <w:kern w:val="0"/>
          <w:sz w:val="24"/>
          <w:szCs w:val="24"/>
          <w:lang w:eastAsia="en-US"/>
        </w:rPr>
        <w:t xml:space="preserve"> Transhepatic portogram using iodinated contrast material shows course of portal veins</w:t>
      </w:r>
      <w:r w:rsidRPr="00594A33">
        <w:rPr>
          <w:rFonts w:ascii="Book Antiqua" w:hAnsi="Book Antiqua"/>
          <w:kern w:val="0"/>
          <w:sz w:val="24"/>
          <w:szCs w:val="24"/>
        </w:rPr>
        <w:t>;</w:t>
      </w:r>
      <w:r w:rsidRPr="00594A33">
        <w:rPr>
          <w:rFonts w:ascii="Book Antiqua" w:hAnsi="Book Antiqua"/>
          <w:b/>
          <w:kern w:val="0"/>
          <w:sz w:val="24"/>
          <w:szCs w:val="24"/>
          <w:lang w:eastAsia="en-US"/>
        </w:rPr>
        <w:t xml:space="preserve"> </w:t>
      </w:r>
      <w:r w:rsidRPr="00594A33">
        <w:rPr>
          <w:rFonts w:ascii="Book Antiqua" w:hAnsi="Book Antiqua"/>
          <w:kern w:val="0"/>
          <w:sz w:val="24"/>
          <w:szCs w:val="24"/>
          <w:lang w:eastAsia="en-US"/>
        </w:rPr>
        <w:t>D</w:t>
      </w:r>
      <w:r w:rsidRPr="00594A33">
        <w:rPr>
          <w:rFonts w:ascii="Book Antiqua" w:hAnsi="Book Antiqua"/>
          <w:kern w:val="0"/>
          <w:sz w:val="24"/>
          <w:szCs w:val="24"/>
        </w:rPr>
        <w:t xml:space="preserve">: </w:t>
      </w:r>
      <w:r w:rsidRPr="00594A33">
        <w:rPr>
          <w:rFonts w:ascii="Book Antiqua" w:hAnsi="Book Antiqua"/>
          <w:kern w:val="0"/>
          <w:sz w:val="24"/>
          <w:szCs w:val="24"/>
          <w:lang w:eastAsia="en-US"/>
        </w:rPr>
        <w:t>Injection of contrast medium through Colapinto needle confirms needle position within portal vein before passage of guidewire</w:t>
      </w:r>
      <w:r w:rsidRPr="00594A33">
        <w:rPr>
          <w:rFonts w:ascii="Book Antiqua" w:hAnsi="Book Antiqua"/>
          <w:kern w:val="0"/>
          <w:sz w:val="24"/>
          <w:szCs w:val="24"/>
        </w:rPr>
        <w:t>;</w:t>
      </w:r>
      <w:r w:rsidRPr="00594A33">
        <w:rPr>
          <w:rFonts w:ascii="Book Antiqua" w:hAnsi="Book Antiqua"/>
          <w:kern w:val="0"/>
          <w:sz w:val="24"/>
          <w:szCs w:val="24"/>
          <w:lang w:eastAsia="en-US"/>
        </w:rPr>
        <w:t xml:space="preserve"> E</w:t>
      </w:r>
      <w:r w:rsidRPr="00594A33">
        <w:rPr>
          <w:rFonts w:ascii="Book Antiqua" w:hAnsi="Book Antiqua"/>
          <w:kern w:val="0"/>
          <w:sz w:val="24"/>
          <w:szCs w:val="24"/>
        </w:rPr>
        <w:t>:</w:t>
      </w:r>
      <w:r w:rsidRPr="00594A33">
        <w:rPr>
          <w:rFonts w:ascii="Book Antiqua" w:hAnsi="Book Antiqua"/>
          <w:kern w:val="0"/>
          <w:sz w:val="24"/>
          <w:szCs w:val="24"/>
          <w:lang w:eastAsia="en-US"/>
        </w:rPr>
        <w:t xml:space="preserve"> Dilatation of a tract through the hepatic parenchyma that is interposed between the hepatic and portal veins</w:t>
      </w:r>
      <w:r w:rsidRPr="00594A33">
        <w:rPr>
          <w:rFonts w:ascii="Book Antiqua" w:hAnsi="Book Antiqua"/>
          <w:kern w:val="0"/>
          <w:sz w:val="24"/>
          <w:szCs w:val="24"/>
        </w:rPr>
        <w:t>;</w:t>
      </w:r>
      <w:r w:rsidRPr="00594A33">
        <w:rPr>
          <w:rFonts w:ascii="Book Antiqua" w:hAnsi="Book Antiqua"/>
          <w:kern w:val="0"/>
          <w:sz w:val="24"/>
          <w:szCs w:val="24"/>
          <w:lang w:eastAsia="en-US"/>
        </w:rPr>
        <w:t xml:space="preserve"> F</w:t>
      </w:r>
      <w:r w:rsidRPr="00594A33">
        <w:rPr>
          <w:rFonts w:ascii="Book Antiqua" w:hAnsi="Book Antiqua"/>
          <w:kern w:val="0"/>
          <w:sz w:val="24"/>
          <w:szCs w:val="24"/>
        </w:rPr>
        <w:t xml:space="preserve">: </w:t>
      </w:r>
      <w:r w:rsidRPr="00594A33">
        <w:rPr>
          <w:rFonts w:ascii="Book Antiqua" w:hAnsi="Book Antiqua"/>
          <w:kern w:val="0"/>
          <w:sz w:val="24"/>
          <w:szCs w:val="24"/>
          <w:lang w:eastAsia="en-US"/>
        </w:rPr>
        <w:t>Portal venogram obtained after TIPS insertion shows flow through the FLUENCY polytetrafluoroethylene-covered stent. Peripheral portal vein branches are no</w:t>
      </w:r>
      <w:r w:rsidRPr="00594A33">
        <w:rPr>
          <w:rFonts w:ascii="Book Antiqua" w:hAnsi="Book Antiqua"/>
          <w:b/>
          <w:kern w:val="0"/>
          <w:sz w:val="24"/>
          <w:szCs w:val="24"/>
          <w:lang w:eastAsia="en-US"/>
        </w:rPr>
        <w:t xml:space="preserve"> </w:t>
      </w:r>
      <w:r w:rsidRPr="00594A33">
        <w:rPr>
          <w:rFonts w:ascii="Book Antiqua" w:hAnsi="Book Antiqua"/>
          <w:kern w:val="0"/>
          <w:sz w:val="24"/>
          <w:szCs w:val="24"/>
          <w:lang w:eastAsia="en-US"/>
        </w:rPr>
        <w:t>longer opacified because of reversal of flow.</w:t>
      </w: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p w:rsidR="00C92AB1" w:rsidRPr="00594A33" w:rsidRDefault="00C92AB1" w:rsidP="0072294F">
      <w:pPr>
        <w:snapToGrid w:val="0"/>
        <w:spacing w:line="360" w:lineRule="auto"/>
        <w:rPr>
          <w:rFonts w:ascii="Book Antiqua" w:eastAsia="Arial Unicode MS" w:hAnsi="Book Antiqua" w:cs="Arial Unicode MS"/>
          <w:sz w:val="24"/>
          <w:szCs w:val="24"/>
        </w:rPr>
      </w:pPr>
    </w:p>
    <w:p w:rsidR="00C92AB1" w:rsidRPr="00594A33" w:rsidRDefault="00C92AB1" w:rsidP="0072294F">
      <w:pPr>
        <w:snapToGrid w:val="0"/>
        <w:spacing w:line="360" w:lineRule="auto"/>
        <w:rPr>
          <w:rFonts w:ascii="Book Antiqua" w:eastAsia="Arial Unicode MS" w:hAnsi="Book Antiqua" w:cs="Arial Unicode MS"/>
          <w:sz w:val="24"/>
          <w:szCs w:val="24"/>
        </w:rPr>
      </w:pPr>
    </w:p>
    <w:p w:rsidR="00C92AB1" w:rsidRPr="00594A33" w:rsidRDefault="00C92AB1" w:rsidP="0072294F">
      <w:pPr>
        <w:snapToGrid w:val="0"/>
        <w:spacing w:line="360" w:lineRule="auto"/>
        <w:rPr>
          <w:rFonts w:ascii="Book Antiqua" w:eastAsia="Arial Unicode MS" w:hAnsi="Book Antiqua" w:cs="Arial Unicode MS"/>
          <w:sz w:val="24"/>
          <w:szCs w:val="24"/>
        </w:rPr>
      </w:pPr>
    </w:p>
    <w:p w:rsidR="00C92AB1" w:rsidRPr="00594A33" w:rsidRDefault="00C92AB1" w:rsidP="0072294F">
      <w:pPr>
        <w:snapToGrid w:val="0"/>
        <w:spacing w:line="360" w:lineRule="auto"/>
        <w:rPr>
          <w:rFonts w:ascii="Book Antiqua" w:eastAsia="Arial Unicode MS" w:hAnsi="Book Antiqua" w:cs="Arial Unicode MS"/>
          <w:sz w:val="24"/>
          <w:szCs w:val="24"/>
        </w:rPr>
      </w:pPr>
    </w:p>
    <w:p w:rsidR="00C92AB1" w:rsidRPr="00594A33" w:rsidRDefault="00C92AB1" w:rsidP="0072294F">
      <w:pPr>
        <w:snapToGrid w:val="0"/>
        <w:spacing w:line="360" w:lineRule="auto"/>
        <w:rPr>
          <w:rFonts w:ascii="Book Antiqua" w:eastAsia="Arial Unicode MS" w:hAnsi="Book Antiqua" w:cs="Arial Unicode MS"/>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BF43F6" w:rsidP="0072294F">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91560" cy="3591560"/>
            <wp:effectExtent l="0" t="0" r="8890" b="8890"/>
            <wp:docPr id="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1560" cy="3591560"/>
                    </a:xfrm>
                    <a:prstGeom prst="rect">
                      <a:avLst/>
                    </a:prstGeom>
                    <a:noFill/>
                    <a:ln>
                      <a:noFill/>
                    </a:ln>
                  </pic:spPr>
                </pic:pic>
              </a:graphicData>
            </a:graphic>
          </wp:inline>
        </w:drawing>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(A)</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BF43F6" w:rsidP="0072294F">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69970" cy="3569970"/>
            <wp:effectExtent l="0" t="0" r="0" b="0"/>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9970" cy="3569970"/>
                    </a:xfrm>
                    <a:prstGeom prst="rect">
                      <a:avLst/>
                    </a:prstGeom>
                    <a:noFill/>
                    <a:ln>
                      <a:noFill/>
                    </a:ln>
                  </pic:spPr>
                </pic:pic>
              </a:graphicData>
            </a:graphic>
          </wp:inline>
        </w:drawing>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(B)</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BF43F6" w:rsidP="0072294F">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91560" cy="3591560"/>
            <wp:effectExtent l="0" t="0" r="8890" b="8890"/>
            <wp:docPr id="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560" cy="3591560"/>
                    </a:xfrm>
                    <a:prstGeom prst="rect">
                      <a:avLst/>
                    </a:prstGeom>
                    <a:noFill/>
                    <a:ln>
                      <a:noFill/>
                    </a:ln>
                  </pic:spPr>
                </pic:pic>
              </a:graphicData>
            </a:graphic>
          </wp:inline>
        </w:drawing>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(C)</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BF43F6" w:rsidP="0072294F">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69970" cy="3569970"/>
            <wp:effectExtent l="0" t="0" r="0" b="0"/>
            <wp:docPr id="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9970" cy="3569970"/>
                    </a:xfrm>
                    <a:prstGeom prst="rect">
                      <a:avLst/>
                    </a:prstGeom>
                    <a:noFill/>
                    <a:ln>
                      <a:noFill/>
                    </a:ln>
                  </pic:spPr>
                </pic:pic>
              </a:graphicData>
            </a:graphic>
          </wp:inline>
        </w:drawing>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(D)</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BF43F6" w:rsidP="0072294F">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91560" cy="3591560"/>
            <wp:effectExtent l="0" t="0" r="8890" b="8890"/>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560" cy="3591560"/>
                    </a:xfrm>
                    <a:prstGeom prst="rect">
                      <a:avLst/>
                    </a:prstGeom>
                    <a:noFill/>
                    <a:ln>
                      <a:noFill/>
                    </a:ln>
                  </pic:spPr>
                </pic:pic>
              </a:graphicData>
            </a:graphic>
          </wp:inline>
        </w:drawing>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(E)</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BF43F6" w:rsidP="0072294F">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591560" cy="3591560"/>
            <wp:effectExtent l="0" t="0" r="8890" b="8890"/>
            <wp:docPr id="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1560" cy="3591560"/>
                    </a:xfrm>
                    <a:prstGeom prst="rect">
                      <a:avLst/>
                    </a:prstGeom>
                    <a:noFill/>
                    <a:ln>
                      <a:noFill/>
                    </a:ln>
                  </pic:spPr>
                </pic:pic>
              </a:graphicData>
            </a:graphic>
          </wp:inline>
        </w:drawing>
      </w:r>
    </w:p>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(F)</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A74A38">
      <w:pPr>
        <w:autoSpaceDE w:val="0"/>
        <w:autoSpaceDN w:val="0"/>
        <w:adjustRightInd w:val="0"/>
        <w:snapToGrid w:val="0"/>
        <w:spacing w:line="360" w:lineRule="auto"/>
        <w:rPr>
          <w:rFonts w:ascii="Book Antiqua" w:hAnsi="Book Antiqua"/>
          <w:b/>
          <w:kern w:val="0"/>
          <w:sz w:val="24"/>
          <w:szCs w:val="24"/>
        </w:rPr>
      </w:pPr>
      <w:r w:rsidRPr="00594A33">
        <w:rPr>
          <w:rFonts w:ascii="Book Antiqua" w:hAnsi="Book Antiqua"/>
          <w:sz w:val="24"/>
          <w:szCs w:val="24"/>
        </w:rPr>
        <w:br w:type="page"/>
      </w:r>
      <w:r w:rsidRPr="00594A33">
        <w:rPr>
          <w:rFonts w:ascii="Book Antiqua" w:hAnsi="Book Antiqua"/>
          <w:b/>
          <w:sz w:val="24"/>
          <w:szCs w:val="24"/>
        </w:rPr>
        <w:lastRenderedPageBreak/>
        <w:t xml:space="preserve">Table 1 </w:t>
      </w:r>
      <w:r w:rsidRPr="00594A33">
        <w:rPr>
          <w:rFonts w:ascii="Book Antiqua" w:hAnsi="Book Antiqua"/>
          <w:b/>
          <w:kern w:val="0"/>
          <w:sz w:val="24"/>
          <w:szCs w:val="24"/>
          <w:lang w:eastAsia="en-US"/>
        </w:rPr>
        <w:t xml:space="preserve">Transjugular intrahepatic portosystemic shunt </w:t>
      </w:r>
      <w:r w:rsidRPr="00594A33">
        <w:rPr>
          <w:rFonts w:ascii="Book Antiqua" w:hAnsi="Book Antiqua"/>
          <w:b/>
          <w:i/>
          <w:kern w:val="0"/>
          <w:sz w:val="24"/>
          <w:szCs w:val="24"/>
          <w:lang w:eastAsia="en-US"/>
        </w:rPr>
        <w:t xml:space="preserve">vs </w:t>
      </w:r>
      <w:r w:rsidRPr="00594A33">
        <w:rPr>
          <w:rFonts w:ascii="Book Antiqua" w:hAnsi="Book Antiqua"/>
          <w:b/>
          <w:kern w:val="0"/>
          <w:sz w:val="24"/>
          <w:szCs w:val="24"/>
          <w:lang w:eastAsia="en-US"/>
        </w:rPr>
        <w:t>endoscopic therapy in the prevention of rebleeding: results from meta-analyses</w:t>
      </w:r>
      <w:r w:rsidRPr="00594A33">
        <w:rPr>
          <w:rFonts w:ascii="Book Antiqua" w:hAnsi="Book Antiqua"/>
          <w:i/>
          <w:sz w:val="24"/>
          <w:szCs w:val="24"/>
        </w:rPr>
        <w:t xml:space="preserve"> </w:t>
      </w:r>
      <w:r w:rsidRPr="00594A33">
        <w:rPr>
          <w:rFonts w:ascii="Book Antiqua" w:hAnsi="Book Antiqua"/>
          <w:b/>
          <w:i/>
          <w:sz w:val="24"/>
          <w:szCs w:val="24"/>
        </w:rPr>
        <w:t>n</w:t>
      </w:r>
      <w:r w:rsidRPr="00594A33">
        <w:rPr>
          <w:rFonts w:ascii="Book Antiqua" w:hAnsi="Book Antiqua"/>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111"/>
        <w:gridCol w:w="2977"/>
        <w:gridCol w:w="2466"/>
      </w:tblGrid>
      <w:tr w:rsidR="00C92AB1" w:rsidRPr="00594A33" w:rsidTr="000A16B0">
        <w:tc>
          <w:tcPr>
            <w:tcW w:w="4111" w:type="dxa"/>
            <w:tcBorders>
              <w:left w:val="nil"/>
              <w:bottom w:val="nil"/>
              <w:right w:val="nil"/>
            </w:tcBorders>
          </w:tcPr>
          <w:p w:rsidR="00C92AB1" w:rsidRPr="00594A33" w:rsidRDefault="00C92AB1" w:rsidP="0072294F">
            <w:pPr>
              <w:snapToGrid w:val="0"/>
              <w:spacing w:line="360" w:lineRule="auto"/>
              <w:rPr>
                <w:rFonts w:ascii="Book Antiqua" w:hAnsi="Book Antiqua"/>
                <w:sz w:val="24"/>
                <w:szCs w:val="24"/>
              </w:rPr>
            </w:pPr>
          </w:p>
        </w:tc>
        <w:tc>
          <w:tcPr>
            <w:tcW w:w="5443" w:type="dxa"/>
            <w:gridSpan w:val="2"/>
            <w:tcBorders>
              <w:left w:val="nil"/>
              <w:right w:val="nil"/>
            </w:tcBorders>
          </w:tcPr>
          <w:p w:rsidR="00C92AB1" w:rsidRPr="00594A33" w:rsidRDefault="00C92AB1" w:rsidP="00184137">
            <w:pPr>
              <w:snapToGrid w:val="0"/>
              <w:spacing w:line="360" w:lineRule="auto"/>
              <w:jc w:val="center"/>
              <w:rPr>
                <w:rFonts w:ascii="Book Antiqua" w:hAnsi="Book Antiqua"/>
                <w:b/>
                <w:sz w:val="24"/>
                <w:szCs w:val="24"/>
              </w:rPr>
            </w:pPr>
            <w:r w:rsidRPr="00594A33">
              <w:rPr>
                <w:rFonts w:ascii="Book Antiqua" w:hAnsi="Book Antiqua"/>
                <w:b/>
                <w:sz w:val="24"/>
                <w:szCs w:val="24"/>
              </w:rPr>
              <w:t>Reference, value</w:t>
            </w:r>
          </w:p>
        </w:tc>
      </w:tr>
      <w:tr w:rsidR="00C92AB1" w:rsidRPr="00594A33" w:rsidTr="000A16B0">
        <w:tc>
          <w:tcPr>
            <w:tcW w:w="4111" w:type="dxa"/>
            <w:tcBorders>
              <w:top w:val="nil"/>
              <w:left w:val="nil"/>
              <w:right w:val="nil"/>
            </w:tcBorders>
          </w:tcPr>
          <w:p w:rsidR="00C92AB1" w:rsidRPr="00594A33" w:rsidRDefault="00C92AB1" w:rsidP="0072294F">
            <w:pPr>
              <w:snapToGrid w:val="0"/>
              <w:spacing w:line="360" w:lineRule="auto"/>
              <w:rPr>
                <w:rFonts w:ascii="Book Antiqua" w:hAnsi="Book Antiqua"/>
                <w:b/>
                <w:sz w:val="24"/>
                <w:szCs w:val="24"/>
              </w:rPr>
            </w:pPr>
            <w:r w:rsidRPr="00594A33">
              <w:rPr>
                <w:rFonts w:ascii="Book Antiqua" w:hAnsi="Book Antiqua"/>
                <w:b/>
                <w:sz w:val="24"/>
                <w:szCs w:val="24"/>
              </w:rPr>
              <w:t>Study finding</w:t>
            </w:r>
          </w:p>
        </w:tc>
        <w:tc>
          <w:tcPr>
            <w:tcW w:w="2977" w:type="dxa"/>
            <w:tcBorders>
              <w:left w:val="nil"/>
              <w:right w:val="nil"/>
            </w:tcBorders>
          </w:tcPr>
          <w:p w:rsidR="00C92AB1" w:rsidRPr="00594A33" w:rsidRDefault="00C92AB1" w:rsidP="00184137">
            <w:pPr>
              <w:snapToGrid w:val="0"/>
              <w:spacing w:line="360" w:lineRule="auto"/>
              <w:jc w:val="center"/>
              <w:rPr>
                <w:rFonts w:ascii="Book Antiqua" w:hAnsi="Book Antiqua"/>
                <w:b/>
                <w:sz w:val="24"/>
                <w:szCs w:val="24"/>
              </w:rPr>
            </w:pPr>
            <w:r w:rsidRPr="00594A33">
              <w:rPr>
                <w:rFonts w:ascii="Book Antiqua" w:hAnsi="Book Antiqua"/>
                <w:b/>
                <w:kern w:val="0"/>
                <w:sz w:val="24"/>
                <w:szCs w:val="24"/>
                <w:lang w:eastAsia="en-US"/>
              </w:rPr>
              <w:t xml:space="preserve">Burroughs </w:t>
            </w:r>
            <w:r w:rsidRPr="00594A33">
              <w:rPr>
                <w:rFonts w:ascii="Book Antiqua" w:hAnsi="Book Antiqua"/>
                <w:b/>
                <w:i/>
                <w:kern w:val="0"/>
                <w:sz w:val="24"/>
                <w:szCs w:val="24"/>
                <w:lang w:eastAsia="en-US"/>
              </w:rPr>
              <w:t>et al</w:t>
            </w:r>
            <w:r w:rsidRPr="00594A33">
              <w:rPr>
                <w:rFonts w:ascii="Book Antiqua" w:hAnsi="Book Antiqua"/>
                <w:b/>
                <w:kern w:val="0"/>
                <w:sz w:val="24"/>
                <w:szCs w:val="24"/>
                <w:vertAlign w:val="superscript"/>
                <w:lang w:eastAsia="en-US"/>
              </w:rPr>
              <w:t>[34]</w:t>
            </w:r>
          </w:p>
        </w:tc>
        <w:tc>
          <w:tcPr>
            <w:tcW w:w="2466" w:type="dxa"/>
            <w:tcBorders>
              <w:left w:val="nil"/>
              <w:right w:val="nil"/>
            </w:tcBorders>
          </w:tcPr>
          <w:p w:rsidR="00C92AB1" w:rsidRPr="00594A33" w:rsidRDefault="00C92AB1" w:rsidP="00184137">
            <w:pPr>
              <w:snapToGrid w:val="0"/>
              <w:spacing w:line="360" w:lineRule="auto"/>
              <w:jc w:val="center"/>
              <w:rPr>
                <w:rFonts w:ascii="Book Antiqua" w:hAnsi="Book Antiqua"/>
                <w:b/>
                <w:sz w:val="24"/>
                <w:szCs w:val="24"/>
              </w:rPr>
            </w:pPr>
            <w:r w:rsidRPr="00594A33">
              <w:rPr>
                <w:rFonts w:ascii="Book Antiqua" w:hAnsi="Book Antiqua"/>
                <w:b/>
                <w:kern w:val="0"/>
                <w:sz w:val="24"/>
                <w:szCs w:val="24"/>
                <w:lang w:eastAsia="en-US"/>
              </w:rPr>
              <w:t xml:space="preserve">Zheng </w:t>
            </w:r>
            <w:r w:rsidRPr="00594A33">
              <w:rPr>
                <w:rFonts w:ascii="Book Antiqua" w:hAnsi="Book Antiqua"/>
                <w:b/>
                <w:i/>
                <w:kern w:val="0"/>
                <w:sz w:val="24"/>
                <w:szCs w:val="24"/>
                <w:lang w:eastAsia="en-US"/>
              </w:rPr>
              <w:t>et al</w:t>
            </w:r>
            <w:r w:rsidRPr="00594A33">
              <w:rPr>
                <w:rFonts w:ascii="Book Antiqua" w:hAnsi="Book Antiqua"/>
                <w:b/>
                <w:kern w:val="0"/>
                <w:sz w:val="24"/>
                <w:szCs w:val="24"/>
                <w:vertAlign w:val="superscript"/>
                <w:lang w:eastAsia="en-US"/>
              </w:rPr>
              <w:t>[35]</w:t>
            </w:r>
            <w:r w:rsidRPr="00594A33">
              <w:rPr>
                <w:rFonts w:ascii="Book Antiqua" w:hAnsi="Book Antiqua"/>
                <w:b/>
                <w:kern w:val="0"/>
                <w:sz w:val="24"/>
                <w:szCs w:val="24"/>
                <w:lang w:eastAsia="en-US"/>
              </w:rPr>
              <w:t xml:space="preserve"> </w:t>
            </w:r>
          </w:p>
        </w:tc>
      </w:tr>
      <w:tr w:rsidR="00C92AB1" w:rsidRPr="00594A33" w:rsidTr="000A16B0">
        <w:tc>
          <w:tcPr>
            <w:tcW w:w="4111" w:type="dxa"/>
            <w:tcBorders>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Patients</w:t>
            </w:r>
          </w:p>
        </w:tc>
        <w:tc>
          <w:tcPr>
            <w:tcW w:w="2977" w:type="dxa"/>
            <w:tcBorders>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948</w:t>
            </w:r>
          </w:p>
        </w:tc>
        <w:tc>
          <w:tcPr>
            <w:tcW w:w="2466" w:type="dxa"/>
            <w:tcBorders>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883</w:t>
            </w:r>
          </w:p>
        </w:tc>
      </w:tr>
      <w:tr w:rsidR="00C92AB1" w:rsidRPr="00594A33" w:rsidTr="000A16B0">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TIPS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472</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440</w:t>
            </w:r>
          </w:p>
        </w:tc>
      </w:tr>
      <w:tr w:rsidR="00C92AB1" w:rsidRPr="00594A33" w:rsidTr="000A16B0">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Endoscopic therapies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476</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443</w:t>
            </w:r>
          </w:p>
        </w:tc>
      </w:tr>
      <w:tr w:rsidR="00C92AB1" w:rsidRPr="00594A33" w:rsidTr="000A16B0">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Randomized controlled trials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13</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12</w:t>
            </w:r>
          </w:p>
        </w:tc>
      </w:tr>
      <w:tr w:rsidR="00C92AB1" w:rsidRPr="00594A33" w:rsidTr="000A16B0">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Recurrent bleeding</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p>
        </w:tc>
      </w:tr>
      <w:tr w:rsidR="00C92AB1" w:rsidRPr="00594A33" w:rsidTr="000A16B0">
        <w:tc>
          <w:tcPr>
            <w:tcW w:w="4111" w:type="dxa"/>
            <w:tcBorders>
              <w:top w:val="nil"/>
              <w:left w:val="nil"/>
              <w:bottom w:val="nil"/>
              <w:right w:val="nil"/>
            </w:tcBorders>
          </w:tcPr>
          <w:p w:rsidR="00C92AB1" w:rsidRPr="00594A33" w:rsidRDefault="00C92AB1" w:rsidP="00A74A38">
            <w:pPr>
              <w:snapToGrid w:val="0"/>
              <w:spacing w:line="360" w:lineRule="auto"/>
              <w:rPr>
                <w:rFonts w:ascii="Book Antiqua" w:hAnsi="Book Antiqua"/>
                <w:sz w:val="24"/>
                <w:szCs w:val="24"/>
              </w:rPr>
            </w:pPr>
            <w:r w:rsidRPr="00594A33">
              <w:rPr>
                <w:rFonts w:ascii="Book Antiqua" w:hAnsi="Book Antiqua"/>
                <w:sz w:val="24"/>
                <w:szCs w:val="24"/>
              </w:rPr>
              <w:t xml:space="preserve"> TIPS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88 (18.6)</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86 (19.0)</w:t>
            </w:r>
          </w:p>
        </w:tc>
      </w:tr>
      <w:tr w:rsidR="00C92AB1" w:rsidRPr="00594A33" w:rsidTr="000A16B0">
        <w:tc>
          <w:tcPr>
            <w:tcW w:w="4111" w:type="dxa"/>
            <w:tcBorders>
              <w:top w:val="nil"/>
              <w:left w:val="nil"/>
              <w:bottom w:val="nil"/>
              <w:right w:val="nil"/>
            </w:tcBorders>
          </w:tcPr>
          <w:p w:rsidR="00C92AB1" w:rsidRPr="00594A33" w:rsidRDefault="00C92AB1" w:rsidP="00A74A38">
            <w:pPr>
              <w:snapToGrid w:val="0"/>
              <w:spacing w:line="360" w:lineRule="auto"/>
              <w:rPr>
                <w:rFonts w:ascii="Book Antiqua" w:hAnsi="Book Antiqua"/>
                <w:sz w:val="24"/>
                <w:szCs w:val="24"/>
              </w:rPr>
            </w:pPr>
            <w:r w:rsidRPr="00594A33">
              <w:rPr>
                <w:rFonts w:ascii="Book Antiqua" w:hAnsi="Book Antiqua"/>
                <w:sz w:val="24"/>
                <w:szCs w:val="24"/>
              </w:rPr>
              <w:t xml:space="preserve"> Endoscopic therapy</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210 (44.1)</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194 (43.8)</w:t>
            </w:r>
          </w:p>
        </w:tc>
      </w:tr>
      <w:tr w:rsidR="00C92AB1" w:rsidRPr="00594A33" w:rsidTr="000A16B0">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 xml:space="preserve"> OR (95%CI) for TIPS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0.30 (0.21-0.44)</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0.32 (0.24-0.43)</w:t>
            </w:r>
          </w:p>
        </w:tc>
      </w:tr>
      <w:tr w:rsidR="00C92AB1" w:rsidRPr="00594A33" w:rsidTr="000A16B0">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Post-treatment encephalopathy</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p>
        </w:tc>
      </w:tr>
      <w:tr w:rsidR="00C92AB1" w:rsidRPr="00594A33" w:rsidTr="000A16B0">
        <w:tc>
          <w:tcPr>
            <w:tcW w:w="4111" w:type="dxa"/>
            <w:tcBorders>
              <w:top w:val="nil"/>
              <w:left w:val="nil"/>
              <w:bottom w:val="nil"/>
              <w:right w:val="nil"/>
            </w:tcBorders>
          </w:tcPr>
          <w:p w:rsidR="00C92AB1" w:rsidRPr="00594A33" w:rsidRDefault="00C92AB1" w:rsidP="00A74A38">
            <w:pPr>
              <w:snapToGrid w:val="0"/>
              <w:spacing w:line="360" w:lineRule="auto"/>
              <w:rPr>
                <w:rFonts w:ascii="Book Antiqua" w:hAnsi="Book Antiqua"/>
                <w:sz w:val="24"/>
                <w:szCs w:val="24"/>
              </w:rPr>
            </w:pPr>
            <w:r w:rsidRPr="00594A33">
              <w:rPr>
                <w:rFonts w:ascii="Book Antiqua" w:hAnsi="Book Antiqua"/>
                <w:sz w:val="24"/>
                <w:szCs w:val="24"/>
              </w:rPr>
              <w:t xml:space="preserve"> TIPS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134 (28.4)</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148 (33.6)</w:t>
            </w:r>
          </w:p>
        </w:tc>
      </w:tr>
      <w:tr w:rsidR="00C92AB1" w:rsidRPr="00594A33" w:rsidTr="000A16B0">
        <w:tc>
          <w:tcPr>
            <w:tcW w:w="4111" w:type="dxa"/>
            <w:tcBorders>
              <w:top w:val="nil"/>
              <w:left w:val="nil"/>
              <w:bottom w:val="nil"/>
              <w:right w:val="nil"/>
            </w:tcBorders>
          </w:tcPr>
          <w:p w:rsidR="00C92AB1" w:rsidRPr="00594A33" w:rsidRDefault="00C92AB1" w:rsidP="00A74A38">
            <w:pPr>
              <w:snapToGrid w:val="0"/>
              <w:spacing w:line="360" w:lineRule="auto"/>
              <w:rPr>
                <w:rFonts w:ascii="Book Antiqua" w:hAnsi="Book Antiqua"/>
                <w:sz w:val="24"/>
                <w:szCs w:val="24"/>
              </w:rPr>
            </w:pPr>
            <w:r w:rsidRPr="00594A33">
              <w:rPr>
                <w:rFonts w:ascii="Book Antiqua" w:hAnsi="Book Antiqua"/>
                <w:sz w:val="24"/>
                <w:szCs w:val="24"/>
              </w:rPr>
              <w:t xml:space="preserve"> Endoscopic therapy</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83 (17.4)</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86 (19.4)</w:t>
            </w:r>
          </w:p>
        </w:tc>
      </w:tr>
      <w:tr w:rsidR="00C92AB1" w:rsidRPr="00594A33" w:rsidTr="000A16B0">
        <w:trPr>
          <w:trHeight w:val="230"/>
        </w:trPr>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 xml:space="preserve"> OR (95%CI) for TIPS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2.08 (1.49-2.94)</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2.21 (1.61-3.03)</w:t>
            </w:r>
          </w:p>
        </w:tc>
      </w:tr>
      <w:tr w:rsidR="00C92AB1" w:rsidRPr="00594A33" w:rsidTr="000A16B0">
        <w:trPr>
          <w:trHeight w:val="230"/>
        </w:trPr>
        <w:tc>
          <w:tcPr>
            <w:tcW w:w="4111" w:type="dxa"/>
            <w:tcBorders>
              <w:top w:val="nil"/>
              <w:left w:val="nil"/>
              <w:bottom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All-cause mortality</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p>
        </w:tc>
      </w:tr>
      <w:tr w:rsidR="00C92AB1" w:rsidRPr="00594A33" w:rsidTr="000A16B0">
        <w:trPr>
          <w:trHeight w:val="230"/>
        </w:trPr>
        <w:tc>
          <w:tcPr>
            <w:tcW w:w="4111" w:type="dxa"/>
            <w:tcBorders>
              <w:top w:val="nil"/>
              <w:left w:val="nil"/>
              <w:bottom w:val="nil"/>
              <w:right w:val="nil"/>
            </w:tcBorders>
          </w:tcPr>
          <w:p w:rsidR="00C92AB1" w:rsidRPr="00594A33" w:rsidRDefault="00C92AB1" w:rsidP="00A74A38">
            <w:pPr>
              <w:snapToGrid w:val="0"/>
              <w:spacing w:line="360" w:lineRule="auto"/>
              <w:rPr>
                <w:rFonts w:ascii="Book Antiqua" w:hAnsi="Book Antiqua"/>
                <w:sz w:val="24"/>
                <w:szCs w:val="24"/>
              </w:rPr>
            </w:pPr>
            <w:r w:rsidRPr="00594A33">
              <w:rPr>
                <w:rFonts w:ascii="Book Antiqua" w:hAnsi="Book Antiqua"/>
                <w:sz w:val="24"/>
                <w:szCs w:val="24"/>
              </w:rPr>
              <w:t xml:space="preserve"> TIPS</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130 (27.5)</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111 (25.2)</w:t>
            </w:r>
          </w:p>
        </w:tc>
      </w:tr>
      <w:tr w:rsidR="00C92AB1" w:rsidRPr="00594A33" w:rsidTr="000A16B0">
        <w:trPr>
          <w:trHeight w:val="230"/>
        </w:trPr>
        <w:tc>
          <w:tcPr>
            <w:tcW w:w="4111" w:type="dxa"/>
            <w:tcBorders>
              <w:top w:val="nil"/>
              <w:left w:val="nil"/>
              <w:bottom w:val="nil"/>
              <w:right w:val="nil"/>
            </w:tcBorders>
          </w:tcPr>
          <w:p w:rsidR="00C92AB1" w:rsidRPr="00594A33" w:rsidRDefault="00C92AB1" w:rsidP="00A74A38">
            <w:pPr>
              <w:snapToGrid w:val="0"/>
              <w:spacing w:line="360" w:lineRule="auto"/>
              <w:rPr>
                <w:rFonts w:ascii="Book Antiqua" w:hAnsi="Book Antiqua"/>
                <w:sz w:val="24"/>
                <w:szCs w:val="24"/>
              </w:rPr>
            </w:pPr>
            <w:r w:rsidRPr="00594A33">
              <w:rPr>
                <w:rFonts w:ascii="Book Antiqua" w:hAnsi="Book Antiqua"/>
                <w:sz w:val="24"/>
                <w:szCs w:val="24"/>
              </w:rPr>
              <w:t xml:space="preserve"> Endoscopic therapy</w:t>
            </w:r>
          </w:p>
        </w:tc>
        <w:tc>
          <w:tcPr>
            <w:tcW w:w="2977"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118 (24.8)</w:t>
            </w:r>
          </w:p>
        </w:tc>
        <w:tc>
          <w:tcPr>
            <w:tcW w:w="2466" w:type="dxa"/>
            <w:tcBorders>
              <w:top w:val="nil"/>
              <w:left w:val="nil"/>
              <w:bottom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98 (22.1)</w:t>
            </w:r>
          </w:p>
        </w:tc>
      </w:tr>
      <w:tr w:rsidR="00C92AB1" w:rsidRPr="00594A33" w:rsidTr="000A16B0">
        <w:trPr>
          <w:trHeight w:val="230"/>
        </w:trPr>
        <w:tc>
          <w:tcPr>
            <w:tcW w:w="4111" w:type="dxa"/>
            <w:tcBorders>
              <w:top w:val="nil"/>
              <w:left w:val="nil"/>
              <w:right w:val="nil"/>
            </w:tcBorders>
          </w:tcPr>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 xml:space="preserve"> OR (95% CI) for TIPS</w:t>
            </w:r>
          </w:p>
        </w:tc>
        <w:tc>
          <w:tcPr>
            <w:tcW w:w="2977" w:type="dxa"/>
            <w:tcBorders>
              <w:top w:val="nil"/>
              <w:left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1.14 (0.85-1.54)</w:t>
            </w:r>
          </w:p>
        </w:tc>
        <w:tc>
          <w:tcPr>
            <w:tcW w:w="2466" w:type="dxa"/>
            <w:tcBorders>
              <w:top w:val="nil"/>
              <w:left w:val="nil"/>
              <w:right w:val="nil"/>
            </w:tcBorders>
          </w:tcPr>
          <w:p w:rsidR="00C92AB1" w:rsidRPr="00594A33" w:rsidRDefault="00C92AB1" w:rsidP="00184137">
            <w:pPr>
              <w:snapToGrid w:val="0"/>
              <w:spacing w:line="360" w:lineRule="auto"/>
              <w:jc w:val="center"/>
              <w:rPr>
                <w:rFonts w:ascii="Book Antiqua" w:hAnsi="Book Antiqua"/>
                <w:sz w:val="24"/>
                <w:szCs w:val="24"/>
              </w:rPr>
            </w:pPr>
            <w:r w:rsidRPr="00594A33">
              <w:rPr>
                <w:rFonts w:ascii="Book Antiqua" w:hAnsi="Book Antiqua"/>
                <w:sz w:val="24"/>
                <w:szCs w:val="24"/>
              </w:rPr>
              <w:t>1.17 (0.85-1.61)</w:t>
            </w:r>
          </w:p>
        </w:tc>
      </w:tr>
    </w:tbl>
    <w:p w:rsidR="00C92AB1" w:rsidRPr="00594A33" w:rsidRDefault="00C92AB1" w:rsidP="0072294F">
      <w:pPr>
        <w:snapToGrid w:val="0"/>
        <w:spacing w:line="360" w:lineRule="auto"/>
        <w:rPr>
          <w:rFonts w:ascii="Book Antiqua" w:hAnsi="Book Antiqua"/>
          <w:sz w:val="24"/>
          <w:szCs w:val="24"/>
        </w:rPr>
      </w:pPr>
      <w:r w:rsidRPr="00594A33">
        <w:rPr>
          <w:rFonts w:ascii="Book Antiqua" w:hAnsi="Book Antiqua"/>
          <w:sz w:val="24"/>
          <w:szCs w:val="24"/>
        </w:rPr>
        <w:t>TIPS</w:t>
      </w:r>
      <w:r w:rsidRPr="00594A33">
        <w:rPr>
          <w:rFonts w:ascii="Book Antiqua" w:hAnsi="Book Antiqua"/>
          <w:b/>
          <w:kern w:val="0"/>
          <w:sz w:val="24"/>
          <w:szCs w:val="24"/>
        </w:rPr>
        <w:t xml:space="preserve">: </w:t>
      </w:r>
      <w:r w:rsidRPr="00594A33">
        <w:rPr>
          <w:rFonts w:ascii="Book Antiqua" w:hAnsi="Book Antiqua"/>
          <w:kern w:val="0"/>
          <w:sz w:val="24"/>
          <w:szCs w:val="24"/>
          <w:lang w:eastAsia="en-US"/>
        </w:rPr>
        <w:t>Transjugular intrahepatic portosystemic shunt</w:t>
      </w:r>
      <w:r w:rsidRPr="00594A33">
        <w:rPr>
          <w:rFonts w:ascii="Book Antiqua" w:hAnsi="Book Antiqua"/>
          <w:kern w:val="0"/>
          <w:sz w:val="24"/>
          <w:szCs w:val="24"/>
        </w:rPr>
        <w:t>.</w:t>
      </w: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rPr>
      </w:pPr>
      <w:r w:rsidRPr="00594A33">
        <w:rPr>
          <w:rFonts w:ascii="Book Antiqua" w:hAnsi="Book Antiqua"/>
          <w:b/>
          <w:kern w:val="0"/>
          <w:sz w:val="24"/>
          <w:szCs w:val="24"/>
          <w:lang w:eastAsia="en-US"/>
        </w:rPr>
        <w:t>Table 2 Contraindications to placement of a transjugular intrahepatic portosystemic shunt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723"/>
        <w:gridCol w:w="4831"/>
      </w:tblGrid>
      <w:tr w:rsidR="00C92AB1" w:rsidRPr="00594A33" w:rsidTr="000A16B0">
        <w:tc>
          <w:tcPr>
            <w:tcW w:w="4723" w:type="dxa"/>
            <w:tcBorders>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r w:rsidRPr="00594A33">
              <w:rPr>
                <w:rFonts w:ascii="Book Antiqua" w:hAnsi="Book Antiqua"/>
                <w:b/>
                <w:kern w:val="0"/>
                <w:sz w:val="24"/>
                <w:szCs w:val="24"/>
                <w:lang w:eastAsia="en-US"/>
              </w:rPr>
              <w:t>Absolute</w:t>
            </w:r>
          </w:p>
        </w:tc>
        <w:tc>
          <w:tcPr>
            <w:tcW w:w="4831" w:type="dxa"/>
            <w:tcBorders>
              <w:left w:val="nil"/>
              <w:right w:val="nil"/>
            </w:tcBorders>
          </w:tcPr>
          <w:p w:rsidR="00C92AB1" w:rsidRPr="00594A33" w:rsidRDefault="00C92AB1" w:rsidP="00184137">
            <w:pPr>
              <w:autoSpaceDE w:val="0"/>
              <w:autoSpaceDN w:val="0"/>
              <w:adjustRightInd w:val="0"/>
              <w:snapToGrid w:val="0"/>
              <w:spacing w:line="360" w:lineRule="auto"/>
              <w:jc w:val="center"/>
              <w:rPr>
                <w:rFonts w:ascii="Book Antiqua" w:hAnsi="Book Antiqua"/>
                <w:b/>
                <w:kern w:val="0"/>
                <w:sz w:val="24"/>
                <w:szCs w:val="24"/>
                <w:lang w:eastAsia="en-US"/>
              </w:rPr>
            </w:pPr>
            <w:r w:rsidRPr="00594A33">
              <w:rPr>
                <w:rFonts w:ascii="Book Antiqua" w:hAnsi="Book Antiqua"/>
                <w:b/>
                <w:kern w:val="0"/>
                <w:sz w:val="24"/>
                <w:szCs w:val="24"/>
                <w:lang w:eastAsia="en-US"/>
              </w:rPr>
              <w:t>Relative</w:t>
            </w:r>
          </w:p>
        </w:tc>
      </w:tr>
      <w:tr w:rsidR="00C92AB1" w:rsidRPr="00594A33" w:rsidTr="000A16B0">
        <w:tc>
          <w:tcPr>
            <w:tcW w:w="4723" w:type="dxa"/>
            <w:tcBorders>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Congestive heart failure</w:t>
            </w:r>
          </w:p>
        </w:tc>
        <w:tc>
          <w:tcPr>
            <w:tcW w:w="4831" w:type="dxa"/>
            <w:tcBorders>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Portal vein thrombosis</w:t>
            </w:r>
          </w:p>
        </w:tc>
      </w:tr>
      <w:tr w:rsidR="00C92AB1" w:rsidRPr="00594A33" w:rsidTr="000A16B0">
        <w:tc>
          <w:tcPr>
            <w:tcW w:w="472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Severe pulmonary hypertension</w:t>
            </w:r>
          </w:p>
        </w:tc>
        <w:tc>
          <w:tcPr>
            <w:tcW w:w="4831"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Hepatocellular carcinoma</w:t>
            </w:r>
          </w:p>
        </w:tc>
      </w:tr>
      <w:tr w:rsidR="00C92AB1" w:rsidRPr="00594A33" w:rsidTr="000A16B0">
        <w:tc>
          <w:tcPr>
            <w:tcW w:w="472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Severe systemic sepsis</w:t>
            </w:r>
          </w:p>
        </w:tc>
        <w:tc>
          <w:tcPr>
            <w:tcW w:w="4831"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Severe coagulopathy</w:t>
            </w:r>
          </w:p>
        </w:tc>
      </w:tr>
      <w:tr w:rsidR="00C92AB1" w:rsidRPr="00594A33" w:rsidTr="000A16B0">
        <w:tc>
          <w:tcPr>
            <w:tcW w:w="472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Unrelieved biliary obstruction</w:t>
            </w:r>
          </w:p>
        </w:tc>
        <w:tc>
          <w:tcPr>
            <w:tcW w:w="4831"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Hepatic encephalopathy</w:t>
            </w:r>
          </w:p>
        </w:tc>
      </w:tr>
      <w:tr w:rsidR="00C92AB1" w:rsidRPr="00594A33" w:rsidTr="000A16B0">
        <w:tc>
          <w:tcPr>
            <w:tcW w:w="4723" w:type="dxa"/>
            <w:tcBorders>
              <w:top w:val="nil"/>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lastRenderedPageBreak/>
              <w:t>Severe tricuspid regurgitation</w:t>
            </w:r>
          </w:p>
        </w:tc>
        <w:tc>
          <w:tcPr>
            <w:tcW w:w="4831" w:type="dxa"/>
            <w:tcBorders>
              <w:top w:val="nil"/>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Obstruction of all hepatic veins</w:t>
            </w:r>
          </w:p>
        </w:tc>
      </w:tr>
    </w:tbl>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rPr>
      </w:pPr>
      <w:r w:rsidRPr="00594A33">
        <w:rPr>
          <w:rFonts w:ascii="Book Antiqua" w:hAnsi="Book Antiqua"/>
          <w:b/>
          <w:kern w:val="0"/>
          <w:sz w:val="24"/>
          <w:szCs w:val="24"/>
          <w:lang w:eastAsia="en-US"/>
        </w:rPr>
        <w:t>Table 3 Acute and chronic complications after transjugular intrahepatic portosystemic shunt placement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926"/>
        <w:gridCol w:w="2693"/>
        <w:gridCol w:w="3935"/>
      </w:tblGrid>
      <w:tr w:rsidR="00C92AB1" w:rsidRPr="00594A33" w:rsidTr="000A16B0">
        <w:tc>
          <w:tcPr>
            <w:tcW w:w="5619" w:type="dxa"/>
            <w:gridSpan w:val="2"/>
            <w:tcBorders>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r w:rsidRPr="00594A33">
              <w:rPr>
                <w:rFonts w:ascii="Book Antiqua" w:hAnsi="Book Antiqua"/>
                <w:b/>
                <w:kern w:val="0"/>
                <w:sz w:val="24"/>
                <w:szCs w:val="24"/>
                <w:lang w:eastAsia="en-US"/>
              </w:rPr>
              <w:t>Acute complications</w:t>
            </w:r>
          </w:p>
        </w:tc>
        <w:tc>
          <w:tcPr>
            <w:tcW w:w="3935" w:type="dxa"/>
            <w:tcBorders>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r w:rsidRPr="00594A33">
              <w:rPr>
                <w:rFonts w:ascii="Book Antiqua" w:hAnsi="Book Antiqua"/>
                <w:b/>
                <w:kern w:val="0"/>
                <w:sz w:val="24"/>
                <w:szCs w:val="24"/>
                <w:lang w:eastAsia="en-US"/>
              </w:rPr>
              <w:t>Chronic complications</w:t>
            </w:r>
          </w:p>
        </w:tc>
      </w:tr>
      <w:tr w:rsidR="00C92AB1" w:rsidRPr="00594A33" w:rsidTr="000A16B0">
        <w:tc>
          <w:tcPr>
            <w:tcW w:w="2926" w:type="dxa"/>
            <w:tcBorders>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Minor or moderate</w:t>
            </w:r>
          </w:p>
        </w:tc>
        <w:tc>
          <w:tcPr>
            <w:tcW w:w="2693" w:type="dxa"/>
            <w:tcBorders>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Life-threatening</w:t>
            </w:r>
          </w:p>
        </w:tc>
        <w:tc>
          <w:tcPr>
            <w:tcW w:w="3935" w:type="dxa"/>
            <w:tcBorders>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Portal vein thrombosis</w:t>
            </w:r>
          </w:p>
        </w:tc>
      </w:tr>
      <w:tr w:rsidR="00C92AB1" w:rsidRPr="00594A33" w:rsidTr="000A16B0">
        <w:tc>
          <w:tcPr>
            <w:tcW w:w="2926"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Stent displacement</w:t>
            </w:r>
          </w:p>
        </w:tc>
        <w:tc>
          <w:tcPr>
            <w:tcW w:w="269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Hemobilia</w:t>
            </w:r>
          </w:p>
        </w:tc>
        <w:tc>
          <w:tcPr>
            <w:tcW w:w="3935"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Congestive heart failure</w:t>
            </w:r>
          </w:p>
        </w:tc>
      </w:tr>
      <w:tr w:rsidR="00C92AB1" w:rsidRPr="00594A33" w:rsidTr="000A16B0">
        <w:tc>
          <w:tcPr>
            <w:tcW w:w="2926"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Neck hematoma</w:t>
            </w:r>
          </w:p>
        </w:tc>
        <w:tc>
          <w:tcPr>
            <w:tcW w:w="269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Hemoperitoneum</w:t>
            </w:r>
          </w:p>
        </w:tc>
        <w:tc>
          <w:tcPr>
            <w:tcW w:w="3935"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Progressive liver failure</w:t>
            </w:r>
          </w:p>
        </w:tc>
      </w:tr>
      <w:tr w:rsidR="00C92AB1" w:rsidRPr="00594A33" w:rsidTr="000A16B0">
        <w:tc>
          <w:tcPr>
            <w:tcW w:w="2926"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Arrhythmia</w:t>
            </w:r>
          </w:p>
        </w:tc>
        <w:tc>
          <w:tcPr>
            <w:tcW w:w="269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Cardiac failure</w:t>
            </w:r>
          </w:p>
        </w:tc>
        <w:tc>
          <w:tcPr>
            <w:tcW w:w="3935"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Chronic recurrent encephalopathy</w:t>
            </w:r>
          </w:p>
        </w:tc>
      </w:tr>
      <w:tr w:rsidR="00C92AB1" w:rsidRPr="00594A33" w:rsidTr="000A16B0">
        <w:trPr>
          <w:trHeight w:val="232"/>
        </w:trPr>
        <w:tc>
          <w:tcPr>
            <w:tcW w:w="2926"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Shunt thrombosis</w:t>
            </w:r>
          </w:p>
        </w:tc>
        <w:tc>
          <w:tcPr>
            <w:tcW w:w="2693" w:type="dxa"/>
            <w:tcBorders>
              <w:top w:val="nil"/>
              <w:left w:val="nil"/>
              <w:bottom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Liver ischemia</w:t>
            </w:r>
          </w:p>
        </w:tc>
        <w:tc>
          <w:tcPr>
            <w:tcW w:w="3935" w:type="dxa"/>
            <w:vMerge w:val="restart"/>
            <w:tcBorders>
              <w:top w:val="nil"/>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Stent dysfunction</w:t>
            </w:r>
          </w:p>
        </w:tc>
      </w:tr>
      <w:tr w:rsidR="00C92AB1" w:rsidRPr="00594A33" w:rsidTr="000A16B0">
        <w:trPr>
          <w:trHeight w:val="232"/>
        </w:trPr>
        <w:tc>
          <w:tcPr>
            <w:tcW w:w="2926" w:type="dxa"/>
            <w:tcBorders>
              <w:top w:val="nil"/>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Hepatic vein obstruction</w:t>
            </w:r>
          </w:p>
        </w:tc>
        <w:tc>
          <w:tcPr>
            <w:tcW w:w="2693" w:type="dxa"/>
            <w:tcBorders>
              <w:top w:val="nil"/>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r w:rsidRPr="00594A33">
              <w:rPr>
                <w:rFonts w:ascii="Book Antiqua" w:hAnsi="Book Antiqua"/>
                <w:kern w:val="0"/>
                <w:sz w:val="24"/>
                <w:szCs w:val="24"/>
                <w:lang w:eastAsia="en-US"/>
              </w:rPr>
              <w:t>Sepsis</w:t>
            </w:r>
          </w:p>
        </w:tc>
        <w:tc>
          <w:tcPr>
            <w:tcW w:w="3935" w:type="dxa"/>
            <w:vMerge/>
            <w:tcBorders>
              <w:left w:val="nil"/>
              <w:right w:val="nil"/>
            </w:tcBorders>
          </w:tcPr>
          <w:p w:rsidR="00C92AB1" w:rsidRPr="00594A33" w:rsidRDefault="00C92AB1" w:rsidP="0072294F">
            <w:pPr>
              <w:autoSpaceDE w:val="0"/>
              <w:autoSpaceDN w:val="0"/>
              <w:adjustRightInd w:val="0"/>
              <w:snapToGrid w:val="0"/>
              <w:spacing w:line="360" w:lineRule="auto"/>
              <w:rPr>
                <w:rFonts w:ascii="Book Antiqua" w:hAnsi="Book Antiqua"/>
                <w:kern w:val="0"/>
                <w:sz w:val="24"/>
                <w:szCs w:val="24"/>
                <w:lang w:eastAsia="en-US"/>
              </w:rPr>
            </w:pPr>
          </w:p>
        </w:tc>
      </w:tr>
    </w:tbl>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rPr>
      </w:pPr>
      <w:r w:rsidRPr="00594A33">
        <w:rPr>
          <w:rFonts w:ascii="Book Antiqua" w:hAnsi="Book Antiqua"/>
          <w:b/>
          <w:kern w:val="0"/>
          <w:sz w:val="24"/>
          <w:szCs w:val="24"/>
          <w:lang w:eastAsia="en-US"/>
        </w:rPr>
        <w:t>Table 4 Risk factors for post-transjugular intrahepatic portosystemic shunt encephalopathy</w:t>
      </w:r>
    </w:p>
    <w:tbl>
      <w:tblPr>
        <w:tblW w:w="0" w:type="auto"/>
        <w:tblInd w:w="108" w:type="dxa"/>
        <w:tblBorders>
          <w:top w:val="single" w:sz="4" w:space="0" w:color="000000"/>
          <w:bottom w:val="single" w:sz="4" w:space="0" w:color="000000"/>
          <w:insideV w:val="single" w:sz="4" w:space="0" w:color="000000"/>
        </w:tblBorders>
        <w:tblLook w:val="00BF" w:firstRow="1" w:lastRow="0" w:firstColumn="1" w:lastColumn="0" w:noHBand="0" w:noVBand="0"/>
      </w:tblPr>
      <w:tblGrid>
        <w:gridCol w:w="3828"/>
      </w:tblGrid>
      <w:tr w:rsidR="00C92AB1" w:rsidRPr="00594A33" w:rsidTr="00A464CB">
        <w:tc>
          <w:tcPr>
            <w:tcW w:w="3828" w:type="dxa"/>
            <w:tcBorders>
              <w:top w:val="single" w:sz="4" w:space="0" w:color="000000"/>
              <w:bottom w:val="single" w:sz="4" w:space="0" w:color="auto"/>
            </w:tcBorders>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b/>
                <w:kern w:val="0"/>
                <w:sz w:val="24"/>
                <w:szCs w:val="24"/>
                <w:lang w:eastAsia="en-US"/>
              </w:rPr>
              <w:t>Risk factors</w:t>
            </w:r>
          </w:p>
        </w:tc>
      </w:tr>
      <w:tr w:rsidR="00C92AB1" w:rsidRPr="00594A33" w:rsidTr="00A464CB">
        <w:tc>
          <w:tcPr>
            <w:tcW w:w="3828" w:type="dxa"/>
            <w:tcBorders>
              <w:top w:val="single" w:sz="4" w:space="0" w:color="auto"/>
            </w:tcBorders>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Age</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Sex</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Cause</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Child-Pugh score</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Hepatic encephalopathy history TIPS</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Porto-hepatic gradient</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Stent diameter</w:t>
            </w:r>
          </w:p>
        </w:tc>
      </w:tr>
      <w:tr w:rsidR="00C92AB1" w:rsidRPr="00594A33" w:rsidTr="000A16B0">
        <w:tc>
          <w:tcPr>
            <w:tcW w:w="3828" w:type="dxa"/>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Indication</w:t>
            </w:r>
          </w:p>
        </w:tc>
      </w:tr>
      <w:tr w:rsidR="00C92AB1" w:rsidRPr="00594A33" w:rsidTr="000A16B0">
        <w:tc>
          <w:tcPr>
            <w:tcW w:w="3828" w:type="dxa"/>
            <w:tcBorders>
              <w:bottom w:val="single" w:sz="4" w:space="0" w:color="000000"/>
            </w:tcBorders>
          </w:tcPr>
          <w:p w:rsidR="00C92AB1" w:rsidRPr="00594A33" w:rsidRDefault="00C92AB1" w:rsidP="00A464CB">
            <w:pPr>
              <w:autoSpaceDE w:val="0"/>
              <w:autoSpaceDN w:val="0"/>
              <w:adjustRightInd w:val="0"/>
              <w:snapToGrid w:val="0"/>
              <w:spacing w:line="360" w:lineRule="auto"/>
              <w:jc w:val="left"/>
              <w:rPr>
                <w:rFonts w:ascii="Book Antiqua" w:hAnsi="Book Antiqua"/>
                <w:kern w:val="0"/>
                <w:sz w:val="24"/>
                <w:szCs w:val="24"/>
                <w:lang w:eastAsia="en-US"/>
              </w:rPr>
            </w:pPr>
            <w:r w:rsidRPr="00594A33">
              <w:rPr>
                <w:rFonts w:ascii="Book Antiqua" w:hAnsi="Book Antiqua"/>
                <w:kern w:val="0"/>
                <w:sz w:val="24"/>
                <w:szCs w:val="24"/>
                <w:lang w:eastAsia="en-US"/>
              </w:rPr>
              <w:t>Creatinine</w:t>
            </w:r>
          </w:p>
        </w:tc>
      </w:tr>
    </w:tbl>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p>
    <w:p w:rsidR="00C92AB1" w:rsidRPr="00594A33" w:rsidRDefault="00C92AB1" w:rsidP="0072294F">
      <w:pPr>
        <w:autoSpaceDE w:val="0"/>
        <w:autoSpaceDN w:val="0"/>
        <w:adjustRightInd w:val="0"/>
        <w:snapToGrid w:val="0"/>
        <w:spacing w:line="360" w:lineRule="auto"/>
        <w:rPr>
          <w:rFonts w:ascii="Book Antiqua" w:hAnsi="Book Antiqua"/>
          <w:b/>
          <w:kern w:val="0"/>
          <w:sz w:val="24"/>
          <w:szCs w:val="24"/>
          <w:lang w:eastAsia="en-US"/>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rsidP="0072294F">
      <w:pPr>
        <w:snapToGrid w:val="0"/>
        <w:spacing w:line="360" w:lineRule="auto"/>
        <w:rPr>
          <w:rFonts w:ascii="Book Antiqua" w:hAnsi="Book Antiqua"/>
          <w:sz w:val="24"/>
          <w:szCs w:val="24"/>
        </w:rPr>
      </w:pPr>
    </w:p>
    <w:p w:rsidR="00C92AB1" w:rsidRPr="00594A33" w:rsidRDefault="00C92AB1">
      <w:pPr>
        <w:snapToGrid w:val="0"/>
        <w:spacing w:line="360" w:lineRule="auto"/>
        <w:rPr>
          <w:rFonts w:ascii="Book Antiqua" w:hAnsi="Book Antiqua"/>
          <w:sz w:val="24"/>
          <w:szCs w:val="24"/>
        </w:rPr>
      </w:pPr>
    </w:p>
    <w:sectPr w:rsidR="00C92AB1" w:rsidRPr="00594A33" w:rsidSect="000A16B0">
      <w:footerReference w:type="even" r:id="rId15"/>
      <w:footerReference w:type="default" r:id="rId16"/>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FD2" w:rsidRDefault="00177FD2" w:rsidP="0072294F">
      <w:r>
        <w:separator/>
      </w:r>
    </w:p>
  </w:endnote>
  <w:endnote w:type="continuationSeparator" w:id="0">
    <w:p w:rsidR="00177FD2" w:rsidRDefault="00177FD2" w:rsidP="0072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Cas540BT-R">
    <w:panose1 w:val="00000000000000000000"/>
    <w:charset w:val="00"/>
    <w:family w:val="roman"/>
    <w:notTrueType/>
    <w:pitch w:val="default"/>
    <w:sig w:usb0="00000003" w:usb1="00000000" w:usb2="00000000" w:usb3="00000000" w:csb0="00000001" w:csb1="00000000"/>
  </w:font>
  <w:font w:name="Folio-Medium">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B1" w:rsidRDefault="00C92AB1" w:rsidP="000A16B0">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92AB1" w:rsidRDefault="00C92AB1" w:rsidP="000A16B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B1" w:rsidRPr="0000693A" w:rsidRDefault="00C92AB1" w:rsidP="000A16B0">
    <w:pPr>
      <w:pStyle w:val="a3"/>
      <w:framePr w:wrap="around" w:vAnchor="text" w:hAnchor="margin" w:xAlign="right" w:y="1"/>
      <w:rPr>
        <w:rStyle w:val="a7"/>
        <w:rFonts w:ascii="Book Antiqua" w:hAnsi="Book Antiqua"/>
        <w:sz w:val="24"/>
        <w:szCs w:val="24"/>
      </w:rPr>
    </w:pPr>
    <w:r w:rsidRPr="0000693A">
      <w:rPr>
        <w:rStyle w:val="a7"/>
        <w:rFonts w:ascii="Book Antiqua" w:hAnsi="Book Antiqua"/>
        <w:sz w:val="24"/>
        <w:szCs w:val="24"/>
      </w:rPr>
      <w:fldChar w:fldCharType="begin"/>
    </w:r>
    <w:r w:rsidRPr="0000693A">
      <w:rPr>
        <w:rStyle w:val="a7"/>
        <w:rFonts w:ascii="Book Antiqua" w:hAnsi="Book Antiqua"/>
        <w:sz w:val="24"/>
        <w:szCs w:val="24"/>
      </w:rPr>
      <w:instrText xml:space="preserve">PAGE  </w:instrText>
    </w:r>
    <w:r w:rsidRPr="0000693A">
      <w:rPr>
        <w:rStyle w:val="a7"/>
        <w:rFonts w:ascii="Book Antiqua" w:hAnsi="Book Antiqua"/>
        <w:sz w:val="24"/>
        <w:szCs w:val="24"/>
      </w:rPr>
      <w:fldChar w:fldCharType="separate"/>
    </w:r>
    <w:r w:rsidR="00C87007">
      <w:rPr>
        <w:rStyle w:val="a7"/>
        <w:rFonts w:ascii="Book Antiqua" w:hAnsi="Book Antiqua"/>
        <w:noProof/>
        <w:sz w:val="24"/>
        <w:szCs w:val="24"/>
      </w:rPr>
      <w:t>38</w:t>
    </w:r>
    <w:r w:rsidRPr="0000693A">
      <w:rPr>
        <w:rStyle w:val="a7"/>
        <w:rFonts w:ascii="Book Antiqua" w:hAnsi="Book Antiqua"/>
        <w:sz w:val="24"/>
        <w:szCs w:val="24"/>
      </w:rPr>
      <w:fldChar w:fldCharType="end"/>
    </w:r>
  </w:p>
  <w:p w:rsidR="00C92AB1" w:rsidRDefault="00C92AB1" w:rsidP="000A16B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FD2" w:rsidRDefault="00177FD2" w:rsidP="0072294F">
      <w:r>
        <w:separator/>
      </w:r>
    </w:p>
  </w:footnote>
  <w:footnote w:type="continuationSeparator" w:id="0">
    <w:p w:rsidR="00177FD2" w:rsidRDefault="00177FD2" w:rsidP="007229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CAAD41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C6798"/>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A31760"/>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3A3BE9"/>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D051DA3"/>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EB614A4"/>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F531C4C"/>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65C7676"/>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1237B0"/>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AD2831"/>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D216FF"/>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48D662A"/>
    <w:multiLevelType w:val="hybridMultilevel"/>
    <w:tmpl w:val="1BA63A52"/>
    <w:lvl w:ilvl="0" w:tplc="D4348D6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58527C7"/>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6A41E08"/>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1DE5695"/>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44C72BD"/>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87E009E"/>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614A67"/>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190098"/>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0D90841"/>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1E6262A"/>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21E13D0"/>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280384D"/>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7052685"/>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8FE4767"/>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C3A71BD"/>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4347B6A"/>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73C36E9"/>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0511062"/>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0512741"/>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17F5E7F"/>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7944406"/>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B537A9B"/>
    <w:multiLevelType w:val="hybridMultilevel"/>
    <w:tmpl w:val="41C0D436"/>
    <w:lvl w:ilvl="0" w:tplc="040C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8"/>
  </w:num>
  <w:num w:numId="3">
    <w:abstractNumId w:val="3"/>
  </w:num>
  <w:num w:numId="4">
    <w:abstractNumId w:val="22"/>
  </w:num>
  <w:num w:numId="5">
    <w:abstractNumId w:val="25"/>
  </w:num>
  <w:num w:numId="6">
    <w:abstractNumId w:val="21"/>
  </w:num>
  <w:num w:numId="7">
    <w:abstractNumId w:val="6"/>
  </w:num>
  <w:num w:numId="8">
    <w:abstractNumId w:val="31"/>
  </w:num>
  <w:num w:numId="9">
    <w:abstractNumId w:val="27"/>
  </w:num>
  <w:num w:numId="10">
    <w:abstractNumId w:val="10"/>
  </w:num>
  <w:num w:numId="11">
    <w:abstractNumId w:val="14"/>
  </w:num>
  <w:num w:numId="12">
    <w:abstractNumId w:val="23"/>
  </w:num>
  <w:num w:numId="13">
    <w:abstractNumId w:val="30"/>
  </w:num>
  <w:num w:numId="14">
    <w:abstractNumId w:val="5"/>
  </w:num>
  <w:num w:numId="15">
    <w:abstractNumId w:val="16"/>
  </w:num>
  <w:num w:numId="16">
    <w:abstractNumId w:val="9"/>
  </w:num>
  <w:num w:numId="17">
    <w:abstractNumId w:val="19"/>
  </w:num>
  <w:num w:numId="18">
    <w:abstractNumId w:val="29"/>
  </w:num>
  <w:num w:numId="19">
    <w:abstractNumId w:val="26"/>
  </w:num>
  <w:num w:numId="20">
    <w:abstractNumId w:val="7"/>
  </w:num>
  <w:num w:numId="21">
    <w:abstractNumId w:val="20"/>
  </w:num>
  <w:num w:numId="22">
    <w:abstractNumId w:val="4"/>
  </w:num>
  <w:num w:numId="23">
    <w:abstractNumId w:val="28"/>
  </w:num>
  <w:num w:numId="24">
    <w:abstractNumId w:val="12"/>
  </w:num>
  <w:num w:numId="25">
    <w:abstractNumId w:val="24"/>
  </w:num>
  <w:num w:numId="26">
    <w:abstractNumId w:val="1"/>
  </w:num>
  <w:num w:numId="27">
    <w:abstractNumId w:val="15"/>
  </w:num>
  <w:num w:numId="28">
    <w:abstractNumId w:val="17"/>
  </w:num>
  <w:num w:numId="29">
    <w:abstractNumId w:val="2"/>
  </w:num>
  <w:num w:numId="30">
    <w:abstractNumId w:val="18"/>
  </w:num>
  <w:num w:numId="31">
    <w:abstractNumId w:val="32"/>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93A"/>
    <w:rsid w:val="000566DD"/>
    <w:rsid w:val="0005674C"/>
    <w:rsid w:val="000711D2"/>
    <w:rsid w:val="00076C8C"/>
    <w:rsid w:val="000A16B0"/>
    <w:rsid w:val="00172A27"/>
    <w:rsid w:val="00177FD2"/>
    <w:rsid w:val="00184137"/>
    <w:rsid w:val="003410B3"/>
    <w:rsid w:val="00594A33"/>
    <w:rsid w:val="005C7DD2"/>
    <w:rsid w:val="0072294F"/>
    <w:rsid w:val="009A370B"/>
    <w:rsid w:val="009C16FB"/>
    <w:rsid w:val="00A464CB"/>
    <w:rsid w:val="00A74A38"/>
    <w:rsid w:val="00B340C9"/>
    <w:rsid w:val="00BF43F6"/>
    <w:rsid w:val="00C87007"/>
    <w:rsid w:val="00C92AB1"/>
    <w:rsid w:val="00CA671B"/>
    <w:rsid w:val="00E01F39"/>
    <w:rsid w:val="00E352A9"/>
    <w:rsid w:val="00EB0166"/>
    <w:rsid w:val="00FA0215"/>
    <w:rsid w:val="00FD79E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410B3"/>
    <w:pPr>
      <w:widowControl w:val="0"/>
      <w:jc w:val="both"/>
    </w:pPr>
    <w:rPr>
      <w:szCs w:val="20"/>
    </w:rPr>
  </w:style>
  <w:style w:type="paragraph" w:styleId="3">
    <w:name w:val="heading 3"/>
    <w:basedOn w:val="a"/>
    <w:link w:val="3Char"/>
    <w:uiPriority w:val="99"/>
    <w:qFormat/>
    <w:rsid w:val="0072294F"/>
    <w:pPr>
      <w:widowControl/>
      <w:spacing w:beforeLines="1" w:afterLines="1"/>
      <w:jc w:val="left"/>
      <w:outlineLvl w:val="2"/>
    </w:pPr>
    <w:rPr>
      <w:rFonts w:ascii="Times" w:hAnsi="Times"/>
      <w:b/>
      <w:kern w:val="0"/>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locked/>
    <w:rsid w:val="0072294F"/>
    <w:rPr>
      <w:rFonts w:ascii="Times" w:eastAsia="Times New Roman" w:hAnsi="Times" w:cs="Times New Roman"/>
      <w:b/>
      <w:sz w:val="27"/>
    </w:rPr>
  </w:style>
  <w:style w:type="paragraph" w:styleId="a3">
    <w:name w:val="footer"/>
    <w:basedOn w:val="a"/>
    <w:link w:val="Char"/>
    <w:uiPriority w:val="99"/>
    <w:rsid w:val="003410B3"/>
    <w:pPr>
      <w:tabs>
        <w:tab w:val="center" w:pos="4153"/>
        <w:tab w:val="right" w:pos="8306"/>
      </w:tabs>
      <w:snapToGrid w:val="0"/>
      <w:jc w:val="left"/>
    </w:pPr>
    <w:rPr>
      <w:sz w:val="18"/>
    </w:rPr>
  </w:style>
  <w:style w:type="character" w:customStyle="1" w:styleId="Char">
    <w:name w:val="页脚 Char"/>
    <w:basedOn w:val="a0"/>
    <w:link w:val="a3"/>
    <w:uiPriority w:val="99"/>
    <w:semiHidden/>
    <w:rsid w:val="0046624A"/>
    <w:rPr>
      <w:sz w:val="18"/>
      <w:szCs w:val="18"/>
    </w:rPr>
  </w:style>
  <w:style w:type="paragraph" w:styleId="a4">
    <w:name w:val="header"/>
    <w:basedOn w:val="a"/>
    <w:link w:val="Char0"/>
    <w:uiPriority w:val="99"/>
    <w:rsid w:val="003410B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locked/>
    <w:rsid w:val="0072294F"/>
    <w:rPr>
      <w:kern w:val="2"/>
      <w:sz w:val="18"/>
    </w:rPr>
  </w:style>
  <w:style w:type="character" w:styleId="a5">
    <w:name w:val="Hyperlink"/>
    <w:basedOn w:val="a0"/>
    <w:uiPriority w:val="99"/>
    <w:rsid w:val="0072294F"/>
    <w:rPr>
      <w:rFonts w:cs="Times New Roman"/>
      <w:color w:val="0000FF"/>
      <w:u w:val="single"/>
    </w:rPr>
  </w:style>
  <w:style w:type="character" w:styleId="a6">
    <w:name w:val="Strong"/>
    <w:basedOn w:val="a0"/>
    <w:uiPriority w:val="99"/>
    <w:qFormat/>
    <w:rsid w:val="0072294F"/>
    <w:rPr>
      <w:rFonts w:cs="Times New Roman"/>
      <w:b/>
    </w:rPr>
  </w:style>
  <w:style w:type="character" w:styleId="a7">
    <w:name w:val="page number"/>
    <w:basedOn w:val="a0"/>
    <w:uiPriority w:val="99"/>
    <w:rsid w:val="0072294F"/>
    <w:rPr>
      <w:rFonts w:cs="Times New Roman"/>
    </w:rPr>
  </w:style>
  <w:style w:type="paragraph" w:customStyle="1" w:styleId="-11">
    <w:name w:val="彩色列表 - 强调文字颜色 11"/>
    <w:basedOn w:val="a"/>
    <w:uiPriority w:val="99"/>
    <w:rsid w:val="0072294F"/>
    <w:pPr>
      <w:widowControl/>
      <w:ind w:left="720"/>
      <w:contextualSpacing/>
      <w:jc w:val="left"/>
    </w:pPr>
    <w:rPr>
      <w:rFonts w:ascii="Cambria" w:hAnsi="Cambria"/>
      <w:kern w:val="0"/>
      <w:sz w:val="24"/>
      <w:szCs w:val="24"/>
      <w:lang w:val="fr-FR" w:eastAsia="en-US"/>
    </w:rPr>
  </w:style>
  <w:style w:type="table" w:styleId="a8">
    <w:name w:val="Table Grid"/>
    <w:basedOn w:val="a1"/>
    <w:uiPriority w:val="99"/>
    <w:rsid w:val="0072294F"/>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Title"/>
    <w:aliases w:val="title"/>
    <w:basedOn w:val="a"/>
    <w:link w:val="Char1"/>
    <w:uiPriority w:val="99"/>
    <w:qFormat/>
    <w:rsid w:val="0072294F"/>
    <w:pPr>
      <w:widowControl/>
      <w:spacing w:beforeLines="1" w:afterLines="1"/>
      <w:jc w:val="left"/>
    </w:pPr>
    <w:rPr>
      <w:rFonts w:ascii="Times" w:hAnsi="Times"/>
      <w:kern w:val="0"/>
      <w:sz w:val="20"/>
    </w:rPr>
  </w:style>
  <w:style w:type="character" w:customStyle="1" w:styleId="Char1">
    <w:name w:val="标题 Char"/>
    <w:aliases w:val="title Char"/>
    <w:basedOn w:val="a0"/>
    <w:link w:val="a9"/>
    <w:uiPriority w:val="99"/>
    <w:locked/>
    <w:rsid w:val="0072294F"/>
    <w:rPr>
      <w:rFonts w:ascii="Times" w:eastAsia="Times New Roman" w:hAnsi="Times" w:cs="Times New Roman"/>
    </w:rPr>
  </w:style>
  <w:style w:type="paragraph" w:customStyle="1" w:styleId="desc">
    <w:name w:val="desc"/>
    <w:basedOn w:val="a"/>
    <w:uiPriority w:val="99"/>
    <w:rsid w:val="0072294F"/>
    <w:pPr>
      <w:widowControl/>
      <w:spacing w:beforeLines="1" w:afterLines="1"/>
      <w:jc w:val="left"/>
    </w:pPr>
    <w:rPr>
      <w:rFonts w:ascii="Times" w:hAnsi="Times"/>
      <w:kern w:val="0"/>
      <w:sz w:val="20"/>
      <w:lang w:val="en-GB" w:eastAsia="en-US"/>
    </w:rPr>
  </w:style>
  <w:style w:type="paragraph" w:customStyle="1" w:styleId="details">
    <w:name w:val="details"/>
    <w:basedOn w:val="a"/>
    <w:uiPriority w:val="99"/>
    <w:rsid w:val="0072294F"/>
    <w:pPr>
      <w:widowControl/>
      <w:spacing w:beforeLines="1" w:afterLines="1"/>
      <w:jc w:val="left"/>
    </w:pPr>
    <w:rPr>
      <w:rFonts w:ascii="Times" w:hAnsi="Times"/>
      <w:kern w:val="0"/>
      <w:sz w:val="20"/>
      <w:lang w:val="en-GB" w:eastAsia="en-US"/>
    </w:rPr>
  </w:style>
  <w:style w:type="character" w:customStyle="1" w:styleId="jrnl">
    <w:name w:val="jrnl"/>
    <w:basedOn w:val="a0"/>
    <w:uiPriority w:val="99"/>
    <w:rsid w:val="0072294F"/>
    <w:rPr>
      <w:rFonts w:cs="Times New Roman"/>
    </w:rPr>
  </w:style>
  <w:style w:type="paragraph" w:styleId="aa">
    <w:name w:val="Normal (Web)"/>
    <w:basedOn w:val="a"/>
    <w:uiPriority w:val="99"/>
    <w:rsid w:val="0072294F"/>
    <w:pPr>
      <w:widowControl/>
      <w:spacing w:beforeLines="1" w:afterLines="1"/>
      <w:jc w:val="left"/>
    </w:pPr>
    <w:rPr>
      <w:rFonts w:ascii="Times" w:hAnsi="Times"/>
      <w:kern w:val="0"/>
      <w:sz w:val="20"/>
      <w:lang w:val="en-GB" w:eastAsia="en-US"/>
    </w:rPr>
  </w:style>
  <w:style w:type="character" w:customStyle="1" w:styleId="highlight">
    <w:name w:val="highlight"/>
    <w:basedOn w:val="a0"/>
    <w:uiPriority w:val="99"/>
    <w:rsid w:val="0072294F"/>
    <w:rPr>
      <w:rFonts w:cs="Times New Roman"/>
    </w:rPr>
  </w:style>
  <w:style w:type="character" w:styleId="ab">
    <w:name w:val="FollowedHyperlink"/>
    <w:basedOn w:val="a0"/>
    <w:uiPriority w:val="99"/>
    <w:rsid w:val="0072294F"/>
    <w:rPr>
      <w:rFonts w:cs="Times New Roman"/>
      <w:color w:val="800080"/>
      <w:u w:val="single"/>
    </w:rPr>
  </w:style>
  <w:style w:type="character" w:styleId="ac">
    <w:name w:val="annotation reference"/>
    <w:basedOn w:val="a0"/>
    <w:uiPriority w:val="99"/>
    <w:rsid w:val="0072294F"/>
    <w:rPr>
      <w:rFonts w:cs="Times New Roman"/>
      <w:sz w:val="21"/>
    </w:rPr>
  </w:style>
  <w:style w:type="paragraph" w:styleId="ad">
    <w:name w:val="annotation text"/>
    <w:basedOn w:val="a"/>
    <w:link w:val="Char2"/>
    <w:uiPriority w:val="99"/>
    <w:rsid w:val="0072294F"/>
    <w:pPr>
      <w:jc w:val="left"/>
    </w:pPr>
    <w:rPr>
      <w:szCs w:val="24"/>
    </w:rPr>
  </w:style>
  <w:style w:type="character" w:customStyle="1" w:styleId="Char2">
    <w:name w:val="批注文字 Char"/>
    <w:basedOn w:val="a0"/>
    <w:link w:val="ad"/>
    <w:uiPriority w:val="99"/>
    <w:locked/>
    <w:rsid w:val="0072294F"/>
    <w:rPr>
      <w:rFonts w:cs="Times New Roman"/>
      <w:kern w:val="2"/>
      <w:sz w:val="24"/>
      <w:szCs w:val="24"/>
    </w:rPr>
  </w:style>
  <w:style w:type="paragraph" w:styleId="ae">
    <w:name w:val="annotation subject"/>
    <w:basedOn w:val="ad"/>
    <w:next w:val="ad"/>
    <w:link w:val="Char3"/>
    <w:uiPriority w:val="99"/>
    <w:rsid w:val="0072294F"/>
    <w:rPr>
      <w:b/>
      <w:bCs/>
    </w:rPr>
  </w:style>
  <w:style w:type="character" w:customStyle="1" w:styleId="Char3">
    <w:name w:val="批注主题 Char"/>
    <w:basedOn w:val="Char2"/>
    <w:link w:val="ae"/>
    <w:uiPriority w:val="99"/>
    <w:locked/>
    <w:rsid w:val="0072294F"/>
    <w:rPr>
      <w:rFonts w:cs="Times New Roman"/>
      <w:b/>
      <w:bCs/>
      <w:kern w:val="2"/>
      <w:sz w:val="24"/>
      <w:szCs w:val="24"/>
    </w:rPr>
  </w:style>
  <w:style w:type="paragraph" w:styleId="af">
    <w:name w:val="Balloon Text"/>
    <w:basedOn w:val="a"/>
    <w:link w:val="Char4"/>
    <w:uiPriority w:val="99"/>
    <w:rsid w:val="0072294F"/>
    <w:rPr>
      <w:sz w:val="18"/>
      <w:szCs w:val="18"/>
    </w:rPr>
  </w:style>
  <w:style w:type="character" w:customStyle="1" w:styleId="Char4">
    <w:name w:val="批注框文本 Char"/>
    <w:basedOn w:val="a0"/>
    <w:link w:val="af"/>
    <w:uiPriority w:val="99"/>
    <w:locked/>
    <w:rsid w:val="0072294F"/>
    <w:rPr>
      <w:rFonts w:cs="Times New Roman"/>
      <w:kern w:val="2"/>
      <w:sz w:val="18"/>
      <w:szCs w:val="18"/>
    </w:rPr>
  </w:style>
  <w:style w:type="character" w:customStyle="1" w:styleId="Char10">
    <w:name w:val="批注文字 Char1"/>
    <w:uiPriority w:val="99"/>
    <w:semiHidden/>
    <w:rsid w:val="0072294F"/>
    <w:rPr>
      <w:rFonts w:eastAsia="宋体"/>
      <w:kern w:val="2"/>
      <w:sz w:val="24"/>
      <w:lang w:val="en-US" w:eastAsia="zh-CN"/>
    </w:rPr>
  </w:style>
  <w:style w:type="character" w:customStyle="1" w:styleId="highlight1">
    <w:name w:val="highlight1"/>
    <w:uiPriority w:val="99"/>
    <w:rsid w:val="0072294F"/>
    <w:rPr>
      <w:shd w:val="clear" w:color="auto" w:fill="F1BFE0"/>
    </w:rPr>
  </w:style>
  <w:style w:type="paragraph" w:customStyle="1" w:styleId="p0">
    <w:name w:val="p0"/>
    <w:basedOn w:val="a"/>
    <w:uiPriority w:val="99"/>
    <w:rsid w:val="0072294F"/>
    <w:pPr>
      <w:widowControl/>
      <w:spacing w:line="240" w:lineRule="atLeast"/>
      <w:jc w:val="left"/>
    </w:pPr>
    <w:rPr>
      <w:rFonts w:ascii="Century" w:hAnsi="Century"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410B3"/>
    <w:pPr>
      <w:widowControl w:val="0"/>
      <w:jc w:val="both"/>
    </w:pPr>
    <w:rPr>
      <w:szCs w:val="20"/>
    </w:rPr>
  </w:style>
  <w:style w:type="paragraph" w:styleId="3">
    <w:name w:val="heading 3"/>
    <w:basedOn w:val="a"/>
    <w:link w:val="3Char"/>
    <w:uiPriority w:val="99"/>
    <w:qFormat/>
    <w:rsid w:val="0072294F"/>
    <w:pPr>
      <w:widowControl/>
      <w:spacing w:beforeLines="1" w:afterLines="1"/>
      <w:jc w:val="left"/>
      <w:outlineLvl w:val="2"/>
    </w:pPr>
    <w:rPr>
      <w:rFonts w:ascii="Times" w:hAnsi="Times"/>
      <w:b/>
      <w:kern w:val="0"/>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9"/>
    <w:locked/>
    <w:rsid w:val="0072294F"/>
    <w:rPr>
      <w:rFonts w:ascii="Times" w:eastAsia="Times New Roman" w:hAnsi="Times" w:cs="Times New Roman"/>
      <w:b/>
      <w:sz w:val="27"/>
    </w:rPr>
  </w:style>
  <w:style w:type="paragraph" w:styleId="a3">
    <w:name w:val="footer"/>
    <w:basedOn w:val="a"/>
    <w:link w:val="Char"/>
    <w:uiPriority w:val="99"/>
    <w:rsid w:val="003410B3"/>
    <w:pPr>
      <w:tabs>
        <w:tab w:val="center" w:pos="4153"/>
        <w:tab w:val="right" w:pos="8306"/>
      </w:tabs>
      <w:snapToGrid w:val="0"/>
      <w:jc w:val="left"/>
    </w:pPr>
    <w:rPr>
      <w:sz w:val="18"/>
    </w:rPr>
  </w:style>
  <w:style w:type="character" w:customStyle="1" w:styleId="Char">
    <w:name w:val="页脚 Char"/>
    <w:basedOn w:val="a0"/>
    <w:link w:val="a3"/>
    <w:uiPriority w:val="99"/>
    <w:semiHidden/>
    <w:rsid w:val="0046624A"/>
    <w:rPr>
      <w:sz w:val="18"/>
      <w:szCs w:val="18"/>
    </w:rPr>
  </w:style>
  <w:style w:type="paragraph" w:styleId="a4">
    <w:name w:val="header"/>
    <w:basedOn w:val="a"/>
    <w:link w:val="Char0"/>
    <w:uiPriority w:val="99"/>
    <w:rsid w:val="003410B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uiPriority w:val="99"/>
    <w:locked/>
    <w:rsid w:val="0072294F"/>
    <w:rPr>
      <w:kern w:val="2"/>
      <w:sz w:val="18"/>
    </w:rPr>
  </w:style>
  <w:style w:type="character" w:styleId="a5">
    <w:name w:val="Hyperlink"/>
    <w:basedOn w:val="a0"/>
    <w:uiPriority w:val="99"/>
    <w:rsid w:val="0072294F"/>
    <w:rPr>
      <w:rFonts w:cs="Times New Roman"/>
      <w:color w:val="0000FF"/>
      <w:u w:val="single"/>
    </w:rPr>
  </w:style>
  <w:style w:type="character" w:styleId="a6">
    <w:name w:val="Strong"/>
    <w:basedOn w:val="a0"/>
    <w:uiPriority w:val="99"/>
    <w:qFormat/>
    <w:rsid w:val="0072294F"/>
    <w:rPr>
      <w:rFonts w:cs="Times New Roman"/>
      <w:b/>
    </w:rPr>
  </w:style>
  <w:style w:type="character" w:styleId="a7">
    <w:name w:val="page number"/>
    <w:basedOn w:val="a0"/>
    <w:uiPriority w:val="99"/>
    <w:rsid w:val="0072294F"/>
    <w:rPr>
      <w:rFonts w:cs="Times New Roman"/>
    </w:rPr>
  </w:style>
  <w:style w:type="paragraph" w:customStyle="1" w:styleId="-11">
    <w:name w:val="彩色列表 - 强调文字颜色 11"/>
    <w:basedOn w:val="a"/>
    <w:uiPriority w:val="99"/>
    <w:rsid w:val="0072294F"/>
    <w:pPr>
      <w:widowControl/>
      <w:ind w:left="720"/>
      <w:contextualSpacing/>
      <w:jc w:val="left"/>
    </w:pPr>
    <w:rPr>
      <w:rFonts w:ascii="Cambria" w:hAnsi="Cambria"/>
      <w:kern w:val="0"/>
      <w:sz w:val="24"/>
      <w:szCs w:val="24"/>
      <w:lang w:val="fr-FR" w:eastAsia="en-US"/>
    </w:rPr>
  </w:style>
  <w:style w:type="table" w:styleId="a8">
    <w:name w:val="Table Grid"/>
    <w:basedOn w:val="a1"/>
    <w:uiPriority w:val="99"/>
    <w:rsid w:val="0072294F"/>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Title"/>
    <w:aliases w:val="title"/>
    <w:basedOn w:val="a"/>
    <w:link w:val="Char1"/>
    <w:uiPriority w:val="99"/>
    <w:qFormat/>
    <w:rsid w:val="0072294F"/>
    <w:pPr>
      <w:widowControl/>
      <w:spacing w:beforeLines="1" w:afterLines="1"/>
      <w:jc w:val="left"/>
    </w:pPr>
    <w:rPr>
      <w:rFonts w:ascii="Times" w:hAnsi="Times"/>
      <w:kern w:val="0"/>
      <w:sz w:val="20"/>
    </w:rPr>
  </w:style>
  <w:style w:type="character" w:customStyle="1" w:styleId="Char1">
    <w:name w:val="标题 Char"/>
    <w:aliases w:val="title Char"/>
    <w:basedOn w:val="a0"/>
    <w:link w:val="a9"/>
    <w:uiPriority w:val="99"/>
    <w:locked/>
    <w:rsid w:val="0072294F"/>
    <w:rPr>
      <w:rFonts w:ascii="Times" w:eastAsia="Times New Roman" w:hAnsi="Times" w:cs="Times New Roman"/>
    </w:rPr>
  </w:style>
  <w:style w:type="paragraph" w:customStyle="1" w:styleId="desc">
    <w:name w:val="desc"/>
    <w:basedOn w:val="a"/>
    <w:uiPriority w:val="99"/>
    <w:rsid w:val="0072294F"/>
    <w:pPr>
      <w:widowControl/>
      <w:spacing w:beforeLines="1" w:afterLines="1"/>
      <w:jc w:val="left"/>
    </w:pPr>
    <w:rPr>
      <w:rFonts w:ascii="Times" w:hAnsi="Times"/>
      <w:kern w:val="0"/>
      <w:sz w:val="20"/>
      <w:lang w:val="en-GB" w:eastAsia="en-US"/>
    </w:rPr>
  </w:style>
  <w:style w:type="paragraph" w:customStyle="1" w:styleId="details">
    <w:name w:val="details"/>
    <w:basedOn w:val="a"/>
    <w:uiPriority w:val="99"/>
    <w:rsid w:val="0072294F"/>
    <w:pPr>
      <w:widowControl/>
      <w:spacing w:beforeLines="1" w:afterLines="1"/>
      <w:jc w:val="left"/>
    </w:pPr>
    <w:rPr>
      <w:rFonts w:ascii="Times" w:hAnsi="Times"/>
      <w:kern w:val="0"/>
      <w:sz w:val="20"/>
      <w:lang w:val="en-GB" w:eastAsia="en-US"/>
    </w:rPr>
  </w:style>
  <w:style w:type="character" w:customStyle="1" w:styleId="jrnl">
    <w:name w:val="jrnl"/>
    <w:basedOn w:val="a0"/>
    <w:uiPriority w:val="99"/>
    <w:rsid w:val="0072294F"/>
    <w:rPr>
      <w:rFonts w:cs="Times New Roman"/>
    </w:rPr>
  </w:style>
  <w:style w:type="paragraph" w:styleId="aa">
    <w:name w:val="Normal (Web)"/>
    <w:basedOn w:val="a"/>
    <w:uiPriority w:val="99"/>
    <w:rsid w:val="0072294F"/>
    <w:pPr>
      <w:widowControl/>
      <w:spacing w:beforeLines="1" w:afterLines="1"/>
      <w:jc w:val="left"/>
    </w:pPr>
    <w:rPr>
      <w:rFonts w:ascii="Times" w:hAnsi="Times"/>
      <w:kern w:val="0"/>
      <w:sz w:val="20"/>
      <w:lang w:val="en-GB" w:eastAsia="en-US"/>
    </w:rPr>
  </w:style>
  <w:style w:type="character" w:customStyle="1" w:styleId="highlight">
    <w:name w:val="highlight"/>
    <w:basedOn w:val="a0"/>
    <w:uiPriority w:val="99"/>
    <w:rsid w:val="0072294F"/>
    <w:rPr>
      <w:rFonts w:cs="Times New Roman"/>
    </w:rPr>
  </w:style>
  <w:style w:type="character" w:styleId="ab">
    <w:name w:val="FollowedHyperlink"/>
    <w:basedOn w:val="a0"/>
    <w:uiPriority w:val="99"/>
    <w:rsid w:val="0072294F"/>
    <w:rPr>
      <w:rFonts w:cs="Times New Roman"/>
      <w:color w:val="800080"/>
      <w:u w:val="single"/>
    </w:rPr>
  </w:style>
  <w:style w:type="character" w:styleId="ac">
    <w:name w:val="annotation reference"/>
    <w:basedOn w:val="a0"/>
    <w:uiPriority w:val="99"/>
    <w:rsid w:val="0072294F"/>
    <w:rPr>
      <w:rFonts w:cs="Times New Roman"/>
      <w:sz w:val="21"/>
    </w:rPr>
  </w:style>
  <w:style w:type="paragraph" w:styleId="ad">
    <w:name w:val="annotation text"/>
    <w:basedOn w:val="a"/>
    <w:link w:val="Char2"/>
    <w:uiPriority w:val="99"/>
    <w:rsid w:val="0072294F"/>
    <w:pPr>
      <w:jc w:val="left"/>
    </w:pPr>
    <w:rPr>
      <w:szCs w:val="24"/>
    </w:rPr>
  </w:style>
  <w:style w:type="character" w:customStyle="1" w:styleId="Char2">
    <w:name w:val="批注文字 Char"/>
    <w:basedOn w:val="a0"/>
    <w:link w:val="ad"/>
    <w:uiPriority w:val="99"/>
    <w:locked/>
    <w:rsid w:val="0072294F"/>
    <w:rPr>
      <w:rFonts w:cs="Times New Roman"/>
      <w:kern w:val="2"/>
      <w:sz w:val="24"/>
      <w:szCs w:val="24"/>
    </w:rPr>
  </w:style>
  <w:style w:type="paragraph" w:styleId="ae">
    <w:name w:val="annotation subject"/>
    <w:basedOn w:val="ad"/>
    <w:next w:val="ad"/>
    <w:link w:val="Char3"/>
    <w:uiPriority w:val="99"/>
    <w:rsid w:val="0072294F"/>
    <w:rPr>
      <w:b/>
      <w:bCs/>
    </w:rPr>
  </w:style>
  <w:style w:type="character" w:customStyle="1" w:styleId="Char3">
    <w:name w:val="批注主题 Char"/>
    <w:basedOn w:val="Char2"/>
    <w:link w:val="ae"/>
    <w:uiPriority w:val="99"/>
    <w:locked/>
    <w:rsid w:val="0072294F"/>
    <w:rPr>
      <w:rFonts w:cs="Times New Roman"/>
      <w:b/>
      <w:bCs/>
      <w:kern w:val="2"/>
      <w:sz w:val="24"/>
      <w:szCs w:val="24"/>
    </w:rPr>
  </w:style>
  <w:style w:type="paragraph" w:styleId="af">
    <w:name w:val="Balloon Text"/>
    <w:basedOn w:val="a"/>
    <w:link w:val="Char4"/>
    <w:uiPriority w:val="99"/>
    <w:rsid w:val="0072294F"/>
    <w:rPr>
      <w:sz w:val="18"/>
      <w:szCs w:val="18"/>
    </w:rPr>
  </w:style>
  <w:style w:type="character" w:customStyle="1" w:styleId="Char4">
    <w:name w:val="批注框文本 Char"/>
    <w:basedOn w:val="a0"/>
    <w:link w:val="af"/>
    <w:uiPriority w:val="99"/>
    <w:locked/>
    <w:rsid w:val="0072294F"/>
    <w:rPr>
      <w:rFonts w:cs="Times New Roman"/>
      <w:kern w:val="2"/>
      <w:sz w:val="18"/>
      <w:szCs w:val="18"/>
    </w:rPr>
  </w:style>
  <w:style w:type="character" w:customStyle="1" w:styleId="Char10">
    <w:name w:val="批注文字 Char1"/>
    <w:uiPriority w:val="99"/>
    <w:semiHidden/>
    <w:rsid w:val="0072294F"/>
    <w:rPr>
      <w:rFonts w:eastAsia="宋体"/>
      <w:kern w:val="2"/>
      <w:sz w:val="24"/>
      <w:lang w:val="en-US" w:eastAsia="zh-CN"/>
    </w:rPr>
  </w:style>
  <w:style w:type="character" w:customStyle="1" w:styleId="highlight1">
    <w:name w:val="highlight1"/>
    <w:uiPriority w:val="99"/>
    <w:rsid w:val="0072294F"/>
    <w:rPr>
      <w:shd w:val="clear" w:color="auto" w:fill="F1BFE0"/>
    </w:rPr>
  </w:style>
  <w:style w:type="paragraph" w:customStyle="1" w:styleId="p0">
    <w:name w:val="p0"/>
    <w:basedOn w:val="a"/>
    <w:uiPriority w:val="99"/>
    <w:rsid w:val="0072294F"/>
    <w:pPr>
      <w:widowControl/>
      <w:spacing w:line="240" w:lineRule="atLeast"/>
      <w:jc w:val="left"/>
    </w:pPr>
    <w:rPr>
      <w:rFonts w:ascii="Century" w:hAnsi="Century"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987584">
      <w:marLeft w:val="0"/>
      <w:marRight w:val="0"/>
      <w:marTop w:val="0"/>
      <w:marBottom w:val="0"/>
      <w:divBdr>
        <w:top w:val="none" w:sz="0" w:space="0" w:color="auto"/>
        <w:left w:val="none" w:sz="0" w:space="0" w:color="auto"/>
        <w:bottom w:val="none" w:sz="0" w:space="0" w:color="auto"/>
        <w:right w:val="none" w:sz="0" w:space="0" w:color="auto"/>
      </w:divBdr>
      <w:divsChild>
        <w:div w:id="2119987664">
          <w:marLeft w:val="0"/>
          <w:marRight w:val="0"/>
          <w:marTop w:val="0"/>
          <w:marBottom w:val="0"/>
          <w:divBdr>
            <w:top w:val="none" w:sz="0" w:space="0" w:color="auto"/>
            <w:left w:val="none" w:sz="0" w:space="0" w:color="auto"/>
            <w:bottom w:val="none" w:sz="0" w:space="0" w:color="auto"/>
            <w:right w:val="none" w:sz="0" w:space="0" w:color="auto"/>
          </w:divBdr>
          <w:divsChild>
            <w:div w:id="2119987665">
              <w:marLeft w:val="0"/>
              <w:marRight w:val="0"/>
              <w:marTop w:val="0"/>
              <w:marBottom w:val="0"/>
              <w:divBdr>
                <w:top w:val="none" w:sz="0" w:space="0" w:color="auto"/>
                <w:left w:val="none" w:sz="0" w:space="0" w:color="auto"/>
                <w:bottom w:val="none" w:sz="0" w:space="0" w:color="auto"/>
                <w:right w:val="none" w:sz="0" w:space="0" w:color="auto"/>
              </w:divBdr>
            </w:div>
            <w:div w:id="2119987670">
              <w:marLeft w:val="0"/>
              <w:marRight w:val="0"/>
              <w:marTop w:val="0"/>
              <w:marBottom w:val="0"/>
              <w:divBdr>
                <w:top w:val="none" w:sz="0" w:space="0" w:color="auto"/>
                <w:left w:val="none" w:sz="0" w:space="0" w:color="auto"/>
                <w:bottom w:val="none" w:sz="0" w:space="0" w:color="auto"/>
                <w:right w:val="none" w:sz="0" w:space="0" w:color="auto"/>
              </w:divBdr>
            </w:div>
            <w:div w:id="21199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7589">
      <w:marLeft w:val="0"/>
      <w:marRight w:val="0"/>
      <w:marTop w:val="0"/>
      <w:marBottom w:val="0"/>
      <w:divBdr>
        <w:top w:val="none" w:sz="0" w:space="0" w:color="auto"/>
        <w:left w:val="none" w:sz="0" w:space="0" w:color="auto"/>
        <w:bottom w:val="none" w:sz="0" w:space="0" w:color="auto"/>
        <w:right w:val="none" w:sz="0" w:space="0" w:color="auto"/>
      </w:divBdr>
      <w:divsChild>
        <w:div w:id="2119987680">
          <w:marLeft w:val="0"/>
          <w:marRight w:val="0"/>
          <w:marTop w:val="0"/>
          <w:marBottom w:val="0"/>
          <w:divBdr>
            <w:top w:val="none" w:sz="0" w:space="0" w:color="auto"/>
            <w:left w:val="none" w:sz="0" w:space="0" w:color="auto"/>
            <w:bottom w:val="none" w:sz="0" w:space="0" w:color="auto"/>
            <w:right w:val="none" w:sz="0" w:space="0" w:color="auto"/>
          </w:divBdr>
          <w:divsChild>
            <w:div w:id="21199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7592">
      <w:marLeft w:val="0"/>
      <w:marRight w:val="0"/>
      <w:marTop w:val="0"/>
      <w:marBottom w:val="0"/>
      <w:divBdr>
        <w:top w:val="none" w:sz="0" w:space="0" w:color="auto"/>
        <w:left w:val="none" w:sz="0" w:space="0" w:color="auto"/>
        <w:bottom w:val="none" w:sz="0" w:space="0" w:color="auto"/>
        <w:right w:val="none" w:sz="0" w:space="0" w:color="auto"/>
      </w:divBdr>
      <w:divsChild>
        <w:div w:id="2119987629">
          <w:marLeft w:val="0"/>
          <w:marRight w:val="0"/>
          <w:marTop w:val="0"/>
          <w:marBottom w:val="0"/>
          <w:divBdr>
            <w:top w:val="none" w:sz="0" w:space="0" w:color="auto"/>
            <w:left w:val="none" w:sz="0" w:space="0" w:color="auto"/>
            <w:bottom w:val="none" w:sz="0" w:space="0" w:color="auto"/>
            <w:right w:val="none" w:sz="0" w:space="0" w:color="auto"/>
          </w:divBdr>
        </w:div>
        <w:div w:id="2119987633">
          <w:marLeft w:val="0"/>
          <w:marRight w:val="0"/>
          <w:marTop w:val="0"/>
          <w:marBottom w:val="0"/>
          <w:divBdr>
            <w:top w:val="none" w:sz="0" w:space="0" w:color="auto"/>
            <w:left w:val="none" w:sz="0" w:space="0" w:color="auto"/>
            <w:bottom w:val="none" w:sz="0" w:space="0" w:color="auto"/>
            <w:right w:val="none" w:sz="0" w:space="0" w:color="auto"/>
          </w:divBdr>
        </w:div>
        <w:div w:id="2119987639">
          <w:marLeft w:val="0"/>
          <w:marRight w:val="0"/>
          <w:marTop w:val="0"/>
          <w:marBottom w:val="0"/>
          <w:divBdr>
            <w:top w:val="none" w:sz="0" w:space="0" w:color="auto"/>
            <w:left w:val="none" w:sz="0" w:space="0" w:color="auto"/>
            <w:bottom w:val="none" w:sz="0" w:space="0" w:color="auto"/>
            <w:right w:val="none" w:sz="0" w:space="0" w:color="auto"/>
          </w:divBdr>
        </w:div>
        <w:div w:id="2119987648">
          <w:marLeft w:val="0"/>
          <w:marRight w:val="0"/>
          <w:marTop w:val="0"/>
          <w:marBottom w:val="0"/>
          <w:divBdr>
            <w:top w:val="none" w:sz="0" w:space="0" w:color="auto"/>
            <w:left w:val="none" w:sz="0" w:space="0" w:color="auto"/>
            <w:bottom w:val="none" w:sz="0" w:space="0" w:color="auto"/>
            <w:right w:val="none" w:sz="0" w:space="0" w:color="auto"/>
          </w:divBdr>
        </w:div>
        <w:div w:id="2119987649">
          <w:marLeft w:val="0"/>
          <w:marRight w:val="0"/>
          <w:marTop w:val="0"/>
          <w:marBottom w:val="0"/>
          <w:divBdr>
            <w:top w:val="none" w:sz="0" w:space="0" w:color="auto"/>
            <w:left w:val="none" w:sz="0" w:space="0" w:color="auto"/>
            <w:bottom w:val="none" w:sz="0" w:space="0" w:color="auto"/>
            <w:right w:val="none" w:sz="0" w:space="0" w:color="auto"/>
          </w:divBdr>
        </w:div>
        <w:div w:id="2119987677">
          <w:marLeft w:val="0"/>
          <w:marRight w:val="0"/>
          <w:marTop w:val="0"/>
          <w:marBottom w:val="0"/>
          <w:divBdr>
            <w:top w:val="none" w:sz="0" w:space="0" w:color="auto"/>
            <w:left w:val="none" w:sz="0" w:space="0" w:color="auto"/>
            <w:bottom w:val="none" w:sz="0" w:space="0" w:color="auto"/>
            <w:right w:val="none" w:sz="0" w:space="0" w:color="auto"/>
          </w:divBdr>
        </w:div>
      </w:divsChild>
    </w:div>
    <w:div w:id="2119987593">
      <w:marLeft w:val="0"/>
      <w:marRight w:val="0"/>
      <w:marTop w:val="0"/>
      <w:marBottom w:val="0"/>
      <w:divBdr>
        <w:top w:val="none" w:sz="0" w:space="0" w:color="auto"/>
        <w:left w:val="none" w:sz="0" w:space="0" w:color="auto"/>
        <w:bottom w:val="none" w:sz="0" w:space="0" w:color="auto"/>
        <w:right w:val="none" w:sz="0" w:space="0" w:color="auto"/>
      </w:divBdr>
      <w:divsChild>
        <w:div w:id="2119987576">
          <w:marLeft w:val="0"/>
          <w:marRight w:val="0"/>
          <w:marTop w:val="0"/>
          <w:marBottom w:val="0"/>
          <w:divBdr>
            <w:top w:val="none" w:sz="0" w:space="0" w:color="auto"/>
            <w:left w:val="none" w:sz="0" w:space="0" w:color="auto"/>
            <w:bottom w:val="none" w:sz="0" w:space="0" w:color="auto"/>
            <w:right w:val="none" w:sz="0" w:space="0" w:color="auto"/>
          </w:divBdr>
        </w:div>
        <w:div w:id="2119987602">
          <w:marLeft w:val="0"/>
          <w:marRight w:val="0"/>
          <w:marTop w:val="0"/>
          <w:marBottom w:val="0"/>
          <w:divBdr>
            <w:top w:val="none" w:sz="0" w:space="0" w:color="auto"/>
            <w:left w:val="none" w:sz="0" w:space="0" w:color="auto"/>
            <w:bottom w:val="none" w:sz="0" w:space="0" w:color="auto"/>
            <w:right w:val="none" w:sz="0" w:space="0" w:color="auto"/>
          </w:divBdr>
        </w:div>
        <w:div w:id="2119987605">
          <w:marLeft w:val="0"/>
          <w:marRight w:val="0"/>
          <w:marTop w:val="0"/>
          <w:marBottom w:val="0"/>
          <w:divBdr>
            <w:top w:val="none" w:sz="0" w:space="0" w:color="auto"/>
            <w:left w:val="none" w:sz="0" w:space="0" w:color="auto"/>
            <w:bottom w:val="none" w:sz="0" w:space="0" w:color="auto"/>
            <w:right w:val="none" w:sz="0" w:space="0" w:color="auto"/>
          </w:divBdr>
        </w:div>
        <w:div w:id="2119987607">
          <w:marLeft w:val="0"/>
          <w:marRight w:val="0"/>
          <w:marTop w:val="0"/>
          <w:marBottom w:val="0"/>
          <w:divBdr>
            <w:top w:val="none" w:sz="0" w:space="0" w:color="auto"/>
            <w:left w:val="none" w:sz="0" w:space="0" w:color="auto"/>
            <w:bottom w:val="none" w:sz="0" w:space="0" w:color="auto"/>
            <w:right w:val="none" w:sz="0" w:space="0" w:color="auto"/>
          </w:divBdr>
        </w:div>
        <w:div w:id="2119987641">
          <w:marLeft w:val="0"/>
          <w:marRight w:val="0"/>
          <w:marTop w:val="0"/>
          <w:marBottom w:val="0"/>
          <w:divBdr>
            <w:top w:val="none" w:sz="0" w:space="0" w:color="auto"/>
            <w:left w:val="none" w:sz="0" w:space="0" w:color="auto"/>
            <w:bottom w:val="none" w:sz="0" w:space="0" w:color="auto"/>
            <w:right w:val="none" w:sz="0" w:space="0" w:color="auto"/>
          </w:divBdr>
        </w:div>
      </w:divsChild>
    </w:div>
    <w:div w:id="2119987598">
      <w:marLeft w:val="0"/>
      <w:marRight w:val="0"/>
      <w:marTop w:val="0"/>
      <w:marBottom w:val="0"/>
      <w:divBdr>
        <w:top w:val="none" w:sz="0" w:space="0" w:color="auto"/>
        <w:left w:val="none" w:sz="0" w:space="0" w:color="auto"/>
        <w:bottom w:val="none" w:sz="0" w:space="0" w:color="auto"/>
        <w:right w:val="none" w:sz="0" w:space="0" w:color="auto"/>
      </w:divBdr>
      <w:divsChild>
        <w:div w:id="2119987578">
          <w:marLeft w:val="0"/>
          <w:marRight w:val="0"/>
          <w:marTop w:val="0"/>
          <w:marBottom w:val="0"/>
          <w:divBdr>
            <w:top w:val="none" w:sz="0" w:space="0" w:color="auto"/>
            <w:left w:val="none" w:sz="0" w:space="0" w:color="auto"/>
            <w:bottom w:val="none" w:sz="0" w:space="0" w:color="auto"/>
            <w:right w:val="none" w:sz="0" w:space="0" w:color="auto"/>
          </w:divBdr>
        </w:div>
        <w:div w:id="2119987599">
          <w:marLeft w:val="0"/>
          <w:marRight w:val="0"/>
          <w:marTop w:val="0"/>
          <w:marBottom w:val="0"/>
          <w:divBdr>
            <w:top w:val="none" w:sz="0" w:space="0" w:color="auto"/>
            <w:left w:val="none" w:sz="0" w:space="0" w:color="auto"/>
            <w:bottom w:val="none" w:sz="0" w:space="0" w:color="auto"/>
            <w:right w:val="none" w:sz="0" w:space="0" w:color="auto"/>
          </w:divBdr>
        </w:div>
        <w:div w:id="2119987600">
          <w:marLeft w:val="0"/>
          <w:marRight w:val="0"/>
          <w:marTop w:val="0"/>
          <w:marBottom w:val="0"/>
          <w:divBdr>
            <w:top w:val="none" w:sz="0" w:space="0" w:color="auto"/>
            <w:left w:val="none" w:sz="0" w:space="0" w:color="auto"/>
            <w:bottom w:val="none" w:sz="0" w:space="0" w:color="auto"/>
            <w:right w:val="none" w:sz="0" w:space="0" w:color="auto"/>
          </w:divBdr>
        </w:div>
        <w:div w:id="2119987632">
          <w:marLeft w:val="0"/>
          <w:marRight w:val="0"/>
          <w:marTop w:val="0"/>
          <w:marBottom w:val="0"/>
          <w:divBdr>
            <w:top w:val="none" w:sz="0" w:space="0" w:color="auto"/>
            <w:left w:val="none" w:sz="0" w:space="0" w:color="auto"/>
            <w:bottom w:val="none" w:sz="0" w:space="0" w:color="auto"/>
            <w:right w:val="none" w:sz="0" w:space="0" w:color="auto"/>
          </w:divBdr>
        </w:div>
        <w:div w:id="2119987675">
          <w:marLeft w:val="0"/>
          <w:marRight w:val="0"/>
          <w:marTop w:val="0"/>
          <w:marBottom w:val="0"/>
          <w:divBdr>
            <w:top w:val="none" w:sz="0" w:space="0" w:color="auto"/>
            <w:left w:val="none" w:sz="0" w:space="0" w:color="auto"/>
            <w:bottom w:val="none" w:sz="0" w:space="0" w:color="auto"/>
            <w:right w:val="none" w:sz="0" w:space="0" w:color="auto"/>
          </w:divBdr>
        </w:div>
        <w:div w:id="2119987676">
          <w:marLeft w:val="0"/>
          <w:marRight w:val="0"/>
          <w:marTop w:val="0"/>
          <w:marBottom w:val="0"/>
          <w:divBdr>
            <w:top w:val="none" w:sz="0" w:space="0" w:color="auto"/>
            <w:left w:val="none" w:sz="0" w:space="0" w:color="auto"/>
            <w:bottom w:val="none" w:sz="0" w:space="0" w:color="auto"/>
            <w:right w:val="none" w:sz="0" w:space="0" w:color="auto"/>
          </w:divBdr>
        </w:div>
        <w:div w:id="2119987684">
          <w:marLeft w:val="0"/>
          <w:marRight w:val="0"/>
          <w:marTop w:val="0"/>
          <w:marBottom w:val="0"/>
          <w:divBdr>
            <w:top w:val="none" w:sz="0" w:space="0" w:color="auto"/>
            <w:left w:val="none" w:sz="0" w:space="0" w:color="auto"/>
            <w:bottom w:val="none" w:sz="0" w:space="0" w:color="auto"/>
            <w:right w:val="none" w:sz="0" w:space="0" w:color="auto"/>
          </w:divBdr>
        </w:div>
      </w:divsChild>
    </w:div>
    <w:div w:id="2119987604">
      <w:marLeft w:val="0"/>
      <w:marRight w:val="0"/>
      <w:marTop w:val="0"/>
      <w:marBottom w:val="0"/>
      <w:divBdr>
        <w:top w:val="none" w:sz="0" w:space="0" w:color="auto"/>
        <w:left w:val="none" w:sz="0" w:space="0" w:color="auto"/>
        <w:bottom w:val="none" w:sz="0" w:space="0" w:color="auto"/>
        <w:right w:val="none" w:sz="0" w:space="0" w:color="auto"/>
      </w:divBdr>
      <w:divsChild>
        <w:div w:id="2119987581">
          <w:marLeft w:val="0"/>
          <w:marRight w:val="0"/>
          <w:marTop w:val="0"/>
          <w:marBottom w:val="0"/>
          <w:divBdr>
            <w:top w:val="none" w:sz="0" w:space="0" w:color="auto"/>
            <w:left w:val="none" w:sz="0" w:space="0" w:color="auto"/>
            <w:bottom w:val="none" w:sz="0" w:space="0" w:color="auto"/>
            <w:right w:val="none" w:sz="0" w:space="0" w:color="auto"/>
          </w:divBdr>
        </w:div>
        <w:div w:id="2119987590">
          <w:marLeft w:val="0"/>
          <w:marRight w:val="0"/>
          <w:marTop w:val="0"/>
          <w:marBottom w:val="0"/>
          <w:divBdr>
            <w:top w:val="none" w:sz="0" w:space="0" w:color="auto"/>
            <w:left w:val="none" w:sz="0" w:space="0" w:color="auto"/>
            <w:bottom w:val="none" w:sz="0" w:space="0" w:color="auto"/>
            <w:right w:val="none" w:sz="0" w:space="0" w:color="auto"/>
          </w:divBdr>
        </w:div>
        <w:div w:id="2119987609">
          <w:marLeft w:val="0"/>
          <w:marRight w:val="0"/>
          <w:marTop w:val="0"/>
          <w:marBottom w:val="0"/>
          <w:divBdr>
            <w:top w:val="none" w:sz="0" w:space="0" w:color="auto"/>
            <w:left w:val="none" w:sz="0" w:space="0" w:color="auto"/>
            <w:bottom w:val="none" w:sz="0" w:space="0" w:color="auto"/>
            <w:right w:val="none" w:sz="0" w:space="0" w:color="auto"/>
          </w:divBdr>
        </w:div>
        <w:div w:id="2119987612">
          <w:marLeft w:val="0"/>
          <w:marRight w:val="0"/>
          <w:marTop w:val="0"/>
          <w:marBottom w:val="0"/>
          <w:divBdr>
            <w:top w:val="none" w:sz="0" w:space="0" w:color="auto"/>
            <w:left w:val="none" w:sz="0" w:space="0" w:color="auto"/>
            <w:bottom w:val="none" w:sz="0" w:space="0" w:color="auto"/>
            <w:right w:val="none" w:sz="0" w:space="0" w:color="auto"/>
          </w:divBdr>
        </w:div>
        <w:div w:id="2119987614">
          <w:marLeft w:val="0"/>
          <w:marRight w:val="0"/>
          <w:marTop w:val="0"/>
          <w:marBottom w:val="0"/>
          <w:divBdr>
            <w:top w:val="none" w:sz="0" w:space="0" w:color="auto"/>
            <w:left w:val="none" w:sz="0" w:space="0" w:color="auto"/>
            <w:bottom w:val="none" w:sz="0" w:space="0" w:color="auto"/>
            <w:right w:val="none" w:sz="0" w:space="0" w:color="auto"/>
          </w:divBdr>
        </w:div>
        <w:div w:id="2119987620">
          <w:marLeft w:val="0"/>
          <w:marRight w:val="0"/>
          <w:marTop w:val="0"/>
          <w:marBottom w:val="0"/>
          <w:divBdr>
            <w:top w:val="none" w:sz="0" w:space="0" w:color="auto"/>
            <w:left w:val="none" w:sz="0" w:space="0" w:color="auto"/>
            <w:bottom w:val="none" w:sz="0" w:space="0" w:color="auto"/>
            <w:right w:val="none" w:sz="0" w:space="0" w:color="auto"/>
          </w:divBdr>
        </w:div>
        <w:div w:id="2119987622">
          <w:marLeft w:val="0"/>
          <w:marRight w:val="0"/>
          <w:marTop w:val="0"/>
          <w:marBottom w:val="0"/>
          <w:divBdr>
            <w:top w:val="none" w:sz="0" w:space="0" w:color="auto"/>
            <w:left w:val="none" w:sz="0" w:space="0" w:color="auto"/>
            <w:bottom w:val="none" w:sz="0" w:space="0" w:color="auto"/>
            <w:right w:val="none" w:sz="0" w:space="0" w:color="auto"/>
          </w:divBdr>
        </w:div>
        <w:div w:id="2119987625">
          <w:marLeft w:val="0"/>
          <w:marRight w:val="0"/>
          <w:marTop w:val="0"/>
          <w:marBottom w:val="0"/>
          <w:divBdr>
            <w:top w:val="none" w:sz="0" w:space="0" w:color="auto"/>
            <w:left w:val="none" w:sz="0" w:space="0" w:color="auto"/>
            <w:bottom w:val="none" w:sz="0" w:space="0" w:color="auto"/>
            <w:right w:val="none" w:sz="0" w:space="0" w:color="auto"/>
          </w:divBdr>
        </w:div>
        <w:div w:id="2119987628">
          <w:marLeft w:val="0"/>
          <w:marRight w:val="0"/>
          <w:marTop w:val="0"/>
          <w:marBottom w:val="0"/>
          <w:divBdr>
            <w:top w:val="none" w:sz="0" w:space="0" w:color="auto"/>
            <w:left w:val="none" w:sz="0" w:space="0" w:color="auto"/>
            <w:bottom w:val="none" w:sz="0" w:space="0" w:color="auto"/>
            <w:right w:val="none" w:sz="0" w:space="0" w:color="auto"/>
          </w:divBdr>
        </w:div>
        <w:div w:id="2119987630">
          <w:marLeft w:val="0"/>
          <w:marRight w:val="0"/>
          <w:marTop w:val="0"/>
          <w:marBottom w:val="0"/>
          <w:divBdr>
            <w:top w:val="none" w:sz="0" w:space="0" w:color="auto"/>
            <w:left w:val="none" w:sz="0" w:space="0" w:color="auto"/>
            <w:bottom w:val="none" w:sz="0" w:space="0" w:color="auto"/>
            <w:right w:val="none" w:sz="0" w:space="0" w:color="auto"/>
          </w:divBdr>
        </w:div>
        <w:div w:id="2119987634">
          <w:marLeft w:val="0"/>
          <w:marRight w:val="0"/>
          <w:marTop w:val="0"/>
          <w:marBottom w:val="0"/>
          <w:divBdr>
            <w:top w:val="none" w:sz="0" w:space="0" w:color="auto"/>
            <w:left w:val="none" w:sz="0" w:space="0" w:color="auto"/>
            <w:bottom w:val="none" w:sz="0" w:space="0" w:color="auto"/>
            <w:right w:val="none" w:sz="0" w:space="0" w:color="auto"/>
          </w:divBdr>
        </w:div>
        <w:div w:id="2119987643">
          <w:marLeft w:val="0"/>
          <w:marRight w:val="0"/>
          <w:marTop w:val="0"/>
          <w:marBottom w:val="0"/>
          <w:divBdr>
            <w:top w:val="none" w:sz="0" w:space="0" w:color="auto"/>
            <w:left w:val="none" w:sz="0" w:space="0" w:color="auto"/>
            <w:bottom w:val="none" w:sz="0" w:space="0" w:color="auto"/>
            <w:right w:val="none" w:sz="0" w:space="0" w:color="auto"/>
          </w:divBdr>
        </w:div>
        <w:div w:id="2119987650">
          <w:marLeft w:val="0"/>
          <w:marRight w:val="0"/>
          <w:marTop w:val="0"/>
          <w:marBottom w:val="0"/>
          <w:divBdr>
            <w:top w:val="none" w:sz="0" w:space="0" w:color="auto"/>
            <w:left w:val="none" w:sz="0" w:space="0" w:color="auto"/>
            <w:bottom w:val="none" w:sz="0" w:space="0" w:color="auto"/>
            <w:right w:val="none" w:sz="0" w:space="0" w:color="auto"/>
          </w:divBdr>
        </w:div>
        <w:div w:id="2119987651">
          <w:marLeft w:val="0"/>
          <w:marRight w:val="0"/>
          <w:marTop w:val="0"/>
          <w:marBottom w:val="0"/>
          <w:divBdr>
            <w:top w:val="none" w:sz="0" w:space="0" w:color="auto"/>
            <w:left w:val="none" w:sz="0" w:space="0" w:color="auto"/>
            <w:bottom w:val="none" w:sz="0" w:space="0" w:color="auto"/>
            <w:right w:val="none" w:sz="0" w:space="0" w:color="auto"/>
          </w:divBdr>
        </w:div>
        <w:div w:id="2119987657">
          <w:marLeft w:val="0"/>
          <w:marRight w:val="0"/>
          <w:marTop w:val="0"/>
          <w:marBottom w:val="0"/>
          <w:divBdr>
            <w:top w:val="none" w:sz="0" w:space="0" w:color="auto"/>
            <w:left w:val="none" w:sz="0" w:space="0" w:color="auto"/>
            <w:bottom w:val="none" w:sz="0" w:space="0" w:color="auto"/>
            <w:right w:val="none" w:sz="0" w:space="0" w:color="auto"/>
          </w:divBdr>
        </w:div>
        <w:div w:id="2119987660">
          <w:marLeft w:val="0"/>
          <w:marRight w:val="0"/>
          <w:marTop w:val="0"/>
          <w:marBottom w:val="0"/>
          <w:divBdr>
            <w:top w:val="none" w:sz="0" w:space="0" w:color="auto"/>
            <w:left w:val="none" w:sz="0" w:space="0" w:color="auto"/>
            <w:bottom w:val="none" w:sz="0" w:space="0" w:color="auto"/>
            <w:right w:val="none" w:sz="0" w:space="0" w:color="auto"/>
          </w:divBdr>
        </w:div>
        <w:div w:id="2119987666">
          <w:marLeft w:val="0"/>
          <w:marRight w:val="0"/>
          <w:marTop w:val="0"/>
          <w:marBottom w:val="0"/>
          <w:divBdr>
            <w:top w:val="none" w:sz="0" w:space="0" w:color="auto"/>
            <w:left w:val="none" w:sz="0" w:space="0" w:color="auto"/>
            <w:bottom w:val="none" w:sz="0" w:space="0" w:color="auto"/>
            <w:right w:val="none" w:sz="0" w:space="0" w:color="auto"/>
          </w:divBdr>
        </w:div>
        <w:div w:id="2119987673">
          <w:marLeft w:val="0"/>
          <w:marRight w:val="0"/>
          <w:marTop w:val="0"/>
          <w:marBottom w:val="0"/>
          <w:divBdr>
            <w:top w:val="none" w:sz="0" w:space="0" w:color="auto"/>
            <w:left w:val="none" w:sz="0" w:space="0" w:color="auto"/>
            <w:bottom w:val="none" w:sz="0" w:space="0" w:color="auto"/>
            <w:right w:val="none" w:sz="0" w:space="0" w:color="auto"/>
          </w:divBdr>
        </w:div>
      </w:divsChild>
    </w:div>
    <w:div w:id="2119987616">
      <w:marLeft w:val="0"/>
      <w:marRight w:val="0"/>
      <w:marTop w:val="0"/>
      <w:marBottom w:val="0"/>
      <w:divBdr>
        <w:top w:val="none" w:sz="0" w:space="0" w:color="auto"/>
        <w:left w:val="none" w:sz="0" w:space="0" w:color="auto"/>
        <w:bottom w:val="none" w:sz="0" w:space="0" w:color="auto"/>
        <w:right w:val="none" w:sz="0" w:space="0" w:color="auto"/>
      </w:divBdr>
      <w:divsChild>
        <w:div w:id="2119987668">
          <w:marLeft w:val="0"/>
          <w:marRight w:val="0"/>
          <w:marTop w:val="0"/>
          <w:marBottom w:val="0"/>
          <w:divBdr>
            <w:top w:val="none" w:sz="0" w:space="0" w:color="auto"/>
            <w:left w:val="none" w:sz="0" w:space="0" w:color="auto"/>
            <w:bottom w:val="none" w:sz="0" w:space="0" w:color="auto"/>
            <w:right w:val="none" w:sz="0" w:space="0" w:color="auto"/>
          </w:divBdr>
          <w:divsChild>
            <w:div w:id="2119987595">
              <w:marLeft w:val="0"/>
              <w:marRight w:val="0"/>
              <w:marTop w:val="0"/>
              <w:marBottom w:val="0"/>
              <w:divBdr>
                <w:top w:val="none" w:sz="0" w:space="0" w:color="auto"/>
                <w:left w:val="none" w:sz="0" w:space="0" w:color="auto"/>
                <w:bottom w:val="none" w:sz="0" w:space="0" w:color="auto"/>
                <w:right w:val="none" w:sz="0" w:space="0" w:color="auto"/>
              </w:divBdr>
            </w:div>
            <w:div w:id="2119987617">
              <w:marLeft w:val="0"/>
              <w:marRight w:val="0"/>
              <w:marTop w:val="0"/>
              <w:marBottom w:val="0"/>
              <w:divBdr>
                <w:top w:val="none" w:sz="0" w:space="0" w:color="auto"/>
                <w:left w:val="none" w:sz="0" w:space="0" w:color="auto"/>
                <w:bottom w:val="none" w:sz="0" w:space="0" w:color="auto"/>
                <w:right w:val="none" w:sz="0" w:space="0" w:color="auto"/>
              </w:divBdr>
            </w:div>
            <w:div w:id="2119987638">
              <w:marLeft w:val="0"/>
              <w:marRight w:val="0"/>
              <w:marTop w:val="0"/>
              <w:marBottom w:val="0"/>
              <w:divBdr>
                <w:top w:val="none" w:sz="0" w:space="0" w:color="auto"/>
                <w:left w:val="none" w:sz="0" w:space="0" w:color="auto"/>
                <w:bottom w:val="none" w:sz="0" w:space="0" w:color="auto"/>
                <w:right w:val="none" w:sz="0" w:space="0" w:color="auto"/>
              </w:divBdr>
            </w:div>
            <w:div w:id="2119987645">
              <w:marLeft w:val="0"/>
              <w:marRight w:val="0"/>
              <w:marTop w:val="0"/>
              <w:marBottom w:val="0"/>
              <w:divBdr>
                <w:top w:val="none" w:sz="0" w:space="0" w:color="auto"/>
                <w:left w:val="none" w:sz="0" w:space="0" w:color="auto"/>
                <w:bottom w:val="none" w:sz="0" w:space="0" w:color="auto"/>
                <w:right w:val="none" w:sz="0" w:space="0" w:color="auto"/>
              </w:divBdr>
            </w:div>
            <w:div w:id="2119987663">
              <w:marLeft w:val="0"/>
              <w:marRight w:val="0"/>
              <w:marTop w:val="0"/>
              <w:marBottom w:val="0"/>
              <w:divBdr>
                <w:top w:val="none" w:sz="0" w:space="0" w:color="auto"/>
                <w:left w:val="none" w:sz="0" w:space="0" w:color="auto"/>
                <w:bottom w:val="none" w:sz="0" w:space="0" w:color="auto"/>
                <w:right w:val="none" w:sz="0" w:space="0" w:color="auto"/>
              </w:divBdr>
            </w:div>
            <w:div w:id="211998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7624">
      <w:marLeft w:val="0"/>
      <w:marRight w:val="0"/>
      <w:marTop w:val="0"/>
      <w:marBottom w:val="0"/>
      <w:divBdr>
        <w:top w:val="none" w:sz="0" w:space="0" w:color="auto"/>
        <w:left w:val="none" w:sz="0" w:space="0" w:color="auto"/>
        <w:bottom w:val="none" w:sz="0" w:space="0" w:color="auto"/>
        <w:right w:val="none" w:sz="0" w:space="0" w:color="auto"/>
      </w:divBdr>
      <w:divsChild>
        <w:div w:id="2119987681">
          <w:marLeft w:val="0"/>
          <w:marRight w:val="0"/>
          <w:marTop w:val="0"/>
          <w:marBottom w:val="0"/>
          <w:divBdr>
            <w:top w:val="none" w:sz="0" w:space="0" w:color="auto"/>
            <w:left w:val="none" w:sz="0" w:space="0" w:color="auto"/>
            <w:bottom w:val="none" w:sz="0" w:space="0" w:color="auto"/>
            <w:right w:val="none" w:sz="0" w:space="0" w:color="auto"/>
          </w:divBdr>
          <w:divsChild>
            <w:div w:id="2119987583">
              <w:marLeft w:val="0"/>
              <w:marRight w:val="0"/>
              <w:marTop w:val="0"/>
              <w:marBottom w:val="0"/>
              <w:divBdr>
                <w:top w:val="none" w:sz="0" w:space="0" w:color="auto"/>
                <w:left w:val="none" w:sz="0" w:space="0" w:color="auto"/>
                <w:bottom w:val="none" w:sz="0" w:space="0" w:color="auto"/>
                <w:right w:val="none" w:sz="0" w:space="0" w:color="auto"/>
              </w:divBdr>
            </w:div>
            <w:div w:id="2119987586">
              <w:marLeft w:val="0"/>
              <w:marRight w:val="0"/>
              <w:marTop w:val="0"/>
              <w:marBottom w:val="0"/>
              <w:divBdr>
                <w:top w:val="none" w:sz="0" w:space="0" w:color="auto"/>
                <w:left w:val="none" w:sz="0" w:space="0" w:color="auto"/>
                <w:bottom w:val="none" w:sz="0" w:space="0" w:color="auto"/>
                <w:right w:val="none" w:sz="0" w:space="0" w:color="auto"/>
              </w:divBdr>
            </w:div>
            <w:div w:id="2119987606">
              <w:marLeft w:val="0"/>
              <w:marRight w:val="0"/>
              <w:marTop w:val="0"/>
              <w:marBottom w:val="0"/>
              <w:divBdr>
                <w:top w:val="none" w:sz="0" w:space="0" w:color="auto"/>
                <w:left w:val="none" w:sz="0" w:space="0" w:color="auto"/>
                <w:bottom w:val="none" w:sz="0" w:space="0" w:color="auto"/>
                <w:right w:val="none" w:sz="0" w:space="0" w:color="auto"/>
              </w:divBdr>
            </w:div>
            <w:div w:id="2119987653">
              <w:marLeft w:val="0"/>
              <w:marRight w:val="0"/>
              <w:marTop w:val="0"/>
              <w:marBottom w:val="0"/>
              <w:divBdr>
                <w:top w:val="none" w:sz="0" w:space="0" w:color="auto"/>
                <w:left w:val="none" w:sz="0" w:space="0" w:color="auto"/>
                <w:bottom w:val="none" w:sz="0" w:space="0" w:color="auto"/>
                <w:right w:val="none" w:sz="0" w:space="0" w:color="auto"/>
              </w:divBdr>
            </w:div>
            <w:div w:id="2119987662">
              <w:marLeft w:val="0"/>
              <w:marRight w:val="0"/>
              <w:marTop w:val="0"/>
              <w:marBottom w:val="0"/>
              <w:divBdr>
                <w:top w:val="none" w:sz="0" w:space="0" w:color="auto"/>
                <w:left w:val="none" w:sz="0" w:space="0" w:color="auto"/>
                <w:bottom w:val="none" w:sz="0" w:space="0" w:color="auto"/>
                <w:right w:val="none" w:sz="0" w:space="0" w:color="auto"/>
              </w:divBdr>
            </w:div>
            <w:div w:id="21199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7631">
      <w:marLeft w:val="0"/>
      <w:marRight w:val="0"/>
      <w:marTop w:val="0"/>
      <w:marBottom w:val="0"/>
      <w:divBdr>
        <w:top w:val="none" w:sz="0" w:space="0" w:color="auto"/>
        <w:left w:val="none" w:sz="0" w:space="0" w:color="auto"/>
        <w:bottom w:val="none" w:sz="0" w:space="0" w:color="auto"/>
        <w:right w:val="none" w:sz="0" w:space="0" w:color="auto"/>
      </w:divBdr>
      <w:divsChild>
        <w:div w:id="2119987579">
          <w:marLeft w:val="0"/>
          <w:marRight w:val="0"/>
          <w:marTop w:val="0"/>
          <w:marBottom w:val="0"/>
          <w:divBdr>
            <w:top w:val="none" w:sz="0" w:space="0" w:color="auto"/>
            <w:left w:val="none" w:sz="0" w:space="0" w:color="auto"/>
            <w:bottom w:val="none" w:sz="0" w:space="0" w:color="auto"/>
            <w:right w:val="none" w:sz="0" w:space="0" w:color="auto"/>
          </w:divBdr>
        </w:div>
        <w:div w:id="2119987596">
          <w:marLeft w:val="0"/>
          <w:marRight w:val="0"/>
          <w:marTop w:val="0"/>
          <w:marBottom w:val="0"/>
          <w:divBdr>
            <w:top w:val="none" w:sz="0" w:space="0" w:color="auto"/>
            <w:left w:val="none" w:sz="0" w:space="0" w:color="auto"/>
            <w:bottom w:val="none" w:sz="0" w:space="0" w:color="auto"/>
            <w:right w:val="none" w:sz="0" w:space="0" w:color="auto"/>
          </w:divBdr>
        </w:div>
        <w:div w:id="2119987597">
          <w:marLeft w:val="0"/>
          <w:marRight w:val="0"/>
          <w:marTop w:val="0"/>
          <w:marBottom w:val="0"/>
          <w:divBdr>
            <w:top w:val="none" w:sz="0" w:space="0" w:color="auto"/>
            <w:left w:val="none" w:sz="0" w:space="0" w:color="auto"/>
            <w:bottom w:val="none" w:sz="0" w:space="0" w:color="auto"/>
            <w:right w:val="none" w:sz="0" w:space="0" w:color="auto"/>
          </w:divBdr>
        </w:div>
        <w:div w:id="2119987608">
          <w:marLeft w:val="0"/>
          <w:marRight w:val="0"/>
          <w:marTop w:val="0"/>
          <w:marBottom w:val="0"/>
          <w:divBdr>
            <w:top w:val="none" w:sz="0" w:space="0" w:color="auto"/>
            <w:left w:val="none" w:sz="0" w:space="0" w:color="auto"/>
            <w:bottom w:val="none" w:sz="0" w:space="0" w:color="auto"/>
            <w:right w:val="none" w:sz="0" w:space="0" w:color="auto"/>
          </w:divBdr>
        </w:div>
        <w:div w:id="2119987610">
          <w:marLeft w:val="0"/>
          <w:marRight w:val="0"/>
          <w:marTop w:val="0"/>
          <w:marBottom w:val="0"/>
          <w:divBdr>
            <w:top w:val="none" w:sz="0" w:space="0" w:color="auto"/>
            <w:left w:val="none" w:sz="0" w:space="0" w:color="auto"/>
            <w:bottom w:val="none" w:sz="0" w:space="0" w:color="auto"/>
            <w:right w:val="none" w:sz="0" w:space="0" w:color="auto"/>
          </w:divBdr>
        </w:div>
        <w:div w:id="2119987613">
          <w:marLeft w:val="0"/>
          <w:marRight w:val="0"/>
          <w:marTop w:val="0"/>
          <w:marBottom w:val="0"/>
          <w:divBdr>
            <w:top w:val="none" w:sz="0" w:space="0" w:color="auto"/>
            <w:left w:val="none" w:sz="0" w:space="0" w:color="auto"/>
            <w:bottom w:val="none" w:sz="0" w:space="0" w:color="auto"/>
            <w:right w:val="none" w:sz="0" w:space="0" w:color="auto"/>
          </w:divBdr>
        </w:div>
        <w:div w:id="2119987619">
          <w:marLeft w:val="0"/>
          <w:marRight w:val="0"/>
          <w:marTop w:val="0"/>
          <w:marBottom w:val="0"/>
          <w:divBdr>
            <w:top w:val="none" w:sz="0" w:space="0" w:color="auto"/>
            <w:left w:val="none" w:sz="0" w:space="0" w:color="auto"/>
            <w:bottom w:val="none" w:sz="0" w:space="0" w:color="auto"/>
            <w:right w:val="none" w:sz="0" w:space="0" w:color="auto"/>
          </w:divBdr>
        </w:div>
        <w:div w:id="2119987621">
          <w:marLeft w:val="0"/>
          <w:marRight w:val="0"/>
          <w:marTop w:val="0"/>
          <w:marBottom w:val="0"/>
          <w:divBdr>
            <w:top w:val="none" w:sz="0" w:space="0" w:color="auto"/>
            <w:left w:val="none" w:sz="0" w:space="0" w:color="auto"/>
            <w:bottom w:val="none" w:sz="0" w:space="0" w:color="auto"/>
            <w:right w:val="none" w:sz="0" w:space="0" w:color="auto"/>
          </w:divBdr>
        </w:div>
        <w:div w:id="2119987627">
          <w:marLeft w:val="0"/>
          <w:marRight w:val="0"/>
          <w:marTop w:val="0"/>
          <w:marBottom w:val="0"/>
          <w:divBdr>
            <w:top w:val="none" w:sz="0" w:space="0" w:color="auto"/>
            <w:left w:val="none" w:sz="0" w:space="0" w:color="auto"/>
            <w:bottom w:val="none" w:sz="0" w:space="0" w:color="auto"/>
            <w:right w:val="none" w:sz="0" w:space="0" w:color="auto"/>
          </w:divBdr>
        </w:div>
        <w:div w:id="2119987636">
          <w:marLeft w:val="0"/>
          <w:marRight w:val="0"/>
          <w:marTop w:val="0"/>
          <w:marBottom w:val="0"/>
          <w:divBdr>
            <w:top w:val="none" w:sz="0" w:space="0" w:color="auto"/>
            <w:left w:val="none" w:sz="0" w:space="0" w:color="auto"/>
            <w:bottom w:val="none" w:sz="0" w:space="0" w:color="auto"/>
            <w:right w:val="none" w:sz="0" w:space="0" w:color="auto"/>
          </w:divBdr>
        </w:div>
        <w:div w:id="2119987640">
          <w:marLeft w:val="0"/>
          <w:marRight w:val="0"/>
          <w:marTop w:val="0"/>
          <w:marBottom w:val="0"/>
          <w:divBdr>
            <w:top w:val="none" w:sz="0" w:space="0" w:color="auto"/>
            <w:left w:val="none" w:sz="0" w:space="0" w:color="auto"/>
            <w:bottom w:val="none" w:sz="0" w:space="0" w:color="auto"/>
            <w:right w:val="none" w:sz="0" w:space="0" w:color="auto"/>
          </w:divBdr>
        </w:div>
        <w:div w:id="2119987642">
          <w:marLeft w:val="0"/>
          <w:marRight w:val="0"/>
          <w:marTop w:val="0"/>
          <w:marBottom w:val="0"/>
          <w:divBdr>
            <w:top w:val="none" w:sz="0" w:space="0" w:color="auto"/>
            <w:left w:val="none" w:sz="0" w:space="0" w:color="auto"/>
            <w:bottom w:val="none" w:sz="0" w:space="0" w:color="auto"/>
            <w:right w:val="none" w:sz="0" w:space="0" w:color="auto"/>
          </w:divBdr>
        </w:div>
        <w:div w:id="2119987644">
          <w:marLeft w:val="0"/>
          <w:marRight w:val="0"/>
          <w:marTop w:val="0"/>
          <w:marBottom w:val="0"/>
          <w:divBdr>
            <w:top w:val="none" w:sz="0" w:space="0" w:color="auto"/>
            <w:left w:val="none" w:sz="0" w:space="0" w:color="auto"/>
            <w:bottom w:val="none" w:sz="0" w:space="0" w:color="auto"/>
            <w:right w:val="none" w:sz="0" w:space="0" w:color="auto"/>
          </w:divBdr>
        </w:div>
        <w:div w:id="2119987654">
          <w:marLeft w:val="0"/>
          <w:marRight w:val="0"/>
          <w:marTop w:val="0"/>
          <w:marBottom w:val="0"/>
          <w:divBdr>
            <w:top w:val="none" w:sz="0" w:space="0" w:color="auto"/>
            <w:left w:val="none" w:sz="0" w:space="0" w:color="auto"/>
            <w:bottom w:val="none" w:sz="0" w:space="0" w:color="auto"/>
            <w:right w:val="none" w:sz="0" w:space="0" w:color="auto"/>
          </w:divBdr>
        </w:div>
        <w:div w:id="2119987661">
          <w:marLeft w:val="0"/>
          <w:marRight w:val="0"/>
          <w:marTop w:val="0"/>
          <w:marBottom w:val="0"/>
          <w:divBdr>
            <w:top w:val="none" w:sz="0" w:space="0" w:color="auto"/>
            <w:left w:val="none" w:sz="0" w:space="0" w:color="auto"/>
            <w:bottom w:val="none" w:sz="0" w:space="0" w:color="auto"/>
            <w:right w:val="none" w:sz="0" w:space="0" w:color="auto"/>
          </w:divBdr>
        </w:div>
        <w:div w:id="2119987685">
          <w:marLeft w:val="0"/>
          <w:marRight w:val="0"/>
          <w:marTop w:val="0"/>
          <w:marBottom w:val="0"/>
          <w:divBdr>
            <w:top w:val="none" w:sz="0" w:space="0" w:color="auto"/>
            <w:left w:val="none" w:sz="0" w:space="0" w:color="auto"/>
            <w:bottom w:val="none" w:sz="0" w:space="0" w:color="auto"/>
            <w:right w:val="none" w:sz="0" w:space="0" w:color="auto"/>
          </w:divBdr>
        </w:div>
      </w:divsChild>
    </w:div>
    <w:div w:id="2119987647">
      <w:marLeft w:val="0"/>
      <w:marRight w:val="0"/>
      <w:marTop w:val="0"/>
      <w:marBottom w:val="0"/>
      <w:divBdr>
        <w:top w:val="none" w:sz="0" w:space="0" w:color="auto"/>
        <w:left w:val="none" w:sz="0" w:space="0" w:color="auto"/>
        <w:bottom w:val="none" w:sz="0" w:space="0" w:color="auto"/>
        <w:right w:val="none" w:sz="0" w:space="0" w:color="auto"/>
      </w:divBdr>
      <w:divsChild>
        <w:div w:id="2119987580">
          <w:marLeft w:val="0"/>
          <w:marRight w:val="0"/>
          <w:marTop w:val="0"/>
          <w:marBottom w:val="0"/>
          <w:divBdr>
            <w:top w:val="none" w:sz="0" w:space="0" w:color="auto"/>
            <w:left w:val="none" w:sz="0" w:space="0" w:color="auto"/>
            <w:bottom w:val="none" w:sz="0" w:space="0" w:color="auto"/>
            <w:right w:val="none" w:sz="0" w:space="0" w:color="auto"/>
          </w:divBdr>
        </w:div>
        <w:div w:id="2119987618">
          <w:marLeft w:val="0"/>
          <w:marRight w:val="0"/>
          <w:marTop w:val="0"/>
          <w:marBottom w:val="0"/>
          <w:divBdr>
            <w:top w:val="none" w:sz="0" w:space="0" w:color="auto"/>
            <w:left w:val="none" w:sz="0" w:space="0" w:color="auto"/>
            <w:bottom w:val="none" w:sz="0" w:space="0" w:color="auto"/>
            <w:right w:val="none" w:sz="0" w:space="0" w:color="auto"/>
          </w:divBdr>
        </w:div>
        <w:div w:id="2119987623">
          <w:marLeft w:val="0"/>
          <w:marRight w:val="0"/>
          <w:marTop w:val="0"/>
          <w:marBottom w:val="0"/>
          <w:divBdr>
            <w:top w:val="none" w:sz="0" w:space="0" w:color="auto"/>
            <w:left w:val="none" w:sz="0" w:space="0" w:color="auto"/>
            <w:bottom w:val="none" w:sz="0" w:space="0" w:color="auto"/>
            <w:right w:val="none" w:sz="0" w:space="0" w:color="auto"/>
          </w:divBdr>
        </w:div>
        <w:div w:id="2119987658">
          <w:marLeft w:val="0"/>
          <w:marRight w:val="0"/>
          <w:marTop w:val="0"/>
          <w:marBottom w:val="0"/>
          <w:divBdr>
            <w:top w:val="none" w:sz="0" w:space="0" w:color="auto"/>
            <w:left w:val="none" w:sz="0" w:space="0" w:color="auto"/>
            <w:bottom w:val="none" w:sz="0" w:space="0" w:color="auto"/>
            <w:right w:val="none" w:sz="0" w:space="0" w:color="auto"/>
          </w:divBdr>
        </w:div>
        <w:div w:id="2119987667">
          <w:marLeft w:val="0"/>
          <w:marRight w:val="0"/>
          <w:marTop w:val="0"/>
          <w:marBottom w:val="0"/>
          <w:divBdr>
            <w:top w:val="none" w:sz="0" w:space="0" w:color="auto"/>
            <w:left w:val="none" w:sz="0" w:space="0" w:color="auto"/>
            <w:bottom w:val="none" w:sz="0" w:space="0" w:color="auto"/>
            <w:right w:val="none" w:sz="0" w:space="0" w:color="auto"/>
          </w:divBdr>
        </w:div>
        <w:div w:id="2119987674">
          <w:marLeft w:val="0"/>
          <w:marRight w:val="0"/>
          <w:marTop w:val="0"/>
          <w:marBottom w:val="0"/>
          <w:divBdr>
            <w:top w:val="none" w:sz="0" w:space="0" w:color="auto"/>
            <w:left w:val="none" w:sz="0" w:space="0" w:color="auto"/>
            <w:bottom w:val="none" w:sz="0" w:space="0" w:color="auto"/>
            <w:right w:val="none" w:sz="0" w:space="0" w:color="auto"/>
          </w:divBdr>
        </w:div>
        <w:div w:id="2119987683">
          <w:marLeft w:val="0"/>
          <w:marRight w:val="0"/>
          <w:marTop w:val="0"/>
          <w:marBottom w:val="0"/>
          <w:divBdr>
            <w:top w:val="none" w:sz="0" w:space="0" w:color="auto"/>
            <w:left w:val="none" w:sz="0" w:space="0" w:color="auto"/>
            <w:bottom w:val="none" w:sz="0" w:space="0" w:color="auto"/>
            <w:right w:val="none" w:sz="0" w:space="0" w:color="auto"/>
          </w:divBdr>
        </w:div>
      </w:divsChild>
    </w:div>
    <w:div w:id="2119987656">
      <w:marLeft w:val="0"/>
      <w:marRight w:val="0"/>
      <w:marTop w:val="0"/>
      <w:marBottom w:val="0"/>
      <w:divBdr>
        <w:top w:val="none" w:sz="0" w:space="0" w:color="auto"/>
        <w:left w:val="none" w:sz="0" w:space="0" w:color="auto"/>
        <w:bottom w:val="none" w:sz="0" w:space="0" w:color="auto"/>
        <w:right w:val="none" w:sz="0" w:space="0" w:color="auto"/>
      </w:divBdr>
      <w:divsChild>
        <w:div w:id="2119987577">
          <w:marLeft w:val="0"/>
          <w:marRight w:val="0"/>
          <w:marTop w:val="0"/>
          <w:marBottom w:val="0"/>
          <w:divBdr>
            <w:top w:val="none" w:sz="0" w:space="0" w:color="auto"/>
            <w:left w:val="none" w:sz="0" w:space="0" w:color="auto"/>
            <w:bottom w:val="none" w:sz="0" w:space="0" w:color="auto"/>
            <w:right w:val="none" w:sz="0" w:space="0" w:color="auto"/>
          </w:divBdr>
        </w:div>
        <w:div w:id="2119987582">
          <w:marLeft w:val="0"/>
          <w:marRight w:val="0"/>
          <w:marTop w:val="0"/>
          <w:marBottom w:val="0"/>
          <w:divBdr>
            <w:top w:val="none" w:sz="0" w:space="0" w:color="auto"/>
            <w:left w:val="none" w:sz="0" w:space="0" w:color="auto"/>
            <w:bottom w:val="none" w:sz="0" w:space="0" w:color="auto"/>
            <w:right w:val="none" w:sz="0" w:space="0" w:color="auto"/>
          </w:divBdr>
        </w:div>
        <w:div w:id="2119987585">
          <w:marLeft w:val="0"/>
          <w:marRight w:val="0"/>
          <w:marTop w:val="0"/>
          <w:marBottom w:val="0"/>
          <w:divBdr>
            <w:top w:val="none" w:sz="0" w:space="0" w:color="auto"/>
            <w:left w:val="none" w:sz="0" w:space="0" w:color="auto"/>
            <w:bottom w:val="none" w:sz="0" w:space="0" w:color="auto"/>
            <w:right w:val="none" w:sz="0" w:space="0" w:color="auto"/>
          </w:divBdr>
        </w:div>
        <w:div w:id="2119987587">
          <w:marLeft w:val="0"/>
          <w:marRight w:val="0"/>
          <w:marTop w:val="0"/>
          <w:marBottom w:val="0"/>
          <w:divBdr>
            <w:top w:val="none" w:sz="0" w:space="0" w:color="auto"/>
            <w:left w:val="none" w:sz="0" w:space="0" w:color="auto"/>
            <w:bottom w:val="none" w:sz="0" w:space="0" w:color="auto"/>
            <w:right w:val="none" w:sz="0" w:space="0" w:color="auto"/>
          </w:divBdr>
        </w:div>
        <w:div w:id="2119987588">
          <w:marLeft w:val="0"/>
          <w:marRight w:val="0"/>
          <w:marTop w:val="0"/>
          <w:marBottom w:val="0"/>
          <w:divBdr>
            <w:top w:val="none" w:sz="0" w:space="0" w:color="auto"/>
            <w:left w:val="none" w:sz="0" w:space="0" w:color="auto"/>
            <w:bottom w:val="none" w:sz="0" w:space="0" w:color="auto"/>
            <w:right w:val="none" w:sz="0" w:space="0" w:color="auto"/>
          </w:divBdr>
        </w:div>
        <w:div w:id="2119987591">
          <w:marLeft w:val="0"/>
          <w:marRight w:val="0"/>
          <w:marTop w:val="0"/>
          <w:marBottom w:val="0"/>
          <w:divBdr>
            <w:top w:val="none" w:sz="0" w:space="0" w:color="auto"/>
            <w:left w:val="none" w:sz="0" w:space="0" w:color="auto"/>
            <w:bottom w:val="none" w:sz="0" w:space="0" w:color="auto"/>
            <w:right w:val="none" w:sz="0" w:space="0" w:color="auto"/>
          </w:divBdr>
        </w:div>
        <w:div w:id="2119987594">
          <w:marLeft w:val="0"/>
          <w:marRight w:val="0"/>
          <w:marTop w:val="0"/>
          <w:marBottom w:val="0"/>
          <w:divBdr>
            <w:top w:val="none" w:sz="0" w:space="0" w:color="auto"/>
            <w:left w:val="none" w:sz="0" w:space="0" w:color="auto"/>
            <w:bottom w:val="none" w:sz="0" w:space="0" w:color="auto"/>
            <w:right w:val="none" w:sz="0" w:space="0" w:color="auto"/>
          </w:divBdr>
        </w:div>
        <w:div w:id="2119987601">
          <w:marLeft w:val="0"/>
          <w:marRight w:val="0"/>
          <w:marTop w:val="0"/>
          <w:marBottom w:val="0"/>
          <w:divBdr>
            <w:top w:val="none" w:sz="0" w:space="0" w:color="auto"/>
            <w:left w:val="none" w:sz="0" w:space="0" w:color="auto"/>
            <w:bottom w:val="none" w:sz="0" w:space="0" w:color="auto"/>
            <w:right w:val="none" w:sz="0" w:space="0" w:color="auto"/>
          </w:divBdr>
        </w:div>
        <w:div w:id="2119987603">
          <w:marLeft w:val="0"/>
          <w:marRight w:val="0"/>
          <w:marTop w:val="0"/>
          <w:marBottom w:val="0"/>
          <w:divBdr>
            <w:top w:val="none" w:sz="0" w:space="0" w:color="auto"/>
            <w:left w:val="none" w:sz="0" w:space="0" w:color="auto"/>
            <w:bottom w:val="none" w:sz="0" w:space="0" w:color="auto"/>
            <w:right w:val="none" w:sz="0" w:space="0" w:color="auto"/>
          </w:divBdr>
        </w:div>
        <w:div w:id="2119987611">
          <w:marLeft w:val="0"/>
          <w:marRight w:val="0"/>
          <w:marTop w:val="0"/>
          <w:marBottom w:val="0"/>
          <w:divBdr>
            <w:top w:val="none" w:sz="0" w:space="0" w:color="auto"/>
            <w:left w:val="none" w:sz="0" w:space="0" w:color="auto"/>
            <w:bottom w:val="none" w:sz="0" w:space="0" w:color="auto"/>
            <w:right w:val="none" w:sz="0" w:space="0" w:color="auto"/>
          </w:divBdr>
        </w:div>
        <w:div w:id="2119987615">
          <w:marLeft w:val="0"/>
          <w:marRight w:val="0"/>
          <w:marTop w:val="0"/>
          <w:marBottom w:val="0"/>
          <w:divBdr>
            <w:top w:val="none" w:sz="0" w:space="0" w:color="auto"/>
            <w:left w:val="none" w:sz="0" w:space="0" w:color="auto"/>
            <w:bottom w:val="none" w:sz="0" w:space="0" w:color="auto"/>
            <w:right w:val="none" w:sz="0" w:space="0" w:color="auto"/>
          </w:divBdr>
        </w:div>
        <w:div w:id="2119987626">
          <w:marLeft w:val="0"/>
          <w:marRight w:val="0"/>
          <w:marTop w:val="0"/>
          <w:marBottom w:val="0"/>
          <w:divBdr>
            <w:top w:val="none" w:sz="0" w:space="0" w:color="auto"/>
            <w:left w:val="none" w:sz="0" w:space="0" w:color="auto"/>
            <w:bottom w:val="none" w:sz="0" w:space="0" w:color="auto"/>
            <w:right w:val="none" w:sz="0" w:space="0" w:color="auto"/>
          </w:divBdr>
        </w:div>
        <w:div w:id="2119987646">
          <w:marLeft w:val="0"/>
          <w:marRight w:val="0"/>
          <w:marTop w:val="0"/>
          <w:marBottom w:val="0"/>
          <w:divBdr>
            <w:top w:val="none" w:sz="0" w:space="0" w:color="auto"/>
            <w:left w:val="none" w:sz="0" w:space="0" w:color="auto"/>
            <w:bottom w:val="none" w:sz="0" w:space="0" w:color="auto"/>
            <w:right w:val="none" w:sz="0" w:space="0" w:color="auto"/>
          </w:divBdr>
        </w:div>
        <w:div w:id="2119987652">
          <w:marLeft w:val="0"/>
          <w:marRight w:val="0"/>
          <w:marTop w:val="0"/>
          <w:marBottom w:val="0"/>
          <w:divBdr>
            <w:top w:val="none" w:sz="0" w:space="0" w:color="auto"/>
            <w:left w:val="none" w:sz="0" w:space="0" w:color="auto"/>
            <w:bottom w:val="none" w:sz="0" w:space="0" w:color="auto"/>
            <w:right w:val="none" w:sz="0" w:space="0" w:color="auto"/>
          </w:divBdr>
        </w:div>
        <w:div w:id="2119987655">
          <w:marLeft w:val="0"/>
          <w:marRight w:val="0"/>
          <w:marTop w:val="0"/>
          <w:marBottom w:val="0"/>
          <w:divBdr>
            <w:top w:val="none" w:sz="0" w:space="0" w:color="auto"/>
            <w:left w:val="none" w:sz="0" w:space="0" w:color="auto"/>
            <w:bottom w:val="none" w:sz="0" w:space="0" w:color="auto"/>
            <w:right w:val="none" w:sz="0" w:space="0" w:color="auto"/>
          </w:divBdr>
        </w:div>
        <w:div w:id="2119987659">
          <w:marLeft w:val="0"/>
          <w:marRight w:val="0"/>
          <w:marTop w:val="0"/>
          <w:marBottom w:val="0"/>
          <w:divBdr>
            <w:top w:val="none" w:sz="0" w:space="0" w:color="auto"/>
            <w:left w:val="none" w:sz="0" w:space="0" w:color="auto"/>
            <w:bottom w:val="none" w:sz="0" w:space="0" w:color="auto"/>
            <w:right w:val="none" w:sz="0" w:space="0" w:color="auto"/>
          </w:divBdr>
        </w:div>
        <w:div w:id="2119987669">
          <w:marLeft w:val="0"/>
          <w:marRight w:val="0"/>
          <w:marTop w:val="0"/>
          <w:marBottom w:val="0"/>
          <w:divBdr>
            <w:top w:val="none" w:sz="0" w:space="0" w:color="auto"/>
            <w:left w:val="none" w:sz="0" w:space="0" w:color="auto"/>
            <w:bottom w:val="none" w:sz="0" w:space="0" w:color="auto"/>
            <w:right w:val="none" w:sz="0" w:space="0" w:color="auto"/>
          </w:divBdr>
        </w:div>
        <w:div w:id="2119987678">
          <w:marLeft w:val="0"/>
          <w:marRight w:val="0"/>
          <w:marTop w:val="0"/>
          <w:marBottom w:val="0"/>
          <w:divBdr>
            <w:top w:val="none" w:sz="0" w:space="0" w:color="auto"/>
            <w:left w:val="none" w:sz="0" w:space="0" w:color="auto"/>
            <w:bottom w:val="none" w:sz="0" w:space="0" w:color="auto"/>
            <w:right w:val="none" w:sz="0" w:space="0" w:color="auto"/>
          </w:divBdr>
        </w:div>
      </w:divsChild>
    </w:div>
    <w:div w:id="2119987682">
      <w:marLeft w:val="0"/>
      <w:marRight w:val="0"/>
      <w:marTop w:val="0"/>
      <w:marBottom w:val="0"/>
      <w:divBdr>
        <w:top w:val="none" w:sz="0" w:space="0" w:color="auto"/>
        <w:left w:val="none" w:sz="0" w:space="0" w:color="auto"/>
        <w:bottom w:val="none" w:sz="0" w:space="0" w:color="auto"/>
        <w:right w:val="none" w:sz="0" w:space="0" w:color="auto"/>
      </w:divBdr>
      <w:divsChild>
        <w:div w:id="2119987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maric.loffroy@chu-dijon.fr"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10767</Words>
  <Characters>61378</Characters>
  <Application>Microsoft Office Word</Application>
  <DocSecurity>0</DocSecurity>
  <Lines>511</Lines>
  <Paragraphs>144</Paragraphs>
  <ScaleCrop>false</ScaleCrop>
  <Company>Hewlett-Packard Company</Company>
  <LinksUpToDate>false</LinksUpToDate>
  <CharactersWithSpaces>72001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dc:creator>
  <cp:lastModifiedBy>LS Ma</cp:lastModifiedBy>
  <cp:revision>2</cp:revision>
  <dcterms:created xsi:type="dcterms:W3CDTF">2013-08-19T22:33:00Z</dcterms:created>
  <dcterms:modified xsi:type="dcterms:W3CDTF">2013-08-19T22:33:00Z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2052-8.1.0.2424</vt:lpwstr>
  </property>
</Properties>
</file>