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2DD9E9" w14:textId="45E467B9" w:rsidR="005A3034" w:rsidRPr="00ED0648" w:rsidRDefault="005A3034" w:rsidP="00ED0648">
      <w:pPr>
        <w:adjustRightInd w:val="0"/>
        <w:snapToGrid w:val="0"/>
        <w:spacing w:after="0" w:line="360" w:lineRule="auto"/>
        <w:jc w:val="both"/>
        <w:rPr>
          <w:rFonts w:ascii="Book Antiqua" w:hAnsi="Book Antiqua"/>
          <w:b/>
          <w:sz w:val="24"/>
          <w:szCs w:val="24"/>
        </w:rPr>
      </w:pPr>
      <w:bookmarkStart w:id="0" w:name="_Hlk530052391"/>
      <w:r w:rsidRPr="00ED0648">
        <w:rPr>
          <w:rFonts w:ascii="Book Antiqua" w:hAnsi="Book Antiqua"/>
          <w:b/>
          <w:spacing w:val="-1"/>
          <w:sz w:val="24"/>
          <w:szCs w:val="24"/>
        </w:rPr>
        <w:t>Name</w:t>
      </w:r>
      <w:r w:rsidRPr="00ED0648">
        <w:rPr>
          <w:rFonts w:ascii="Book Antiqua" w:hAnsi="Book Antiqua"/>
          <w:b/>
          <w:spacing w:val="-5"/>
          <w:sz w:val="24"/>
          <w:szCs w:val="24"/>
        </w:rPr>
        <w:t xml:space="preserve"> </w:t>
      </w:r>
      <w:r w:rsidRPr="00ED0648">
        <w:rPr>
          <w:rFonts w:ascii="Book Antiqua" w:hAnsi="Book Antiqua"/>
          <w:b/>
          <w:sz w:val="24"/>
          <w:szCs w:val="24"/>
        </w:rPr>
        <w:t>of</w:t>
      </w:r>
      <w:r w:rsidRPr="00ED0648">
        <w:rPr>
          <w:rFonts w:ascii="Book Antiqua" w:hAnsi="Book Antiqua"/>
          <w:b/>
          <w:spacing w:val="-5"/>
          <w:sz w:val="24"/>
          <w:szCs w:val="24"/>
        </w:rPr>
        <w:t xml:space="preserve"> </w:t>
      </w:r>
      <w:r w:rsidRPr="00ED0648">
        <w:rPr>
          <w:rFonts w:ascii="Book Antiqua" w:hAnsi="Book Antiqua"/>
          <w:b/>
          <w:spacing w:val="-1"/>
          <w:sz w:val="24"/>
          <w:szCs w:val="24"/>
        </w:rPr>
        <w:t>Journal</w:t>
      </w:r>
      <w:r w:rsidRPr="00ED0648">
        <w:rPr>
          <w:rFonts w:ascii="Book Antiqua" w:hAnsi="Book Antiqua"/>
          <w:b/>
          <w:sz w:val="24"/>
          <w:szCs w:val="24"/>
        </w:rPr>
        <w:t xml:space="preserve">: </w:t>
      </w:r>
      <w:r w:rsidRPr="00ED0648">
        <w:rPr>
          <w:rFonts w:ascii="Book Antiqua" w:hAnsi="Book Antiqua"/>
          <w:bCs/>
          <w:i/>
          <w:iCs/>
          <w:sz w:val="24"/>
          <w:szCs w:val="24"/>
        </w:rPr>
        <w:t>World Journal of Gastrointestinal Endoscopy</w:t>
      </w:r>
    </w:p>
    <w:p w14:paraId="3B0DA22D" w14:textId="1DD54FD1" w:rsidR="005A3034" w:rsidRPr="00ED0648" w:rsidRDefault="005A3034" w:rsidP="00ED0648">
      <w:pPr>
        <w:adjustRightInd w:val="0"/>
        <w:snapToGrid w:val="0"/>
        <w:spacing w:after="0" w:line="360" w:lineRule="auto"/>
        <w:jc w:val="both"/>
        <w:rPr>
          <w:rFonts w:ascii="Book Antiqua" w:eastAsia="Book Antiqua" w:hAnsi="Book Antiqua" w:cs="Book Antiqua"/>
          <w:sz w:val="24"/>
          <w:szCs w:val="24"/>
        </w:rPr>
      </w:pPr>
      <w:r w:rsidRPr="00ED0648">
        <w:rPr>
          <w:rFonts w:ascii="Book Antiqua" w:eastAsia="Book Antiqua" w:hAnsi="Book Antiqua" w:cs="Book Antiqua"/>
          <w:b/>
          <w:sz w:val="24"/>
          <w:szCs w:val="24"/>
        </w:rPr>
        <w:t xml:space="preserve">Manuscript NO: </w:t>
      </w:r>
      <w:r w:rsidRPr="00ED0648">
        <w:rPr>
          <w:rFonts w:ascii="Book Antiqua" w:eastAsia="Book Antiqua" w:hAnsi="Book Antiqua" w:cs="Book Antiqua"/>
          <w:sz w:val="24"/>
          <w:szCs w:val="24"/>
        </w:rPr>
        <w:t>46513</w:t>
      </w:r>
    </w:p>
    <w:p w14:paraId="15136CB8" w14:textId="2133032C" w:rsidR="005A3034" w:rsidRPr="00ED0648" w:rsidRDefault="005A3034" w:rsidP="00ED0648">
      <w:pPr>
        <w:adjustRightInd w:val="0"/>
        <w:snapToGrid w:val="0"/>
        <w:spacing w:after="0" w:line="360" w:lineRule="auto"/>
        <w:jc w:val="both"/>
        <w:rPr>
          <w:rFonts w:ascii="Book Antiqua" w:eastAsia="Book Antiqua" w:hAnsi="Book Antiqua" w:cs="Book Antiqua"/>
          <w:sz w:val="24"/>
          <w:szCs w:val="24"/>
        </w:rPr>
      </w:pPr>
      <w:r w:rsidRPr="00ED0648">
        <w:rPr>
          <w:rFonts w:ascii="Book Antiqua" w:eastAsia="Book Antiqua" w:hAnsi="Book Antiqua" w:cs="Book Antiqua"/>
          <w:b/>
          <w:sz w:val="24"/>
          <w:szCs w:val="24"/>
        </w:rPr>
        <w:t>Manuscript Type:</w:t>
      </w:r>
      <w:r w:rsidRPr="00ED0648">
        <w:rPr>
          <w:rFonts w:ascii="Book Antiqua" w:eastAsia="Book Antiqua" w:hAnsi="Book Antiqua" w:cs="Book Antiqua"/>
          <w:sz w:val="24"/>
          <w:szCs w:val="24"/>
        </w:rPr>
        <w:t xml:space="preserve"> MINIREVIEWS</w:t>
      </w:r>
    </w:p>
    <w:p w14:paraId="22486E07" w14:textId="77777777" w:rsidR="005A3034" w:rsidRPr="00ED0648" w:rsidRDefault="005A3034" w:rsidP="00ED0648">
      <w:pPr>
        <w:tabs>
          <w:tab w:val="left" w:pos="5310"/>
        </w:tabs>
        <w:adjustRightInd w:val="0"/>
        <w:snapToGrid w:val="0"/>
        <w:spacing w:after="0" w:line="360" w:lineRule="auto"/>
        <w:jc w:val="both"/>
        <w:rPr>
          <w:rFonts w:ascii="Book Antiqua" w:hAnsi="Book Antiqua" w:cstheme="minorHAnsi"/>
          <w:b/>
          <w:sz w:val="24"/>
          <w:szCs w:val="24"/>
        </w:rPr>
      </w:pPr>
    </w:p>
    <w:p w14:paraId="3F60879A" w14:textId="3F962853" w:rsidR="008C5A21" w:rsidRPr="00ED0648" w:rsidRDefault="008C5A21" w:rsidP="00ED0648">
      <w:pPr>
        <w:tabs>
          <w:tab w:val="left" w:pos="5310"/>
        </w:tabs>
        <w:adjustRightInd w:val="0"/>
        <w:snapToGrid w:val="0"/>
        <w:spacing w:after="0" w:line="360" w:lineRule="auto"/>
        <w:jc w:val="both"/>
        <w:rPr>
          <w:rFonts w:ascii="Book Antiqua" w:hAnsi="Book Antiqua" w:cstheme="minorHAnsi"/>
          <w:b/>
          <w:sz w:val="24"/>
          <w:szCs w:val="24"/>
        </w:rPr>
      </w:pPr>
      <w:r w:rsidRPr="00ED0648">
        <w:rPr>
          <w:rFonts w:ascii="Book Antiqua" w:hAnsi="Book Antiqua" w:cstheme="minorHAnsi"/>
          <w:b/>
          <w:sz w:val="24"/>
          <w:szCs w:val="24"/>
        </w:rPr>
        <w:t>Magnetic sphincter augmentation: Optimal patient selection and referral care pathways</w:t>
      </w:r>
    </w:p>
    <w:p w14:paraId="193367E1" w14:textId="77777777" w:rsidR="00C855B3" w:rsidRPr="00ED0648" w:rsidRDefault="00C855B3" w:rsidP="00ED0648">
      <w:pPr>
        <w:adjustRightInd w:val="0"/>
        <w:snapToGrid w:val="0"/>
        <w:spacing w:after="0" w:line="360" w:lineRule="auto"/>
        <w:jc w:val="both"/>
        <w:rPr>
          <w:rFonts w:ascii="Book Antiqua" w:hAnsi="Book Antiqua" w:cs="Arial Unicode MS"/>
          <w:b/>
          <w:sz w:val="24"/>
          <w:szCs w:val="24"/>
        </w:rPr>
      </w:pPr>
      <w:bookmarkStart w:id="1" w:name="OLE_LINK656"/>
      <w:bookmarkStart w:id="2" w:name="OLE_LINK657"/>
      <w:bookmarkStart w:id="3" w:name="OLE_LINK800"/>
      <w:bookmarkStart w:id="4" w:name="OLE_LINK801"/>
      <w:bookmarkStart w:id="5" w:name="OLE_LINK843"/>
      <w:bookmarkStart w:id="6" w:name="OLE_LINK844"/>
      <w:bookmarkStart w:id="7" w:name="OLE_LINK876"/>
      <w:bookmarkStart w:id="8" w:name="OLE_LINK893"/>
      <w:bookmarkStart w:id="9" w:name="OLE_LINK1285"/>
      <w:bookmarkStart w:id="10" w:name="OLE_LINK1617"/>
      <w:bookmarkStart w:id="11" w:name="OLE_LINK1772"/>
      <w:bookmarkStart w:id="12" w:name="OLE_LINK1867"/>
      <w:bookmarkStart w:id="13" w:name="OLE_LINK1868"/>
      <w:bookmarkStart w:id="14" w:name="OLE_LINK36"/>
      <w:bookmarkStart w:id="15" w:name="OLE_LINK37"/>
      <w:bookmarkStart w:id="16" w:name="OLE_LINK48"/>
      <w:bookmarkStart w:id="17" w:name="OLE_LINK49"/>
      <w:bookmarkStart w:id="18" w:name="OLE_LINK127"/>
      <w:bookmarkStart w:id="19" w:name="OLE_LINK128"/>
      <w:bookmarkStart w:id="20" w:name="OLE_LINK1746"/>
      <w:bookmarkStart w:id="21" w:name="OLE_LINK1830"/>
      <w:bookmarkStart w:id="22" w:name="OLE_LINK1855"/>
      <w:bookmarkStart w:id="23" w:name="OLE_LINK1911"/>
      <w:bookmarkStart w:id="24" w:name="OLE_LINK2025"/>
      <w:bookmarkStart w:id="25" w:name="OLE_LINK2061"/>
      <w:bookmarkStart w:id="26" w:name="OLE_LINK2115"/>
      <w:bookmarkEnd w:id="0"/>
    </w:p>
    <w:p w14:paraId="2C22C834" w14:textId="6A454C63" w:rsidR="005A3034" w:rsidRPr="00ED0648" w:rsidRDefault="000330C2" w:rsidP="00ED0648">
      <w:pPr>
        <w:adjustRightInd w:val="0"/>
        <w:snapToGrid w:val="0"/>
        <w:spacing w:after="0" w:line="360" w:lineRule="auto"/>
        <w:jc w:val="both"/>
        <w:rPr>
          <w:rFonts w:ascii="Book Antiqua" w:hAnsi="Book Antiqua" w:cs="Arial Unicode MS"/>
          <w:sz w:val="24"/>
          <w:szCs w:val="24"/>
        </w:rPr>
      </w:pPr>
      <w:bookmarkStart w:id="27" w:name="OLE_LINK1657"/>
      <w:bookmarkStart w:id="28" w:name="OLE_LINK1658"/>
      <w:bookmarkEnd w:id="1"/>
      <w:bookmarkEnd w:id="2"/>
      <w:bookmarkEnd w:id="3"/>
      <w:bookmarkEnd w:id="4"/>
      <w:bookmarkEnd w:id="5"/>
      <w:bookmarkEnd w:id="6"/>
      <w:bookmarkEnd w:id="7"/>
      <w:bookmarkEnd w:id="8"/>
      <w:bookmarkEnd w:id="9"/>
      <w:bookmarkEnd w:id="10"/>
      <w:bookmarkEnd w:id="11"/>
      <w:r w:rsidRPr="00ED0648">
        <w:rPr>
          <w:rFonts w:ascii="Book Antiqua" w:hAnsi="Book Antiqua"/>
          <w:sz w:val="24"/>
          <w:szCs w:val="24"/>
        </w:rPr>
        <w:t>Buckley</w:t>
      </w:r>
      <w:r w:rsidR="005A3034" w:rsidRPr="00ED0648">
        <w:rPr>
          <w:rFonts w:ascii="Book Antiqua" w:hAnsi="Book Antiqua" w:cs="Arial Unicode MS"/>
          <w:iCs/>
          <w:sz w:val="24"/>
          <w:szCs w:val="24"/>
        </w:rPr>
        <w:t xml:space="preserve"> </w:t>
      </w:r>
      <w:bookmarkStart w:id="29" w:name="OLE_LINK1837"/>
      <w:bookmarkStart w:id="30" w:name="OLE_LINK1838"/>
      <w:bookmarkStart w:id="31" w:name="OLE_LINK1366"/>
      <w:bookmarkStart w:id="32" w:name="OLE_LINK1514"/>
      <w:r w:rsidRPr="00ED0648">
        <w:rPr>
          <w:rFonts w:ascii="Book Antiqua" w:hAnsi="Book Antiqua" w:cs="Arial Unicode MS"/>
          <w:iCs/>
          <w:sz w:val="24"/>
          <w:szCs w:val="24"/>
        </w:rPr>
        <w:t>FP</w:t>
      </w:r>
      <w:r w:rsidRPr="00ED0648">
        <w:rPr>
          <w:rFonts w:ascii="Book Antiqua" w:hAnsi="Book Antiqua" w:cs="Arial Unicode MS"/>
          <w:i/>
          <w:sz w:val="24"/>
          <w:szCs w:val="24"/>
        </w:rPr>
        <w:t xml:space="preserve"> </w:t>
      </w:r>
      <w:r w:rsidR="005A3034" w:rsidRPr="00ED0648">
        <w:rPr>
          <w:rFonts w:ascii="Book Antiqua" w:hAnsi="Book Antiqua" w:cs="Arial Unicode MS"/>
          <w:i/>
          <w:sz w:val="24"/>
          <w:szCs w:val="24"/>
        </w:rPr>
        <w:t>et al</w:t>
      </w:r>
      <w:bookmarkEnd w:id="29"/>
      <w:bookmarkEnd w:id="30"/>
      <w:r w:rsidR="005A3034" w:rsidRPr="00ED0648">
        <w:rPr>
          <w:rFonts w:ascii="Book Antiqua" w:hAnsi="Book Antiqua" w:cs="Arial Unicode MS"/>
          <w:sz w:val="24"/>
          <w:szCs w:val="24"/>
        </w:rPr>
        <w:t xml:space="preserve">. </w:t>
      </w:r>
      <w:bookmarkEnd w:id="31"/>
      <w:bookmarkEnd w:id="32"/>
      <w:r w:rsidRPr="00ED0648">
        <w:rPr>
          <w:rFonts w:ascii="Book Antiqua" w:hAnsi="Book Antiqua"/>
          <w:sz w:val="24"/>
          <w:szCs w:val="24"/>
        </w:rPr>
        <w:t xml:space="preserve">Magnetic sphincter augmentation patient care pathways </w:t>
      </w:r>
      <w:bookmarkEnd w:id="12"/>
      <w:bookmarkEnd w:id="13"/>
      <w:bookmarkEnd w:id="27"/>
      <w:bookmarkEnd w:id="28"/>
    </w:p>
    <w:bookmarkEnd w:id="14"/>
    <w:bookmarkEnd w:id="15"/>
    <w:bookmarkEnd w:id="16"/>
    <w:bookmarkEnd w:id="17"/>
    <w:bookmarkEnd w:id="18"/>
    <w:bookmarkEnd w:id="19"/>
    <w:bookmarkEnd w:id="20"/>
    <w:bookmarkEnd w:id="21"/>
    <w:bookmarkEnd w:id="22"/>
    <w:bookmarkEnd w:id="23"/>
    <w:bookmarkEnd w:id="24"/>
    <w:bookmarkEnd w:id="25"/>
    <w:bookmarkEnd w:id="26"/>
    <w:p w14:paraId="1294A719" w14:textId="77777777" w:rsidR="005A3034" w:rsidRPr="00ED0648" w:rsidRDefault="005A3034" w:rsidP="00ED0648">
      <w:pPr>
        <w:tabs>
          <w:tab w:val="left" w:pos="5310"/>
        </w:tabs>
        <w:adjustRightInd w:val="0"/>
        <w:snapToGrid w:val="0"/>
        <w:spacing w:after="0" w:line="360" w:lineRule="auto"/>
        <w:jc w:val="both"/>
        <w:rPr>
          <w:rFonts w:ascii="Book Antiqua" w:hAnsi="Book Antiqua" w:cstheme="minorHAnsi"/>
          <w:b/>
          <w:sz w:val="24"/>
          <w:szCs w:val="24"/>
        </w:rPr>
      </w:pPr>
    </w:p>
    <w:p w14:paraId="784C89E0" w14:textId="1F1A45B0" w:rsidR="000330C2" w:rsidRPr="00ED0648" w:rsidRDefault="000330C2" w:rsidP="00ED0648">
      <w:pPr>
        <w:tabs>
          <w:tab w:val="left" w:pos="5310"/>
        </w:tabs>
        <w:adjustRightInd w:val="0"/>
        <w:snapToGrid w:val="0"/>
        <w:spacing w:after="0" w:line="360" w:lineRule="auto"/>
        <w:jc w:val="both"/>
        <w:rPr>
          <w:rFonts w:ascii="Book Antiqua" w:hAnsi="Book Antiqua"/>
          <w:bCs/>
          <w:sz w:val="24"/>
          <w:szCs w:val="24"/>
        </w:rPr>
      </w:pPr>
      <w:r w:rsidRPr="00ED0648">
        <w:rPr>
          <w:rFonts w:ascii="Book Antiqua" w:hAnsi="Book Antiqua" w:cstheme="minorHAnsi"/>
          <w:bCs/>
          <w:sz w:val="24"/>
          <w:szCs w:val="24"/>
        </w:rPr>
        <w:t xml:space="preserve">F Paul Buckley, Benjamin Havemann, </w:t>
      </w:r>
      <w:r w:rsidRPr="00ED0648">
        <w:rPr>
          <w:rFonts w:ascii="Book Antiqua" w:hAnsi="Book Antiqua"/>
          <w:bCs/>
          <w:sz w:val="24"/>
          <w:szCs w:val="24"/>
        </w:rPr>
        <w:t>Amarpreet Chawla</w:t>
      </w:r>
    </w:p>
    <w:p w14:paraId="6AEC6A1F" w14:textId="77777777" w:rsidR="005A3034" w:rsidRPr="00ED0648" w:rsidRDefault="005A3034" w:rsidP="00ED0648">
      <w:pPr>
        <w:adjustRightInd w:val="0"/>
        <w:snapToGrid w:val="0"/>
        <w:spacing w:after="0" w:line="360" w:lineRule="auto"/>
        <w:jc w:val="both"/>
        <w:rPr>
          <w:rFonts w:ascii="Book Antiqua" w:hAnsi="Book Antiqua"/>
          <w:b/>
          <w:bCs/>
          <w:sz w:val="24"/>
          <w:szCs w:val="24"/>
        </w:rPr>
      </w:pPr>
    </w:p>
    <w:p w14:paraId="6269524F" w14:textId="67F0A1BA" w:rsidR="00523E84" w:rsidRPr="00ED0648" w:rsidRDefault="00523E84" w:rsidP="00ED0648">
      <w:pPr>
        <w:tabs>
          <w:tab w:val="left" w:pos="5310"/>
        </w:tabs>
        <w:adjustRightInd w:val="0"/>
        <w:snapToGrid w:val="0"/>
        <w:spacing w:after="0" w:line="360" w:lineRule="auto"/>
        <w:jc w:val="both"/>
        <w:rPr>
          <w:rFonts w:ascii="Book Antiqua" w:eastAsia="Times New Roman" w:hAnsi="Book Antiqua" w:cstheme="minorHAnsi"/>
          <w:sz w:val="24"/>
          <w:szCs w:val="24"/>
        </w:rPr>
      </w:pPr>
      <w:bookmarkStart w:id="33" w:name="OLE_LINK1334"/>
      <w:bookmarkStart w:id="34" w:name="OLE_LINK1335"/>
      <w:bookmarkStart w:id="35" w:name="OLE_LINK421"/>
      <w:bookmarkStart w:id="36" w:name="OLE_LINK422"/>
      <w:bookmarkStart w:id="37" w:name="OLE_LINK1367"/>
      <w:bookmarkStart w:id="38" w:name="OLE_LINK1395"/>
      <w:bookmarkStart w:id="39" w:name="OLE_LINK2026"/>
      <w:bookmarkStart w:id="40" w:name="OLE_LINK2062"/>
      <w:bookmarkStart w:id="41" w:name="OLE_LINK2063"/>
      <w:bookmarkStart w:id="42" w:name="OLE_LINK2064"/>
      <w:r w:rsidRPr="00ED0648">
        <w:rPr>
          <w:rFonts w:ascii="Book Antiqua" w:hAnsi="Book Antiqua" w:cstheme="minorHAnsi"/>
          <w:b/>
          <w:sz w:val="24"/>
          <w:szCs w:val="24"/>
        </w:rPr>
        <w:t>F Paul Buckley</w:t>
      </w:r>
      <w:r w:rsidRPr="00ED0648">
        <w:rPr>
          <w:rFonts w:ascii="Book Antiqua" w:hAnsi="Book Antiqua" w:cstheme="minorHAnsi"/>
          <w:sz w:val="24"/>
          <w:szCs w:val="24"/>
        </w:rPr>
        <w:t xml:space="preserve">, Department of Surgery </w:t>
      </w:r>
      <w:r w:rsidR="00C855B3" w:rsidRPr="00ED0648">
        <w:rPr>
          <w:rFonts w:ascii="Book Antiqua" w:hAnsi="Book Antiqua" w:cstheme="minorHAnsi"/>
          <w:sz w:val="24"/>
          <w:szCs w:val="24"/>
        </w:rPr>
        <w:t>and</w:t>
      </w:r>
      <w:r w:rsidRPr="00ED0648">
        <w:rPr>
          <w:rFonts w:ascii="Book Antiqua" w:hAnsi="Book Antiqua" w:cstheme="minorHAnsi"/>
          <w:sz w:val="24"/>
          <w:szCs w:val="24"/>
        </w:rPr>
        <w:t xml:space="preserve"> Perioperative Care, Dell Medical School, The University of Texas at Austin, Austin, T</w:t>
      </w:r>
      <w:r w:rsidR="00C855B3" w:rsidRPr="00ED0648">
        <w:rPr>
          <w:rFonts w:ascii="Book Antiqua" w:hAnsi="Book Antiqua" w:cstheme="minorHAnsi"/>
          <w:sz w:val="24"/>
          <w:szCs w:val="24"/>
        </w:rPr>
        <w:t>X</w:t>
      </w:r>
      <w:r w:rsidRPr="00ED0648">
        <w:rPr>
          <w:rFonts w:ascii="Book Antiqua" w:hAnsi="Book Antiqua" w:cstheme="minorHAnsi"/>
          <w:sz w:val="24"/>
          <w:szCs w:val="24"/>
        </w:rPr>
        <w:t xml:space="preserve"> 78712,</w:t>
      </w:r>
      <w:r w:rsidR="00C855B3" w:rsidRPr="00ED0648">
        <w:rPr>
          <w:rFonts w:ascii="Book Antiqua" w:eastAsia="Times New Roman" w:hAnsi="Book Antiqua" w:cstheme="minorHAnsi"/>
          <w:sz w:val="24"/>
          <w:szCs w:val="24"/>
        </w:rPr>
        <w:t xml:space="preserve"> United States</w:t>
      </w:r>
    </w:p>
    <w:p w14:paraId="72F31807" w14:textId="77777777" w:rsidR="00C855B3" w:rsidRPr="00ED0648" w:rsidRDefault="00C855B3" w:rsidP="00ED0648">
      <w:pPr>
        <w:tabs>
          <w:tab w:val="left" w:pos="5310"/>
        </w:tabs>
        <w:adjustRightInd w:val="0"/>
        <w:snapToGrid w:val="0"/>
        <w:spacing w:after="0" w:line="360" w:lineRule="auto"/>
        <w:jc w:val="both"/>
        <w:rPr>
          <w:rFonts w:ascii="Book Antiqua" w:hAnsi="Book Antiqua" w:cstheme="minorHAnsi"/>
          <w:sz w:val="24"/>
          <w:szCs w:val="24"/>
        </w:rPr>
      </w:pPr>
    </w:p>
    <w:p w14:paraId="7D87955C" w14:textId="4F5261B8" w:rsidR="00523E84" w:rsidRPr="00ED0648" w:rsidRDefault="00523E84" w:rsidP="00ED0648">
      <w:pPr>
        <w:tabs>
          <w:tab w:val="left" w:pos="5310"/>
        </w:tabs>
        <w:adjustRightInd w:val="0"/>
        <w:snapToGrid w:val="0"/>
        <w:spacing w:after="0" w:line="360" w:lineRule="auto"/>
        <w:jc w:val="both"/>
        <w:rPr>
          <w:rFonts w:ascii="Book Antiqua" w:hAnsi="Book Antiqua" w:cstheme="minorHAnsi"/>
          <w:sz w:val="24"/>
          <w:szCs w:val="24"/>
        </w:rPr>
      </w:pPr>
      <w:r w:rsidRPr="00ED0648">
        <w:rPr>
          <w:rFonts w:ascii="Book Antiqua" w:hAnsi="Book Antiqua" w:cstheme="minorHAnsi"/>
          <w:b/>
          <w:sz w:val="24"/>
          <w:szCs w:val="24"/>
        </w:rPr>
        <w:t>Benjamin Havemann</w:t>
      </w:r>
      <w:r w:rsidRPr="00ED0648">
        <w:rPr>
          <w:rFonts w:ascii="Book Antiqua" w:hAnsi="Book Antiqua" w:cstheme="minorHAnsi"/>
          <w:sz w:val="24"/>
          <w:szCs w:val="24"/>
        </w:rPr>
        <w:t xml:space="preserve">, Austin Gastroenterology, Bee Cave, </w:t>
      </w:r>
      <w:r w:rsidR="00C855B3" w:rsidRPr="00ED0648">
        <w:rPr>
          <w:rFonts w:ascii="Book Antiqua" w:hAnsi="Book Antiqua" w:cstheme="minorHAnsi"/>
          <w:sz w:val="24"/>
          <w:szCs w:val="24"/>
        </w:rPr>
        <w:t>TX</w:t>
      </w:r>
      <w:r w:rsidRPr="00ED0648">
        <w:rPr>
          <w:rFonts w:ascii="Book Antiqua" w:hAnsi="Book Antiqua" w:cstheme="minorHAnsi"/>
          <w:sz w:val="24"/>
          <w:szCs w:val="24"/>
        </w:rPr>
        <w:t xml:space="preserve"> 78738,</w:t>
      </w:r>
      <w:r w:rsidR="00A23C4A" w:rsidRPr="00ED0648">
        <w:rPr>
          <w:rFonts w:ascii="Book Antiqua" w:hAnsi="Book Antiqua" w:cstheme="minorHAnsi"/>
          <w:sz w:val="24"/>
          <w:szCs w:val="24"/>
        </w:rPr>
        <w:t xml:space="preserve"> </w:t>
      </w:r>
      <w:r w:rsidR="00C855B3" w:rsidRPr="00ED0648">
        <w:rPr>
          <w:rFonts w:ascii="Book Antiqua" w:eastAsia="Times New Roman" w:hAnsi="Book Antiqua" w:cstheme="minorHAnsi"/>
          <w:sz w:val="24"/>
          <w:szCs w:val="24"/>
        </w:rPr>
        <w:t>United States</w:t>
      </w:r>
    </w:p>
    <w:p w14:paraId="225A767C" w14:textId="77777777" w:rsidR="00C855B3" w:rsidRPr="00ED0648" w:rsidRDefault="00C855B3" w:rsidP="00ED0648">
      <w:pPr>
        <w:tabs>
          <w:tab w:val="left" w:pos="5310"/>
        </w:tabs>
        <w:adjustRightInd w:val="0"/>
        <w:snapToGrid w:val="0"/>
        <w:spacing w:after="0" w:line="360" w:lineRule="auto"/>
        <w:jc w:val="both"/>
        <w:rPr>
          <w:rStyle w:val="af1"/>
          <w:rFonts w:ascii="Book Antiqua" w:hAnsi="Book Antiqua" w:cstheme="minorHAnsi"/>
          <w:color w:val="auto"/>
          <w:sz w:val="24"/>
          <w:szCs w:val="24"/>
          <w:u w:val="none"/>
        </w:rPr>
      </w:pPr>
    </w:p>
    <w:p w14:paraId="5579E381" w14:textId="390AF948" w:rsidR="00523E84" w:rsidRPr="00ED0648" w:rsidRDefault="00523E84" w:rsidP="00ED0648">
      <w:pPr>
        <w:tabs>
          <w:tab w:val="left" w:pos="5310"/>
        </w:tabs>
        <w:adjustRightInd w:val="0"/>
        <w:snapToGrid w:val="0"/>
        <w:spacing w:after="0" w:line="360" w:lineRule="auto"/>
        <w:jc w:val="both"/>
        <w:rPr>
          <w:rFonts w:ascii="Book Antiqua" w:hAnsi="Book Antiqua"/>
          <w:sz w:val="24"/>
          <w:szCs w:val="24"/>
        </w:rPr>
      </w:pPr>
      <w:r w:rsidRPr="00ED0648">
        <w:rPr>
          <w:rFonts w:ascii="Book Antiqua" w:hAnsi="Book Antiqua"/>
          <w:b/>
          <w:sz w:val="24"/>
          <w:szCs w:val="24"/>
        </w:rPr>
        <w:t>Amarpreet Chawla</w:t>
      </w:r>
      <w:r w:rsidRPr="00ED0648">
        <w:rPr>
          <w:rFonts w:ascii="Book Antiqua" w:hAnsi="Book Antiqua"/>
          <w:sz w:val="24"/>
          <w:szCs w:val="24"/>
        </w:rPr>
        <w:t>, Department of Health Economics and Market Access,</w:t>
      </w:r>
      <w:r w:rsidRPr="00ED0648">
        <w:rPr>
          <w:rFonts w:ascii="Book Antiqua" w:hAnsi="Book Antiqua"/>
          <w:sz w:val="24"/>
          <w:szCs w:val="24"/>
          <w:vertAlign w:val="superscript"/>
        </w:rPr>
        <w:t xml:space="preserve"> </w:t>
      </w:r>
      <w:r w:rsidRPr="00ED0648">
        <w:rPr>
          <w:rFonts w:ascii="Book Antiqua" w:hAnsi="Book Antiqua"/>
          <w:sz w:val="24"/>
          <w:szCs w:val="24"/>
        </w:rPr>
        <w:t xml:space="preserve">Ethicon Inc. (Johnson </w:t>
      </w:r>
      <w:r w:rsidR="00506588" w:rsidRPr="00ED0648">
        <w:rPr>
          <w:rFonts w:ascii="Book Antiqua" w:hAnsi="Book Antiqua"/>
          <w:sz w:val="24"/>
          <w:szCs w:val="24"/>
        </w:rPr>
        <w:t xml:space="preserve">and </w:t>
      </w:r>
      <w:r w:rsidRPr="00ED0648">
        <w:rPr>
          <w:rFonts w:ascii="Book Antiqua" w:hAnsi="Book Antiqua"/>
          <w:sz w:val="24"/>
          <w:szCs w:val="24"/>
        </w:rPr>
        <w:t>Johnson), Cincinnati, O</w:t>
      </w:r>
      <w:r w:rsidR="00C855B3" w:rsidRPr="00ED0648">
        <w:rPr>
          <w:rFonts w:ascii="Book Antiqua" w:hAnsi="Book Antiqua"/>
          <w:sz w:val="24"/>
          <w:szCs w:val="24"/>
        </w:rPr>
        <w:t>H</w:t>
      </w:r>
      <w:r w:rsidRPr="00ED0648">
        <w:rPr>
          <w:rFonts w:ascii="Book Antiqua" w:hAnsi="Book Antiqua"/>
          <w:sz w:val="24"/>
          <w:szCs w:val="24"/>
        </w:rPr>
        <w:t xml:space="preserve"> 45242,</w:t>
      </w:r>
      <w:r w:rsidR="00C855B3" w:rsidRPr="00ED0648">
        <w:rPr>
          <w:rFonts w:ascii="Book Antiqua" w:hAnsi="Book Antiqua" w:cstheme="minorHAnsi"/>
          <w:sz w:val="24"/>
          <w:szCs w:val="24"/>
        </w:rPr>
        <w:t xml:space="preserve"> </w:t>
      </w:r>
      <w:r w:rsidR="00C855B3" w:rsidRPr="00ED0648">
        <w:rPr>
          <w:rFonts w:ascii="Book Antiqua" w:eastAsia="Times New Roman" w:hAnsi="Book Antiqua" w:cstheme="minorHAnsi"/>
          <w:sz w:val="24"/>
          <w:szCs w:val="24"/>
        </w:rPr>
        <w:t>United States</w:t>
      </w:r>
    </w:p>
    <w:p w14:paraId="235A333A" w14:textId="77777777" w:rsidR="005A3034" w:rsidRPr="00ED0648" w:rsidRDefault="005A3034" w:rsidP="00ED0648">
      <w:pPr>
        <w:pStyle w:val="ab"/>
        <w:adjustRightInd w:val="0"/>
        <w:snapToGrid w:val="0"/>
        <w:spacing w:after="0" w:line="360" w:lineRule="auto"/>
        <w:jc w:val="both"/>
        <w:rPr>
          <w:rFonts w:ascii="Book Antiqua" w:hAnsi="Book Antiqua"/>
          <w:sz w:val="24"/>
          <w:szCs w:val="24"/>
          <w:highlight w:val="yellow"/>
        </w:rPr>
      </w:pPr>
    </w:p>
    <w:p w14:paraId="38794D76" w14:textId="66D94D57" w:rsidR="00523E84" w:rsidRPr="00ED0648" w:rsidRDefault="005A3034" w:rsidP="00ED0648">
      <w:pPr>
        <w:autoSpaceDE w:val="0"/>
        <w:autoSpaceDN w:val="0"/>
        <w:adjustRightInd w:val="0"/>
        <w:snapToGrid w:val="0"/>
        <w:spacing w:after="0" w:line="360" w:lineRule="auto"/>
        <w:jc w:val="both"/>
        <w:rPr>
          <w:rFonts w:ascii="Book Antiqua" w:hAnsi="Book Antiqua"/>
          <w:b/>
          <w:bCs/>
          <w:sz w:val="24"/>
          <w:szCs w:val="24"/>
        </w:rPr>
      </w:pPr>
      <w:bookmarkStart w:id="43" w:name="OLE_LINK1289"/>
      <w:bookmarkStart w:id="44" w:name="OLE_LINK1290"/>
      <w:bookmarkStart w:id="45" w:name="OLE_LINK563"/>
      <w:bookmarkStart w:id="46" w:name="OLE_LINK1232"/>
      <w:bookmarkStart w:id="47" w:name="OLE_LINK1272"/>
      <w:bookmarkStart w:id="48" w:name="OLE_LINK1274"/>
      <w:bookmarkStart w:id="49" w:name="OLE_LINK1336"/>
      <w:bookmarkStart w:id="50" w:name="OLE_LINK1368"/>
      <w:bookmarkStart w:id="51" w:name="OLE_LINK1491"/>
      <w:bookmarkStart w:id="52" w:name="OLE_LINK1379"/>
      <w:bookmarkStart w:id="53" w:name="OLE_LINK1386"/>
      <w:bookmarkStart w:id="54" w:name="OLE_LINK1548"/>
      <w:bookmarkStart w:id="55" w:name="OLE_LINK2027"/>
      <w:bookmarkStart w:id="56" w:name="OLE_LINK726"/>
      <w:bookmarkStart w:id="57" w:name="OLE_LINK727"/>
      <w:bookmarkStart w:id="58" w:name="OLE_LINK765"/>
      <w:bookmarkStart w:id="59" w:name="OLE_LINK847"/>
      <w:bookmarkStart w:id="60" w:name="OLE_LINK848"/>
      <w:bookmarkStart w:id="61" w:name="OLE_LINK849"/>
      <w:bookmarkStart w:id="62" w:name="OLE_LINK850"/>
      <w:bookmarkStart w:id="63" w:name="OLE_LINK851"/>
      <w:bookmarkStart w:id="64" w:name="OLE_LINK852"/>
      <w:bookmarkStart w:id="65" w:name="OLE_LINK853"/>
      <w:bookmarkStart w:id="66" w:name="OLE_LINK895"/>
      <w:bookmarkStart w:id="67" w:name="OLE_LINK1589"/>
      <w:bookmarkStart w:id="68" w:name="OLE_LINK1632"/>
      <w:bookmarkStart w:id="69" w:name="OLE_LINK1694"/>
      <w:bookmarkStart w:id="70" w:name="OLE_LINK1856"/>
      <w:bookmarkStart w:id="71" w:name="OLE_LINK2065"/>
      <w:bookmarkStart w:id="72" w:name="OLE_LINK2082"/>
      <w:bookmarkStart w:id="73" w:name="OLE_LINK2102"/>
      <w:bookmarkStart w:id="74" w:name="OLE_LINK2118"/>
      <w:bookmarkEnd w:id="33"/>
      <w:bookmarkEnd w:id="34"/>
      <w:bookmarkEnd w:id="35"/>
      <w:bookmarkEnd w:id="36"/>
      <w:bookmarkEnd w:id="37"/>
      <w:bookmarkEnd w:id="38"/>
      <w:bookmarkEnd w:id="39"/>
      <w:bookmarkEnd w:id="40"/>
      <w:bookmarkEnd w:id="41"/>
      <w:bookmarkEnd w:id="42"/>
      <w:r w:rsidRPr="00ED0648">
        <w:rPr>
          <w:rFonts w:ascii="Book Antiqua" w:hAnsi="Book Antiqua"/>
          <w:b/>
          <w:bCs/>
          <w:sz w:val="24"/>
          <w:szCs w:val="24"/>
        </w:rPr>
        <w:t>ORCID number:</w:t>
      </w:r>
      <w:bookmarkEnd w:id="43"/>
      <w:bookmarkEnd w:id="44"/>
      <w:bookmarkEnd w:id="45"/>
      <w:bookmarkEnd w:id="46"/>
      <w:bookmarkEnd w:id="47"/>
      <w:bookmarkEnd w:id="48"/>
      <w:bookmarkEnd w:id="49"/>
      <w:bookmarkEnd w:id="50"/>
      <w:bookmarkEnd w:id="51"/>
      <w:bookmarkEnd w:id="52"/>
      <w:bookmarkEnd w:id="53"/>
      <w:bookmarkEnd w:id="54"/>
      <w:bookmarkEnd w:id="55"/>
      <w:r w:rsidR="00C855B3" w:rsidRPr="00ED0648">
        <w:rPr>
          <w:rFonts w:ascii="Book Antiqua" w:eastAsiaTheme="minorEastAsia" w:hAnsi="Book Antiqua"/>
          <w:b/>
          <w:bCs/>
          <w:sz w:val="24"/>
          <w:szCs w:val="24"/>
          <w:lang w:eastAsia="zh-CN"/>
        </w:rPr>
        <w:t xml:space="preserve"> </w:t>
      </w:r>
      <w:r w:rsidR="00523E84" w:rsidRPr="00ED0648">
        <w:rPr>
          <w:rFonts w:ascii="Book Antiqua" w:hAnsi="Book Antiqua" w:cstheme="minorHAnsi"/>
          <w:bCs/>
          <w:sz w:val="24"/>
          <w:szCs w:val="24"/>
        </w:rPr>
        <w:t>F Paul Buckley</w:t>
      </w:r>
      <w:r w:rsidR="00C855B3" w:rsidRPr="00ED0648">
        <w:rPr>
          <w:rFonts w:ascii="Book Antiqua" w:hAnsi="Book Antiqua" w:cstheme="minorHAnsi"/>
          <w:bCs/>
          <w:sz w:val="24"/>
          <w:szCs w:val="24"/>
        </w:rPr>
        <w:t xml:space="preserve"> </w:t>
      </w:r>
      <w:r w:rsidR="00523E84" w:rsidRPr="00ED0648">
        <w:rPr>
          <w:rFonts w:ascii="Book Antiqua" w:hAnsi="Book Antiqua" w:cstheme="minorHAnsi"/>
          <w:bCs/>
          <w:sz w:val="24"/>
          <w:szCs w:val="24"/>
        </w:rPr>
        <w:t>0000-0001-7470-6610)</w:t>
      </w:r>
      <w:r w:rsidR="00A23C4A" w:rsidRPr="00ED0648">
        <w:rPr>
          <w:rFonts w:ascii="Book Antiqua" w:hAnsi="Book Antiqua" w:cstheme="minorHAnsi"/>
          <w:bCs/>
          <w:sz w:val="24"/>
          <w:szCs w:val="24"/>
        </w:rPr>
        <w:t xml:space="preserve">; </w:t>
      </w:r>
      <w:r w:rsidR="00523E84" w:rsidRPr="00ED0648">
        <w:rPr>
          <w:rFonts w:ascii="Book Antiqua" w:hAnsi="Book Antiqua" w:cstheme="minorHAnsi"/>
          <w:bCs/>
          <w:sz w:val="24"/>
          <w:szCs w:val="24"/>
        </w:rPr>
        <w:t>Benjamin Havemann (0000-0002-1902-9490)</w:t>
      </w:r>
      <w:r w:rsidR="00A23C4A" w:rsidRPr="00ED0648">
        <w:rPr>
          <w:rFonts w:ascii="Book Antiqua" w:hAnsi="Book Antiqua" w:cstheme="minorHAnsi"/>
          <w:bCs/>
          <w:sz w:val="24"/>
          <w:szCs w:val="24"/>
        </w:rPr>
        <w:t>;</w:t>
      </w:r>
      <w:r w:rsidR="00523E84" w:rsidRPr="00ED0648">
        <w:rPr>
          <w:rFonts w:ascii="Book Antiqua" w:hAnsi="Book Antiqua" w:cstheme="minorHAnsi"/>
          <w:bCs/>
          <w:sz w:val="24"/>
          <w:szCs w:val="24"/>
        </w:rPr>
        <w:t xml:space="preserve"> </w:t>
      </w:r>
      <w:r w:rsidR="00523E84" w:rsidRPr="00ED0648">
        <w:rPr>
          <w:rFonts w:ascii="Book Antiqua" w:hAnsi="Book Antiqua"/>
          <w:bCs/>
          <w:sz w:val="24"/>
          <w:szCs w:val="24"/>
        </w:rPr>
        <w:t>Amarpreet Chawla (0000-0002-4280-6219)</w:t>
      </w:r>
      <w:r w:rsidR="00A23C4A" w:rsidRPr="00ED0648">
        <w:rPr>
          <w:rFonts w:ascii="Book Antiqua" w:hAnsi="Book Antiqua"/>
          <w:bCs/>
          <w:sz w:val="24"/>
          <w:szCs w:val="24"/>
        </w:rPr>
        <w:t>.</w:t>
      </w:r>
    </w:p>
    <w:p w14:paraId="3271DA80" w14:textId="77777777" w:rsidR="00523E84" w:rsidRPr="00ED0648" w:rsidRDefault="00523E84" w:rsidP="00ED0648">
      <w:pPr>
        <w:autoSpaceDE w:val="0"/>
        <w:autoSpaceDN w:val="0"/>
        <w:adjustRightInd w:val="0"/>
        <w:snapToGrid w:val="0"/>
        <w:spacing w:after="0" w:line="360" w:lineRule="auto"/>
        <w:jc w:val="both"/>
        <w:rPr>
          <w:rFonts w:ascii="Book Antiqua" w:hAnsi="Book Antiqua" w:cs="Calibri"/>
          <w:b/>
          <w:sz w:val="24"/>
          <w:szCs w:val="24"/>
        </w:rPr>
      </w:pPr>
    </w:p>
    <w:p w14:paraId="3B8CBCB0" w14:textId="3164AFCD" w:rsidR="006828DF" w:rsidRPr="00ED0648" w:rsidRDefault="005A3034" w:rsidP="00ED0648">
      <w:pPr>
        <w:adjustRightInd w:val="0"/>
        <w:snapToGrid w:val="0"/>
        <w:spacing w:after="0" w:line="360" w:lineRule="auto"/>
        <w:jc w:val="both"/>
        <w:rPr>
          <w:rFonts w:ascii="Book Antiqua" w:hAnsi="Book Antiqua"/>
          <w:b/>
          <w:sz w:val="24"/>
          <w:szCs w:val="24"/>
        </w:rPr>
      </w:pPr>
      <w:bookmarkStart w:id="75" w:name="OLE_LINK710"/>
      <w:bookmarkStart w:id="76" w:name="OLE_LINK729"/>
      <w:bookmarkStart w:id="77" w:name="OLE_LINK730"/>
      <w:bookmarkStart w:id="78" w:name="OLE_LINK773"/>
      <w:bookmarkStart w:id="79" w:name="OLE_LINK774"/>
      <w:bookmarkStart w:id="80" w:name="OLE_LINK1183"/>
      <w:bookmarkStart w:id="81" w:name="OLE_LINK1184"/>
      <w:bookmarkStart w:id="82" w:name="OLE_LINK1190"/>
      <w:bookmarkStart w:id="83" w:name="OLE_LINK1291"/>
      <w:bookmarkStart w:id="84" w:name="OLE_LINK1292"/>
      <w:bookmarkStart w:id="85" w:name="OLE_LINK1337"/>
      <w:bookmarkStart w:id="86" w:name="OLE_LINK1397"/>
      <w:bookmarkStart w:id="87" w:name="OLE_LINK1493"/>
      <w:bookmarkStart w:id="88" w:name="OLE_LINK1494"/>
      <w:bookmarkStart w:id="89" w:name="OLE_LINK1387"/>
      <w:bookmarkStart w:id="90" w:name="OLE_LINK1574"/>
      <w:bookmarkStart w:id="91" w:name="OLE_LINK1575"/>
      <w:bookmarkStart w:id="92" w:name="OLE_LINK1590"/>
      <w:bookmarkStart w:id="93" w:name="OLE_LINK231"/>
      <w:bookmarkStart w:id="94" w:name="OLE_LINK234"/>
      <w:bookmarkStart w:id="95" w:name="OLE_LINK342"/>
      <w:bookmarkStart w:id="96" w:name="OLE_LINK473"/>
      <w:bookmarkStart w:id="97" w:name="OLE_LINK897"/>
      <w:bookmarkStart w:id="98" w:name="OLE_LINK1246"/>
      <w:bookmarkStart w:id="99" w:name="OLE_LINK1369"/>
      <w:bookmarkStart w:id="100" w:name="OLE_LINK1695"/>
      <w:bookmarkStart w:id="101" w:name="OLE_LINK1777"/>
      <w:bookmarkStart w:id="102" w:name="OLE_LINK1849"/>
      <w:bookmarkStart w:id="103" w:name="OLE_LINK1872"/>
      <w:bookmarkStart w:id="104" w:name="OLE_LINK2066"/>
      <w:bookmarkStart w:id="105" w:name="OLE_LINK1892"/>
      <w:bookmarkStart w:id="106" w:name="OLE_LINK1893"/>
      <w:bookmarkStart w:id="107" w:name="OLE_LINK2119"/>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r w:rsidRPr="00ED0648">
        <w:rPr>
          <w:rFonts w:ascii="Book Antiqua" w:eastAsia="MS Mincho" w:hAnsi="Book Antiqua"/>
          <w:b/>
          <w:sz w:val="24"/>
          <w:szCs w:val="24"/>
          <w:lang w:eastAsia="ja-JP"/>
        </w:rPr>
        <w:t>Author contributions:</w:t>
      </w:r>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r w:rsidR="00A23C4A" w:rsidRPr="00ED0648">
        <w:rPr>
          <w:rFonts w:ascii="Book Antiqua" w:eastAsiaTheme="minorEastAsia" w:hAnsi="Book Antiqua"/>
          <w:b/>
          <w:sz w:val="24"/>
          <w:szCs w:val="24"/>
          <w:lang w:eastAsia="zh-CN"/>
        </w:rPr>
        <w:t xml:space="preserve"> </w:t>
      </w:r>
      <w:r w:rsidR="00A23C4A" w:rsidRPr="00ED0648">
        <w:rPr>
          <w:rFonts w:ascii="Book Antiqua" w:hAnsi="Book Antiqua" w:cstheme="minorHAnsi"/>
          <w:sz w:val="24"/>
          <w:szCs w:val="24"/>
        </w:rPr>
        <w:t xml:space="preserve">All authors </w:t>
      </w:r>
      <w:r w:rsidR="00632AA3" w:rsidRPr="00ED0648">
        <w:rPr>
          <w:rFonts w:ascii="Book Antiqua" w:hAnsi="Book Antiqua" w:cstheme="minorHAnsi"/>
          <w:sz w:val="24"/>
          <w:szCs w:val="24"/>
        </w:rPr>
        <w:t>contributed to the review article conception and design; identification, acquisition, and interpretation of the published medical literature; drafting and revising the manuscript; and the approval of the final version of the manuscript for submission.</w:t>
      </w:r>
    </w:p>
    <w:p w14:paraId="53499220" w14:textId="77777777" w:rsidR="00632AA3" w:rsidRPr="00ED0648" w:rsidRDefault="00632AA3" w:rsidP="00ED0648">
      <w:pPr>
        <w:tabs>
          <w:tab w:val="left" w:pos="5310"/>
        </w:tabs>
        <w:adjustRightInd w:val="0"/>
        <w:snapToGrid w:val="0"/>
        <w:spacing w:after="0" w:line="360" w:lineRule="auto"/>
        <w:jc w:val="both"/>
        <w:rPr>
          <w:rFonts w:ascii="Book Antiqua" w:hAnsi="Book Antiqua" w:cstheme="minorHAnsi"/>
          <w:sz w:val="24"/>
          <w:szCs w:val="24"/>
        </w:rPr>
      </w:pPr>
    </w:p>
    <w:p w14:paraId="3B611989" w14:textId="1F2F997A" w:rsidR="00DA5F88" w:rsidRPr="00ED0648" w:rsidRDefault="00DA5F88" w:rsidP="00ED0648">
      <w:pPr>
        <w:adjustRightInd w:val="0"/>
        <w:snapToGrid w:val="0"/>
        <w:spacing w:after="0" w:line="360" w:lineRule="auto"/>
        <w:jc w:val="both"/>
        <w:rPr>
          <w:rFonts w:ascii="Book Antiqua" w:hAnsi="Book Antiqua" w:cstheme="minorHAnsi"/>
          <w:sz w:val="24"/>
          <w:szCs w:val="24"/>
        </w:rPr>
      </w:pPr>
      <w:r w:rsidRPr="00ED0648">
        <w:rPr>
          <w:rFonts w:ascii="Book Antiqua" w:eastAsia="宋体" w:hAnsi="Book Antiqua" w:cs="TimesNewRomanPS-BoldItalicMT"/>
          <w:b/>
          <w:bCs/>
          <w:iCs/>
          <w:sz w:val="24"/>
          <w:szCs w:val="24"/>
          <w:lang w:eastAsia="zh-CN"/>
        </w:rPr>
        <w:t>Conflict-of-interest</w:t>
      </w:r>
      <w:r w:rsidRPr="00ED0648">
        <w:rPr>
          <w:rFonts w:ascii="Book Antiqua" w:eastAsia="宋体" w:hAnsi="Book Antiqua"/>
          <w:kern w:val="2"/>
          <w:sz w:val="24"/>
          <w:szCs w:val="24"/>
          <w:lang w:eastAsia="zh-CN"/>
        </w:rPr>
        <w:t xml:space="preserve"> </w:t>
      </w:r>
      <w:r w:rsidRPr="00ED0648">
        <w:rPr>
          <w:rFonts w:ascii="Book Antiqua" w:eastAsia="宋体" w:hAnsi="Book Antiqua" w:cs="TimesNewRomanPS-BoldItalicMT"/>
          <w:b/>
          <w:bCs/>
          <w:iCs/>
          <w:sz w:val="24"/>
          <w:szCs w:val="24"/>
          <w:lang w:eastAsia="zh-CN"/>
        </w:rPr>
        <w:t>statement</w:t>
      </w:r>
      <w:r w:rsidRPr="00ED0648">
        <w:rPr>
          <w:rFonts w:ascii="Book Antiqua" w:eastAsia="宋体" w:hAnsi="Book Antiqua" w:cs="TimesNewRomanPS-BoldItalicMT"/>
          <w:b/>
          <w:bCs/>
          <w:iCs/>
          <w:kern w:val="2"/>
          <w:sz w:val="24"/>
          <w:szCs w:val="24"/>
          <w:lang w:eastAsia="zh-CN"/>
        </w:rPr>
        <w:t xml:space="preserve">: </w:t>
      </w:r>
      <w:r w:rsidRPr="00ED0648">
        <w:rPr>
          <w:rFonts w:ascii="Book Antiqua" w:hAnsi="Book Antiqua" w:cstheme="minorHAnsi"/>
          <w:bCs/>
          <w:sz w:val="24"/>
          <w:szCs w:val="24"/>
        </w:rPr>
        <w:t>F</w:t>
      </w:r>
      <w:r w:rsidRPr="00ED0648">
        <w:rPr>
          <w:rFonts w:ascii="Book Antiqua" w:eastAsia="Times New Roman" w:hAnsi="Book Antiqua"/>
          <w:bCs/>
          <w:sz w:val="24"/>
          <w:szCs w:val="24"/>
        </w:rPr>
        <w:t xml:space="preserve"> Paul Buckley acts as an advisor to Ethicon and has received funding for surgeon teaching and consulting on product development; </w:t>
      </w:r>
      <w:r w:rsidRPr="00ED0648">
        <w:rPr>
          <w:rFonts w:ascii="Book Antiqua" w:eastAsia="Times New Roman" w:hAnsi="Book Antiqua"/>
          <w:bCs/>
          <w:sz w:val="24"/>
          <w:szCs w:val="24"/>
        </w:rPr>
        <w:lastRenderedPageBreak/>
        <w:t>Benjamin Havemann has received funding from Ethicon as a guest speaker; Amarpreet Chawla is a paid full-time employee of Ethicon Inc. There was n</w:t>
      </w:r>
      <w:r w:rsidRPr="00ED0648">
        <w:rPr>
          <w:rFonts w:ascii="Book Antiqua" w:hAnsi="Book Antiqua" w:cstheme="minorHAnsi"/>
          <w:sz w:val="24"/>
          <w:szCs w:val="24"/>
        </w:rPr>
        <w:t>o funding for the design and development of this manuscript.</w:t>
      </w:r>
    </w:p>
    <w:p w14:paraId="4D701EBF" w14:textId="716F3096" w:rsidR="005A3034" w:rsidRPr="00ED0648" w:rsidRDefault="005A3034" w:rsidP="00ED0648">
      <w:pPr>
        <w:adjustRightInd w:val="0"/>
        <w:snapToGrid w:val="0"/>
        <w:spacing w:after="0" w:line="360" w:lineRule="auto"/>
        <w:jc w:val="both"/>
        <w:rPr>
          <w:rFonts w:ascii="Book Antiqua" w:hAnsi="Book Antiqua" w:cstheme="minorHAnsi"/>
          <w:b/>
          <w:sz w:val="24"/>
          <w:szCs w:val="24"/>
        </w:rPr>
      </w:pPr>
    </w:p>
    <w:p w14:paraId="6189BFC3" w14:textId="77777777" w:rsidR="00DA5F88" w:rsidRPr="00ED0648" w:rsidRDefault="00DA5F88" w:rsidP="00ED0648">
      <w:pPr>
        <w:widowControl w:val="0"/>
        <w:adjustRightInd w:val="0"/>
        <w:snapToGrid w:val="0"/>
        <w:spacing w:after="0" w:line="360" w:lineRule="auto"/>
        <w:jc w:val="both"/>
        <w:rPr>
          <w:rFonts w:ascii="Book Antiqua" w:eastAsia="宋体" w:hAnsi="Book Antiqua"/>
          <w:b/>
          <w:sz w:val="24"/>
          <w:szCs w:val="24"/>
          <w:lang w:eastAsia="zh-CN"/>
        </w:rPr>
      </w:pPr>
      <w:bookmarkStart w:id="108" w:name="OLE_LINK1839"/>
      <w:bookmarkStart w:id="109" w:name="OLE_LINK1840"/>
      <w:bookmarkStart w:id="110" w:name="OLE_LINK1024"/>
      <w:bookmarkStart w:id="111" w:name="OLE_LINK1025"/>
      <w:bookmarkStart w:id="112" w:name="OLE_LINK570"/>
      <w:bookmarkStart w:id="113" w:name="OLE_LINK1096"/>
      <w:bookmarkStart w:id="114" w:name="OLE_LINK1097"/>
      <w:bookmarkStart w:id="115" w:name="OLE_LINK1098"/>
      <w:bookmarkStart w:id="116" w:name="OLE_LINK985"/>
      <w:bookmarkStart w:id="117" w:name="OLE_LINK986"/>
      <w:bookmarkStart w:id="118" w:name="OLE_LINK1122"/>
      <w:bookmarkStart w:id="119" w:name="OLE_LINK649"/>
      <w:bookmarkStart w:id="120" w:name="OLE_LINK650"/>
      <w:bookmarkStart w:id="121" w:name="OLE_LINK1706"/>
      <w:bookmarkStart w:id="122" w:name="OLE_LINK1707"/>
      <w:bookmarkStart w:id="123" w:name="OLE_LINK1756"/>
      <w:bookmarkStart w:id="124" w:name="OLE_LINK564"/>
      <w:bookmarkStart w:id="125" w:name="OLE_LINK155"/>
      <w:bookmarkStart w:id="126" w:name="OLE_LINK183"/>
      <w:bookmarkStart w:id="127" w:name="OLE_LINK441"/>
      <w:bookmarkStart w:id="128" w:name="OLE_LINK142"/>
      <w:bookmarkStart w:id="129" w:name="OLE_LINK376"/>
      <w:bookmarkStart w:id="130" w:name="OLE_LINK687"/>
      <w:bookmarkStart w:id="131" w:name="OLE_LINK716"/>
      <w:bookmarkStart w:id="132" w:name="OLE_LINK731"/>
      <w:bookmarkStart w:id="133" w:name="OLE_LINK809"/>
      <w:bookmarkStart w:id="134" w:name="OLE_LINK812"/>
      <w:bookmarkStart w:id="135" w:name="OLE_LINK916"/>
      <w:bookmarkStart w:id="136" w:name="OLE_LINK917"/>
      <w:bookmarkStart w:id="137" w:name="OLE_LINK1013"/>
      <w:bookmarkStart w:id="138" w:name="OLE_LINK1015"/>
      <w:bookmarkStart w:id="139" w:name="OLE_LINK1016"/>
      <w:bookmarkStart w:id="140" w:name="OLE_LINK1008"/>
      <w:bookmarkStart w:id="141" w:name="OLE_LINK1009"/>
      <w:bookmarkStart w:id="142" w:name="OLE_LINK1546"/>
      <w:bookmarkStart w:id="143" w:name="OLE_LINK1547"/>
      <w:bookmarkStart w:id="144" w:name="OLE_LINK1596"/>
      <w:bookmarkStart w:id="145" w:name="OLE_LINK1749"/>
      <w:bookmarkStart w:id="146" w:name="OLE_LINK1750"/>
      <w:bookmarkStart w:id="147" w:name="OLE_LINK1751"/>
      <w:bookmarkStart w:id="148" w:name="OLE_LINK1923"/>
      <w:bookmarkStart w:id="149" w:name="OLE_LINK1924"/>
      <w:bookmarkStart w:id="150" w:name="OLE_LINK1933"/>
      <w:bookmarkStart w:id="151" w:name="OLE_LINK1934"/>
      <w:bookmarkStart w:id="152" w:name="OLE_LINK1935"/>
      <w:bookmarkStart w:id="153" w:name="OLE_LINK1996"/>
      <w:bookmarkStart w:id="154" w:name="OLE_LINK1729"/>
      <w:bookmarkStart w:id="155" w:name="OLE_LINK1896"/>
      <w:bookmarkStart w:id="156" w:name="OLE_LINK1900"/>
      <w:bookmarkStart w:id="157" w:name="OLE_LINK2088"/>
      <w:bookmarkStart w:id="158" w:name="OLE_LINK1938"/>
      <w:bookmarkStart w:id="159" w:name="OLE_LINK1939"/>
      <w:bookmarkStart w:id="160" w:name="OLE_LINK1947"/>
      <w:r w:rsidRPr="00ED0648">
        <w:rPr>
          <w:rFonts w:ascii="Book Antiqua" w:eastAsia="宋体" w:hAnsi="Book Antiqua"/>
          <w:b/>
          <w:sz w:val="24"/>
          <w:szCs w:val="24"/>
          <w:lang w:eastAsia="zh-CN"/>
        </w:rPr>
        <w:t>Open-Access:</w:t>
      </w:r>
      <w:bookmarkEnd w:id="108"/>
      <w:bookmarkEnd w:id="109"/>
      <w:r w:rsidRPr="00ED0648">
        <w:rPr>
          <w:rFonts w:ascii="Book Antiqua" w:eastAsia="宋体" w:hAnsi="Book Antiqua"/>
          <w:b/>
          <w:sz w:val="24"/>
          <w:szCs w:val="24"/>
          <w:lang w:eastAsia="zh-CN"/>
        </w:rPr>
        <w:t xml:space="preserve"> </w:t>
      </w:r>
      <w:bookmarkStart w:id="161" w:name="OLE_LINK760"/>
      <w:bookmarkStart w:id="162" w:name="OLE_LINK907"/>
      <w:bookmarkStart w:id="163" w:name="OLE_LINK1365"/>
      <w:r w:rsidRPr="00ED0648">
        <w:rPr>
          <w:rFonts w:ascii="Book Antiqua" w:eastAsia="宋体" w:hAnsi="Book Antiqua"/>
          <w:sz w:val="24"/>
          <w:szCs w:val="24"/>
          <w:lang w:eastAsia="zh-CN"/>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61"/>
      <w:bookmarkEnd w:id="162"/>
      <w:bookmarkEnd w:id="163"/>
    </w:p>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p w14:paraId="7C8E8E54" w14:textId="77777777" w:rsidR="00DA5F88" w:rsidRPr="00ED0648" w:rsidRDefault="00DA5F88" w:rsidP="00ED0648">
      <w:pPr>
        <w:widowControl w:val="0"/>
        <w:adjustRightInd w:val="0"/>
        <w:snapToGrid w:val="0"/>
        <w:spacing w:after="0" w:line="360" w:lineRule="auto"/>
        <w:jc w:val="both"/>
        <w:rPr>
          <w:rFonts w:ascii="Book Antiqua" w:eastAsia="宋体" w:hAnsi="Book Antiqua" w:cs="Arial Unicode MS"/>
          <w:kern w:val="2"/>
          <w:sz w:val="24"/>
          <w:szCs w:val="24"/>
          <w:lang w:eastAsia="zh-CN"/>
        </w:rPr>
      </w:pPr>
    </w:p>
    <w:p w14:paraId="03F71B57" w14:textId="77777777" w:rsidR="00DA5F88" w:rsidRPr="00ED0648" w:rsidRDefault="00DA5F88" w:rsidP="00ED0648">
      <w:pPr>
        <w:widowControl w:val="0"/>
        <w:adjustRightInd w:val="0"/>
        <w:snapToGrid w:val="0"/>
        <w:spacing w:after="0" w:line="360" w:lineRule="auto"/>
        <w:jc w:val="both"/>
        <w:rPr>
          <w:rFonts w:ascii="Book Antiqua" w:eastAsia="宋体" w:hAnsi="Book Antiqua" w:cs="Arial Unicode MS"/>
          <w:kern w:val="2"/>
          <w:sz w:val="24"/>
          <w:szCs w:val="24"/>
          <w:lang w:eastAsia="zh-CN"/>
        </w:rPr>
      </w:pPr>
      <w:bookmarkStart w:id="164" w:name="OLE_LINK1099"/>
      <w:bookmarkStart w:id="165" w:name="OLE_LINK1100"/>
      <w:bookmarkStart w:id="166" w:name="OLE_LINK1017"/>
      <w:bookmarkStart w:id="167" w:name="OLE_LINK1597"/>
      <w:bookmarkStart w:id="168" w:name="OLE_LINK1598"/>
      <w:bookmarkStart w:id="169" w:name="OLE_LINK1708"/>
      <w:bookmarkStart w:id="170" w:name="OLE_LINK1709"/>
      <w:bookmarkStart w:id="171" w:name="OLE_LINK565"/>
      <w:bookmarkStart w:id="172" w:name="OLE_LINK390"/>
      <w:bookmarkStart w:id="173" w:name="OLE_LINK391"/>
      <w:bookmarkStart w:id="174" w:name="OLE_LINK856"/>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r w:rsidRPr="00ED0648">
        <w:rPr>
          <w:rFonts w:ascii="Book Antiqua" w:eastAsia="宋体" w:hAnsi="Book Antiqua" w:cs="Arial Unicode MS"/>
          <w:b/>
          <w:kern w:val="2"/>
          <w:sz w:val="24"/>
          <w:szCs w:val="24"/>
          <w:lang w:eastAsia="zh-CN"/>
        </w:rPr>
        <w:t xml:space="preserve">Manuscript source: </w:t>
      </w:r>
      <w:bookmarkStart w:id="175" w:name="OLE_LINK385"/>
      <w:bookmarkStart w:id="176" w:name="OLE_LINK389"/>
      <w:r w:rsidRPr="00ED0648">
        <w:rPr>
          <w:rFonts w:ascii="Book Antiqua" w:eastAsia="宋体" w:hAnsi="Book Antiqua" w:cs="Arial Unicode MS"/>
          <w:kern w:val="2"/>
          <w:sz w:val="24"/>
          <w:szCs w:val="24"/>
          <w:lang w:eastAsia="zh-CN"/>
        </w:rPr>
        <w:t xml:space="preserve">Unsolicited </w:t>
      </w:r>
      <w:bookmarkEnd w:id="175"/>
      <w:bookmarkEnd w:id="176"/>
      <w:r w:rsidRPr="00ED0648">
        <w:rPr>
          <w:rFonts w:ascii="Book Antiqua" w:eastAsia="宋体" w:hAnsi="Book Antiqua" w:cs="Arial Unicode MS"/>
          <w:kern w:val="2"/>
          <w:sz w:val="24"/>
          <w:szCs w:val="24"/>
          <w:lang w:eastAsia="zh-CN"/>
        </w:rPr>
        <w:t>manuscript</w:t>
      </w:r>
      <w:bookmarkEnd w:id="164"/>
      <w:bookmarkEnd w:id="165"/>
      <w:bookmarkEnd w:id="166"/>
      <w:bookmarkEnd w:id="167"/>
      <w:bookmarkEnd w:id="168"/>
      <w:bookmarkEnd w:id="169"/>
      <w:bookmarkEnd w:id="170"/>
      <w:bookmarkEnd w:id="171"/>
    </w:p>
    <w:p w14:paraId="39E07E98" w14:textId="77777777" w:rsidR="00DA5F88" w:rsidRPr="00ED0648" w:rsidRDefault="00DA5F88" w:rsidP="00ED0648">
      <w:pPr>
        <w:widowControl w:val="0"/>
        <w:adjustRightInd w:val="0"/>
        <w:snapToGrid w:val="0"/>
        <w:spacing w:after="0" w:line="360" w:lineRule="auto"/>
        <w:jc w:val="both"/>
        <w:rPr>
          <w:rFonts w:ascii="Book Antiqua" w:eastAsia="宋体" w:hAnsi="Book Antiqua" w:cs="Arial Unicode MS"/>
          <w:kern w:val="2"/>
          <w:sz w:val="24"/>
          <w:szCs w:val="24"/>
          <w:lang w:eastAsia="zh-CN"/>
        </w:rPr>
      </w:pPr>
    </w:p>
    <w:bookmarkEnd w:id="158"/>
    <w:bookmarkEnd w:id="159"/>
    <w:bookmarkEnd w:id="160"/>
    <w:bookmarkEnd w:id="172"/>
    <w:bookmarkEnd w:id="173"/>
    <w:bookmarkEnd w:id="174"/>
    <w:p w14:paraId="22B0BEF0" w14:textId="3F7ACEE7" w:rsidR="008C5A21" w:rsidRPr="00ED0648" w:rsidRDefault="00DA5F88" w:rsidP="00ED0648">
      <w:pPr>
        <w:tabs>
          <w:tab w:val="left" w:pos="5310"/>
        </w:tabs>
        <w:adjustRightInd w:val="0"/>
        <w:snapToGrid w:val="0"/>
        <w:spacing w:after="0" w:line="360" w:lineRule="auto"/>
        <w:jc w:val="both"/>
        <w:rPr>
          <w:rFonts w:ascii="Book Antiqua" w:eastAsia="Times New Roman" w:hAnsi="Book Antiqua" w:cstheme="minorHAnsi"/>
          <w:sz w:val="24"/>
          <w:szCs w:val="24"/>
        </w:rPr>
      </w:pPr>
      <w:r w:rsidRPr="00ED0648">
        <w:rPr>
          <w:rFonts w:ascii="Book Antiqua" w:eastAsia="Times New Roman" w:hAnsi="Book Antiqua" w:cstheme="minorHAnsi"/>
          <w:b/>
          <w:sz w:val="24"/>
          <w:szCs w:val="24"/>
        </w:rPr>
        <w:t>Corresponding author</w:t>
      </w:r>
      <w:r w:rsidR="008C5A21" w:rsidRPr="00ED0648">
        <w:rPr>
          <w:rFonts w:ascii="Book Antiqua" w:hAnsi="Book Antiqua" w:cstheme="minorHAnsi"/>
          <w:b/>
          <w:sz w:val="24"/>
          <w:szCs w:val="24"/>
        </w:rPr>
        <w:t>:</w:t>
      </w:r>
      <w:r w:rsidRPr="00ED0648">
        <w:rPr>
          <w:rFonts w:ascii="Book Antiqua" w:hAnsi="Book Antiqua" w:cstheme="minorHAnsi"/>
          <w:b/>
          <w:sz w:val="24"/>
          <w:szCs w:val="24"/>
        </w:rPr>
        <w:t xml:space="preserve"> </w:t>
      </w:r>
      <w:r w:rsidR="008C5A21" w:rsidRPr="00ED0648">
        <w:rPr>
          <w:rFonts w:ascii="Book Antiqua" w:eastAsiaTheme="minorHAnsi" w:hAnsi="Book Antiqua" w:cstheme="minorHAnsi"/>
          <w:b/>
          <w:sz w:val="24"/>
          <w:szCs w:val="24"/>
        </w:rPr>
        <w:t>F Paul Buckley, MD, Associate Professor</w:t>
      </w:r>
      <w:r w:rsidR="00E04E59" w:rsidRPr="00ED0648">
        <w:rPr>
          <w:rFonts w:ascii="Book Antiqua" w:eastAsiaTheme="minorHAnsi" w:hAnsi="Book Antiqua" w:cstheme="minorHAnsi"/>
          <w:b/>
          <w:sz w:val="24"/>
          <w:szCs w:val="24"/>
        </w:rPr>
        <w:t xml:space="preserve">, </w:t>
      </w:r>
      <w:r w:rsidR="00060572" w:rsidRPr="00ED0648">
        <w:rPr>
          <w:rFonts w:ascii="Book Antiqua" w:hAnsi="Book Antiqua" w:cstheme="minorHAnsi"/>
          <w:sz w:val="24"/>
          <w:szCs w:val="24"/>
        </w:rPr>
        <w:t xml:space="preserve">Department of Surgery and Perioperative Care, Dell Medical School, The University of Texas at Austin, </w:t>
      </w:r>
      <w:r w:rsidR="00D45142" w:rsidRPr="00ED0648">
        <w:rPr>
          <w:rFonts w:ascii="Book Antiqua" w:eastAsiaTheme="minorHAnsi" w:hAnsi="Book Antiqua" w:cstheme="minorHAnsi"/>
          <w:sz w:val="24"/>
          <w:szCs w:val="24"/>
        </w:rPr>
        <w:t xml:space="preserve">1601 Trinity St., </w:t>
      </w:r>
      <w:r w:rsidR="00060572" w:rsidRPr="00ED0648">
        <w:rPr>
          <w:rFonts w:ascii="Book Antiqua" w:hAnsi="Book Antiqua" w:cstheme="minorHAnsi"/>
          <w:sz w:val="24"/>
          <w:szCs w:val="24"/>
        </w:rPr>
        <w:t>Austin, TX 78712,</w:t>
      </w:r>
      <w:r w:rsidR="00060572" w:rsidRPr="00ED0648">
        <w:rPr>
          <w:rFonts w:ascii="Book Antiqua" w:eastAsia="Times New Roman" w:hAnsi="Book Antiqua" w:cstheme="minorHAnsi"/>
          <w:sz w:val="24"/>
          <w:szCs w:val="24"/>
        </w:rPr>
        <w:t xml:space="preserve"> United States</w:t>
      </w:r>
      <w:r w:rsidR="008C5A21" w:rsidRPr="00ED0648">
        <w:rPr>
          <w:rFonts w:ascii="Book Antiqua" w:eastAsiaTheme="minorHAnsi" w:hAnsi="Book Antiqua" w:cstheme="minorHAnsi"/>
          <w:sz w:val="24"/>
          <w:szCs w:val="24"/>
        </w:rPr>
        <w:t xml:space="preserve">. tripp.buckley@austin.utexas.edu </w:t>
      </w:r>
    </w:p>
    <w:p w14:paraId="6BC99E81" w14:textId="77777777" w:rsidR="00D45142" w:rsidRPr="00ED0648" w:rsidRDefault="005A3034" w:rsidP="00ED0648">
      <w:pPr>
        <w:adjustRightInd w:val="0"/>
        <w:snapToGrid w:val="0"/>
        <w:spacing w:after="0" w:line="360" w:lineRule="auto"/>
        <w:jc w:val="both"/>
        <w:rPr>
          <w:rFonts w:ascii="Book Antiqua" w:hAnsi="Book Antiqua"/>
          <w:bCs/>
          <w:sz w:val="24"/>
          <w:szCs w:val="24"/>
        </w:rPr>
      </w:pPr>
      <w:bookmarkStart w:id="177" w:name="OLE_LINK1052"/>
      <w:bookmarkStart w:id="178" w:name="OLE_LINK1053"/>
      <w:bookmarkStart w:id="179" w:name="OLE_LINK1499"/>
      <w:bookmarkStart w:id="180" w:name="OLE_LINK1506"/>
      <w:bookmarkStart w:id="181" w:name="OLE_LINK572"/>
      <w:bookmarkStart w:id="182" w:name="OLE_LINK576"/>
      <w:bookmarkStart w:id="183" w:name="OLE_LINK772"/>
      <w:bookmarkStart w:id="184" w:name="OLE_LINK858"/>
      <w:bookmarkStart w:id="185" w:name="OLE_LINK902"/>
      <w:bookmarkStart w:id="186" w:name="OLE_LINK1980"/>
      <w:bookmarkStart w:id="187" w:name="OLE_LINK1981"/>
      <w:bookmarkStart w:id="188" w:name="OLE_LINK2070"/>
      <w:bookmarkStart w:id="189" w:name="OLE_LINK1919"/>
      <w:bookmarkStart w:id="190" w:name="OLE_LINK2084"/>
      <w:r w:rsidRPr="00ED0648">
        <w:rPr>
          <w:rFonts w:ascii="Book Antiqua" w:hAnsi="Book Antiqua"/>
          <w:b/>
          <w:sz w:val="24"/>
          <w:szCs w:val="24"/>
        </w:rPr>
        <w:t>Telephone:</w:t>
      </w:r>
      <w:r w:rsidR="00D45142" w:rsidRPr="00ED0648">
        <w:rPr>
          <w:rFonts w:ascii="Book Antiqua" w:hAnsi="Book Antiqua"/>
          <w:b/>
          <w:sz w:val="24"/>
          <w:szCs w:val="24"/>
        </w:rPr>
        <w:t xml:space="preserve"> </w:t>
      </w:r>
      <w:r w:rsidR="00523E84" w:rsidRPr="00ED0648">
        <w:rPr>
          <w:rFonts w:ascii="Book Antiqua" w:hAnsi="Book Antiqua"/>
          <w:bCs/>
          <w:sz w:val="24"/>
          <w:szCs w:val="24"/>
        </w:rPr>
        <w:t>+1-512-3244373</w:t>
      </w:r>
    </w:p>
    <w:p w14:paraId="044B324E" w14:textId="30D2A0FE" w:rsidR="005A3034" w:rsidRPr="00ED0648" w:rsidRDefault="005A3034" w:rsidP="00ED0648">
      <w:pPr>
        <w:adjustRightInd w:val="0"/>
        <w:snapToGrid w:val="0"/>
        <w:spacing w:after="0" w:line="360" w:lineRule="auto"/>
        <w:jc w:val="both"/>
        <w:rPr>
          <w:rFonts w:ascii="Book Antiqua" w:hAnsi="Book Antiqua"/>
          <w:sz w:val="24"/>
          <w:szCs w:val="24"/>
        </w:rPr>
      </w:pPr>
      <w:r w:rsidRPr="00ED0648">
        <w:rPr>
          <w:rFonts w:ascii="Book Antiqua" w:hAnsi="Book Antiqua"/>
          <w:b/>
          <w:sz w:val="24"/>
          <w:szCs w:val="24"/>
        </w:rPr>
        <w:t xml:space="preserve"> Fax:</w:t>
      </w:r>
      <w:r w:rsidR="00523E84" w:rsidRPr="00ED0648">
        <w:rPr>
          <w:rFonts w:ascii="Book Antiqua" w:hAnsi="Book Antiqua"/>
          <w:b/>
          <w:sz w:val="24"/>
          <w:szCs w:val="24"/>
        </w:rPr>
        <w:t xml:space="preserve"> </w:t>
      </w:r>
      <w:r w:rsidR="00523E84" w:rsidRPr="00ED0648">
        <w:rPr>
          <w:rFonts w:ascii="Book Antiqua" w:hAnsi="Book Antiqua"/>
          <w:bCs/>
          <w:sz w:val="24"/>
          <w:szCs w:val="24"/>
        </w:rPr>
        <w:t>+1-</w:t>
      </w:r>
      <w:bookmarkStart w:id="191" w:name="OLE_LINK1136"/>
      <w:bookmarkStart w:id="192" w:name="OLE_LINK1137"/>
      <w:bookmarkEnd w:id="177"/>
      <w:bookmarkEnd w:id="178"/>
      <w:bookmarkEnd w:id="179"/>
      <w:bookmarkEnd w:id="180"/>
      <w:r w:rsidR="00523E84" w:rsidRPr="00ED0648">
        <w:rPr>
          <w:rFonts w:ascii="Book Antiqua" w:hAnsi="Book Antiqua"/>
          <w:bCs/>
          <w:sz w:val="24"/>
          <w:szCs w:val="24"/>
        </w:rPr>
        <w:t>512-</w:t>
      </w:r>
      <w:r w:rsidR="006828DF" w:rsidRPr="00ED0648">
        <w:rPr>
          <w:rFonts w:ascii="Book Antiqua" w:hAnsi="Book Antiqua"/>
          <w:bCs/>
          <w:sz w:val="24"/>
          <w:szCs w:val="24"/>
        </w:rPr>
        <w:t>4955479</w:t>
      </w:r>
    </w:p>
    <w:bookmarkEnd w:id="181"/>
    <w:bookmarkEnd w:id="182"/>
    <w:bookmarkEnd w:id="183"/>
    <w:bookmarkEnd w:id="184"/>
    <w:bookmarkEnd w:id="185"/>
    <w:bookmarkEnd w:id="186"/>
    <w:bookmarkEnd w:id="187"/>
    <w:bookmarkEnd w:id="188"/>
    <w:bookmarkEnd w:id="189"/>
    <w:bookmarkEnd w:id="190"/>
    <w:bookmarkEnd w:id="191"/>
    <w:bookmarkEnd w:id="192"/>
    <w:p w14:paraId="01812F02" w14:textId="77777777" w:rsidR="005A3034" w:rsidRPr="00ED0648" w:rsidRDefault="005A3034" w:rsidP="00ED0648">
      <w:pPr>
        <w:adjustRightInd w:val="0"/>
        <w:snapToGrid w:val="0"/>
        <w:spacing w:after="0" w:line="360" w:lineRule="auto"/>
        <w:jc w:val="both"/>
        <w:rPr>
          <w:rFonts w:ascii="Book Antiqua" w:hAnsi="Book Antiqua" w:cstheme="minorHAnsi"/>
          <w:sz w:val="24"/>
          <w:szCs w:val="24"/>
        </w:rPr>
      </w:pPr>
    </w:p>
    <w:p w14:paraId="2D99DD24" w14:textId="0A938B76" w:rsidR="00D45142" w:rsidRPr="00D45142" w:rsidRDefault="00D45142" w:rsidP="00ED0648">
      <w:pPr>
        <w:adjustRightInd w:val="0"/>
        <w:snapToGrid w:val="0"/>
        <w:spacing w:after="0" w:line="360" w:lineRule="auto"/>
        <w:jc w:val="both"/>
        <w:rPr>
          <w:rFonts w:ascii="Book Antiqua" w:eastAsia="宋体" w:hAnsi="Book Antiqua"/>
          <w:b/>
          <w:sz w:val="24"/>
          <w:szCs w:val="24"/>
          <w:lang w:eastAsia="zh-CN"/>
        </w:rPr>
      </w:pPr>
      <w:r w:rsidRPr="00D45142">
        <w:rPr>
          <w:rFonts w:ascii="Book Antiqua" w:eastAsia="宋体" w:hAnsi="Book Antiqua"/>
          <w:b/>
          <w:sz w:val="24"/>
          <w:szCs w:val="24"/>
          <w:lang w:eastAsia="zh-CN"/>
        </w:rPr>
        <w:t>Received:</w:t>
      </w:r>
      <w:r w:rsidR="00E94845" w:rsidRPr="00ED0648">
        <w:rPr>
          <w:rFonts w:ascii="Book Antiqua" w:hAnsi="Book Antiqua"/>
          <w:sz w:val="24"/>
          <w:szCs w:val="24"/>
        </w:rPr>
        <w:t xml:space="preserve"> </w:t>
      </w:r>
      <w:r w:rsidR="00E94845" w:rsidRPr="00ED0648">
        <w:rPr>
          <w:rFonts w:ascii="Book Antiqua" w:eastAsia="宋体" w:hAnsi="Book Antiqua"/>
          <w:bCs/>
          <w:sz w:val="24"/>
          <w:szCs w:val="24"/>
          <w:lang w:eastAsia="zh-CN"/>
        </w:rPr>
        <w:t>February</w:t>
      </w:r>
      <w:r w:rsidRPr="00D45142">
        <w:rPr>
          <w:rFonts w:ascii="Book Antiqua" w:eastAsia="宋体" w:hAnsi="Book Antiqua"/>
          <w:bCs/>
          <w:sz w:val="24"/>
          <w:szCs w:val="24"/>
          <w:lang w:eastAsia="zh-CN"/>
        </w:rPr>
        <w:t xml:space="preserve"> 2</w:t>
      </w:r>
      <w:r w:rsidR="00E94845" w:rsidRPr="00ED0648">
        <w:rPr>
          <w:rFonts w:ascii="Book Antiqua" w:eastAsia="宋体" w:hAnsi="Book Antiqua"/>
          <w:bCs/>
          <w:sz w:val="24"/>
          <w:szCs w:val="24"/>
          <w:lang w:eastAsia="zh-CN"/>
        </w:rPr>
        <w:t>1</w:t>
      </w:r>
      <w:r w:rsidRPr="00D45142">
        <w:rPr>
          <w:rFonts w:ascii="Book Antiqua" w:eastAsia="宋体" w:hAnsi="Book Antiqua"/>
          <w:bCs/>
          <w:sz w:val="24"/>
          <w:szCs w:val="24"/>
          <w:lang w:eastAsia="zh-CN"/>
        </w:rPr>
        <w:t>, 2019</w:t>
      </w:r>
    </w:p>
    <w:p w14:paraId="02C57F4E" w14:textId="56DC1F12" w:rsidR="00D45142" w:rsidRPr="00D45142" w:rsidRDefault="00D45142" w:rsidP="00ED0648">
      <w:pPr>
        <w:adjustRightInd w:val="0"/>
        <w:snapToGrid w:val="0"/>
        <w:spacing w:after="0" w:line="360" w:lineRule="auto"/>
        <w:jc w:val="both"/>
        <w:rPr>
          <w:rFonts w:ascii="Book Antiqua" w:eastAsia="宋体" w:hAnsi="Book Antiqua"/>
          <w:b/>
          <w:sz w:val="24"/>
          <w:szCs w:val="24"/>
          <w:lang w:eastAsia="zh-CN"/>
        </w:rPr>
      </w:pPr>
      <w:r w:rsidRPr="00D45142">
        <w:rPr>
          <w:rFonts w:ascii="Book Antiqua" w:eastAsia="宋体" w:hAnsi="Book Antiqua"/>
          <w:b/>
          <w:sz w:val="24"/>
          <w:szCs w:val="24"/>
          <w:lang w:eastAsia="zh-CN"/>
        </w:rPr>
        <w:t>Peer-review started:</w:t>
      </w:r>
      <w:r w:rsidRPr="00D45142">
        <w:rPr>
          <w:rFonts w:ascii="Book Antiqua" w:eastAsia="宋体" w:hAnsi="Book Antiqua"/>
          <w:sz w:val="24"/>
          <w:szCs w:val="24"/>
          <w:lang w:eastAsia="zh-CN"/>
        </w:rPr>
        <w:t xml:space="preserve"> </w:t>
      </w:r>
      <w:r w:rsidR="00E94845" w:rsidRPr="00ED0648">
        <w:rPr>
          <w:rFonts w:ascii="Book Antiqua" w:eastAsia="宋体" w:hAnsi="Book Antiqua"/>
          <w:bCs/>
          <w:sz w:val="24"/>
          <w:szCs w:val="24"/>
          <w:lang w:eastAsia="zh-CN"/>
        </w:rPr>
        <w:t>February</w:t>
      </w:r>
      <w:r w:rsidR="00E94845" w:rsidRPr="00D45142">
        <w:rPr>
          <w:rFonts w:ascii="Book Antiqua" w:eastAsia="宋体" w:hAnsi="Book Antiqua"/>
          <w:bCs/>
          <w:sz w:val="24"/>
          <w:szCs w:val="24"/>
          <w:lang w:eastAsia="zh-CN"/>
        </w:rPr>
        <w:t xml:space="preserve"> 2</w:t>
      </w:r>
      <w:r w:rsidR="00E94845" w:rsidRPr="00ED0648">
        <w:rPr>
          <w:rFonts w:ascii="Book Antiqua" w:eastAsia="宋体" w:hAnsi="Book Antiqua"/>
          <w:bCs/>
          <w:sz w:val="24"/>
          <w:szCs w:val="24"/>
          <w:lang w:eastAsia="zh-CN"/>
        </w:rPr>
        <w:t>2</w:t>
      </w:r>
      <w:r w:rsidR="00E94845" w:rsidRPr="00D45142">
        <w:rPr>
          <w:rFonts w:ascii="Book Antiqua" w:eastAsia="宋体" w:hAnsi="Book Antiqua"/>
          <w:bCs/>
          <w:sz w:val="24"/>
          <w:szCs w:val="24"/>
          <w:lang w:eastAsia="zh-CN"/>
        </w:rPr>
        <w:t>, 2019</w:t>
      </w:r>
    </w:p>
    <w:p w14:paraId="6DB182EA" w14:textId="0F7697C7" w:rsidR="00D45142" w:rsidRPr="00D45142" w:rsidRDefault="00D45142" w:rsidP="00ED0648">
      <w:pPr>
        <w:adjustRightInd w:val="0"/>
        <w:snapToGrid w:val="0"/>
        <w:spacing w:after="0" w:line="360" w:lineRule="auto"/>
        <w:jc w:val="both"/>
        <w:rPr>
          <w:rFonts w:ascii="Book Antiqua" w:eastAsia="宋体" w:hAnsi="Book Antiqua"/>
          <w:b/>
          <w:sz w:val="24"/>
          <w:szCs w:val="24"/>
          <w:lang w:eastAsia="zh-CN"/>
        </w:rPr>
      </w:pPr>
      <w:r w:rsidRPr="00D45142">
        <w:rPr>
          <w:rFonts w:ascii="Book Antiqua" w:eastAsia="宋体" w:hAnsi="Book Antiqua"/>
          <w:b/>
          <w:sz w:val="24"/>
          <w:szCs w:val="24"/>
          <w:lang w:eastAsia="zh-CN"/>
        </w:rPr>
        <w:t xml:space="preserve">First decision: </w:t>
      </w:r>
      <w:r w:rsidRPr="00D45142">
        <w:rPr>
          <w:rFonts w:ascii="Book Antiqua" w:eastAsia="宋体" w:hAnsi="Book Antiqua"/>
          <w:sz w:val="24"/>
          <w:szCs w:val="24"/>
          <w:lang w:eastAsia="zh-CN"/>
        </w:rPr>
        <w:t>Ma</w:t>
      </w:r>
      <w:r w:rsidR="00E94845" w:rsidRPr="00ED0648">
        <w:rPr>
          <w:rFonts w:ascii="Book Antiqua" w:eastAsia="宋体" w:hAnsi="Book Antiqua"/>
          <w:sz w:val="24"/>
          <w:szCs w:val="24"/>
          <w:lang w:eastAsia="zh-CN"/>
        </w:rPr>
        <w:t>y</w:t>
      </w:r>
      <w:r w:rsidRPr="00D45142">
        <w:rPr>
          <w:rFonts w:ascii="Book Antiqua" w:eastAsia="宋体" w:hAnsi="Book Antiqua"/>
          <w:sz w:val="24"/>
          <w:szCs w:val="24"/>
          <w:lang w:eastAsia="zh-CN"/>
        </w:rPr>
        <w:t xml:space="preserve"> </w:t>
      </w:r>
      <w:r w:rsidR="00E94845" w:rsidRPr="00ED0648">
        <w:rPr>
          <w:rFonts w:ascii="Book Antiqua" w:eastAsia="宋体" w:hAnsi="Book Antiqua"/>
          <w:sz w:val="24"/>
          <w:szCs w:val="24"/>
          <w:lang w:eastAsia="zh-CN"/>
        </w:rPr>
        <w:t>9</w:t>
      </w:r>
      <w:r w:rsidRPr="00D45142">
        <w:rPr>
          <w:rFonts w:ascii="Book Antiqua" w:eastAsia="宋体" w:hAnsi="Book Antiqua"/>
          <w:sz w:val="24"/>
          <w:szCs w:val="24"/>
          <w:lang w:eastAsia="zh-CN"/>
        </w:rPr>
        <w:t>, 2019</w:t>
      </w:r>
    </w:p>
    <w:p w14:paraId="4DF831F6" w14:textId="2747F0D5" w:rsidR="00D45142" w:rsidRPr="00D45142" w:rsidRDefault="00D45142" w:rsidP="00ED0648">
      <w:pPr>
        <w:adjustRightInd w:val="0"/>
        <w:snapToGrid w:val="0"/>
        <w:spacing w:after="0" w:line="360" w:lineRule="auto"/>
        <w:jc w:val="both"/>
        <w:rPr>
          <w:rFonts w:ascii="Book Antiqua" w:eastAsia="宋体" w:hAnsi="Book Antiqua"/>
          <w:b/>
          <w:sz w:val="24"/>
          <w:szCs w:val="24"/>
          <w:lang w:eastAsia="zh-CN"/>
        </w:rPr>
      </w:pPr>
      <w:r w:rsidRPr="00D45142">
        <w:rPr>
          <w:rFonts w:ascii="Book Antiqua" w:eastAsia="宋体" w:hAnsi="Book Antiqua"/>
          <w:b/>
          <w:sz w:val="24"/>
          <w:szCs w:val="24"/>
          <w:lang w:eastAsia="zh-CN"/>
        </w:rPr>
        <w:t xml:space="preserve">Revised: </w:t>
      </w:r>
      <w:r w:rsidRPr="00D45142">
        <w:rPr>
          <w:rFonts w:ascii="Book Antiqua" w:eastAsia="宋体" w:hAnsi="Book Antiqua"/>
          <w:sz w:val="24"/>
          <w:szCs w:val="24"/>
          <w:lang w:eastAsia="zh-CN"/>
        </w:rPr>
        <w:t>June 1</w:t>
      </w:r>
      <w:r w:rsidR="00E94845" w:rsidRPr="00ED0648">
        <w:rPr>
          <w:rFonts w:ascii="Book Antiqua" w:eastAsia="宋体" w:hAnsi="Book Antiqua"/>
          <w:sz w:val="24"/>
          <w:szCs w:val="24"/>
          <w:lang w:eastAsia="zh-CN"/>
        </w:rPr>
        <w:t>3</w:t>
      </w:r>
      <w:r w:rsidRPr="00D45142">
        <w:rPr>
          <w:rFonts w:ascii="Book Antiqua" w:eastAsia="宋体" w:hAnsi="Book Antiqua"/>
          <w:sz w:val="24"/>
          <w:szCs w:val="24"/>
          <w:lang w:eastAsia="zh-CN"/>
        </w:rPr>
        <w:t>, 2019</w:t>
      </w:r>
    </w:p>
    <w:p w14:paraId="45A18AF3" w14:textId="1E12CED9" w:rsidR="00D45142" w:rsidRPr="00D45142" w:rsidRDefault="00D45142" w:rsidP="00ED0648">
      <w:pPr>
        <w:adjustRightInd w:val="0"/>
        <w:snapToGrid w:val="0"/>
        <w:spacing w:after="0" w:line="360" w:lineRule="auto"/>
        <w:jc w:val="both"/>
        <w:rPr>
          <w:rFonts w:ascii="Book Antiqua" w:eastAsia="宋体" w:hAnsi="Book Antiqua"/>
          <w:b/>
          <w:sz w:val="24"/>
          <w:szCs w:val="24"/>
          <w:lang w:eastAsia="zh-CN"/>
        </w:rPr>
      </w:pPr>
      <w:r w:rsidRPr="00D45142">
        <w:rPr>
          <w:rFonts w:ascii="Book Antiqua" w:eastAsia="宋体" w:hAnsi="Book Antiqua"/>
          <w:b/>
          <w:sz w:val="24"/>
          <w:szCs w:val="24"/>
          <w:lang w:eastAsia="zh-CN"/>
        </w:rPr>
        <w:t xml:space="preserve">Accepted: </w:t>
      </w:r>
      <w:r w:rsidR="004234EA" w:rsidRPr="004234EA">
        <w:rPr>
          <w:rFonts w:ascii="Book Antiqua" w:eastAsia="宋体" w:hAnsi="Book Antiqua"/>
          <w:sz w:val="24"/>
          <w:szCs w:val="24"/>
          <w:lang w:eastAsia="zh-CN"/>
        </w:rPr>
        <w:t>July 20, 2019</w:t>
      </w:r>
    </w:p>
    <w:p w14:paraId="615C6B49" w14:textId="77777777" w:rsidR="00D45142" w:rsidRPr="00D45142" w:rsidRDefault="00D45142" w:rsidP="00ED0648">
      <w:pPr>
        <w:adjustRightInd w:val="0"/>
        <w:snapToGrid w:val="0"/>
        <w:spacing w:after="0" w:line="360" w:lineRule="auto"/>
        <w:jc w:val="both"/>
        <w:rPr>
          <w:rFonts w:ascii="Book Antiqua" w:eastAsia="宋体" w:hAnsi="Book Antiqua"/>
          <w:sz w:val="24"/>
          <w:szCs w:val="24"/>
          <w:lang w:eastAsia="zh-CN"/>
        </w:rPr>
      </w:pPr>
      <w:r w:rsidRPr="00D45142">
        <w:rPr>
          <w:rFonts w:ascii="Book Antiqua" w:eastAsia="宋体" w:hAnsi="Book Antiqua"/>
          <w:b/>
          <w:sz w:val="24"/>
          <w:szCs w:val="24"/>
          <w:lang w:eastAsia="zh-CN"/>
        </w:rPr>
        <w:t>Article in press:</w:t>
      </w:r>
      <w:r w:rsidRPr="00D45142">
        <w:rPr>
          <w:rFonts w:ascii="Book Antiqua" w:eastAsia="宋体" w:hAnsi="Book Antiqua"/>
          <w:sz w:val="24"/>
          <w:szCs w:val="24"/>
          <w:lang w:eastAsia="zh-CN"/>
        </w:rPr>
        <w:t xml:space="preserve"> </w:t>
      </w:r>
    </w:p>
    <w:p w14:paraId="1464EFB3" w14:textId="77777777" w:rsidR="0057607B" w:rsidRDefault="00D45142" w:rsidP="0057607B">
      <w:pPr>
        <w:adjustRightInd w:val="0"/>
        <w:snapToGrid w:val="0"/>
        <w:spacing w:after="0" w:line="360" w:lineRule="auto"/>
        <w:jc w:val="both"/>
        <w:rPr>
          <w:rFonts w:ascii="Book Antiqua" w:eastAsia="宋体" w:hAnsi="Book Antiqua"/>
          <w:b/>
          <w:sz w:val="24"/>
          <w:szCs w:val="24"/>
          <w:lang w:eastAsia="zh-CN"/>
        </w:rPr>
      </w:pPr>
      <w:r w:rsidRPr="00D45142">
        <w:rPr>
          <w:rFonts w:ascii="Book Antiqua" w:eastAsia="宋体" w:hAnsi="Book Antiqua"/>
          <w:b/>
          <w:sz w:val="24"/>
          <w:szCs w:val="24"/>
          <w:lang w:eastAsia="zh-CN"/>
        </w:rPr>
        <w:t xml:space="preserve">Published online: </w:t>
      </w:r>
    </w:p>
    <w:p w14:paraId="2F3AB9BA" w14:textId="77777777" w:rsidR="0057607B" w:rsidRDefault="0057607B">
      <w:pPr>
        <w:rPr>
          <w:rFonts w:ascii="Book Antiqua" w:eastAsia="宋体" w:hAnsi="Book Antiqua"/>
          <w:b/>
          <w:sz w:val="24"/>
          <w:szCs w:val="24"/>
          <w:lang w:eastAsia="zh-CN"/>
        </w:rPr>
      </w:pPr>
      <w:r>
        <w:rPr>
          <w:rFonts w:ascii="Book Antiqua" w:eastAsia="宋体" w:hAnsi="Book Antiqua"/>
          <w:b/>
          <w:sz w:val="24"/>
          <w:szCs w:val="24"/>
          <w:lang w:eastAsia="zh-CN"/>
        </w:rPr>
        <w:br w:type="page"/>
      </w:r>
    </w:p>
    <w:p w14:paraId="359E224D" w14:textId="7F4C5A8C" w:rsidR="002E5728" w:rsidRPr="00ED0648" w:rsidRDefault="008C5A21" w:rsidP="0057607B">
      <w:pPr>
        <w:adjustRightInd w:val="0"/>
        <w:snapToGrid w:val="0"/>
        <w:spacing w:after="0" w:line="360" w:lineRule="auto"/>
        <w:jc w:val="both"/>
        <w:rPr>
          <w:rFonts w:ascii="Book Antiqua" w:hAnsi="Book Antiqua" w:cstheme="minorHAnsi"/>
          <w:b/>
        </w:rPr>
      </w:pPr>
      <w:r w:rsidRPr="00ED0648">
        <w:rPr>
          <w:rFonts w:ascii="Book Antiqua" w:hAnsi="Book Antiqua" w:cstheme="minorHAnsi"/>
          <w:b/>
        </w:rPr>
        <w:lastRenderedPageBreak/>
        <w:t xml:space="preserve">Abstract </w:t>
      </w:r>
    </w:p>
    <w:p w14:paraId="2113169D" w14:textId="29037757" w:rsidR="008C5A21" w:rsidRPr="00ED0648" w:rsidRDefault="008C5A21" w:rsidP="00ED0648">
      <w:pPr>
        <w:pStyle w:val="p"/>
        <w:shd w:val="clear" w:color="auto" w:fill="FFFFFF"/>
        <w:adjustRightInd w:val="0"/>
        <w:snapToGrid w:val="0"/>
        <w:spacing w:before="0" w:beforeAutospacing="0" w:after="0" w:afterAutospacing="0" w:line="360" w:lineRule="auto"/>
        <w:jc w:val="both"/>
        <w:rPr>
          <w:rFonts w:ascii="Book Antiqua" w:hAnsi="Book Antiqua" w:cstheme="minorHAnsi"/>
        </w:rPr>
      </w:pPr>
      <w:r w:rsidRPr="00ED0648">
        <w:rPr>
          <w:rFonts w:ascii="Book Antiqua" w:hAnsi="Book Antiqua" w:cstheme="minorHAnsi"/>
        </w:rPr>
        <w:t xml:space="preserve">Outcomes associated with magnetic sphincter augmentation (MSA) in patients with gastroesophageal reflux disease (GERD) have been reported, however the optimal population for MSA and the related patient care pathways have not been summarized. This Minireview presents evidence that describes the optimal patient population for MSA, delineates diagnostics to identify these patients, and outlines opportunities for improving GERD patient care pathways. Relevant publications from MEDLINE/EMBASE and guidelines were identified from 2000-2018. Clinical experts contextualized the evidence based on clinical experience. The optimal MSA population may be the 2.2-2.4% of GERD patients who, despite optimal medical management, continue experiencing symptoms of heartburn and/or uncontrolled regurgitation, have abnormal pH, and have intact esophageal function as determined by high resolution manometry. Diagnostic work-ups include ambulatory pH monitoring, high-resolution manometry, barium swallow, and esophagogastroduodenoscopy. GERD patients may present with a range of typical or atypical symptoms. In addition to primary care providers (PCPs) and gastroenterologists (GIs), other specialties involved may include otolaryngologists, allergists, pulmonologists, among others. Objective diagnostic testing is required to ascertain surgical necessity for GERD. Current referral pathways for GERD management are suboptimal. Opportunities exist for enabling patients, PCPs, GIs, and surgeons to act as a team in developing evidence-based optimal care plans. </w:t>
      </w:r>
    </w:p>
    <w:p w14:paraId="0506190E" w14:textId="77777777" w:rsidR="00E24B53" w:rsidRPr="00ED0648" w:rsidRDefault="00E24B53" w:rsidP="00ED0648">
      <w:pPr>
        <w:pStyle w:val="p"/>
        <w:shd w:val="clear" w:color="auto" w:fill="FFFFFF"/>
        <w:adjustRightInd w:val="0"/>
        <w:snapToGrid w:val="0"/>
        <w:spacing w:before="0" w:beforeAutospacing="0" w:after="0" w:afterAutospacing="0" w:line="360" w:lineRule="auto"/>
        <w:jc w:val="both"/>
        <w:rPr>
          <w:rFonts w:ascii="Book Antiqua" w:hAnsi="Book Antiqua" w:cstheme="minorHAnsi"/>
        </w:rPr>
      </w:pPr>
    </w:p>
    <w:p w14:paraId="7457561B" w14:textId="1F7A5F73" w:rsidR="008C5A21" w:rsidRPr="00ED0648" w:rsidRDefault="008C5A21" w:rsidP="00ED0648">
      <w:pPr>
        <w:pStyle w:val="p"/>
        <w:shd w:val="clear" w:color="auto" w:fill="FFFFFF"/>
        <w:adjustRightInd w:val="0"/>
        <w:snapToGrid w:val="0"/>
        <w:spacing w:before="0" w:beforeAutospacing="0" w:after="0" w:afterAutospacing="0" w:line="360" w:lineRule="auto"/>
        <w:jc w:val="both"/>
        <w:rPr>
          <w:rFonts w:ascii="Book Antiqua" w:hAnsi="Book Antiqua" w:cstheme="minorHAnsi"/>
          <w:b/>
        </w:rPr>
      </w:pPr>
      <w:r w:rsidRPr="00ED0648">
        <w:rPr>
          <w:rFonts w:ascii="Book Antiqua" w:hAnsi="Book Antiqua" w:cstheme="minorHAnsi"/>
          <w:b/>
        </w:rPr>
        <w:t>Key</w:t>
      </w:r>
      <w:r w:rsidR="009937D5" w:rsidRPr="00ED0648">
        <w:rPr>
          <w:rFonts w:ascii="Book Antiqua" w:hAnsi="Book Antiqua" w:cstheme="minorHAnsi"/>
          <w:b/>
        </w:rPr>
        <w:t xml:space="preserve"> </w:t>
      </w:r>
      <w:r w:rsidRPr="00ED0648">
        <w:rPr>
          <w:rFonts w:ascii="Book Antiqua" w:hAnsi="Book Antiqua" w:cstheme="minorHAnsi"/>
          <w:b/>
        </w:rPr>
        <w:t>words:</w:t>
      </w:r>
      <w:r w:rsidRPr="00ED0648">
        <w:rPr>
          <w:rFonts w:ascii="Book Antiqua" w:hAnsi="Book Antiqua" w:cstheme="minorHAnsi"/>
        </w:rPr>
        <w:t xml:space="preserve"> </w:t>
      </w:r>
      <w:r w:rsidR="00E24B53" w:rsidRPr="00ED0648">
        <w:rPr>
          <w:rFonts w:ascii="Book Antiqua" w:hAnsi="Book Antiqua" w:cstheme="minorHAnsi"/>
        </w:rPr>
        <w:t>Gastroesophageal reflux disease; Surgery; Magnetic sphincter augmentation; Referral pathways</w:t>
      </w:r>
    </w:p>
    <w:p w14:paraId="558F382D" w14:textId="77777777" w:rsidR="008C5A21" w:rsidRPr="00ED0648" w:rsidRDefault="008C5A21" w:rsidP="00ED0648">
      <w:pPr>
        <w:pStyle w:val="p"/>
        <w:shd w:val="clear" w:color="auto" w:fill="FFFFFF"/>
        <w:adjustRightInd w:val="0"/>
        <w:snapToGrid w:val="0"/>
        <w:spacing w:before="0" w:beforeAutospacing="0" w:after="0" w:afterAutospacing="0" w:line="360" w:lineRule="auto"/>
        <w:jc w:val="both"/>
        <w:rPr>
          <w:rFonts w:ascii="Book Antiqua" w:hAnsi="Book Antiqua" w:cstheme="minorHAnsi"/>
          <w:b/>
        </w:rPr>
      </w:pPr>
    </w:p>
    <w:p w14:paraId="2DE1BC15" w14:textId="77777777" w:rsidR="001F5ADE" w:rsidRPr="001F5ADE" w:rsidRDefault="001F5ADE" w:rsidP="00ED0648">
      <w:pPr>
        <w:adjustRightInd w:val="0"/>
        <w:snapToGrid w:val="0"/>
        <w:spacing w:after="0" w:line="360" w:lineRule="auto"/>
        <w:jc w:val="both"/>
        <w:rPr>
          <w:rFonts w:ascii="Book Antiqua" w:eastAsia="宋体" w:hAnsi="Book Antiqua" w:cs="Arial"/>
          <w:sz w:val="24"/>
          <w:szCs w:val="24"/>
          <w:lang w:eastAsia="zh-CN"/>
        </w:rPr>
      </w:pPr>
      <w:r w:rsidRPr="001F5ADE">
        <w:rPr>
          <w:rFonts w:ascii="Book Antiqua" w:eastAsia="宋体" w:hAnsi="Book Antiqua"/>
          <w:b/>
          <w:sz w:val="24"/>
          <w:szCs w:val="24"/>
          <w:lang w:eastAsia="zh-CN"/>
        </w:rPr>
        <w:t xml:space="preserve">© </w:t>
      </w:r>
      <w:r w:rsidRPr="001F5ADE">
        <w:rPr>
          <w:rFonts w:ascii="Book Antiqua" w:eastAsia="宋体" w:hAnsi="Book Antiqua" w:cs="Arial"/>
          <w:b/>
          <w:sz w:val="24"/>
          <w:szCs w:val="24"/>
          <w:lang w:eastAsia="zh-CN"/>
        </w:rPr>
        <w:t>The Author(s) 2019.</w:t>
      </w:r>
      <w:r w:rsidRPr="001F5ADE">
        <w:rPr>
          <w:rFonts w:ascii="Book Antiqua" w:eastAsia="宋体" w:hAnsi="Book Antiqua" w:cs="Arial"/>
          <w:sz w:val="24"/>
          <w:szCs w:val="24"/>
          <w:lang w:eastAsia="zh-CN"/>
        </w:rPr>
        <w:t xml:space="preserve"> Published by Baishideng Publishing Group Inc. All rights reserved.</w:t>
      </w:r>
    </w:p>
    <w:p w14:paraId="2AD4D2E1" w14:textId="77777777" w:rsidR="001F5ADE" w:rsidRPr="00ED0648" w:rsidRDefault="001F5ADE" w:rsidP="00ED0648">
      <w:pPr>
        <w:pStyle w:val="p"/>
        <w:shd w:val="clear" w:color="auto" w:fill="FFFFFF"/>
        <w:adjustRightInd w:val="0"/>
        <w:snapToGrid w:val="0"/>
        <w:spacing w:before="0" w:beforeAutospacing="0" w:after="0" w:afterAutospacing="0" w:line="360" w:lineRule="auto"/>
        <w:jc w:val="both"/>
        <w:rPr>
          <w:rFonts w:ascii="Book Antiqua" w:hAnsi="Book Antiqua" w:cstheme="minorHAnsi"/>
          <w:b/>
        </w:rPr>
      </w:pPr>
    </w:p>
    <w:p w14:paraId="0EC34E20" w14:textId="687857A8" w:rsidR="008C5A21" w:rsidRPr="00ED0648" w:rsidRDefault="008C5A21" w:rsidP="00ED0648">
      <w:pPr>
        <w:pStyle w:val="p"/>
        <w:shd w:val="clear" w:color="auto" w:fill="FFFFFF"/>
        <w:adjustRightInd w:val="0"/>
        <w:snapToGrid w:val="0"/>
        <w:spacing w:before="0" w:beforeAutospacing="0" w:after="0" w:afterAutospacing="0" w:line="360" w:lineRule="auto"/>
        <w:jc w:val="both"/>
        <w:rPr>
          <w:rFonts w:ascii="Book Antiqua" w:hAnsi="Book Antiqua"/>
        </w:rPr>
      </w:pPr>
      <w:r w:rsidRPr="00ED0648">
        <w:rPr>
          <w:rFonts w:ascii="Book Antiqua" w:hAnsi="Book Antiqua" w:cstheme="minorHAnsi"/>
          <w:b/>
        </w:rPr>
        <w:t>Core Tip</w:t>
      </w:r>
      <w:r w:rsidR="002E5728" w:rsidRPr="00ED0648">
        <w:rPr>
          <w:rFonts w:ascii="Book Antiqua" w:eastAsia="宋体" w:hAnsi="Book Antiqua" w:cs="宋体"/>
          <w:b/>
          <w:lang w:eastAsia="zh-CN"/>
        </w:rPr>
        <w:t xml:space="preserve">: </w:t>
      </w:r>
      <w:r w:rsidRPr="00ED0648">
        <w:rPr>
          <w:rFonts w:ascii="Book Antiqua" w:hAnsi="Book Antiqua"/>
        </w:rPr>
        <w:t xml:space="preserve">While the outcomes associated with magnetic sphincter augmentation (MSA) in patients with gastroesophageal reflux disease (GERD) have been previously reported, the optimal population for MSA and the related patient care pathways have not been </w:t>
      </w:r>
      <w:r w:rsidRPr="00ED0648">
        <w:rPr>
          <w:rFonts w:ascii="Book Antiqua" w:hAnsi="Book Antiqua"/>
        </w:rPr>
        <w:lastRenderedPageBreak/>
        <w:t xml:space="preserve">summarized. This review presents evidence that describes the optimal patient population for MSA, delineates diagnostics to identify these patients, and outlines opportunities for improving GERD patient care pathways. Current referral pathways for GERD management are suboptimal. Opportunities exist for enabling patients, </w:t>
      </w:r>
      <w:r w:rsidR="001F5ADE" w:rsidRPr="00ED0648">
        <w:rPr>
          <w:rFonts w:ascii="Book Antiqua" w:hAnsi="Book Antiqua" w:cstheme="minorHAnsi"/>
        </w:rPr>
        <w:t>primary care providers</w:t>
      </w:r>
      <w:r w:rsidRPr="00ED0648">
        <w:rPr>
          <w:rFonts w:ascii="Book Antiqua" w:hAnsi="Book Antiqua"/>
        </w:rPr>
        <w:t xml:space="preserve">, </w:t>
      </w:r>
      <w:r w:rsidR="001F5ADE" w:rsidRPr="00ED0648">
        <w:rPr>
          <w:rFonts w:ascii="Book Antiqua" w:hAnsi="Book Antiqua" w:cstheme="minorHAnsi"/>
        </w:rPr>
        <w:t>gastroenterologists</w:t>
      </w:r>
      <w:r w:rsidRPr="00ED0648">
        <w:rPr>
          <w:rFonts w:ascii="Book Antiqua" w:hAnsi="Book Antiqua"/>
        </w:rPr>
        <w:t>, and surgeons to act as a team in developing evidence-based optimal care plans.</w:t>
      </w:r>
    </w:p>
    <w:p w14:paraId="7598DF4A" w14:textId="77777777" w:rsidR="008C5A21" w:rsidRPr="00ED0648" w:rsidRDefault="008C5A21" w:rsidP="00ED0648">
      <w:pPr>
        <w:pStyle w:val="p"/>
        <w:shd w:val="clear" w:color="auto" w:fill="FFFFFF"/>
        <w:adjustRightInd w:val="0"/>
        <w:snapToGrid w:val="0"/>
        <w:spacing w:before="0" w:beforeAutospacing="0" w:after="0" w:afterAutospacing="0" w:line="360" w:lineRule="auto"/>
        <w:jc w:val="both"/>
        <w:rPr>
          <w:rFonts w:ascii="Book Antiqua" w:hAnsi="Book Antiqua" w:cstheme="minorHAnsi"/>
          <w:bCs/>
        </w:rPr>
      </w:pPr>
    </w:p>
    <w:p w14:paraId="3C9E365B" w14:textId="77777777" w:rsidR="006B5659" w:rsidRPr="00ED0648" w:rsidRDefault="001F33A4" w:rsidP="00ED0648">
      <w:pPr>
        <w:adjustRightInd w:val="0"/>
        <w:snapToGrid w:val="0"/>
        <w:spacing w:after="0" w:line="360" w:lineRule="auto"/>
        <w:jc w:val="both"/>
        <w:rPr>
          <w:rFonts w:ascii="Book Antiqua" w:eastAsia="Times New Roman" w:hAnsi="Book Antiqua" w:cstheme="minorHAnsi"/>
          <w:bCs/>
          <w:sz w:val="24"/>
          <w:szCs w:val="24"/>
        </w:rPr>
      </w:pPr>
      <w:r w:rsidRPr="00ED0648">
        <w:rPr>
          <w:rFonts w:ascii="Book Antiqua" w:eastAsia="Times New Roman" w:hAnsi="Book Antiqua" w:cstheme="minorHAnsi"/>
          <w:bCs/>
          <w:sz w:val="24"/>
          <w:szCs w:val="24"/>
        </w:rPr>
        <w:t>Buckley FP, Havemann B, Chawla A.</w:t>
      </w:r>
      <w:r w:rsidRPr="00ED0648">
        <w:rPr>
          <w:rFonts w:ascii="Book Antiqua" w:eastAsiaTheme="minorEastAsia" w:hAnsi="Book Antiqua" w:cstheme="minorHAnsi"/>
          <w:bCs/>
          <w:sz w:val="24"/>
          <w:szCs w:val="24"/>
          <w:lang w:eastAsia="zh-CN"/>
        </w:rPr>
        <w:t xml:space="preserve"> </w:t>
      </w:r>
      <w:r w:rsidRPr="00ED0648">
        <w:rPr>
          <w:rFonts w:ascii="Book Antiqua" w:eastAsia="Times New Roman" w:hAnsi="Book Antiqua" w:cstheme="minorHAnsi"/>
          <w:bCs/>
          <w:sz w:val="24"/>
          <w:szCs w:val="24"/>
        </w:rPr>
        <w:t>Magnetic sphincter augmentation: Optimal patient selection and referral care pathways</w:t>
      </w:r>
      <w:r w:rsidR="006B5659" w:rsidRPr="00ED0648">
        <w:rPr>
          <w:rFonts w:ascii="Book Antiqua" w:eastAsia="Times New Roman" w:hAnsi="Book Antiqua" w:cstheme="minorHAnsi"/>
          <w:bCs/>
          <w:sz w:val="24"/>
          <w:szCs w:val="24"/>
        </w:rPr>
        <w:t>.</w:t>
      </w:r>
      <w:r w:rsidR="006B5659" w:rsidRPr="00ED0648">
        <w:rPr>
          <w:rFonts w:ascii="Book Antiqua" w:hAnsi="Book Antiqua"/>
          <w:sz w:val="24"/>
          <w:szCs w:val="24"/>
        </w:rPr>
        <w:t xml:space="preserve"> </w:t>
      </w:r>
      <w:r w:rsidR="006B5659" w:rsidRPr="00ED0648">
        <w:rPr>
          <w:rFonts w:ascii="Book Antiqua" w:eastAsia="Times New Roman" w:hAnsi="Book Antiqua" w:cstheme="minorHAnsi"/>
          <w:bCs/>
          <w:i/>
          <w:iCs/>
          <w:sz w:val="24"/>
          <w:szCs w:val="24"/>
        </w:rPr>
        <w:t>World J Gastrointest Endosc</w:t>
      </w:r>
      <w:r w:rsidR="006B5659" w:rsidRPr="00ED0648">
        <w:rPr>
          <w:rFonts w:ascii="Book Antiqua" w:eastAsia="Times New Roman" w:hAnsi="Book Antiqua" w:cstheme="minorHAnsi"/>
          <w:bCs/>
          <w:sz w:val="24"/>
          <w:szCs w:val="24"/>
        </w:rPr>
        <w:t xml:space="preserve"> 2019; In press</w:t>
      </w:r>
    </w:p>
    <w:p w14:paraId="0FD177D0" w14:textId="77777777" w:rsidR="006B5659" w:rsidRPr="00ED0648" w:rsidRDefault="006B5659" w:rsidP="00ED0648">
      <w:pPr>
        <w:adjustRightInd w:val="0"/>
        <w:snapToGrid w:val="0"/>
        <w:spacing w:after="0" w:line="360" w:lineRule="auto"/>
        <w:jc w:val="both"/>
        <w:rPr>
          <w:rFonts w:ascii="Book Antiqua" w:eastAsia="Times New Roman" w:hAnsi="Book Antiqua" w:cstheme="minorHAnsi"/>
          <w:bCs/>
          <w:sz w:val="24"/>
          <w:szCs w:val="24"/>
        </w:rPr>
      </w:pPr>
      <w:r w:rsidRPr="00ED0648">
        <w:rPr>
          <w:rFonts w:ascii="Book Antiqua" w:eastAsia="Times New Roman" w:hAnsi="Book Antiqua" w:cstheme="minorHAnsi"/>
          <w:bCs/>
          <w:sz w:val="24"/>
          <w:szCs w:val="24"/>
        </w:rPr>
        <w:br w:type="page"/>
      </w:r>
    </w:p>
    <w:p w14:paraId="25A4106D" w14:textId="1C980A57" w:rsidR="008C5A21" w:rsidRPr="00ED0648" w:rsidRDefault="005A3034" w:rsidP="00ED0648">
      <w:pPr>
        <w:adjustRightInd w:val="0"/>
        <w:snapToGrid w:val="0"/>
        <w:spacing w:after="0" w:line="360" w:lineRule="auto"/>
        <w:jc w:val="both"/>
        <w:rPr>
          <w:rFonts w:ascii="Book Antiqua" w:hAnsi="Book Antiqua" w:cstheme="minorHAnsi"/>
          <w:b/>
          <w:sz w:val="24"/>
          <w:szCs w:val="24"/>
        </w:rPr>
      </w:pPr>
      <w:r w:rsidRPr="00ED0648">
        <w:rPr>
          <w:rFonts w:ascii="Book Antiqua" w:hAnsi="Book Antiqua" w:cstheme="minorHAnsi"/>
          <w:b/>
          <w:sz w:val="24"/>
          <w:szCs w:val="24"/>
        </w:rPr>
        <w:lastRenderedPageBreak/>
        <w:t>INTRODUCTION</w:t>
      </w:r>
    </w:p>
    <w:p w14:paraId="2216FCE4" w14:textId="77777777" w:rsidR="008C5A21" w:rsidRPr="00ED0648" w:rsidRDefault="008C5A21" w:rsidP="00ED0648">
      <w:pPr>
        <w:adjustRightInd w:val="0"/>
        <w:snapToGrid w:val="0"/>
        <w:spacing w:after="0" w:line="360" w:lineRule="auto"/>
        <w:jc w:val="both"/>
        <w:rPr>
          <w:rFonts w:ascii="Book Antiqua" w:hAnsi="Book Antiqua" w:cstheme="minorHAnsi"/>
          <w:sz w:val="24"/>
          <w:szCs w:val="24"/>
        </w:rPr>
      </w:pPr>
      <w:r w:rsidRPr="00ED0648">
        <w:rPr>
          <w:rFonts w:ascii="Book Antiqua" w:hAnsi="Book Antiqua" w:cstheme="minorHAnsi"/>
          <w:sz w:val="24"/>
          <w:szCs w:val="24"/>
        </w:rPr>
        <w:t>Gastroesophageal reflux disease (GERD) is an inherently mechanical disease whose primary etiology lies in a weakened lower esophageal sphincter (LES)</w:t>
      </w:r>
      <w:r w:rsidRPr="00ED0648">
        <w:rPr>
          <w:rFonts w:ascii="Book Antiqua" w:hAnsi="Book Antiqua" w:cstheme="minorHAnsi"/>
          <w:noProof/>
          <w:sz w:val="24"/>
          <w:szCs w:val="24"/>
          <w:vertAlign w:val="superscript"/>
        </w:rPr>
        <w:t>[1-5]</w:t>
      </w:r>
      <w:r w:rsidRPr="00ED0648">
        <w:rPr>
          <w:rFonts w:ascii="Book Antiqua" w:hAnsi="Book Antiqua" w:cstheme="minorHAnsi"/>
          <w:sz w:val="24"/>
          <w:szCs w:val="24"/>
        </w:rPr>
        <w:t xml:space="preserve"> which opens abnormally and allows the reflux of gastric content into the esophagus. </w:t>
      </w:r>
      <w:r w:rsidRPr="00ED0648">
        <w:rPr>
          <w:rFonts w:ascii="Book Antiqua" w:hAnsi="Book Antiqua" w:cstheme="minorHAnsi"/>
          <w:sz w:val="24"/>
          <w:szCs w:val="24"/>
          <w:shd w:val="clear" w:color="auto" w:fill="FFFFFF"/>
        </w:rPr>
        <w:t>The opening of the LES and reflux result from changes in gastric fluid pressure relative to abdominal pressure regulated by adjustments in the anatomical conformation of the sphincteric muscles</w:t>
      </w:r>
      <w:r w:rsidRPr="00ED0648">
        <w:rPr>
          <w:rFonts w:ascii="Book Antiqua" w:hAnsi="Book Antiqua" w:cstheme="minorHAnsi"/>
          <w:noProof/>
          <w:sz w:val="24"/>
          <w:szCs w:val="24"/>
          <w:shd w:val="clear" w:color="auto" w:fill="FFFFFF"/>
          <w:vertAlign w:val="superscript"/>
        </w:rPr>
        <w:t>[6]</w:t>
      </w:r>
      <w:r w:rsidRPr="00ED0648">
        <w:rPr>
          <w:rFonts w:ascii="Book Antiqua" w:hAnsi="Book Antiqua" w:cstheme="minorHAnsi"/>
          <w:sz w:val="24"/>
          <w:szCs w:val="24"/>
          <w:shd w:val="clear" w:color="auto" w:fill="FFFFFF"/>
        </w:rPr>
        <w:t>. Additionally, it is contended that the crura contribute to the competence of the anatomic anti-reflux mechanism</w:t>
      </w:r>
      <w:r w:rsidRPr="00ED0648">
        <w:rPr>
          <w:rFonts w:ascii="Book Antiqua" w:hAnsi="Book Antiqua" w:cstheme="minorHAnsi"/>
          <w:noProof/>
          <w:sz w:val="24"/>
          <w:szCs w:val="24"/>
          <w:shd w:val="clear" w:color="auto" w:fill="FFFFFF"/>
          <w:vertAlign w:val="superscript"/>
        </w:rPr>
        <w:t>[7-11]</w:t>
      </w:r>
      <w:r w:rsidRPr="00ED0648">
        <w:rPr>
          <w:rFonts w:ascii="Book Antiqua" w:hAnsi="Book Antiqua" w:cstheme="minorHAnsi"/>
          <w:sz w:val="24"/>
          <w:szCs w:val="24"/>
          <w:shd w:val="clear" w:color="auto" w:fill="FFFFFF"/>
        </w:rPr>
        <w:t>. The presence of a hiatal hernia adversely affects LES pressure, relaxation, and esophageal acid clearance. Furthermore, the frequency and duration of acid exposure in the esophagus is significantly impacted by the incidence of transient LES relaxations (tLESRs), and patients need to be considered for treatment with these mechanical aspects in mind</w:t>
      </w:r>
      <w:r w:rsidRPr="00ED0648">
        <w:rPr>
          <w:rFonts w:ascii="Book Antiqua" w:hAnsi="Book Antiqua" w:cstheme="minorHAnsi"/>
          <w:noProof/>
          <w:sz w:val="24"/>
          <w:szCs w:val="24"/>
          <w:shd w:val="clear" w:color="auto" w:fill="FFFFFF"/>
          <w:vertAlign w:val="superscript"/>
        </w:rPr>
        <w:t>[12-14]</w:t>
      </w:r>
      <w:r w:rsidRPr="00ED0648">
        <w:rPr>
          <w:rFonts w:ascii="Book Antiqua" w:hAnsi="Book Antiqua" w:cstheme="minorHAnsi"/>
          <w:sz w:val="24"/>
          <w:szCs w:val="24"/>
          <w:shd w:val="clear" w:color="auto" w:fill="FFFFFF"/>
        </w:rPr>
        <w:t>.</w:t>
      </w:r>
      <w:r w:rsidRPr="00ED0648">
        <w:rPr>
          <w:rFonts w:ascii="Book Antiqua" w:hAnsi="Book Antiqua" w:cstheme="minorHAnsi"/>
          <w:sz w:val="24"/>
          <w:szCs w:val="24"/>
        </w:rPr>
        <w:t xml:space="preserve"> </w:t>
      </w:r>
    </w:p>
    <w:p w14:paraId="66F081C1" w14:textId="71EE0F9F" w:rsidR="008C5A21" w:rsidRPr="00ED0648" w:rsidRDefault="008C5A21" w:rsidP="008C42C4">
      <w:pPr>
        <w:adjustRightInd w:val="0"/>
        <w:snapToGrid w:val="0"/>
        <w:spacing w:after="0" w:line="360" w:lineRule="auto"/>
        <w:ind w:firstLineChars="100" w:firstLine="240"/>
        <w:jc w:val="both"/>
        <w:rPr>
          <w:rFonts w:ascii="Book Antiqua" w:hAnsi="Book Antiqua" w:cstheme="minorHAnsi"/>
          <w:sz w:val="24"/>
          <w:szCs w:val="24"/>
        </w:rPr>
      </w:pPr>
      <w:r w:rsidRPr="00ED0648">
        <w:rPr>
          <w:rFonts w:ascii="Book Antiqua" w:hAnsi="Book Antiqua" w:cstheme="minorHAnsi"/>
          <w:sz w:val="24"/>
          <w:szCs w:val="24"/>
        </w:rPr>
        <w:t>Based on disease severity and responsiveness to medical management, some patients with GERD may benefit from surgical intervention. However, effective treatment of patients with GERD requires an awareness of the clinical spectrum of GERD, its varied symptomatology and potential complications, the reasons for referral, and the many treatment options available</w:t>
      </w:r>
      <w:r w:rsidRPr="00ED0648">
        <w:rPr>
          <w:rFonts w:ascii="Book Antiqua" w:hAnsi="Book Antiqua" w:cstheme="minorHAnsi"/>
          <w:noProof/>
          <w:sz w:val="24"/>
          <w:szCs w:val="24"/>
          <w:vertAlign w:val="superscript"/>
        </w:rPr>
        <w:t>[15,16]</w:t>
      </w:r>
      <w:r w:rsidRPr="00ED0648">
        <w:rPr>
          <w:rFonts w:ascii="Book Antiqua" w:hAnsi="Book Antiqua" w:cstheme="minorHAnsi"/>
          <w:sz w:val="24"/>
          <w:szCs w:val="24"/>
        </w:rPr>
        <w:t>. Sub-optimal referral of patients may affect the process of patient evaluation, treatment, and continuity of care, and can affect clinical outcomes and costs</w:t>
      </w:r>
      <w:r w:rsidRPr="00ED0648">
        <w:rPr>
          <w:rFonts w:ascii="Book Antiqua" w:hAnsi="Book Antiqua" w:cstheme="minorHAnsi"/>
          <w:noProof/>
          <w:sz w:val="24"/>
          <w:szCs w:val="24"/>
          <w:vertAlign w:val="superscript"/>
        </w:rPr>
        <w:t>[17]</w:t>
      </w:r>
      <w:r w:rsidRPr="00ED0648">
        <w:rPr>
          <w:rFonts w:ascii="Book Antiqua" w:hAnsi="Book Antiqua" w:cstheme="minorHAnsi"/>
          <w:sz w:val="24"/>
          <w:szCs w:val="24"/>
        </w:rPr>
        <w:t>. Despite multiple treatment options, a considerable number of patients with GERD have inadequate disease management</w:t>
      </w:r>
      <w:r w:rsidRPr="00ED0648">
        <w:rPr>
          <w:rFonts w:ascii="Book Antiqua" w:hAnsi="Book Antiqua" w:cstheme="minorHAnsi"/>
          <w:noProof/>
          <w:sz w:val="24"/>
          <w:szCs w:val="24"/>
          <w:vertAlign w:val="superscript"/>
        </w:rPr>
        <w:t>[18]</w:t>
      </w:r>
      <w:r w:rsidRPr="00ED0648">
        <w:rPr>
          <w:rFonts w:ascii="Book Antiqua" w:hAnsi="Book Antiqua" w:cstheme="minorHAnsi"/>
          <w:sz w:val="24"/>
          <w:szCs w:val="24"/>
        </w:rPr>
        <w:t>. GERD is inherently a multi-specialty disease and in order to ensure that the appropriate interventions are delivered efficiently, a better understanding of GERD patient care pathways is needed</w:t>
      </w:r>
      <w:r w:rsidRPr="00ED0648">
        <w:rPr>
          <w:rFonts w:ascii="Book Antiqua" w:hAnsi="Book Antiqua" w:cstheme="minorHAnsi"/>
          <w:noProof/>
          <w:sz w:val="24"/>
          <w:szCs w:val="24"/>
          <w:vertAlign w:val="superscript"/>
        </w:rPr>
        <w:t>[19]</w:t>
      </w:r>
      <w:r w:rsidRPr="00ED0648">
        <w:rPr>
          <w:rFonts w:ascii="Book Antiqua" w:hAnsi="Book Antiqua" w:cstheme="minorHAnsi"/>
          <w:sz w:val="24"/>
          <w:szCs w:val="24"/>
        </w:rPr>
        <w:t>.</w:t>
      </w:r>
    </w:p>
    <w:p w14:paraId="5ACDCC24" w14:textId="523AE1FF" w:rsidR="00F07187" w:rsidRPr="00ED0648" w:rsidRDefault="003E37F8" w:rsidP="008C42C4">
      <w:pPr>
        <w:pStyle w:val="HTML1"/>
        <w:tabs>
          <w:tab w:val="clear" w:pos="916"/>
          <w:tab w:val="left" w:pos="795"/>
        </w:tabs>
        <w:adjustRightInd w:val="0"/>
        <w:snapToGrid w:val="0"/>
        <w:spacing w:line="360" w:lineRule="auto"/>
        <w:ind w:firstLineChars="100" w:firstLine="240"/>
        <w:jc w:val="both"/>
        <w:rPr>
          <w:rFonts w:ascii="Book Antiqua" w:hAnsi="Book Antiqua" w:cstheme="minorHAnsi"/>
          <w:sz w:val="24"/>
          <w:szCs w:val="24"/>
        </w:rPr>
      </w:pPr>
      <w:r w:rsidRPr="00ED0648">
        <w:rPr>
          <w:rFonts w:ascii="Book Antiqua" w:hAnsi="Book Antiqua" w:cstheme="minorHAnsi"/>
          <w:sz w:val="24"/>
          <w:szCs w:val="24"/>
        </w:rPr>
        <w:t>Treatment options for GERD vary depending on the progression and symptoms of their disease, however, there are currently three primary means of treating GERD: lifestyle changes, medical therapy, and surgical intervention</w:t>
      </w:r>
      <w:r w:rsidRPr="00ED0648">
        <w:rPr>
          <w:rFonts w:ascii="Book Antiqua" w:hAnsi="Book Antiqua" w:cstheme="minorHAnsi"/>
          <w:noProof/>
          <w:sz w:val="24"/>
          <w:szCs w:val="24"/>
          <w:vertAlign w:val="superscript"/>
        </w:rPr>
        <w:t>[20]</w:t>
      </w:r>
      <w:r w:rsidRPr="00ED0648">
        <w:rPr>
          <w:rFonts w:ascii="Book Antiqua" w:hAnsi="Book Antiqua" w:cstheme="minorHAnsi"/>
          <w:sz w:val="24"/>
          <w:szCs w:val="24"/>
        </w:rPr>
        <w:t xml:space="preserve">. </w:t>
      </w:r>
      <w:r w:rsidRPr="00ED0648">
        <w:rPr>
          <w:rFonts w:ascii="Book Antiqua" w:eastAsiaTheme="minorHAnsi" w:hAnsi="Book Antiqua" w:cstheme="minorHAnsi"/>
          <w:sz w:val="24"/>
          <w:szCs w:val="24"/>
        </w:rPr>
        <w:t>Lifestyle interventions should be included as part of the therapy for GERD</w:t>
      </w:r>
      <w:r w:rsidR="00A520F5" w:rsidRPr="00ED0648">
        <w:rPr>
          <w:rFonts w:ascii="Book Antiqua" w:eastAsiaTheme="minorHAnsi" w:hAnsi="Book Antiqua" w:cstheme="minorHAnsi"/>
          <w:sz w:val="24"/>
          <w:szCs w:val="24"/>
          <w:vertAlign w:val="superscript"/>
        </w:rPr>
        <w:t>[15]</w:t>
      </w:r>
      <w:r w:rsidRPr="00ED0648">
        <w:rPr>
          <w:rFonts w:ascii="Book Antiqua" w:eastAsiaTheme="minorHAnsi" w:hAnsi="Book Antiqua" w:cstheme="minorHAnsi"/>
          <w:sz w:val="24"/>
          <w:szCs w:val="24"/>
        </w:rPr>
        <w:t xml:space="preserve">. Counseling is often helpful to provide </w:t>
      </w:r>
      <w:r w:rsidR="00F7585B" w:rsidRPr="00ED0648">
        <w:rPr>
          <w:rFonts w:ascii="Book Antiqua" w:eastAsiaTheme="minorHAnsi" w:hAnsi="Book Antiqua" w:cstheme="minorHAnsi"/>
          <w:sz w:val="24"/>
          <w:szCs w:val="24"/>
        </w:rPr>
        <w:t xml:space="preserve">information </w:t>
      </w:r>
      <w:r w:rsidRPr="00ED0648">
        <w:rPr>
          <w:rFonts w:ascii="Book Antiqua" w:eastAsiaTheme="minorHAnsi" w:hAnsi="Book Antiqua" w:cstheme="minorHAnsi"/>
          <w:sz w:val="24"/>
          <w:szCs w:val="24"/>
        </w:rPr>
        <w:t xml:space="preserve">regarding weight loss, head of bed elevation, tobacco and alcohol cessation, avoidance of late-night meals, and cessation of foods that can potentially aggravate reflux symptoms including caffeine, coffee, chocolate, spicy foods, highly </w:t>
      </w:r>
      <w:r w:rsidRPr="00ED0648">
        <w:rPr>
          <w:rFonts w:ascii="Book Antiqua" w:eastAsiaTheme="minorHAnsi" w:hAnsi="Book Antiqua" w:cstheme="minorHAnsi"/>
          <w:sz w:val="24"/>
          <w:szCs w:val="24"/>
        </w:rPr>
        <w:lastRenderedPageBreak/>
        <w:t>acidic foods such as oranges and tomatoes, and foods with high fat content</w:t>
      </w:r>
      <w:r w:rsidR="00A520F5" w:rsidRPr="00ED0648">
        <w:rPr>
          <w:rFonts w:ascii="Book Antiqua" w:eastAsiaTheme="minorHAnsi" w:hAnsi="Book Antiqua" w:cstheme="minorHAnsi"/>
          <w:sz w:val="24"/>
          <w:szCs w:val="24"/>
          <w:vertAlign w:val="superscript"/>
        </w:rPr>
        <w:t>[15]</w:t>
      </w:r>
      <w:r w:rsidRPr="00ED0648">
        <w:rPr>
          <w:rFonts w:ascii="Book Antiqua" w:eastAsiaTheme="minorHAnsi" w:hAnsi="Book Antiqua" w:cstheme="minorHAnsi"/>
          <w:sz w:val="24"/>
          <w:szCs w:val="24"/>
        </w:rPr>
        <w:t xml:space="preserve">. </w:t>
      </w:r>
      <w:r w:rsidR="008C5A21" w:rsidRPr="00ED0648">
        <w:rPr>
          <w:rFonts w:ascii="Book Antiqua" w:hAnsi="Book Antiqua" w:cstheme="minorHAnsi"/>
          <w:sz w:val="24"/>
          <w:szCs w:val="24"/>
          <w:shd w:val="clear" w:color="auto" w:fill="FFFFFF"/>
        </w:rPr>
        <w:t>While medical therapy with anti-acid medications such as proton pump inhibitors (PPIs) is the mainstay of treatment that can control heartburn in the majority of patients, other symptoms such as regurgitation and respiratory symptoms may not be controlled, particularly in patients with compromised LES and/or hiatal hernias</w:t>
      </w:r>
      <w:r w:rsidR="008C5A21" w:rsidRPr="00ED0648">
        <w:rPr>
          <w:rFonts w:ascii="Book Antiqua" w:hAnsi="Book Antiqua" w:cstheme="minorHAnsi"/>
          <w:noProof/>
          <w:sz w:val="24"/>
          <w:szCs w:val="24"/>
          <w:shd w:val="clear" w:color="auto" w:fill="FFFFFF"/>
          <w:vertAlign w:val="superscript"/>
        </w:rPr>
        <w:t>[</w:t>
      </w:r>
      <w:r w:rsidR="00EB4C8E" w:rsidRPr="00ED0648">
        <w:rPr>
          <w:rFonts w:ascii="Book Antiqua" w:hAnsi="Book Antiqua" w:cstheme="minorHAnsi"/>
          <w:noProof/>
          <w:sz w:val="24"/>
          <w:szCs w:val="24"/>
          <w:shd w:val="clear" w:color="auto" w:fill="FFFFFF"/>
          <w:vertAlign w:val="superscript"/>
        </w:rPr>
        <w:t>2,</w:t>
      </w:r>
      <w:r w:rsidR="008C5A21" w:rsidRPr="00ED0648">
        <w:rPr>
          <w:rFonts w:ascii="Book Antiqua" w:hAnsi="Book Antiqua" w:cstheme="minorHAnsi"/>
          <w:noProof/>
          <w:sz w:val="24"/>
          <w:szCs w:val="24"/>
          <w:shd w:val="clear" w:color="auto" w:fill="FFFFFF"/>
          <w:vertAlign w:val="superscript"/>
        </w:rPr>
        <w:t>21</w:t>
      </w:r>
      <w:r w:rsidR="00EB4C8E" w:rsidRPr="00ED0648">
        <w:rPr>
          <w:rFonts w:ascii="Book Antiqua" w:hAnsi="Book Antiqua" w:cstheme="minorHAnsi"/>
          <w:noProof/>
          <w:sz w:val="24"/>
          <w:szCs w:val="24"/>
          <w:shd w:val="clear" w:color="auto" w:fill="FFFFFF"/>
          <w:vertAlign w:val="superscript"/>
        </w:rPr>
        <w:t>-</w:t>
      </w:r>
      <w:r w:rsidR="008C5A21" w:rsidRPr="00ED0648">
        <w:rPr>
          <w:rFonts w:ascii="Book Antiqua" w:hAnsi="Book Antiqua" w:cstheme="minorHAnsi"/>
          <w:noProof/>
          <w:sz w:val="24"/>
          <w:szCs w:val="24"/>
          <w:shd w:val="clear" w:color="auto" w:fill="FFFFFF"/>
          <w:vertAlign w:val="superscript"/>
        </w:rPr>
        <w:t>2</w:t>
      </w:r>
      <w:r w:rsidR="00EB4C8E" w:rsidRPr="00ED0648">
        <w:rPr>
          <w:rFonts w:ascii="Book Antiqua" w:hAnsi="Book Antiqua" w:cstheme="minorHAnsi"/>
          <w:noProof/>
          <w:sz w:val="24"/>
          <w:szCs w:val="24"/>
          <w:shd w:val="clear" w:color="auto" w:fill="FFFFFF"/>
          <w:vertAlign w:val="superscript"/>
        </w:rPr>
        <w:t>3</w:t>
      </w:r>
      <w:r w:rsidR="008C5A21" w:rsidRPr="00ED0648">
        <w:rPr>
          <w:rFonts w:ascii="Book Antiqua" w:hAnsi="Book Antiqua" w:cstheme="minorHAnsi"/>
          <w:noProof/>
          <w:sz w:val="24"/>
          <w:szCs w:val="24"/>
          <w:vertAlign w:val="superscript"/>
        </w:rPr>
        <w:t>]</w:t>
      </w:r>
      <w:r w:rsidR="008C5A21" w:rsidRPr="00ED0648">
        <w:rPr>
          <w:rFonts w:ascii="Book Antiqua" w:hAnsi="Book Antiqua" w:cstheme="minorHAnsi"/>
          <w:sz w:val="24"/>
          <w:szCs w:val="24"/>
        </w:rPr>
        <w:t>. Although external factors such as inadequate dosing or nonadherence to treatment may play a role in PPI failure, persistent GERD symptoms despite anti-secretory drugs may be indicative of an incompetent LES that allows abnormal reflux of gastric content into the esophagus</w:t>
      </w:r>
      <w:r w:rsidR="008C5A21" w:rsidRPr="00ED0648">
        <w:rPr>
          <w:rFonts w:ascii="Book Antiqua" w:hAnsi="Book Antiqua" w:cstheme="minorHAnsi"/>
          <w:noProof/>
          <w:sz w:val="24"/>
          <w:szCs w:val="24"/>
          <w:vertAlign w:val="superscript"/>
        </w:rPr>
        <w:t>[1-5]</w:t>
      </w:r>
      <w:r w:rsidR="008C5A21" w:rsidRPr="00ED0648">
        <w:rPr>
          <w:rFonts w:ascii="Book Antiqua" w:hAnsi="Book Antiqua" w:cstheme="minorHAnsi"/>
          <w:sz w:val="24"/>
          <w:szCs w:val="24"/>
        </w:rPr>
        <w:t>.</w:t>
      </w:r>
      <w:r w:rsidR="00F07187" w:rsidRPr="00ED0648">
        <w:rPr>
          <w:rFonts w:ascii="Book Antiqua" w:hAnsi="Book Antiqua" w:cstheme="minorHAnsi"/>
          <w:sz w:val="24"/>
          <w:szCs w:val="24"/>
        </w:rPr>
        <w:t xml:space="preserve"> Endoscopic therapies for GERD have been developed but evidence for their long-term efficacy is limited</w:t>
      </w:r>
      <w:r w:rsidR="00F07187" w:rsidRPr="00ED0648">
        <w:rPr>
          <w:rFonts w:ascii="Book Antiqua" w:hAnsi="Book Antiqua" w:cstheme="minorHAnsi"/>
          <w:sz w:val="24"/>
          <w:szCs w:val="24"/>
          <w:vertAlign w:val="superscript"/>
        </w:rPr>
        <w:t>[15]</w:t>
      </w:r>
      <w:r w:rsidR="00F07187" w:rsidRPr="00ED0648">
        <w:rPr>
          <w:rFonts w:ascii="Book Antiqua" w:hAnsi="Book Antiqua" w:cstheme="minorHAnsi"/>
          <w:sz w:val="24"/>
          <w:szCs w:val="24"/>
        </w:rPr>
        <w:t>. These include radiofrequency augmentation to the LES, silicone injection into the LES, and endoscopic</w:t>
      </w:r>
      <w:r w:rsidR="008C2AA6" w:rsidRPr="00ED0648">
        <w:rPr>
          <w:rFonts w:ascii="Book Antiqua" w:hAnsi="Book Antiqua" w:cstheme="minorHAnsi"/>
          <w:sz w:val="24"/>
          <w:szCs w:val="24"/>
        </w:rPr>
        <w:t xml:space="preserve"> </w:t>
      </w:r>
      <w:r w:rsidR="00F07187" w:rsidRPr="00ED0648">
        <w:rPr>
          <w:rFonts w:ascii="Book Antiqua" w:hAnsi="Book Antiqua" w:cstheme="minorHAnsi"/>
          <w:sz w:val="24"/>
          <w:szCs w:val="24"/>
        </w:rPr>
        <w:t>suturing of the LES</w:t>
      </w:r>
      <w:r w:rsidR="00F07187" w:rsidRPr="00ED0648">
        <w:rPr>
          <w:rFonts w:ascii="Book Antiqua" w:hAnsi="Book Antiqua" w:cstheme="minorHAnsi"/>
          <w:sz w:val="24"/>
          <w:szCs w:val="24"/>
          <w:vertAlign w:val="superscript"/>
        </w:rPr>
        <w:t>[15]</w:t>
      </w:r>
      <w:r w:rsidR="00F07187" w:rsidRPr="00ED0648">
        <w:rPr>
          <w:rFonts w:ascii="Book Antiqua" w:hAnsi="Book Antiqua" w:cstheme="minorHAnsi"/>
          <w:sz w:val="24"/>
          <w:szCs w:val="24"/>
        </w:rPr>
        <w:t>. Recent alternative approaches have included transoral incisionless fundoplication, a suturing device designed to create a full thickness gastroesophageal valve from inside the stomach</w:t>
      </w:r>
      <w:r w:rsidR="00F07187" w:rsidRPr="00ED0648">
        <w:rPr>
          <w:rFonts w:ascii="Book Antiqua" w:hAnsi="Book Antiqua" w:cstheme="minorHAnsi"/>
          <w:sz w:val="24"/>
          <w:szCs w:val="24"/>
          <w:vertAlign w:val="superscript"/>
        </w:rPr>
        <w:t>[15]</w:t>
      </w:r>
      <w:r w:rsidR="00F07187" w:rsidRPr="00ED0648">
        <w:rPr>
          <w:rFonts w:ascii="Book Antiqua" w:hAnsi="Book Antiqua" w:cstheme="minorHAnsi"/>
          <w:sz w:val="24"/>
          <w:szCs w:val="24"/>
        </w:rPr>
        <w:t>. Unfortunately, long-term data regarding efficacy of this device are limited to a small number of subjects and short duration of follow-up</w:t>
      </w:r>
      <w:r w:rsidR="00F07187" w:rsidRPr="00ED0648">
        <w:rPr>
          <w:rFonts w:ascii="Book Antiqua" w:hAnsi="Book Antiqua" w:cstheme="minorHAnsi"/>
          <w:sz w:val="24"/>
          <w:szCs w:val="24"/>
          <w:vertAlign w:val="superscript"/>
        </w:rPr>
        <w:t>[15]</w:t>
      </w:r>
      <w:r w:rsidR="00F07187" w:rsidRPr="00ED0648">
        <w:rPr>
          <w:rFonts w:ascii="Book Antiqua" w:hAnsi="Book Antiqua" w:cstheme="minorHAnsi"/>
          <w:sz w:val="24"/>
          <w:szCs w:val="24"/>
        </w:rPr>
        <w:t>.</w:t>
      </w:r>
    </w:p>
    <w:p w14:paraId="273A433F" w14:textId="28167C50" w:rsidR="00122873" w:rsidRPr="00ED0648" w:rsidRDefault="00F07187" w:rsidP="008C42C4">
      <w:pPr>
        <w:pStyle w:val="HTML1"/>
        <w:tabs>
          <w:tab w:val="clear" w:pos="916"/>
          <w:tab w:val="left" w:pos="795"/>
        </w:tabs>
        <w:adjustRightInd w:val="0"/>
        <w:snapToGrid w:val="0"/>
        <w:spacing w:line="360" w:lineRule="auto"/>
        <w:ind w:firstLineChars="100" w:firstLine="240"/>
        <w:jc w:val="both"/>
        <w:rPr>
          <w:rFonts w:ascii="Book Antiqua" w:hAnsi="Book Antiqua" w:cstheme="minorHAnsi"/>
          <w:sz w:val="24"/>
          <w:szCs w:val="24"/>
        </w:rPr>
      </w:pPr>
      <w:r w:rsidRPr="00ED0648">
        <w:rPr>
          <w:rFonts w:ascii="Book Antiqua" w:hAnsi="Book Antiqua" w:cstheme="minorHAnsi"/>
          <w:sz w:val="24"/>
          <w:szCs w:val="24"/>
        </w:rPr>
        <w:t>A</w:t>
      </w:r>
      <w:r w:rsidR="008C5A21" w:rsidRPr="00ED0648">
        <w:rPr>
          <w:rFonts w:ascii="Book Antiqua" w:hAnsi="Book Antiqua" w:cstheme="minorHAnsi"/>
          <w:sz w:val="24"/>
          <w:szCs w:val="24"/>
        </w:rPr>
        <w:t>nti-reflux surgery is an option to better control symptoms and avoid lifelong medical therapy</w:t>
      </w:r>
      <w:r w:rsidR="008C5A21" w:rsidRPr="00ED0648">
        <w:rPr>
          <w:rFonts w:ascii="Book Antiqua" w:hAnsi="Book Antiqua" w:cstheme="minorHAnsi"/>
          <w:noProof/>
          <w:sz w:val="24"/>
          <w:szCs w:val="24"/>
          <w:vertAlign w:val="superscript"/>
        </w:rPr>
        <w:t>[24]</w:t>
      </w:r>
      <w:r w:rsidR="008C5A21" w:rsidRPr="00ED0648">
        <w:rPr>
          <w:rFonts w:ascii="Book Antiqua" w:hAnsi="Book Antiqua" w:cstheme="minorHAnsi"/>
          <w:sz w:val="24"/>
          <w:szCs w:val="24"/>
        </w:rPr>
        <w:t xml:space="preserve">. Currently, the </w:t>
      </w:r>
      <w:r w:rsidR="008C5A21" w:rsidRPr="00ED0648">
        <w:rPr>
          <w:rFonts w:ascii="Book Antiqua" w:hAnsi="Book Antiqua" w:cstheme="minorHAnsi"/>
          <w:i/>
          <w:sz w:val="24"/>
          <w:szCs w:val="24"/>
        </w:rPr>
        <w:t>de facto</w:t>
      </w:r>
      <w:r w:rsidR="008C5A21" w:rsidRPr="00ED0648">
        <w:rPr>
          <w:rFonts w:ascii="Book Antiqua" w:hAnsi="Book Antiqua" w:cstheme="minorHAnsi"/>
          <w:sz w:val="24"/>
          <w:szCs w:val="24"/>
        </w:rPr>
        <w:t xml:space="preserve"> treatment option for surgical treatment of GERD is the laparoscopic Nissen Fundoplication (LNF) procedure</w:t>
      </w:r>
      <w:r w:rsidR="008C5A21" w:rsidRPr="00ED0648">
        <w:rPr>
          <w:rFonts w:ascii="Book Antiqua" w:hAnsi="Book Antiqua" w:cstheme="minorHAnsi"/>
          <w:noProof/>
          <w:sz w:val="24"/>
          <w:szCs w:val="24"/>
          <w:vertAlign w:val="superscript"/>
        </w:rPr>
        <w:t>[25]</w:t>
      </w:r>
      <w:r w:rsidR="008C5A21" w:rsidRPr="00ED0648">
        <w:rPr>
          <w:rFonts w:ascii="Book Antiqua" w:hAnsi="Book Antiqua" w:cstheme="minorHAnsi"/>
          <w:sz w:val="24"/>
          <w:szCs w:val="24"/>
        </w:rPr>
        <w:t xml:space="preserve">. LNF involves wrapping a portion of the stomach around the esophagus to reinforce the weakened LES. While LNF has long been associated with effective reflux control, it has several limitations: (1) </w:t>
      </w:r>
      <w:r w:rsidR="006B5659" w:rsidRPr="00ED0648">
        <w:rPr>
          <w:rFonts w:ascii="Book Antiqua" w:hAnsi="Book Antiqua" w:cstheme="minorHAnsi"/>
          <w:sz w:val="24"/>
          <w:szCs w:val="24"/>
        </w:rPr>
        <w:t>I</w:t>
      </w:r>
      <w:r w:rsidR="008C5A21" w:rsidRPr="00ED0648">
        <w:rPr>
          <w:rFonts w:ascii="Book Antiqua" w:hAnsi="Book Antiqua" w:cstheme="minorHAnsi"/>
          <w:sz w:val="24"/>
          <w:szCs w:val="24"/>
        </w:rPr>
        <w:t>t results in anatomical and physiological alteration of the fundus; (2) potential side effects including gas bloat and an inability to belch or vomit may occur</w:t>
      </w:r>
      <w:r w:rsidR="008C5A21" w:rsidRPr="00ED0648">
        <w:rPr>
          <w:rFonts w:ascii="Book Antiqua" w:hAnsi="Book Antiqua" w:cstheme="minorHAnsi"/>
          <w:noProof/>
          <w:sz w:val="24"/>
          <w:szCs w:val="24"/>
          <w:vertAlign w:val="superscript"/>
        </w:rPr>
        <w:t>[5,26]</w:t>
      </w:r>
      <w:r w:rsidR="008C5A21" w:rsidRPr="00ED0648">
        <w:rPr>
          <w:rFonts w:ascii="Book Antiqua" w:hAnsi="Book Antiqua" w:cstheme="minorHAnsi"/>
          <w:sz w:val="24"/>
          <w:szCs w:val="24"/>
        </w:rPr>
        <w:t xml:space="preserve">; </w:t>
      </w:r>
      <w:r w:rsidR="0061334C" w:rsidRPr="00ED0648">
        <w:rPr>
          <w:rFonts w:ascii="Book Antiqua" w:hAnsi="Book Antiqua" w:cstheme="minorHAnsi"/>
          <w:sz w:val="24"/>
          <w:szCs w:val="24"/>
        </w:rPr>
        <w:t xml:space="preserve">and </w:t>
      </w:r>
      <w:r w:rsidR="008C5A21" w:rsidRPr="00ED0648">
        <w:rPr>
          <w:rFonts w:ascii="Book Antiqua" w:hAnsi="Book Antiqua" w:cstheme="minorHAnsi"/>
          <w:sz w:val="24"/>
          <w:szCs w:val="24"/>
        </w:rPr>
        <w:t xml:space="preserve">(3) the procedure is </w:t>
      </w:r>
      <w:r w:rsidR="0061334C" w:rsidRPr="00ED0648">
        <w:rPr>
          <w:rFonts w:ascii="Book Antiqua" w:hAnsi="Book Antiqua" w:cstheme="minorHAnsi"/>
          <w:sz w:val="24"/>
          <w:szCs w:val="24"/>
        </w:rPr>
        <w:t xml:space="preserve">difficult to </w:t>
      </w:r>
      <w:r w:rsidR="008C5A21" w:rsidRPr="00ED0648">
        <w:rPr>
          <w:rFonts w:ascii="Book Antiqua" w:hAnsi="Book Antiqua" w:cstheme="minorHAnsi"/>
          <w:sz w:val="24"/>
          <w:szCs w:val="24"/>
        </w:rPr>
        <w:t>standardize</w:t>
      </w:r>
      <w:r w:rsidR="0061334C" w:rsidRPr="00ED0648">
        <w:rPr>
          <w:rFonts w:ascii="Book Antiqua" w:hAnsi="Book Antiqua" w:cstheme="minorHAnsi"/>
          <w:sz w:val="24"/>
          <w:szCs w:val="24"/>
        </w:rPr>
        <w:t xml:space="preserve"> and teach</w:t>
      </w:r>
      <w:r w:rsidR="008C5A21" w:rsidRPr="00ED0648">
        <w:rPr>
          <w:rFonts w:ascii="Book Antiqua" w:hAnsi="Book Antiqua" w:cstheme="minorHAnsi"/>
          <w:sz w:val="24"/>
          <w:szCs w:val="24"/>
        </w:rPr>
        <w:t>, resulting in variable efficacy</w:t>
      </w:r>
      <w:r w:rsidR="008C5A21" w:rsidRPr="00ED0648">
        <w:rPr>
          <w:rFonts w:ascii="Book Antiqua" w:hAnsi="Book Antiqua" w:cstheme="minorHAnsi"/>
          <w:noProof/>
          <w:sz w:val="24"/>
          <w:szCs w:val="24"/>
          <w:vertAlign w:val="superscript"/>
        </w:rPr>
        <w:t>[26</w:t>
      </w:r>
      <w:r w:rsidR="008C42C4">
        <w:rPr>
          <w:rFonts w:ascii="Book Antiqua" w:hAnsi="Book Antiqua" w:cstheme="minorHAnsi"/>
          <w:noProof/>
          <w:sz w:val="24"/>
          <w:szCs w:val="24"/>
          <w:vertAlign w:val="superscript"/>
        </w:rPr>
        <w:t>,27</w:t>
      </w:r>
      <w:r w:rsidR="008C5A21" w:rsidRPr="00ED0648">
        <w:rPr>
          <w:rFonts w:ascii="Book Antiqua" w:hAnsi="Book Antiqua" w:cstheme="minorHAnsi"/>
          <w:noProof/>
          <w:sz w:val="24"/>
          <w:szCs w:val="24"/>
          <w:vertAlign w:val="superscript"/>
        </w:rPr>
        <w:t>]</w:t>
      </w:r>
      <w:r w:rsidR="008C5A21" w:rsidRPr="00ED0648">
        <w:rPr>
          <w:rFonts w:ascii="Book Antiqua" w:hAnsi="Book Antiqua" w:cstheme="minorHAnsi"/>
          <w:sz w:val="24"/>
          <w:szCs w:val="24"/>
        </w:rPr>
        <w:t xml:space="preserve">. </w:t>
      </w:r>
      <w:bookmarkStart w:id="193" w:name="_Hlk8490583"/>
      <w:r w:rsidR="00FB2135" w:rsidRPr="00ED0648">
        <w:rPr>
          <w:rFonts w:ascii="Book Antiqua" w:hAnsi="Book Antiqua" w:cstheme="minorHAnsi"/>
          <w:sz w:val="24"/>
          <w:szCs w:val="24"/>
        </w:rPr>
        <w:t>Sixty</w:t>
      </w:r>
      <w:r w:rsidR="00E22B1C" w:rsidRPr="00ED0648">
        <w:rPr>
          <w:rFonts w:ascii="Book Antiqua" w:hAnsi="Book Antiqua" w:cstheme="minorHAnsi"/>
          <w:sz w:val="24"/>
          <w:szCs w:val="24"/>
        </w:rPr>
        <w:t>-</w:t>
      </w:r>
      <w:r w:rsidR="00FB2135" w:rsidRPr="00ED0648">
        <w:rPr>
          <w:rFonts w:ascii="Book Antiqua" w:hAnsi="Book Antiqua" w:cstheme="minorHAnsi"/>
          <w:sz w:val="24"/>
          <w:szCs w:val="24"/>
        </w:rPr>
        <w:t>seven percent of patients undergoing LNF (54/87) reported new symptoms (</w:t>
      </w:r>
      <w:r w:rsidR="00FB2135" w:rsidRPr="00ED0648">
        <w:rPr>
          <w:rFonts w:ascii="Book Antiqua" w:hAnsi="Book Antiqua" w:cstheme="minorHAnsi"/>
          <w:i/>
          <w:iCs/>
          <w:sz w:val="24"/>
          <w:szCs w:val="24"/>
        </w:rPr>
        <w:t>i.e.</w:t>
      </w:r>
      <w:r w:rsidR="00FB2135" w:rsidRPr="00ED0648">
        <w:rPr>
          <w:rFonts w:ascii="Book Antiqua" w:hAnsi="Book Antiqua" w:cstheme="minorHAnsi"/>
          <w:sz w:val="24"/>
          <w:szCs w:val="24"/>
        </w:rPr>
        <w:t>, excessive gas, abdominal bloating, dysphagia) after surgery</w:t>
      </w:r>
      <w:r w:rsidR="00094BAF" w:rsidRPr="00ED0648">
        <w:rPr>
          <w:rFonts w:ascii="Book Antiqua" w:hAnsi="Book Antiqua" w:cstheme="minorHAnsi"/>
          <w:sz w:val="24"/>
          <w:szCs w:val="24"/>
          <w:vertAlign w:val="superscript"/>
        </w:rPr>
        <w:t>[28]</w:t>
      </w:r>
      <w:r w:rsidR="00FB2135" w:rsidRPr="00ED0648">
        <w:rPr>
          <w:rFonts w:ascii="Book Antiqua" w:hAnsi="Book Antiqua" w:cstheme="minorHAnsi"/>
          <w:sz w:val="24"/>
          <w:szCs w:val="24"/>
        </w:rPr>
        <w:t xml:space="preserve">. </w:t>
      </w:r>
      <w:r w:rsidR="00122873" w:rsidRPr="00ED0648">
        <w:rPr>
          <w:rFonts w:ascii="Book Antiqua" w:hAnsi="Book Antiqua" w:cstheme="minorHAnsi"/>
          <w:sz w:val="24"/>
          <w:szCs w:val="24"/>
        </w:rPr>
        <w:t>LNF is associated with up to 15% reoperation rates and a cumulative surgery failure rate of up to 27.1%</w:t>
      </w:r>
      <w:r w:rsidR="00122873" w:rsidRPr="00ED0648">
        <w:rPr>
          <w:rFonts w:ascii="Book Antiqua" w:hAnsi="Book Antiqua" w:cstheme="minorHAnsi"/>
          <w:sz w:val="24"/>
          <w:szCs w:val="24"/>
          <w:vertAlign w:val="superscript"/>
        </w:rPr>
        <w:t>[</w:t>
      </w:r>
      <w:r w:rsidR="00094BAF" w:rsidRPr="00ED0648">
        <w:rPr>
          <w:rFonts w:ascii="Book Antiqua" w:hAnsi="Book Antiqua" w:cstheme="minorHAnsi"/>
          <w:sz w:val="24"/>
          <w:szCs w:val="24"/>
          <w:vertAlign w:val="superscript"/>
        </w:rPr>
        <w:t>26,</w:t>
      </w:r>
      <w:r w:rsidR="00122873" w:rsidRPr="00ED0648">
        <w:rPr>
          <w:rFonts w:ascii="Book Antiqua" w:hAnsi="Book Antiqua" w:cstheme="minorHAnsi"/>
          <w:sz w:val="24"/>
          <w:szCs w:val="24"/>
          <w:vertAlign w:val="superscript"/>
        </w:rPr>
        <w:t>2</w:t>
      </w:r>
      <w:r w:rsidR="00094BAF" w:rsidRPr="00ED0648">
        <w:rPr>
          <w:rFonts w:ascii="Book Antiqua" w:hAnsi="Book Antiqua" w:cstheme="minorHAnsi"/>
          <w:sz w:val="24"/>
          <w:szCs w:val="24"/>
          <w:vertAlign w:val="superscript"/>
        </w:rPr>
        <w:t>9</w:t>
      </w:r>
      <w:r w:rsidR="00122873" w:rsidRPr="00ED0648">
        <w:rPr>
          <w:rFonts w:ascii="Book Antiqua" w:hAnsi="Book Antiqua" w:cstheme="minorHAnsi"/>
          <w:sz w:val="24"/>
          <w:szCs w:val="24"/>
          <w:vertAlign w:val="superscript"/>
        </w:rPr>
        <w:t>]</w:t>
      </w:r>
      <w:r w:rsidR="00122873" w:rsidRPr="00ED0648">
        <w:rPr>
          <w:rFonts w:ascii="Book Antiqua" w:hAnsi="Book Antiqua" w:cstheme="minorHAnsi"/>
          <w:sz w:val="24"/>
          <w:szCs w:val="24"/>
        </w:rPr>
        <w:t>.</w:t>
      </w:r>
      <w:r w:rsidR="00FB2135" w:rsidRPr="00ED0648">
        <w:rPr>
          <w:rFonts w:ascii="Book Antiqua" w:hAnsi="Book Antiqua" w:cstheme="minorHAnsi"/>
          <w:sz w:val="24"/>
          <w:szCs w:val="24"/>
        </w:rPr>
        <w:t xml:space="preserve"> </w:t>
      </w:r>
      <w:bookmarkEnd w:id="193"/>
    </w:p>
    <w:p w14:paraId="515D11E5" w14:textId="61826224" w:rsidR="008C5A21" w:rsidRPr="00ED0648" w:rsidRDefault="008C5A21" w:rsidP="008C42C4">
      <w:pPr>
        <w:adjustRightInd w:val="0"/>
        <w:snapToGrid w:val="0"/>
        <w:spacing w:after="0" w:line="360" w:lineRule="auto"/>
        <w:ind w:firstLineChars="100" w:firstLine="240"/>
        <w:jc w:val="both"/>
        <w:rPr>
          <w:rFonts w:ascii="Book Antiqua" w:hAnsi="Book Antiqua" w:cstheme="minorHAnsi"/>
          <w:sz w:val="24"/>
          <w:szCs w:val="24"/>
        </w:rPr>
      </w:pPr>
      <w:r w:rsidRPr="00ED0648">
        <w:rPr>
          <w:rFonts w:ascii="Book Antiqua" w:hAnsi="Book Antiqua" w:cstheme="minorHAnsi"/>
          <w:sz w:val="24"/>
          <w:szCs w:val="24"/>
        </w:rPr>
        <w:t>An alternative to LNF is Magnetic Sphincter Augmentation (MSA). MSA with the LINX</w:t>
      </w:r>
      <w:r w:rsidRPr="00ED0648">
        <w:rPr>
          <w:rFonts w:ascii="Book Antiqua" w:hAnsi="Book Antiqua" w:cstheme="minorHAnsi"/>
          <w:sz w:val="24"/>
          <w:szCs w:val="24"/>
          <w:vertAlign w:val="superscript"/>
        </w:rPr>
        <w:t>®</w:t>
      </w:r>
      <w:r w:rsidRPr="00ED0648">
        <w:rPr>
          <w:rFonts w:ascii="Book Antiqua" w:hAnsi="Book Antiqua" w:cstheme="minorHAnsi"/>
          <w:sz w:val="24"/>
          <w:szCs w:val="24"/>
        </w:rPr>
        <w:t xml:space="preserve"> Reflux Management System was FDA approved via the premarket approval (PMA) process and has shown beneficial effects in studies in diverse patient </w:t>
      </w:r>
      <w:r w:rsidRPr="00ED0648">
        <w:rPr>
          <w:rFonts w:ascii="Book Antiqua" w:hAnsi="Book Antiqua" w:cstheme="minorHAnsi"/>
          <w:sz w:val="24"/>
          <w:szCs w:val="24"/>
        </w:rPr>
        <w:lastRenderedPageBreak/>
        <w:t>populations</w:t>
      </w:r>
      <w:r w:rsidRPr="00ED0648">
        <w:rPr>
          <w:rFonts w:ascii="Book Antiqua" w:hAnsi="Book Antiqua" w:cstheme="minorHAnsi"/>
          <w:noProof/>
          <w:sz w:val="24"/>
          <w:szCs w:val="24"/>
          <w:vertAlign w:val="superscript"/>
        </w:rPr>
        <w:t>[</w:t>
      </w:r>
      <w:r w:rsidR="00752F5A" w:rsidRPr="00ED0648">
        <w:rPr>
          <w:rFonts w:ascii="Book Antiqua" w:hAnsi="Book Antiqua" w:cstheme="minorHAnsi"/>
          <w:noProof/>
          <w:sz w:val="24"/>
          <w:szCs w:val="24"/>
          <w:vertAlign w:val="superscript"/>
        </w:rPr>
        <w:t>27,</w:t>
      </w:r>
      <w:r w:rsidR="007B6344" w:rsidRPr="00ED0648">
        <w:rPr>
          <w:rFonts w:ascii="Book Antiqua" w:hAnsi="Book Antiqua" w:cstheme="minorHAnsi"/>
          <w:noProof/>
          <w:sz w:val="24"/>
          <w:szCs w:val="24"/>
          <w:vertAlign w:val="superscript"/>
        </w:rPr>
        <w:t>30</w:t>
      </w:r>
      <w:r w:rsidRPr="00ED0648">
        <w:rPr>
          <w:rFonts w:ascii="Book Antiqua" w:hAnsi="Book Antiqua" w:cstheme="minorHAnsi"/>
          <w:noProof/>
          <w:sz w:val="24"/>
          <w:szCs w:val="24"/>
          <w:vertAlign w:val="superscript"/>
        </w:rPr>
        <w:t>-4</w:t>
      </w:r>
      <w:r w:rsidR="00752F5A" w:rsidRPr="00ED0648">
        <w:rPr>
          <w:rFonts w:ascii="Book Antiqua" w:hAnsi="Book Antiqua" w:cstheme="minorHAnsi"/>
          <w:noProof/>
          <w:sz w:val="24"/>
          <w:szCs w:val="24"/>
          <w:vertAlign w:val="superscript"/>
        </w:rPr>
        <w:t>4</w:t>
      </w:r>
      <w:r w:rsidRPr="00ED0648">
        <w:rPr>
          <w:rFonts w:ascii="Book Antiqua" w:hAnsi="Book Antiqua" w:cstheme="minorHAnsi"/>
          <w:noProof/>
          <w:sz w:val="24"/>
          <w:szCs w:val="24"/>
          <w:vertAlign w:val="superscript"/>
        </w:rPr>
        <w:t>]</w:t>
      </w:r>
      <w:r w:rsidRPr="00ED0648">
        <w:rPr>
          <w:rFonts w:ascii="Book Antiqua" w:hAnsi="Book Antiqua" w:cstheme="minorHAnsi"/>
          <w:sz w:val="24"/>
          <w:szCs w:val="24"/>
        </w:rPr>
        <w:t xml:space="preserve">. </w:t>
      </w:r>
      <w:bookmarkStart w:id="194" w:name="_Hlk8580731"/>
      <w:r w:rsidR="008631F4" w:rsidRPr="00ED0648">
        <w:rPr>
          <w:rFonts w:ascii="Book Antiqua" w:hAnsi="Book Antiqua" w:cstheme="minorHAnsi"/>
          <w:sz w:val="24"/>
          <w:szCs w:val="24"/>
        </w:rPr>
        <w:t>The LINX Reflux Management System is a laparoscopic, fundic-sparing anti-reflux procedure indicated for patients diagnosed with GERD as defined by abnormal pH testing, and who are seeking an alternative to continuous acid suppression therapy (</w:t>
      </w:r>
      <w:r w:rsidR="008631F4" w:rsidRPr="00ED0648">
        <w:rPr>
          <w:rFonts w:ascii="Book Antiqua" w:hAnsi="Book Antiqua" w:cstheme="minorHAnsi"/>
          <w:i/>
          <w:iCs/>
          <w:sz w:val="24"/>
          <w:szCs w:val="24"/>
        </w:rPr>
        <w:t>i.e.</w:t>
      </w:r>
      <w:r w:rsidR="006B5659" w:rsidRPr="00ED0648">
        <w:rPr>
          <w:rFonts w:ascii="Book Antiqua" w:hAnsi="Book Antiqua" w:cstheme="minorHAnsi"/>
          <w:sz w:val="24"/>
          <w:szCs w:val="24"/>
          <w:shd w:val="clear" w:color="auto" w:fill="FFFFFF"/>
        </w:rPr>
        <w:t>,</w:t>
      </w:r>
      <w:r w:rsidR="008631F4" w:rsidRPr="00ED0648">
        <w:rPr>
          <w:rFonts w:ascii="Book Antiqua" w:hAnsi="Book Antiqua" w:cstheme="minorHAnsi"/>
          <w:sz w:val="24"/>
          <w:szCs w:val="24"/>
          <w:shd w:val="clear" w:color="auto" w:fill="FFFFFF"/>
        </w:rPr>
        <w:t xml:space="preserve"> </w:t>
      </w:r>
      <w:r w:rsidR="006B5659" w:rsidRPr="00ED0648">
        <w:rPr>
          <w:rFonts w:ascii="Book Antiqua" w:hAnsi="Book Antiqua" w:cstheme="minorHAnsi"/>
          <w:sz w:val="24"/>
          <w:szCs w:val="24"/>
          <w:shd w:val="clear" w:color="auto" w:fill="FFFFFF"/>
        </w:rPr>
        <w:t>PPIs</w:t>
      </w:r>
      <w:r w:rsidR="008631F4" w:rsidRPr="00ED0648">
        <w:rPr>
          <w:rFonts w:ascii="Book Antiqua" w:hAnsi="Book Antiqua" w:cstheme="minorHAnsi"/>
          <w:sz w:val="24"/>
          <w:szCs w:val="24"/>
        </w:rPr>
        <w:t xml:space="preserve"> or equivalent) in the management of their GERD. </w:t>
      </w:r>
      <w:r w:rsidR="00511BD1" w:rsidRPr="00ED0648">
        <w:rPr>
          <w:rFonts w:ascii="Book Antiqua" w:hAnsi="Book Antiqua" w:cstheme="minorHAnsi"/>
          <w:sz w:val="24"/>
          <w:szCs w:val="24"/>
        </w:rPr>
        <w:t xml:space="preserve">LINX is contraindicated in patients with suspected or known allergies to titanium, stainless steel, nickel, or ferrous materials. </w:t>
      </w:r>
      <w:bookmarkEnd w:id="194"/>
      <w:r w:rsidRPr="00ED0648">
        <w:rPr>
          <w:rFonts w:ascii="Book Antiqua" w:hAnsi="Book Antiqua" w:cstheme="minorHAnsi"/>
          <w:sz w:val="24"/>
          <w:szCs w:val="24"/>
        </w:rPr>
        <w:t xml:space="preserve">LINX is an implantable device consisting of a series of titanium beads, each containing a magnetic core connected with independent titanium wires that allows dynamic </w:t>
      </w:r>
      <w:r w:rsidRPr="00ED0648">
        <w:rPr>
          <w:rFonts w:ascii="Book Antiqua" w:hAnsi="Book Antiqua" w:cstheme="minorHAnsi"/>
          <w:bCs/>
          <w:sz w:val="24"/>
          <w:szCs w:val="24"/>
        </w:rPr>
        <w:t>augmentation</w:t>
      </w:r>
      <w:r w:rsidRPr="00ED0648">
        <w:rPr>
          <w:rFonts w:ascii="Book Antiqua" w:hAnsi="Book Antiqua" w:cstheme="minorHAnsi"/>
          <w:b/>
          <w:bCs/>
          <w:sz w:val="24"/>
          <w:szCs w:val="24"/>
        </w:rPr>
        <w:t xml:space="preserve"> </w:t>
      </w:r>
      <w:r w:rsidRPr="00ED0648">
        <w:rPr>
          <w:rFonts w:ascii="Book Antiqua" w:hAnsi="Book Antiqua" w:cstheme="minorHAnsi"/>
          <w:bCs/>
          <w:sz w:val="24"/>
          <w:szCs w:val="24"/>
        </w:rPr>
        <w:t>of the LES</w:t>
      </w:r>
      <w:r w:rsidRPr="00ED0648">
        <w:rPr>
          <w:rFonts w:ascii="Book Antiqua" w:hAnsi="Book Antiqua" w:cstheme="minorHAnsi"/>
          <w:b/>
          <w:bCs/>
          <w:sz w:val="24"/>
          <w:szCs w:val="24"/>
        </w:rPr>
        <w:t xml:space="preserve"> </w:t>
      </w:r>
      <w:r w:rsidRPr="00ED0648">
        <w:rPr>
          <w:rFonts w:ascii="Book Antiqua" w:hAnsi="Book Antiqua" w:cstheme="minorHAnsi"/>
          <w:sz w:val="24"/>
          <w:szCs w:val="24"/>
        </w:rPr>
        <w:t>without</w:t>
      </w:r>
      <w:r w:rsidRPr="00ED0648">
        <w:rPr>
          <w:rFonts w:ascii="Book Antiqua" w:hAnsi="Book Antiqua" w:cstheme="minorHAnsi"/>
          <w:b/>
          <w:bCs/>
          <w:sz w:val="24"/>
          <w:szCs w:val="24"/>
        </w:rPr>
        <w:t xml:space="preserve"> </w:t>
      </w:r>
      <w:r w:rsidRPr="00ED0648">
        <w:rPr>
          <w:rFonts w:ascii="Book Antiqua" w:hAnsi="Book Antiqua" w:cstheme="minorHAnsi"/>
          <w:sz w:val="24"/>
          <w:szCs w:val="24"/>
        </w:rPr>
        <w:t xml:space="preserve">compression of the esophagus (Figure 1). </w:t>
      </w:r>
    </w:p>
    <w:p w14:paraId="7A844E96" w14:textId="62D9D89D" w:rsidR="008C5A21" w:rsidRPr="00ED0648" w:rsidRDefault="008C5A21" w:rsidP="008C42C4">
      <w:pPr>
        <w:adjustRightInd w:val="0"/>
        <w:snapToGrid w:val="0"/>
        <w:spacing w:after="0" w:line="360" w:lineRule="auto"/>
        <w:ind w:firstLineChars="100" w:firstLine="240"/>
        <w:jc w:val="both"/>
        <w:rPr>
          <w:rFonts w:ascii="Book Antiqua" w:hAnsi="Book Antiqua" w:cstheme="minorHAnsi"/>
          <w:sz w:val="24"/>
          <w:szCs w:val="24"/>
        </w:rPr>
      </w:pPr>
      <w:r w:rsidRPr="00ED0648">
        <w:rPr>
          <w:rFonts w:ascii="Book Antiqua" w:hAnsi="Book Antiqua" w:cstheme="minorHAnsi"/>
          <w:sz w:val="24"/>
          <w:szCs w:val="24"/>
        </w:rPr>
        <w:t xml:space="preserve">The magnetic attraction of the device is designed to close the LES immediately after swallowing, restoring the body's natural barrier to reflux. Warren </w:t>
      </w:r>
      <w:r w:rsidRPr="00ED0648">
        <w:rPr>
          <w:rFonts w:ascii="Book Antiqua" w:hAnsi="Book Antiqua" w:cstheme="minorHAnsi"/>
          <w:i/>
          <w:iCs/>
          <w:sz w:val="24"/>
          <w:szCs w:val="24"/>
        </w:rPr>
        <w:t>et al</w:t>
      </w:r>
      <w:r w:rsidR="00941E7D" w:rsidRPr="00ED0648">
        <w:rPr>
          <w:rFonts w:ascii="Book Antiqua" w:hAnsi="Book Antiqua" w:cstheme="minorHAnsi"/>
          <w:noProof/>
          <w:sz w:val="24"/>
          <w:szCs w:val="24"/>
          <w:vertAlign w:val="superscript"/>
        </w:rPr>
        <w:t>[45]</w:t>
      </w:r>
      <w:r w:rsidR="00941E7D" w:rsidRPr="00ED0648">
        <w:rPr>
          <w:rFonts w:ascii="Book Antiqua" w:hAnsi="Book Antiqua" w:cstheme="minorHAnsi"/>
          <w:i/>
          <w:iCs/>
          <w:sz w:val="24"/>
          <w:szCs w:val="24"/>
        </w:rPr>
        <w:t xml:space="preserve"> </w:t>
      </w:r>
      <w:r w:rsidRPr="00ED0648">
        <w:rPr>
          <w:rFonts w:ascii="Book Antiqua" w:hAnsi="Book Antiqua" w:cstheme="minorHAnsi"/>
          <w:sz w:val="24"/>
          <w:szCs w:val="24"/>
        </w:rPr>
        <w:t>demonstrated how a manometrically defective LES can essentially be restored to a normal sphincter with MSA, thus reestablishing the mechanical barrier to reflux. Compared to baseline, studies of patient outcomes with MSA have reported excellent pH control with more than 50% of patients normalizing pH scores at 1 year, and significant improvements in symptom scores and PPI usage at the 5-year interval</w:t>
      </w:r>
      <w:r w:rsidRPr="00ED0648">
        <w:rPr>
          <w:rFonts w:ascii="Book Antiqua" w:hAnsi="Book Antiqua" w:cstheme="minorHAnsi"/>
          <w:noProof/>
          <w:sz w:val="24"/>
          <w:szCs w:val="24"/>
          <w:vertAlign w:val="superscript"/>
        </w:rPr>
        <w:t>[</w:t>
      </w:r>
      <w:r w:rsidR="007B6344" w:rsidRPr="00ED0648">
        <w:rPr>
          <w:rFonts w:ascii="Book Antiqua" w:hAnsi="Book Antiqua" w:cstheme="minorHAnsi"/>
          <w:noProof/>
          <w:sz w:val="24"/>
          <w:szCs w:val="24"/>
          <w:vertAlign w:val="superscript"/>
        </w:rPr>
        <w:t>31</w:t>
      </w:r>
      <w:r w:rsidRPr="00ED0648">
        <w:rPr>
          <w:rFonts w:ascii="Book Antiqua" w:hAnsi="Book Antiqua" w:cstheme="minorHAnsi"/>
          <w:noProof/>
          <w:sz w:val="24"/>
          <w:szCs w:val="24"/>
          <w:vertAlign w:val="superscript"/>
        </w:rPr>
        <w:t>,3</w:t>
      </w:r>
      <w:r w:rsidR="007B6344" w:rsidRPr="00ED0648">
        <w:rPr>
          <w:rFonts w:ascii="Book Antiqua" w:hAnsi="Book Antiqua" w:cstheme="minorHAnsi"/>
          <w:noProof/>
          <w:sz w:val="24"/>
          <w:szCs w:val="24"/>
          <w:vertAlign w:val="superscript"/>
        </w:rPr>
        <w:t>3</w:t>
      </w:r>
      <w:r w:rsidRPr="00ED0648">
        <w:rPr>
          <w:rFonts w:ascii="Book Antiqua" w:hAnsi="Book Antiqua" w:cstheme="minorHAnsi"/>
          <w:noProof/>
          <w:sz w:val="24"/>
          <w:szCs w:val="24"/>
          <w:vertAlign w:val="superscript"/>
        </w:rPr>
        <w:t>,4</w:t>
      </w:r>
      <w:r w:rsidR="00C84758" w:rsidRPr="00ED0648">
        <w:rPr>
          <w:rFonts w:ascii="Book Antiqua" w:hAnsi="Book Antiqua" w:cstheme="minorHAnsi"/>
          <w:noProof/>
          <w:sz w:val="24"/>
          <w:szCs w:val="24"/>
          <w:vertAlign w:val="superscript"/>
        </w:rPr>
        <w:t>2</w:t>
      </w:r>
      <w:r w:rsidRPr="00ED0648">
        <w:rPr>
          <w:rFonts w:ascii="Book Antiqua" w:hAnsi="Book Antiqua" w:cstheme="minorHAnsi"/>
          <w:noProof/>
          <w:sz w:val="24"/>
          <w:szCs w:val="24"/>
          <w:vertAlign w:val="superscript"/>
        </w:rPr>
        <w:t>]</w:t>
      </w:r>
      <w:r w:rsidRPr="00ED0648">
        <w:rPr>
          <w:rFonts w:ascii="Book Antiqua" w:hAnsi="Book Antiqua" w:cstheme="minorHAnsi"/>
          <w:sz w:val="24"/>
          <w:szCs w:val="24"/>
        </w:rPr>
        <w:t>. A randomized control trial (RCT) compared LINX to twice-daily (BID) 20 mg omeprazole PPI demonstrated significant relief from regurgitation with LINX therapy compared to patients in whom the PPI dosage was increased from single to double-dose</w:t>
      </w:r>
      <w:r w:rsidRPr="00ED0648">
        <w:rPr>
          <w:rFonts w:ascii="Book Antiqua" w:hAnsi="Book Antiqua" w:cstheme="minorHAnsi"/>
          <w:noProof/>
          <w:sz w:val="24"/>
          <w:szCs w:val="24"/>
          <w:vertAlign w:val="superscript"/>
        </w:rPr>
        <w:t>[4</w:t>
      </w:r>
      <w:r w:rsidR="00C84758" w:rsidRPr="00ED0648">
        <w:rPr>
          <w:rFonts w:ascii="Book Antiqua" w:hAnsi="Book Antiqua" w:cstheme="minorHAnsi"/>
          <w:noProof/>
          <w:sz w:val="24"/>
          <w:szCs w:val="24"/>
          <w:vertAlign w:val="superscript"/>
        </w:rPr>
        <w:t>4</w:t>
      </w:r>
      <w:r w:rsidRPr="00ED0648">
        <w:rPr>
          <w:rFonts w:ascii="Book Antiqua" w:hAnsi="Book Antiqua" w:cstheme="minorHAnsi"/>
          <w:noProof/>
          <w:sz w:val="24"/>
          <w:szCs w:val="24"/>
          <w:vertAlign w:val="superscript"/>
        </w:rPr>
        <w:t>]</w:t>
      </w:r>
      <w:r w:rsidRPr="00ED0648">
        <w:rPr>
          <w:rFonts w:ascii="Book Antiqua" w:hAnsi="Book Antiqua" w:cstheme="minorHAnsi"/>
          <w:sz w:val="24"/>
          <w:szCs w:val="24"/>
        </w:rPr>
        <w:t>. Overall, MSA has been demonstrated to be potentially safe and efficacious, reversible and reproducible, and associated with fewer side effects compared to LNF</w:t>
      </w:r>
      <w:r w:rsidRPr="00ED0648">
        <w:rPr>
          <w:rFonts w:ascii="Book Antiqua" w:hAnsi="Book Antiqua" w:cstheme="minorHAnsi"/>
          <w:noProof/>
          <w:sz w:val="24"/>
          <w:szCs w:val="24"/>
          <w:vertAlign w:val="superscript"/>
        </w:rPr>
        <w:t>[</w:t>
      </w:r>
      <w:r w:rsidR="007B6344" w:rsidRPr="00ED0648">
        <w:rPr>
          <w:rFonts w:ascii="Book Antiqua" w:hAnsi="Book Antiqua" w:cstheme="minorHAnsi"/>
          <w:noProof/>
          <w:sz w:val="24"/>
          <w:szCs w:val="24"/>
          <w:vertAlign w:val="superscript"/>
        </w:rPr>
        <w:t>30</w:t>
      </w:r>
      <w:r w:rsidRPr="00ED0648">
        <w:rPr>
          <w:rFonts w:ascii="Book Antiqua" w:hAnsi="Book Antiqua" w:cstheme="minorHAnsi"/>
          <w:noProof/>
          <w:sz w:val="24"/>
          <w:szCs w:val="24"/>
          <w:vertAlign w:val="superscript"/>
        </w:rPr>
        <w:t>-4</w:t>
      </w:r>
      <w:r w:rsidR="00C84758" w:rsidRPr="00ED0648">
        <w:rPr>
          <w:rFonts w:ascii="Book Antiqua" w:hAnsi="Book Antiqua" w:cstheme="minorHAnsi"/>
          <w:noProof/>
          <w:sz w:val="24"/>
          <w:szCs w:val="24"/>
          <w:vertAlign w:val="superscript"/>
        </w:rPr>
        <w:t>1</w:t>
      </w:r>
      <w:r w:rsidRPr="00ED0648">
        <w:rPr>
          <w:rFonts w:ascii="Book Antiqua" w:hAnsi="Book Antiqua" w:cstheme="minorHAnsi"/>
          <w:noProof/>
          <w:sz w:val="24"/>
          <w:szCs w:val="24"/>
          <w:vertAlign w:val="superscript"/>
        </w:rPr>
        <w:t>]</w:t>
      </w:r>
      <w:r w:rsidRPr="00ED0648">
        <w:rPr>
          <w:rFonts w:ascii="Book Antiqua" w:hAnsi="Book Antiqua" w:cstheme="minorHAnsi"/>
          <w:sz w:val="24"/>
          <w:szCs w:val="24"/>
        </w:rPr>
        <w:t>. Importantly, MSA patients experienced improvement in regurgitation, PPI dependence, heartburn, and patient satisfaction that persisted for 5 years</w:t>
      </w:r>
      <w:r w:rsidRPr="00ED0648">
        <w:rPr>
          <w:rFonts w:ascii="Book Antiqua" w:hAnsi="Book Antiqua" w:cstheme="minorHAnsi"/>
          <w:noProof/>
          <w:sz w:val="24"/>
          <w:szCs w:val="24"/>
          <w:vertAlign w:val="superscript"/>
        </w:rPr>
        <w:t>[</w:t>
      </w:r>
      <w:r w:rsidR="007B6344" w:rsidRPr="00ED0648">
        <w:rPr>
          <w:rFonts w:ascii="Book Antiqua" w:hAnsi="Book Antiqua" w:cstheme="minorHAnsi"/>
          <w:noProof/>
          <w:sz w:val="24"/>
          <w:szCs w:val="24"/>
          <w:vertAlign w:val="superscript"/>
        </w:rPr>
        <w:t>30</w:t>
      </w:r>
      <w:r w:rsidRPr="00ED0648">
        <w:rPr>
          <w:rFonts w:ascii="Book Antiqua" w:hAnsi="Book Antiqua" w:cstheme="minorHAnsi"/>
          <w:noProof/>
          <w:sz w:val="24"/>
          <w:szCs w:val="24"/>
          <w:vertAlign w:val="superscript"/>
        </w:rPr>
        <w:t>,3</w:t>
      </w:r>
      <w:r w:rsidR="007B6344" w:rsidRPr="00ED0648">
        <w:rPr>
          <w:rFonts w:ascii="Book Antiqua" w:hAnsi="Book Antiqua" w:cstheme="minorHAnsi"/>
          <w:noProof/>
          <w:sz w:val="24"/>
          <w:szCs w:val="24"/>
          <w:vertAlign w:val="superscript"/>
        </w:rPr>
        <w:t>5</w:t>
      </w:r>
      <w:r w:rsidRPr="00ED0648">
        <w:rPr>
          <w:rFonts w:ascii="Book Antiqua" w:hAnsi="Book Antiqua" w:cstheme="minorHAnsi"/>
          <w:noProof/>
          <w:sz w:val="24"/>
          <w:szCs w:val="24"/>
          <w:vertAlign w:val="superscript"/>
        </w:rPr>
        <w:t>,</w:t>
      </w:r>
      <w:r w:rsidR="007B6344" w:rsidRPr="00ED0648">
        <w:rPr>
          <w:rFonts w:ascii="Book Antiqua" w:hAnsi="Book Antiqua" w:cstheme="minorHAnsi"/>
          <w:noProof/>
          <w:sz w:val="24"/>
          <w:szCs w:val="24"/>
          <w:vertAlign w:val="superscript"/>
        </w:rPr>
        <w:t>4</w:t>
      </w:r>
      <w:r w:rsidR="00C84758" w:rsidRPr="00ED0648">
        <w:rPr>
          <w:rFonts w:ascii="Book Antiqua" w:hAnsi="Book Antiqua" w:cstheme="minorHAnsi"/>
          <w:noProof/>
          <w:sz w:val="24"/>
          <w:szCs w:val="24"/>
          <w:vertAlign w:val="superscript"/>
        </w:rPr>
        <w:t>0</w:t>
      </w:r>
      <w:r w:rsidRPr="00ED0648">
        <w:rPr>
          <w:rFonts w:ascii="Book Antiqua" w:hAnsi="Book Antiqua" w:cstheme="minorHAnsi"/>
          <w:noProof/>
          <w:sz w:val="24"/>
          <w:szCs w:val="24"/>
          <w:vertAlign w:val="superscript"/>
        </w:rPr>
        <w:t>,4</w:t>
      </w:r>
      <w:r w:rsidR="00C84758" w:rsidRPr="00ED0648">
        <w:rPr>
          <w:rFonts w:ascii="Book Antiqua" w:hAnsi="Book Antiqua" w:cstheme="minorHAnsi"/>
          <w:noProof/>
          <w:sz w:val="24"/>
          <w:szCs w:val="24"/>
          <w:vertAlign w:val="superscript"/>
        </w:rPr>
        <w:t>4</w:t>
      </w:r>
      <w:r w:rsidRPr="00ED0648">
        <w:rPr>
          <w:rFonts w:ascii="Book Antiqua" w:hAnsi="Book Antiqua" w:cstheme="minorHAnsi"/>
          <w:noProof/>
          <w:sz w:val="24"/>
          <w:szCs w:val="24"/>
          <w:vertAlign w:val="superscript"/>
        </w:rPr>
        <w:t>]</w:t>
      </w:r>
      <w:r w:rsidRPr="00ED0648">
        <w:rPr>
          <w:rFonts w:ascii="Book Antiqua" w:hAnsi="Book Antiqua" w:cstheme="minorHAnsi"/>
          <w:sz w:val="24"/>
          <w:szCs w:val="24"/>
        </w:rPr>
        <w:t xml:space="preserve">. </w:t>
      </w:r>
      <w:bookmarkStart w:id="195" w:name="_Hlk8580331"/>
      <w:r w:rsidR="003A3A92" w:rsidRPr="00ED0648">
        <w:rPr>
          <w:rFonts w:ascii="Book Antiqua" w:hAnsi="Book Antiqua" w:cstheme="minorHAnsi"/>
          <w:sz w:val="24"/>
          <w:szCs w:val="24"/>
        </w:rPr>
        <w:t>More than 75% of MSA patients experienced complete cessation of PPI use at up to 5 years</w:t>
      </w:r>
      <w:r w:rsidR="00774064" w:rsidRPr="00ED0648">
        <w:rPr>
          <w:rFonts w:ascii="Book Antiqua" w:eastAsiaTheme="minorHAnsi" w:hAnsi="Book Antiqua" w:cstheme="minorHAnsi"/>
          <w:sz w:val="24"/>
          <w:szCs w:val="24"/>
          <w:vertAlign w:val="superscript"/>
        </w:rPr>
        <w:t>[30,32-34,4</w:t>
      </w:r>
      <w:r w:rsidR="00C84758" w:rsidRPr="00ED0648">
        <w:rPr>
          <w:rFonts w:ascii="Book Antiqua" w:eastAsiaTheme="minorHAnsi" w:hAnsi="Book Antiqua" w:cstheme="minorHAnsi"/>
          <w:sz w:val="24"/>
          <w:szCs w:val="24"/>
          <w:vertAlign w:val="superscript"/>
        </w:rPr>
        <w:t>0</w:t>
      </w:r>
      <w:r w:rsidR="00774064" w:rsidRPr="00ED0648">
        <w:rPr>
          <w:rFonts w:ascii="Book Antiqua" w:eastAsiaTheme="minorHAnsi" w:hAnsi="Book Antiqua" w:cstheme="minorHAnsi"/>
          <w:sz w:val="24"/>
          <w:szCs w:val="24"/>
          <w:vertAlign w:val="superscript"/>
        </w:rPr>
        <w:t>,4</w:t>
      </w:r>
      <w:r w:rsidR="00C84758" w:rsidRPr="00ED0648">
        <w:rPr>
          <w:rFonts w:ascii="Book Antiqua" w:eastAsiaTheme="minorHAnsi" w:hAnsi="Book Antiqua" w:cstheme="minorHAnsi"/>
          <w:sz w:val="24"/>
          <w:szCs w:val="24"/>
          <w:vertAlign w:val="superscript"/>
        </w:rPr>
        <w:t>4</w:t>
      </w:r>
      <w:r w:rsidR="00774064" w:rsidRPr="00ED0648">
        <w:rPr>
          <w:rFonts w:ascii="Book Antiqua" w:eastAsiaTheme="minorHAnsi" w:hAnsi="Book Antiqua" w:cstheme="minorHAnsi"/>
          <w:sz w:val="24"/>
          <w:szCs w:val="24"/>
          <w:vertAlign w:val="superscript"/>
        </w:rPr>
        <w:t>,4</w:t>
      </w:r>
      <w:r w:rsidR="00C84758" w:rsidRPr="00ED0648">
        <w:rPr>
          <w:rFonts w:ascii="Book Antiqua" w:eastAsiaTheme="minorHAnsi" w:hAnsi="Book Antiqua" w:cstheme="minorHAnsi"/>
          <w:sz w:val="24"/>
          <w:szCs w:val="24"/>
          <w:vertAlign w:val="superscript"/>
        </w:rPr>
        <w:t>6</w:t>
      </w:r>
      <w:r w:rsidR="00774064" w:rsidRPr="00ED0648">
        <w:rPr>
          <w:rFonts w:ascii="Book Antiqua" w:eastAsiaTheme="minorHAnsi" w:hAnsi="Book Antiqua" w:cstheme="minorHAnsi"/>
          <w:sz w:val="24"/>
          <w:szCs w:val="24"/>
          <w:vertAlign w:val="superscript"/>
        </w:rPr>
        <w:t>,4</w:t>
      </w:r>
      <w:r w:rsidR="00C84758" w:rsidRPr="00ED0648">
        <w:rPr>
          <w:rFonts w:ascii="Book Antiqua" w:eastAsiaTheme="minorHAnsi" w:hAnsi="Book Antiqua" w:cstheme="minorHAnsi"/>
          <w:sz w:val="24"/>
          <w:szCs w:val="24"/>
          <w:vertAlign w:val="superscript"/>
        </w:rPr>
        <w:t>7</w:t>
      </w:r>
      <w:r w:rsidR="00774064" w:rsidRPr="00ED0648">
        <w:rPr>
          <w:rFonts w:ascii="Book Antiqua" w:eastAsiaTheme="minorHAnsi" w:hAnsi="Book Antiqua" w:cstheme="minorHAnsi"/>
          <w:sz w:val="24"/>
          <w:szCs w:val="24"/>
          <w:vertAlign w:val="superscript"/>
        </w:rPr>
        <w:t>]</w:t>
      </w:r>
      <w:r w:rsidR="003A3A92" w:rsidRPr="00ED0648">
        <w:rPr>
          <w:rFonts w:ascii="Book Antiqua" w:hAnsi="Book Antiqua" w:cstheme="minorHAnsi"/>
          <w:sz w:val="24"/>
          <w:szCs w:val="24"/>
        </w:rPr>
        <w:t xml:space="preserve">. </w:t>
      </w:r>
      <w:bookmarkStart w:id="196" w:name="_Hlk8582562"/>
      <w:r w:rsidR="003A3A92" w:rsidRPr="00ED0648">
        <w:rPr>
          <w:rFonts w:ascii="Book Antiqua" w:hAnsi="Book Antiqua" w:cstheme="minorHAnsi"/>
          <w:sz w:val="24"/>
          <w:szCs w:val="24"/>
        </w:rPr>
        <w:t>The 5-year reoperation rate with MSA has been shown to range from 6.8%-7.0%</w:t>
      </w:r>
      <w:r w:rsidR="00774064" w:rsidRPr="00ED0648">
        <w:rPr>
          <w:rFonts w:ascii="Book Antiqua" w:eastAsiaTheme="minorHAnsi" w:hAnsi="Book Antiqua" w:cstheme="minorHAnsi"/>
          <w:sz w:val="24"/>
          <w:szCs w:val="24"/>
          <w:vertAlign w:val="superscript"/>
        </w:rPr>
        <w:t>[30,33]</w:t>
      </w:r>
      <w:r w:rsidR="003A3A92" w:rsidRPr="00ED0648">
        <w:rPr>
          <w:rFonts w:ascii="Book Antiqua" w:hAnsi="Book Antiqua" w:cstheme="minorHAnsi"/>
          <w:sz w:val="24"/>
          <w:szCs w:val="24"/>
        </w:rPr>
        <w:t xml:space="preserve">. </w:t>
      </w:r>
      <w:bookmarkStart w:id="197" w:name="_Hlk8582100"/>
      <w:bookmarkEnd w:id="195"/>
      <w:r w:rsidR="007B5F07" w:rsidRPr="00ED0648">
        <w:rPr>
          <w:rFonts w:ascii="Book Antiqua" w:hAnsi="Book Antiqua" w:cstheme="minorHAnsi"/>
          <w:sz w:val="24"/>
          <w:szCs w:val="24"/>
        </w:rPr>
        <w:t xml:space="preserve">The most common side effects of MSA were gas/bloating (26.7% with MSA </w:t>
      </w:r>
      <w:r w:rsidR="007B5F07" w:rsidRPr="00ED0648">
        <w:rPr>
          <w:rFonts w:ascii="Book Antiqua" w:hAnsi="Book Antiqua" w:cstheme="minorHAnsi"/>
          <w:i/>
          <w:iCs/>
          <w:sz w:val="24"/>
          <w:szCs w:val="24"/>
        </w:rPr>
        <w:t>vs</w:t>
      </w:r>
      <w:r w:rsidR="007B5F07" w:rsidRPr="00ED0648">
        <w:rPr>
          <w:rFonts w:ascii="Book Antiqua" w:hAnsi="Book Antiqua" w:cstheme="minorHAnsi"/>
          <w:sz w:val="24"/>
          <w:szCs w:val="24"/>
        </w:rPr>
        <w:t xml:space="preserve"> 53.4% with LNF; </w:t>
      </w:r>
      <w:r w:rsidR="008C42C4" w:rsidRPr="008C42C4">
        <w:rPr>
          <w:rFonts w:ascii="Book Antiqua" w:hAnsi="Book Antiqua" w:cstheme="minorHAnsi"/>
          <w:i/>
          <w:iCs/>
          <w:sz w:val="24"/>
          <w:szCs w:val="24"/>
        </w:rPr>
        <w:t>P</w:t>
      </w:r>
      <w:r w:rsidR="007B5F07" w:rsidRPr="00ED0648">
        <w:rPr>
          <w:rFonts w:ascii="Book Antiqua" w:hAnsi="Book Antiqua" w:cstheme="minorHAnsi"/>
          <w:sz w:val="24"/>
          <w:szCs w:val="24"/>
        </w:rPr>
        <w:t xml:space="preserve"> = 0.06) and postoperative dysphagia (33.9% with LINX </w:t>
      </w:r>
      <w:r w:rsidR="007B5F07" w:rsidRPr="00ED0648">
        <w:rPr>
          <w:rFonts w:ascii="Book Antiqua" w:hAnsi="Book Antiqua" w:cstheme="minorHAnsi"/>
          <w:i/>
          <w:iCs/>
          <w:sz w:val="24"/>
          <w:szCs w:val="24"/>
        </w:rPr>
        <w:t>vs</w:t>
      </w:r>
      <w:r w:rsidR="007B5F07" w:rsidRPr="00ED0648">
        <w:rPr>
          <w:rFonts w:ascii="Book Antiqua" w:hAnsi="Book Antiqua" w:cstheme="minorHAnsi"/>
          <w:sz w:val="24"/>
          <w:szCs w:val="24"/>
        </w:rPr>
        <w:t xml:space="preserve"> 47.1%</w:t>
      </w:r>
      <w:r w:rsidR="007B5F07" w:rsidRPr="00ED0648">
        <w:rPr>
          <w:rFonts w:ascii="Book Antiqua" w:hAnsi="Book Antiqua"/>
          <w:sz w:val="24"/>
          <w:szCs w:val="24"/>
        </w:rPr>
        <w:t xml:space="preserve"> </w:t>
      </w:r>
      <w:r w:rsidR="007B5F07" w:rsidRPr="00ED0648">
        <w:rPr>
          <w:rFonts w:ascii="Book Antiqua" w:hAnsi="Book Antiqua" w:cstheme="minorHAnsi"/>
          <w:sz w:val="24"/>
          <w:szCs w:val="24"/>
        </w:rPr>
        <w:t xml:space="preserve">with LNF; </w:t>
      </w:r>
      <w:r w:rsidR="006B5659" w:rsidRPr="00ED0648">
        <w:rPr>
          <w:rFonts w:ascii="Book Antiqua" w:hAnsi="Book Antiqua" w:cstheme="minorHAnsi"/>
          <w:i/>
          <w:iCs/>
          <w:sz w:val="24"/>
          <w:szCs w:val="24"/>
        </w:rPr>
        <w:t>P</w:t>
      </w:r>
      <w:r w:rsidR="007B5F07" w:rsidRPr="00ED0648">
        <w:rPr>
          <w:rFonts w:ascii="Book Antiqua" w:hAnsi="Book Antiqua" w:cstheme="minorHAnsi"/>
          <w:sz w:val="24"/>
          <w:szCs w:val="24"/>
        </w:rPr>
        <w:t xml:space="preserve"> = 0.43)</w:t>
      </w:r>
      <w:r w:rsidR="007B5F07" w:rsidRPr="00ED0648">
        <w:rPr>
          <w:rFonts w:ascii="Book Antiqua" w:hAnsi="Book Antiqua" w:cstheme="minorHAnsi"/>
          <w:sz w:val="24"/>
          <w:szCs w:val="24"/>
          <w:vertAlign w:val="superscript"/>
        </w:rPr>
        <w:t>[35]</w:t>
      </w:r>
      <w:r w:rsidR="007B5F07" w:rsidRPr="00ED0648">
        <w:rPr>
          <w:rFonts w:ascii="Book Antiqua" w:hAnsi="Book Antiqua" w:cstheme="minorHAnsi"/>
          <w:sz w:val="24"/>
          <w:szCs w:val="24"/>
        </w:rPr>
        <w:t>.</w:t>
      </w:r>
      <w:r w:rsidR="008C2AA6" w:rsidRPr="00ED0648">
        <w:rPr>
          <w:rFonts w:ascii="Book Antiqua" w:hAnsi="Book Antiqua" w:cstheme="minorHAnsi"/>
          <w:sz w:val="24"/>
          <w:szCs w:val="24"/>
        </w:rPr>
        <w:t xml:space="preserve"> </w:t>
      </w:r>
      <w:bookmarkEnd w:id="196"/>
      <w:bookmarkEnd w:id="197"/>
      <w:r w:rsidRPr="00ED0648">
        <w:rPr>
          <w:rFonts w:ascii="Book Antiqua" w:hAnsi="Book Antiqua" w:cstheme="minorHAnsi"/>
          <w:sz w:val="24"/>
          <w:szCs w:val="24"/>
        </w:rPr>
        <w:t xml:space="preserve">When performed responsibly and on appropriately-selected patients, MSA can be an </w:t>
      </w:r>
      <w:r w:rsidRPr="00ED0648">
        <w:rPr>
          <w:rFonts w:ascii="Book Antiqua" w:hAnsi="Book Antiqua" w:cstheme="minorHAnsi"/>
          <w:sz w:val="24"/>
          <w:szCs w:val="24"/>
        </w:rPr>
        <w:lastRenderedPageBreak/>
        <w:t>important treatment to optimally control these patients’ reflux disease, thereby increasing their quality of life, and minimizing potential side effects.</w:t>
      </w:r>
    </w:p>
    <w:p w14:paraId="406DFEF6" w14:textId="7BFBE36F" w:rsidR="00094BAF" w:rsidRPr="00ED0648" w:rsidRDefault="00094BAF" w:rsidP="008C42C4">
      <w:pPr>
        <w:adjustRightInd w:val="0"/>
        <w:snapToGrid w:val="0"/>
        <w:spacing w:after="0" w:line="360" w:lineRule="auto"/>
        <w:ind w:firstLineChars="100" w:firstLine="240"/>
        <w:jc w:val="both"/>
        <w:rPr>
          <w:rFonts w:ascii="Book Antiqua" w:hAnsi="Book Antiqua" w:cstheme="minorHAnsi"/>
          <w:sz w:val="24"/>
          <w:szCs w:val="24"/>
        </w:rPr>
      </w:pPr>
      <w:r w:rsidRPr="00ED0648">
        <w:rPr>
          <w:rFonts w:ascii="Book Antiqua" w:hAnsi="Book Antiqua" w:cstheme="minorHAnsi"/>
          <w:sz w:val="24"/>
          <w:szCs w:val="24"/>
        </w:rPr>
        <w:t>In regards to the economic consequences associated with MSA, a meta-analysis by Chen</w:t>
      </w:r>
      <w:r w:rsidRPr="00ED0648">
        <w:rPr>
          <w:rFonts w:ascii="Book Antiqua" w:hAnsi="Book Antiqua" w:cstheme="minorHAnsi"/>
          <w:i/>
          <w:iCs/>
          <w:sz w:val="24"/>
          <w:szCs w:val="24"/>
        </w:rPr>
        <w:t xml:space="preserve"> </w:t>
      </w:r>
      <w:r w:rsidR="00941E7D" w:rsidRPr="00ED0648">
        <w:rPr>
          <w:rFonts w:ascii="Book Antiqua" w:hAnsi="Book Antiqua" w:cstheme="minorHAnsi"/>
          <w:i/>
          <w:iCs/>
          <w:sz w:val="24"/>
          <w:szCs w:val="24"/>
        </w:rPr>
        <w:t>et al</w:t>
      </w:r>
      <w:r w:rsidRPr="00ED0648">
        <w:rPr>
          <w:rFonts w:ascii="Book Antiqua" w:hAnsi="Book Antiqua" w:cstheme="minorHAnsi"/>
          <w:sz w:val="24"/>
          <w:szCs w:val="24"/>
          <w:vertAlign w:val="superscript"/>
        </w:rPr>
        <w:t>[</w:t>
      </w:r>
      <w:r w:rsidR="00C84758" w:rsidRPr="00ED0648">
        <w:rPr>
          <w:rFonts w:ascii="Book Antiqua" w:hAnsi="Book Antiqua" w:cstheme="minorHAnsi"/>
          <w:sz w:val="24"/>
          <w:szCs w:val="24"/>
          <w:vertAlign w:val="superscript"/>
        </w:rPr>
        <w:t>48</w:t>
      </w:r>
      <w:r w:rsidRPr="00ED0648">
        <w:rPr>
          <w:rFonts w:ascii="Book Antiqua" w:hAnsi="Book Antiqua" w:cstheme="minorHAnsi"/>
          <w:sz w:val="24"/>
          <w:szCs w:val="24"/>
          <w:vertAlign w:val="superscript"/>
        </w:rPr>
        <w:t>]</w:t>
      </w:r>
      <w:r w:rsidRPr="00ED0648">
        <w:rPr>
          <w:rFonts w:ascii="Book Antiqua" w:hAnsi="Book Antiqua" w:cstheme="minorHAnsi"/>
          <w:sz w:val="24"/>
          <w:szCs w:val="24"/>
        </w:rPr>
        <w:t xml:space="preserve"> showed that MSA had a significantly shorter operative time (MSA and fundoplication: RR = -18.80 min, 95%CI: -24.57 to -13.04, and </w:t>
      </w:r>
      <w:r w:rsidR="00941E7D" w:rsidRPr="00ED0648">
        <w:rPr>
          <w:rFonts w:ascii="Book Antiqua" w:hAnsi="Book Antiqua" w:cstheme="minorHAnsi"/>
          <w:i/>
          <w:iCs/>
          <w:sz w:val="24"/>
          <w:szCs w:val="24"/>
        </w:rPr>
        <w:t>P</w:t>
      </w:r>
      <w:r w:rsidR="00E22B1C" w:rsidRPr="00ED0648">
        <w:rPr>
          <w:rFonts w:ascii="Book Antiqua" w:hAnsi="Book Antiqua" w:cstheme="minorHAnsi"/>
          <w:sz w:val="24"/>
          <w:szCs w:val="24"/>
        </w:rPr>
        <w:t xml:space="preserve"> </w:t>
      </w:r>
      <w:r w:rsidRPr="00ED0648">
        <w:rPr>
          <w:rFonts w:ascii="Book Antiqua" w:hAnsi="Book Antiqua" w:cstheme="minorHAnsi"/>
          <w:sz w:val="24"/>
          <w:szCs w:val="24"/>
        </w:rPr>
        <w:t>=</w:t>
      </w:r>
      <w:r w:rsidR="00E22B1C" w:rsidRPr="00ED0648">
        <w:rPr>
          <w:rFonts w:ascii="Book Antiqua" w:hAnsi="Book Antiqua" w:cstheme="minorHAnsi"/>
          <w:sz w:val="24"/>
          <w:szCs w:val="24"/>
        </w:rPr>
        <w:t xml:space="preserve"> </w:t>
      </w:r>
      <w:r w:rsidRPr="00ED0648">
        <w:rPr>
          <w:rFonts w:ascii="Book Antiqua" w:hAnsi="Book Antiqua" w:cstheme="minorHAnsi"/>
          <w:sz w:val="24"/>
          <w:szCs w:val="24"/>
        </w:rPr>
        <w:t xml:space="preserve">0.001) and length of stay (RR = -14.21 h, 95%CI: -24.18 to -4.23, and </w:t>
      </w:r>
      <w:r w:rsidR="00941E7D" w:rsidRPr="00ED0648">
        <w:rPr>
          <w:rFonts w:ascii="Book Antiqua" w:hAnsi="Book Antiqua" w:cstheme="minorHAnsi"/>
          <w:i/>
          <w:iCs/>
          <w:sz w:val="24"/>
          <w:szCs w:val="24"/>
        </w:rPr>
        <w:t>P</w:t>
      </w:r>
      <w:r w:rsidR="00E22B1C" w:rsidRPr="00ED0648">
        <w:rPr>
          <w:rFonts w:ascii="Book Antiqua" w:hAnsi="Book Antiqua" w:cstheme="minorHAnsi"/>
          <w:sz w:val="24"/>
          <w:szCs w:val="24"/>
        </w:rPr>
        <w:t xml:space="preserve"> </w:t>
      </w:r>
      <w:r w:rsidRPr="00ED0648">
        <w:rPr>
          <w:rFonts w:ascii="Book Antiqua" w:hAnsi="Book Antiqua" w:cstheme="minorHAnsi"/>
          <w:sz w:val="24"/>
          <w:szCs w:val="24"/>
        </w:rPr>
        <w:t>=</w:t>
      </w:r>
      <w:r w:rsidR="00E22B1C" w:rsidRPr="00ED0648">
        <w:rPr>
          <w:rFonts w:ascii="Book Antiqua" w:hAnsi="Book Antiqua" w:cstheme="minorHAnsi"/>
          <w:sz w:val="24"/>
          <w:szCs w:val="24"/>
        </w:rPr>
        <w:t xml:space="preserve"> </w:t>
      </w:r>
      <w:r w:rsidRPr="00ED0648">
        <w:rPr>
          <w:rFonts w:ascii="Book Antiqua" w:hAnsi="Book Antiqua" w:cstheme="minorHAnsi"/>
          <w:sz w:val="24"/>
          <w:szCs w:val="24"/>
        </w:rPr>
        <w:t>0.005) compared to fundoplication. A retrospective analysis of 1-year outcomes of patients undergoing MSA and LNF by Reynolds</w:t>
      </w:r>
      <w:r w:rsidR="006B5659" w:rsidRPr="00ED0648">
        <w:rPr>
          <w:rFonts w:ascii="Book Antiqua" w:hAnsi="Book Antiqua" w:cstheme="minorHAnsi"/>
          <w:sz w:val="24"/>
          <w:szCs w:val="24"/>
          <w:vertAlign w:val="superscript"/>
        </w:rPr>
        <w:t xml:space="preserve"> </w:t>
      </w:r>
      <w:r w:rsidR="006B5659" w:rsidRPr="00ED0648">
        <w:rPr>
          <w:rFonts w:ascii="Book Antiqua" w:hAnsi="Book Antiqua" w:cstheme="minorHAnsi"/>
          <w:i/>
          <w:iCs/>
          <w:sz w:val="24"/>
          <w:szCs w:val="24"/>
        </w:rPr>
        <w:t>et al</w:t>
      </w:r>
      <w:r w:rsidRPr="00ED0648">
        <w:rPr>
          <w:rFonts w:ascii="Book Antiqua" w:hAnsi="Book Antiqua" w:cstheme="minorHAnsi"/>
          <w:sz w:val="24"/>
          <w:szCs w:val="24"/>
          <w:vertAlign w:val="superscript"/>
        </w:rPr>
        <w:t>[3</w:t>
      </w:r>
      <w:r w:rsidR="007B6344" w:rsidRPr="00ED0648">
        <w:rPr>
          <w:rFonts w:ascii="Book Antiqua" w:hAnsi="Book Antiqua" w:cstheme="minorHAnsi"/>
          <w:sz w:val="24"/>
          <w:szCs w:val="24"/>
          <w:vertAlign w:val="superscript"/>
        </w:rPr>
        <w:t>6</w:t>
      </w:r>
      <w:r w:rsidRPr="00ED0648">
        <w:rPr>
          <w:rFonts w:ascii="Book Antiqua" w:hAnsi="Book Antiqua" w:cstheme="minorHAnsi"/>
          <w:sz w:val="24"/>
          <w:szCs w:val="24"/>
          <w:vertAlign w:val="superscript"/>
        </w:rPr>
        <w:t>]</w:t>
      </w:r>
      <w:r w:rsidRPr="00ED0648">
        <w:rPr>
          <w:rFonts w:ascii="Book Antiqua" w:hAnsi="Book Antiqua" w:cstheme="minorHAnsi"/>
          <w:sz w:val="24"/>
          <w:szCs w:val="24"/>
        </w:rPr>
        <w:t xml:space="preserve"> showed that LNF and MSA were comparable in overall hospital charges ($48491 </w:t>
      </w:r>
      <w:r w:rsidRPr="00ED0648">
        <w:rPr>
          <w:rFonts w:ascii="Book Antiqua" w:hAnsi="Book Antiqua" w:cstheme="minorHAnsi"/>
          <w:i/>
          <w:iCs/>
          <w:sz w:val="24"/>
          <w:szCs w:val="24"/>
        </w:rPr>
        <w:t>vs</w:t>
      </w:r>
      <w:r w:rsidRPr="00ED0648">
        <w:rPr>
          <w:rFonts w:ascii="Book Antiqua" w:hAnsi="Book Antiqua" w:cstheme="minorHAnsi"/>
          <w:sz w:val="24"/>
          <w:szCs w:val="24"/>
        </w:rPr>
        <w:t xml:space="preserve"> $50111, </w:t>
      </w:r>
      <w:r w:rsidR="006B5659" w:rsidRPr="00ED0648">
        <w:rPr>
          <w:rFonts w:ascii="Book Antiqua" w:hAnsi="Book Antiqua" w:cstheme="minorHAnsi"/>
          <w:i/>
          <w:iCs/>
          <w:sz w:val="24"/>
          <w:szCs w:val="24"/>
        </w:rPr>
        <w:t>P</w:t>
      </w:r>
      <w:r w:rsidRPr="00ED0648">
        <w:rPr>
          <w:rFonts w:ascii="Book Antiqua" w:hAnsi="Book Antiqua" w:cstheme="minorHAnsi"/>
          <w:sz w:val="24"/>
          <w:szCs w:val="24"/>
        </w:rPr>
        <w:t xml:space="preserve"> = 0.506). The charge for the MSA device was offset by lower charges in pharmacy/drug use, laboratory/tests/radiology, OR services, anesthesia, and room and board. There were significant differences in OR time (66 min MSA </w:t>
      </w:r>
      <w:r w:rsidRPr="00ED0648">
        <w:rPr>
          <w:rFonts w:ascii="Book Antiqua" w:hAnsi="Book Antiqua" w:cstheme="minorHAnsi"/>
          <w:i/>
          <w:iCs/>
          <w:sz w:val="24"/>
          <w:szCs w:val="24"/>
        </w:rPr>
        <w:t>vs</w:t>
      </w:r>
      <w:r w:rsidRPr="00ED0648">
        <w:rPr>
          <w:rFonts w:ascii="Book Antiqua" w:hAnsi="Book Antiqua" w:cstheme="minorHAnsi"/>
          <w:sz w:val="24"/>
          <w:szCs w:val="24"/>
        </w:rPr>
        <w:t xml:space="preserve"> 82 min LNF, </w:t>
      </w:r>
      <w:r w:rsidR="008C42C4" w:rsidRPr="008C42C4">
        <w:rPr>
          <w:rFonts w:ascii="Book Antiqua" w:hAnsi="Book Antiqua" w:cstheme="minorHAnsi"/>
          <w:i/>
          <w:iCs/>
          <w:sz w:val="24"/>
          <w:szCs w:val="24"/>
        </w:rPr>
        <w:t>P</w:t>
      </w:r>
      <w:r w:rsidRPr="00ED0648">
        <w:rPr>
          <w:rFonts w:ascii="Book Antiqua" w:hAnsi="Book Antiqua" w:cstheme="minorHAnsi"/>
          <w:sz w:val="24"/>
          <w:szCs w:val="24"/>
        </w:rPr>
        <w:t xml:space="preserve"> &lt; 0.01) and LOS (17 h MSA </w:t>
      </w:r>
      <w:r w:rsidRPr="00ED0648">
        <w:rPr>
          <w:rFonts w:ascii="Book Antiqua" w:hAnsi="Book Antiqua" w:cstheme="minorHAnsi"/>
          <w:i/>
          <w:iCs/>
          <w:sz w:val="24"/>
          <w:szCs w:val="24"/>
        </w:rPr>
        <w:t>vs</w:t>
      </w:r>
      <w:r w:rsidRPr="00ED0648">
        <w:rPr>
          <w:rFonts w:ascii="Book Antiqua" w:hAnsi="Book Antiqua" w:cstheme="minorHAnsi"/>
          <w:sz w:val="24"/>
          <w:szCs w:val="24"/>
        </w:rPr>
        <w:t xml:space="preserve"> 38 h LNF, </w:t>
      </w:r>
      <w:r w:rsidR="006B5659" w:rsidRPr="00ED0648">
        <w:rPr>
          <w:rFonts w:ascii="Book Antiqua" w:hAnsi="Book Antiqua" w:cstheme="minorHAnsi"/>
          <w:i/>
          <w:iCs/>
          <w:sz w:val="24"/>
          <w:szCs w:val="24"/>
        </w:rPr>
        <w:t>P</w:t>
      </w:r>
      <w:r w:rsidRPr="00ED0648">
        <w:rPr>
          <w:rFonts w:ascii="Book Antiqua" w:hAnsi="Book Antiqua" w:cstheme="minorHAnsi"/>
          <w:sz w:val="24"/>
          <w:szCs w:val="24"/>
        </w:rPr>
        <w:t xml:space="preserve"> &lt; 0.01).</w:t>
      </w:r>
    </w:p>
    <w:p w14:paraId="40C7CCE0" w14:textId="15BAC834" w:rsidR="008C5A21" w:rsidRPr="00ED0648" w:rsidRDefault="008C5A21" w:rsidP="008C42C4">
      <w:pPr>
        <w:adjustRightInd w:val="0"/>
        <w:snapToGrid w:val="0"/>
        <w:spacing w:after="0" w:line="360" w:lineRule="auto"/>
        <w:ind w:firstLineChars="100" w:firstLine="240"/>
        <w:jc w:val="both"/>
        <w:rPr>
          <w:rFonts w:ascii="Book Antiqua" w:hAnsi="Book Antiqua" w:cstheme="minorHAnsi"/>
          <w:sz w:val="24"/>
          <w:szCs w:val="24"/>
        </w:rPr>
      </w:pPr>
      <w:r w:rsidRPr="00ED0648">
        <w:rPr>
          <w:rFonts w:ascii="Book Antiqua" w:hAnsi="Book Antiqua" w:cstheme="minorHAnsi"/>
          <w:sz w:val="24"/>
          <w:szCs w:val="24"/>
        </w:rPr>
        <w:t>While the outcomes associated with MSA have previously been evaluated, evidence describing the optimal population for MSA and the related GERD patient pathways have not yet been summarized. Proper patient selection is central to obtaining the best possible surgical outcomes in patients with GERD</w:t>
      </w:r>
      <w:r w:rsidRPr="00ED0648">
        <w:rPr>
          <w:rFonts w:ascii="Book Antiqua" w:hAnsi="Book Antiqua" w:cstheme="minorHAnsi"/>
          <w:noProof/>
          <w:sz w:val="24"/>
          <w:szCs w:val="24"/>
          <w:vertAlign w:val="superscript"/>
        </w:rPr>
        <w:t>[</w:t>
      </w:r>
      <w:r w:rsidR="00EB4C8E" w:rsidRPr="00ED0648">
        <w:rPr>
          <w:rFonts w:ascii="Book Antiqua" w:hAnsi="Book Antiqua" w:cstheme="minorHAnsi"/>
          <w:noProof/>
          <w:sz w:val="24"/>
          <w:szCs w:val="24"/>
          <w:vertAlign w:val="superscript"/>
        </w:rPr>
        <w:t>5,</w:t>
      </w:r>
      <w:r w:rsidRPr="00ED0648">
        <w:rPr>
          <w:rFonts w:ascii="Book Antiqua" w:hAnsi="Book Antiqua" w:cstheme="minorHAnsi"/>
          <w:noProof/>
          <w:sz w:val="24"/>
          <w:szCs w:val="24"/>
          <w:vertAlign w:val="superscript"/>
        </w:rPr>
        <w:t>15,</w:t>
      </w:r>
      <w:r w:rsidR="00EB4C8E" w:rsidRPr="00ED0648">
        <w:rPr>
          <w:rFonts w:ascii="Book Antiqua" w:hAnsi="Book Antiqua" w:cstheme="minorHAnsi"/>
          <w:noProof/>
          <w:sz w:val="24"/>
          <w:szCs w:val="24"/>
          <w:vertAlign w:val="superscript"/>
        </w:rPr>
        <w:t>19,</w:t>
      </w:r>
      <w:r w:rsidR="0022616A" w:rsidRPr="00ED0648">
        <w:rPr>
          <w:rFonts w:ascii="Book Antiqua" w:hAnsi="Book Antiqua" w:cstheme="minorHAnsi"/>
          <w:noProof/>
          <w:sz w:val="24"/>
          <w:szCs w:val="24"/>
          <w:vertAlign w:val="superscript"/>
        </w:rPr>
        <w:t>49</w:t>
      </w:r>
      <w:r w:rsidRPr="00ED0648">
        <w:rPr>
          <w:rFonts w:ascii="Book Antiqua" w:hAnsi="Book Antiqua" w:cstheme="minorHAnsi"/>
          <w:noProof/>
          <w:sz w:val="24"/>
          <w:szCs w:val="24"/>
          <w:vertAlign w:val="superscript"/>
        </w:rPr>
        <w:t>]</w:t>
      </w:r>
      <w:r w:rsidRPr="00ED0648">
        <w:rPr>
          <w:rFonts w:ascii="Book Antiqua" w:hAnsi="Book Antiqua" w:cstheme="minorHAnsi"/>
          <w:sz w:val="24"/>
          <w:szCs w:val="24"/>
        </w:rPr>
        <w:t xml:space="preserve">. As such, the purpose of this review is to </w:t>
      </w:r>
      <w:r w:rsidR="00941E7D" w:rsidRPr="00ED0648">
        <w:rPr>
          <w:rFonts w:ascii="Book Antiqua" w:hAnsi="Book Antiqua" w:cstheme="minorHAnsi"/>
          <w:sz w:val="24"/>
          <w:szCs w:val="24"/>
        </w:rPr>
        <w:t>(</w:t>
      </w:r>
      <w:r w:rsidRPr="00ED0648">
        <w:rPr>
          <w:rFonts w:ascii="Book Antiqua" w:hAnsi="Book Antiqua" w:cstheme="minorHAnsi"/>
          <w:sz w:val="24"/>
          <w:szCs w:val="24"/>
        </w:rPr>
        <w:t xml:space="preserve">1) describe the optimal population for MSA; </w:t>
      </w:r>
      <w:r w:rsidR="00941E7D" w:rsidRPr="00ED0648">
        <w:rPr>
          <w:rFonts w:ascii="Book Antiqua" w:hAnsi="Book Antiqua" w:cstheme="minorHAnsi"/>
          <w:sz w:val="24"/>
          <w:szCs w:val="24"/>
        </w:rPr>
        <w:t>(</w:t>
      </w:r>
      <w:r w:rsidRPr="00ED0648">
        <w:rPr>
          <w:rFonts w:ascii="Book Antiqua" w:hAnsi="Book Antiqua" w:cstheme="minorHAnsi"/>
          <w:sz w:val="24"/>
          <w:szCs w:val="24"/>
        </w:rPr>
        <w:t xml:space="preserve">2) delineate the diagnostic evaluation necessary to identify those patients; and </w:t>
      </w:r>
      <w:r w:rsidR="00941E7D" w:rsidRPr="00ED0648">
        <w:rPr>
          <w:rFonts w:ascii="Book Antiqua" w:hAnsi="Book Antiqua" w:cstheme="minorHAnsi"/>
          <w:sz w:val="24"/>
          <w:szCs w:val="24"/>
        </w:rPr>
        <w:t>(</w:t>
      </w:r>
      <w:r w:rsidRPr="00ED0648">
        <w:rPr>
          <w:rFonts w:ascii="Book Antiqua" w:hAnsi="Book Antiqua" w:cstheme="minorHAnsi"/>
          <w:sz w:val="24"/>
          <w:szCs w:val="24"/>
        </w:rPr>
        <w:t xml:space="preserve">3) assess gaps in patient care pathway and identify opportunities to improve care coordination. </w:t>
      </w:r>
    </w:p>
    <w:p w14:paraId="6202B1AC" w14:textId="399F29F7" w:rsidR="006B5659" w:rsidRPr="00ED0648" w:rsidRDefault="008C5A21" w:rsidP="008C42C4">
      <w:pPr>
        <w:adjustRightInd w:val="0"/>
        <w:snapToGrid w:val="0"/>
        <w:spacing w:after="0" w:line="360" w:lineRule="auto"/>
        <w:ind w:firstLineChars="100" w:firstLine="240"/>
        <w:jc w:val="both"/>
        <w:rPr>
          <w:rFonts w:ascii="Book Antiqua" w:hAnsi="Book Antiqua" w:cstheme="minorHAnsi"/>
          <w:sz w:val="24"/>
          <w:szCs w:val="24"/>
        </w:rPr>
      </w:pPr>
      <w:r w:rsidRPr="00ED0648">
        <w:rPr>
          <w:rFonts w:ascii="Book Antiqua" w:hAnsi="Book Antiqua" w:cstheme="minorHAnsi"/>
          <w:sz w:val="24"/>
          <w:szCs w:val="24"/>
        </w:rPr>
        <w:t xml:space="preserve">A narrative literature review was undertaken to obtain a comprehensive and critical analysis of the current knowledge on the topic. </w:t>
      </w:r>
    </w:p>
    <w:p w14:paraId="2A19AF9D" w14:textId="77777777" w:rsidR="00941E7D" w:rsidRPr="00ED0648" w:rsidRDefault="00941E7D" w:rsidP="00ED0648">
      <w:pPr>
        <w:adjustRightInd w:val="0"/>
        <w:snapToGrid w:val="0"/>
        <w:spacing w:after="0" w:line="360" w:lineRule="auto"/>
        <w:jc w:val="both"/>
        <w:rPr>
          <w:rFonts w:ascii="Book Antiqua" w:hAnsi="Book Antiqua" w:cstheme="minorHAnsi"/>
          <w:sz w:val="24"/>
          <w:szCs w:val="24"/>
        </w:rPr>
      </w:pPr>
    </w:p>
    <w:p w14:paraId="35A26646" w14:textId="169A3EA6" w:rsidR="008C5A21" w:rsidRPr="00ED0648" w:rsidRDefault="008C5A21" w:rsidP="00ED0648">
      <w:pPr>
        <w:adjustRightInd w:val="0"/>
        <w:snapToGrid w:val="0"/>
        <w:spacing w:after="0" w:line="360" w:lineRule="auto"/>
        <w:jc w:val="both"/>
        <w:rPr>
          <w:rFonts w:ascii="Book Antiqua" w:hAnsi="Book Antiqua" w:cstheme="minorHAnsi"/>
          <w:b/>
          <w:bCs/>
          <w:i/>
          <w:iCs/>
          <w:sz w:val="24"/>
          <w:szCs w:val="24"/>
        </w:rPr>
      </w:pPr>
      <w:r w:rsidRPr="00ED0648">
        <w:rPr>
          <w:rFonts w:ascii="Book Antiqua" w:hAnsi="Book Antiqua" w:cstheme="minorHAnsi"/>
          <w:b/>
          <w:bCs/>
          <w:i/>
          <w:iCs/>
          <w:sz w:val="24"/>
          <w:szCs w:val="24"/>
        </w:rPr>
        <w:t>Data</w:t>
      </w:r>
      <w:r w:rsidR="00941E7D" w:rsidRPr="00ED0648">
        <w:rPr>
          <w:rFonts w:ascii="Book Antiqua" w:hAnsi="Book Antiqua" w:cstheme="minorHAnsi"/>
          <w:b/>
          <w:bCs/>
          <w:i/>
          <w:iCs/>
          <w:sz w:val="24"/>
          <w:szCs w:val="24"/>
        </w:rPr>
        <w:t xml:space="preserve"> sources and searches</w:t>
      </w:r>
    </w:p>
    <w:p w14:paraId="27E823C8" w14:textId="512207AF" w:rsidR="00941E7D" w:rsidRPr="00ED0648" w:rsidRDefault="008C5A21" w:rsidP="00ED0648">
      <w:pPr>
        <w:adjustRightInd w:val="0"/>
        <w:snapToGrid w:val="0"/>
        <w:spacing w:after="0" w:line="360" w:lineRule="auto"/>
        <w:jc w:val="both"/>
        <w:rPr>
          <w:rFonts w:ascii="Book Antiqua" w:hAnsi="Book Antiqua" w:cstheme="minorHAnsi"/>
          <w:sz w:val="24"/>
          <w:szCs w:val="24"/>
        </w:rPr>
      </w:pPr>
      <w:r w:rsidRPr="00ED0648">
        <w:rPr>
          <w:rFonts w:ascii="Book Antiqua" w:hAnsi="Book Antiqua" w:cstheme="minorHAnsi"/>
          <w:sz w:val="24"/>
          <w:szCs w:val="24"/>
        </w:rPr>
        <w:t xml:space="preserve">Comprehensive searches of the literature were performed using the Medline (PubMed) and EMBASE databases with the timeframe of January 1, 2000 to December 16, 2018. A search for guidelines available from the National Guideline Clearinghouse (NGS) was also conducted. Search terms utilized in the literature search included: ‘gastroesophageal reflux disease’, ‘GERD’, ‘refractory’, ‘surgery’, ‘magnetic sphincter augmentation’, ‘LINX’, ‘fundoplication’, ‘Nissen’, ‘pH monitoring’, ‘manometry’, ‘lower esophageal </w:t>
      </w:r>
      <w:r w:rsidRPr="00ED0648">
        <w:rPr>
          <w:rFonts w:ascii="Book Antiqua" w:hAnsi="Book Antiqua" w:cstheme="minorHAnsi"/>
          <w:sz w:val="24"/>
          <w:szCs w:val="24"/>
        </w:rPr>
        <w:lastRenderedPageBreak/>
        <w:t>sphincter’, and ‘mechanical’. Reference lists of selected studies were also reviewed for possible additional articles.</w:t>
      </w:r>
    </w:p>
    <w:p w14:paraId="218D9ABE" w14:textId="77777777" w:rsidR="00941E7D" w:rsidRPr="00ED0648" w:rsidRDefault="00941E7D" w:rsidP="00ED0648">
      <w:pPr>
        <w:adjustRightInd w:val="0"/>
        <w:snapToGrid w:val="0"/>
        <w:spacing w:after="0" w:line="360" w:lineRule="auto"/>
        <w:jc w:val="both"/>
        <w:rPr>
          <w:rFonts w:ascii="Book Antiqua" w:hAnsi="Book Antiqua" w:cstheme="minorHAnsi"/>
          <w:sz w:val="24"/>
          <w:szCs w:val="24"/>
        </w:rPr>
      </w:pPr>
    </w:p>
    <w:p w14:paraId="06852BA5" w14:textId="1B84CFBB" w:rsidR="008C5A21" w:rsidRPr="00ED0648" w:rsidRDefault="008C5A21" w:rsidP="00ED0648">
      <w:pPr>
        <w:adjustRightInd w:val="0"/>
        <w:snapToGrid w:val="0"/>
        <w:spacing w:after="0" w:line="360" w:lineRule="auto"/>
        <w:jc w:val="both"/>
        <w:rPr>
          <w:rFonts w:ascii="Book Antiqua" w:hAnsi="Book Antiqua" w:cstheme="minorHAnsi"/>
          <w:b/>
          <w:bCs/>
          <w:i/>
          <w:iCs/>
          <w:sz w:val="24"/>
          <w:szCs w:val="24"/>
        </w:rPr>
      </w:pPr>
      <w:r w:rsidRPr="00ED0648">
        <w:rPr>
          <w:rFonts w:ascii="Book Antiqua" w:hAnsi="Book Antiqua" w:cstheme="minorHAnsi"/>
          <w:b/>
          <w:bCs/>
          <w:i/>
          <w:iCs/>
          <w:sz w:val="24"/>
          <w:szCs w:val="24"/>
        </w:rPr>
        <w:t>Study</w:t>
      </w:r>
      <w:r w:rsidR="00941E7D" w:rsidRPr="00ED0648">
        <w:rPr>
          <w:rFonts w:ascii="Book Antiqua" w:hAnsi="Book Antiqua" w:cstheme="minorHAnsi"/>
          <w:b/>
          <w:bCs/>
          <w:i/>
          <w:iCs/>
          <w:sz w:val="24"/>
          <w:szCs w:val="24"/>
        </w:rPr>
        <w:t xml:space="preserve"> selection criter</w:t>
      </w:r>
      <w:r w:rsidRPr="00ED0648">
        <w:rPr>
          <w:rFonts w:ascii="Book Antiqua" w:hAnsi="Book Antiqua" w:cstheme="minorHAnsi"/>
          <w:b/>
          <w:bCs/>
          <w:i/>
          <w:iCs/>
          <w:sz w:val="24"/>
          <w:szCs w:val="24"/>
        </w:rPr>
        <w:t>ia</w:t>
      </w:r>
    </w:p>
    <w:p w14:paraId="3DE81722" w14:textId="77777777" w:rsidR="008C5A21" w:rsidRPr="00ED0648" w:rsidRDefault="008C5A21" w:rsidP="00ED0648">
      <w:pPr>
        <w:adjustRightInd w:val="0"/>
        <w:snapToGrid w:val="0"/>
        <w:spacing w:after="0" w:line="360" w:lineRule="auto"/>
        <w:jc w:val="both"/>
        <w:rPr>
          <w:rFonts w:ascii="Book Antiqua" w:hAnsi="Book Antiqua" w:cstheme="minorHAnsi"/>
          <w:sz w:val="24"/>
          <w:szCs w:val="24"/>
        </w:rPr>
      </w:pPr>
      <w:r w:rsidRPr="00ED0648">
        <w:rPr>
          <w:rFonts w:ascii="Book Antiqua" w:hAnsi="Book Antiqua" w:cstheme="minorHAnsi"/>
          <w:sz w:val="24"/>
          <w:szCs w:val="24"/>
        </w:rPr>
        <w:t>Study and guideline inclusion criteria were publications that presented evidence for current treatment pathways of patients with GERD. Exclusion criteria included publication of abstracts only, case reports, letters, or commentaries; animal studies; languages other than English; duplicate studies; and studies that did not evaluate the patient population of interest (</w:t>
      </w:r>
      <w:r w:rsidRPr="00ED0648">
        <w:rPr>
          <w:rFonts w:ascii="Book Antiqua" w:hAnsi="Book Antiqua" w:cstheme="minorHAnsi"/>
          <w:i/>
          <w:iCs/>
          <w:sz w:val="24"/>
          <w:szCs w:val="24"/>
        </w:rPr>
        <w:t>e.g</w:t>
      </w:r>
      <w:r w:rsidRPr="00ED0648">
        <w:rPr>
          <w:rFonts w:ascii="Book Antiqua" w:hAnsi="Book Antiqua" w:cstheme="minorHAnsi"/>
          <w:sz w:val="24"/>
          <w:szCs w:val="24"/>
        </w:rPr>
        <w:t>., malignancy, any form of esophageal dysmotility, achalasia and scleroderma). After removing excluded abstracts, full articles were obtained, and studies were screened again more thoroughly using the same exclusion criteria. A total of 86 articles were identified for inclusion in this narrative review. Studies were assessed for quality; the study types (designs) used to address the research questions were: Level I – randomized controlled trials; Level II – prospective, non-randomized trials; Level III – retrospective comparative studies; Level IV – single-arm case series; and Level V – expert opinion.</w:t>
      </w:r>
    </w:p>
    <w:p w14:paraId="0BCC440E" w14:textId="77777777" w:rsidR="008C5A21" w:rsidRPr="00ED0648" w:rsidRDefault="008C5A21" w:rsidP="00ED0648">
      <w:pPr>
        <w:adjustRightInd w:val="0"/>
        <w:snapToGrid w:val="0"/>
        <w:spacing w:after="0" w:line="360" w:lineRule="auto"/>
        <w:jc w:val="both"/>
        <w:rPr>
          <w:rFonts w:ascii="Book Antiqua" w:hAnsi="Book Antiqua" w:cstheme="minorHAnsi"/>
          <w:sz w:val="24"/>
          <w:szCs w:val="24"/>
        </w:rPr>
      </w:pPr>
    </w:p>
    <w:p w14:paraId="365B7240" w14:textId="6133D903" w:rsidR="008C5A21" w:rsidRPr="00ED0648" w:rsidRDefault="00941E7D" w:rsidP="00ED0648">
      <w:pPr>
        <w:pStyle w:val="p"/>
        <w:shd w:val="clear" w:color="auto" w:fill="FFFFFF"/>
        <w:adjustRightInd w:val="0"/>
        <w:snapToGrid w:val="0"/>
        <w:spacing w:before="0" w:beforeAutospacing="0" w:after="0" w:afterAutospacing="0" w:line="360" w:lineRule="auto"/>
        <w:jc w:val="both"/>
        <w:rPr>
          <w:rFonts w:ascii="Book Antiqua" w:hAnsi="Book Antiqua" w:cstheme="minorHAnsi"/>
          <w:b/>
        </w:rPr>
      </w:pPr>
      <w:r w:rsidRPr="00ED0648">
        <w:rPr>
          <w:rFonts w:ascii="Book Antiqua" w:hAnsi="Book Antiqua" w:cstheme="minorHAnsi"/>
          <w:b/>
        </w:rPr>
        <w:t>FINDINGS-TARGET POPULATION AND REFERRAL PATHWAYS FOR MSA</w:t>
      </w:r>
    </w:p>
    <w:p w14:paraId="6D3ADEAF" w14:textId="0452B67C" w:rsidR="008C5A21" w:rsidRPr="00ED0648" w:rsidDel="00D529CC" w:rsidRDefault="008C5A21" w:rsidP="00ED0648">
      <w:pPr>
        <w:pStyle w:val="3"/>
        <w:keepNext w:val="0"/>
        <w:keepLines w:val="0"/>
        <w:widowControl w:val="0"/>
        <w:adjustRightInd w:val="0"/>
        <w:snapToGrid w:val="0"/>
        <w:spacing w:before="0" w:line="360" w:lineRule="auto"/>
        <w:jc w:val="both"/>
        <w:rPr>
          <w:rFonts w:ascii="Book Antiqua" w:hAnsi="Book Antiqua" w:cstheme="minorHAnsi"/>
          <w:b/>
          <w:bCs/>
          <w:i/>
          <w:iCs/>
          <w:color w:val="auto"/>
        </w:rPr>
      </w:pPr>
      <w:r w:rsidRPr="00ED0648">
        <w:rPr>
          <w:rFonts w:ascii="Book Antiqua" w:hAnsi="Book Antiqua" w:cstheme="minorHAnsi"/>
          <w:b/>
          <w:bCs/>
          <w:i/>
          <w:iCs/>
          <w:color w:val="auto"/>
        </w:rPr>
        <w:t>Describing the</w:t>
      </w:r>
      <w:r w:rsidR="00AC15D1" w:rsidRPr="00ED0648" w:rsidDel="00D529CC">
        <w:rPr>
          <w:rFonts w:ascii="Book Antiqua" w:hAnsi="Book Antiqua" w:cstheme="minorHAnsi"/>
          <w:b/>
          <w:bCs/>
          <w:i/>
          <w:iCs/>
          <w:color w:val="auto"/>
        </w:rPr>
        <w:t xml:space="preserve"> target population </w:t>
      </w:r>
      <w:r w:rsidR="00AC15D1" w:rsidRPr="00ED0648">
        <w:rPr>
          <w:rFonts w:ascii="Book Antiqua" w:hAnsi="Book Antiqua" w:cstheme="minorHAnsi"/>
          <w:b/>
          <w:bCs/>
          <w:i/>
          <w:iCs/>
          <w:color w:val="auto"/>
        </w:rPr>
        <w:t xml:space="preserve">potentially eligible </w:t>
      </w:r>
      <w:r w:rsidR="00AC15D1" w:rsidRPr="00ED0648" w:rsidDel="00D529CC">
        <w:rPr>
          <w:rFonts w:ascii="Book Antiqua" w:hAnsi="Book Antiqua" w:cstheme="minorHAnsi"/>
          <w:b/>
          <w:bCs/>
          <w:i/>
          <w:iCs/>
          <w:color w:val="auto"/>
        </w:rPr>
        <w:t xml:space="preserve">for </w:t>
      </w:r>
      <w:r w:rsidR="00AC15D1" w:rsidRPr="00ED0648">
        <w:rPr>
          <w:rFonts w:ascii="Book Antiqua" w:hAnsi="Book Antiqua" w:cstheme="minorHAnsi"/>
          <w:b/>
          <w:bCs/>
          <w:i/>
          <w:iCs/>
          <w:color w:val="auto"/>
        </w:rPr>
        <w:t xml:space="preserve">anti-reflux </w:t>
      </w:r>
      <w:r w:rsidR="00AC15D1" w:rsidRPr="00ED0648" w:rsidDel="00D529CC">
        <w:rPr>
          <w:rFonts w:ascii="Book Antiqua" w:hAnsi="Book Antiqua" w:cstheme="minorHAnsi"/>
          <w:b/>
          <w:bCs/>
          <w:i/>
          <w:iCs/>
          <w:color w:val="auto"/>
        </w:rPr>
        <w:t>sur</w:t>
      </w:r>
      <w:r w:rsidRPr="00ED0648" w:rsidDel="00D529CC">
        <w:rPr>
          <w:rFonts w:ascii="Book Antiqua" w:hAnsi="Book Antiqua" w:cstheme="minorHAnsi"/>
          <w:b/>
          <w:bCs/>
          <w:i/>
          <w:iCs/>
          <w:color w:val="auto"/>
        </w:rPr>
        <w:t>gery</w:t>
      </w:r>
    </w:p>
    <w:p w14:paraId="067DCCD3" w14:textId="3C9AD527" w:rsidR="008C5A21" w:rsidRPr="00ED0648" w:rsidRDefault="008C5A21" w:rsidP="00ED0648">
      <w:pPr>
        <w:pStyle w:val="3"/>
        <w:keepNext w:val="0"/>
        <w:keepLines w:val="0"/>
        <w:widowControl w:val="0"/>
        <w:adjustRightInd w:val="0"/>
        <w:snapToGrid w:val="0"/>
        <w:spacing w:before="0" w:line="360" w:lineRule="auto"/>
        <w:jc w:val="both"/>
        <w:rPr>
          <w:rFonts w:ascii="Book Antiqua" w:hAnsi="Book Antiqua" w:cstheme="minorHAnsi"/>
          <w:color w:val="auto"/>
        </w:rPr>
      </w:pPr>
      <w:r w:rsidRPr="00ED0648">
        <w:rPr>
          <w:rFonts w:ascii="Book Antiqua" w:hAnsi="Book Antiqua" w:cstheme="minorHAnsi"/>
          <w:color w:val="auto"/>
        </w:rPr>
        <w:t>GERD can have significant potential complications such as erosive esophagitis, Barrett’s esophagus, and esophageal adenocarcinoma</w:t>
      </w:r>
      <w:r w:rsidRPr="00ED0648">
        <w:rPr>
          <w:rFonts w:ascii="Book Antiqua" w:hAnsi="Book Antiqua" w:cstheme="minorHAnsi"/>
          <w:noProof/>
          <w:color w:val="auto"/>
          <w:vertAlign w:val="superscript"/>
        </w:rPr>
        <w:t>[</w:t>
      </w:r>
      <w:r w:rsidR="007B6344" w:rsidRPr="00ED0648">
        <w:rPr>
          <w:rFonts w:ascii="Book Antiqua" w:hAnsi="Book Antiqua" w:cstheme="minorHAnsi"/>
          <w:noProof/>
          <w:color w:val="auto"/>
          <w:vertAlign w:val="superscript"/>
        </w:rPr>
        <w:t>5</w:t>
      </w:r>
      <w:r w:rsidR="0022616A" w:rsidRPr="00ED0648">
        <w:rPr>
          <w:rFonts w:ascii="Book Antiqua" w:hAnsi="Book Antiqua" w:cstheme="minorHAnsi"/>
          <w:noProof/>
          <w:color w:val="auto"/>
          <w:vertAlign w:val="superscript"/>
        </w:rPr>
        <w:t>0</w:t>
      </w:r>
      <w:r w:rsidRPr="00ED0648">
        <w:rPr>
          <w:rFonts w:ascii="Book Antiqua" w:hAnsi="Book Antiqua" w:cstheme="minorHAnsi"/>
          <w:noProof/>
          <w:color w:val="auto"/>
          <w:vertAlign w:val="superscript"/>
        </w:rPr>
        <w:t>]</w:t>
      </w:r>
      <w:r w:rsidRPr="00ED0648">
        <w:rPr>
          <w:rFonts w:ascii="Book Antiqua" w:hAnsi="Book Antiqua" w:cstheme="minorHAnsi"/>
          <w:color w:val="auto"/>
        </w:rPr>
        <w:t>.</w:t>
      </w:r>
      <w:r w:rsidRPr="00ED0648" w:rsidDel="00D529CC">
        <w:rPr>
          <w:rFonts w:ascii="Book Antiqua" w:hAnsi="Book Antiqua" w:cstheme="minorHAnsi"/>
          <w:color w:val="auto"/>
        </w:rPr>
        <w:t xml:space="preserve"> Persistent reflux symptoms, despite PPI therapy, </w:t>
      </w:r>
      <w:r w:rsidRPr="00ED0648">
        <w:rPr>
          <w:rFonts w:ascii="Book Antiqua" w:hAnsi="Book Antiqua" w:cstheme="minorHAnsi"/>
          <w:color w:val="auto"/>
        </w:rPr>
        <w:t>have been associated with debilitating</w:t>
      </w:r>
      <w:r w:rsidRPr="00ED0648" w:rsidDel="00D529CC">
        <w:rPr>
          <w:rFonts w:ascii="Book Antiqua" w:hAnsi="Book Antiqua" w:cstheme="minorHAnsi"/>
          <w:color w:val="auto"/>
        </w:rPr>
        <w:t xml:space="preserve"> </w:t>
      </w:r>
      <w:r w:rsidRPr="00ED0648">
        <w:rPr>
          <w:rFonts w:ascii="Book Antiqua" w:hAnsi="Book Antiqua" w:cstheme="minorHAnsi"/>
          <w:color w:val="auto"/>
        </w:rPr>
        <w:t xml:space="preserve">comorbidities including </w:t>
      </w:r>
      <w:r w:rsidRPr="00ED0648" w:rsidDel="00D529CC">
        <w:rPr>
          <w:rFonts w:ascii="Book Antiqua" w:hAnsi="Book Antiqua" w:cstheme="minorHAnsi"/>
          <w:color w:val="auto"/>
        </w:rPr>
        <w:t>mental health disorders, sleep disorders, and psychological distress to patients</w:t>
      </w:r>
      <w:r w:rsidRPr="00ED0648">
        <w:rPr>
          <w:rFonts w:ascii="Book Antiqua" w:hAnsi="Book Antiqua" w:cstheme="minorHAnsi"/>
          <w:noProof/>
          <w:color w:val="auto"/>
          <w:vertAlign w:val="superscript"/>
        </w:rPr>
        <w:t>[</w:t>
      </w:r>
      <w:r w:rsidR="007B6344" w:rsidRPr="00ED0648">
        <w:rPr>
          <w:rFonts w:ascii="Book Antiqua" w:hAnsi="Book Antiqua" w:cstheme="minorHAnsi"/>
          <w:noProof/>
          <w:color w:val="auto"/>
          <w:vertAlign w:val="superscript"/>
        </w:rPr>
        <w:t>5</w:t>
      </w:r>
      <w:r w:rsidR="0022616A" w:rsidRPr="00ED0648">
        <w:rPr>
          <w:rFonts w:ascii="Book Antiqua" w:hAnsi="Book Antiqua" w:cstheme="minorHAnsi"/>
          <w:noProof/>
          <w:color w:val="auto"/>
          <w:vertAlign w:val="superscript"/>
        </w:rPr>
        <w:t>1</w:t>
      </w:r>
      <w:r w:rsidRPr="00ED0648">
        <w:rPr>
          <w:rFonts w:ascii="Book Antiqua" w:hAnsi="Book Antiqua" w:cstheme="minorHAnsi"/>
          <w:noProof/>
          <w:color w:val="auto"/>
          <w:vertAlign w:val="superscript"/>
        </w:rPr>
        <w:t>,</w:t>
      </w:r>
      <w:r w:rsidR="007B6344" w:rsidRPr="00ED0648">
        <w:rPr>
          <w:rFonts w:ascii="Book Antiqua" w:hAnsi="Book Antiqua" w:cstheme="minorHAnsi"/>
          <w:noProof/>
          <w:color w:val="auto"/>
          <w:vertAlign w:val="superscript"/>
        </w:rPr>
        <w:t>5</w:t>
      </w:r>
      <w:r w:rsidR="0022616A" w:rsidRPr="00ED0648">
        <w:rPr>
          <w:rFonts w:ascii="Book Antiqua" w:hAnsi="Book Antiqua" w:cstheme="minorHAnsi"/>
          <w:noProof/>
          <w:color w:val="auto"/>
          <w:vertAlign w:val="superscript"/>
        </w:rPr>
        <w:t>2</w:t>
      </w:r>
      <w:r w:rsidRPr="00ED0648">
        <w:rPr>
          <w:rFonts w:ascii="Book Antiqua" w:hAnsi="Book Antiqua" w:cstheme="minorHAnsi"/>
          <w:noProof/>
          <w:color w:val="auto"/>
          <w:vertAlign w:val="superscript"/>
        </w:rPr>
        <w:t>]</w:t>
      </w:r>
      <w:r w:rsidRPr="00ED0648">
        <w:rPr>
          <w:rFonts w:ascii="Book Antiqua" w:hAnsi="Book Antiqua" w:cstheme="minorHAnsi"/>
          <w:color w:val="auto"/>
        </w:rPr>
        <w:t>. Additionally, GERD is known to negatively impact health related quality of life, work productivity, and overall healthcare resource utilization</w:t>
      </w:r>
      <w:r w:rsidRPr="00ED0648">
        <w:rPr>
          <w:rFonts w:ascii="Book Antiqua" w:hAnsi="Book Antiqua" w:cstheme="minorHAnsi"/>
          <w:noProof/>
          <w:color w:val="auto"/>
          <w:vertAlign w:val="superscript"/>
        </w:rPr>
        <w:t>[5</w:t>
      </w:r>
      <w:r w:rsidR="0022616A" w:rsidRPr="00ED0648">
        <w:rPr>
          <w:rFonts w:ascii="Book Antiqua" w:hAnsi="Book Antiqua" w:cstheme="minorHAnsi"/>
          <w:noProof/>
          <w:color w:val="auto"/>
          <w:vertAlign w:val="superscript"/>
        </w:rPr>
        <w:t>3</w:t>
      </w:r>
      <w:r w:rsidRPr="00ED0648">
        <w:rPr>
          <w:rFonts w:ascii="Book Antiqua" w:hAnsi="Book Antiqua" w:cstheme="minorHAnsi"/>
          <w:noProof/>
          <w:color w:val="auto"/>
          <w:vertAlign w:val="superscript"/>
        </w:rPr>
        <w:t>]</w:t>
      </w:r>
      <w:r w:rsidRPr="00ED0648">
        <w:rPr>
          <w:rFonts w:ascii="Book Antiqua" w:hAnsi="Book Antiqua" w:cstheme="minorHAnsi"/>
          <w:color w:val="auto"/>
        </w:rPr>
        <w:t>.</w:t>
      </w:r>
    </w:p>
    <w:p w14:paraId="232767D6" w14:textId="687B1E1C" w:rsidR="008C5A21" w:rsidRPr="00ED0648" w:rsidRDefault="008C5A21" w:rsidP="008C42C4">
      <w:pPr>
        <w:adjustRightInd w:val="0"/>
        <w:snapToGrid w:val="0"/>
        <w:spacing w:after="0" w:line="360" w:lineRule="auto"/>
        <w:ind w:firstLineChars="100" w:firstLine="240"/>
        <w:jc w:val="both"/>
        <w:rPr>
          <w:rFonts w:ascii="Book Antiqua" w:hAnsi="Book Antiqua" w:cstheme="minorHAnsi"/>
          <w:sz w:val="24"/>
          <w:szCs w:val="24"/>
        </w:rPr>
      </w:pPr>
      <w:r w:rsidRPr="00ED0648">
        <w:rPr>
          <w:rFonts w:ascii="Book Antiqua" w:hAnsi="Book Antiqua" w:cstheme="minorHAnsi"/>
          <w:sz w:val="24"/>
          <w:szCs w:val="24"/>
        </w:rPr>
        <w:t>While there is evidence that acid-suppressive drugs reduce the acidic content of refluxate, abnormal reflux continues and associated symptoms such as regurgitation and respiratory symptoms are often not controlled with medical management</w:t>
      </w:r>
      <w:r w:rsidRPr="00ED0648">
        <w:rPr>
          <w:rFonts w:ascii="Book Antiqua" w:hAnsi="Book Antiqua" w:cstheme="minorHAnsi"/>
          <w:noProof/>
          <w:sz w:val="24"/>
          <w:szCs w:val="24"/>
          <w:vertAlign w:val="superscript"/>
        </w:rPr>
        <w:t>[5</w:t>
      </w:r>
      <w:r w:rsidR="0022616A" w:rsidRPr="00ED0648">
        <w:rPr>
          <w:rFonts w:ascii="Book Antiqua" w:hAnsi="Book Antiqua" w:cstheme="minorHAnsi"/>
          <w:noProof/>
          <w:sz w:val="24"/>
          <w:szCs w:val="24"/>
          <w:vertAlign w:val="superscript"/>
        </w:rPr>
        <w:t>4</w:t>
      </w:r>
      <w:r w:rsidRPr="00ED0648">
        <w:rPr>
          <w:rFonts w:ascii="Book Antiqua" w:hAnsi="Book Antiqua" w:cstheme="minorHAnsi"/>
          <w:noProof/>
          <w:sz w:val="24"/>
          <w:szCs w:val="24"/>
          <w:vertAlign w:val="superscript"/>
        </w:rPr>
        <w:t>]</w:t>
      </w:r>
      <w:r w:rsidRPr="00ED0648">
        <w:rPr>
          <w:rFonts w:ascii="Book Antiqua" w:hAnsi="Book Antiqua" w:cstheme="minorHAnsi"/>
          <w:sz w:val="24"/>
          <w:szCs w:val="24"/>
        </w:rPr>
        <w:t>. Between 30</w:t>
      </w:r>
      <w:r w:rsidR="008C42C4">
        <w:rPr>
          <w:rFonts w:ascii="Book Antiqua" w:hAnsi="Book Antiqua" w:cstheme="minorHAnsi"/>
          <w:sz w:val="24"/>
          <w:szCs w:val="24"/>
        </w:rPr>
        <w:t>%</w:t>
      </w:r>
      <w:r w:rsidRPr="00ED0648">
        <w:rPr>
          <w:rFonts w:ascii="Book Antiqua" w:hAnsi="Book Antiqua" w:cstheme="minorHAnsi"/>
          <w:sz w:val="24"/>
          <w:szCs w:val="24"/>
        </w:rPr>
        <w:t xml:space="preserve">-40% of patients on PPI therapy (even those on double-dose therapy) continue to </w:t>
      </w:r>
      <w:r w:rsidRPr="00ED0648">
        <w:rPr>
          <w:rFonts w:ascii="Book Antiqua" w:hAnsi="Book Antiqua" w:cstheme="minorHAnsi"/>
          <w:sz w:val="24"/>
          <w:szCs w:val="24"/>
        </w:rPr>
        <w:lastRenderedPageBreak/>
        <w:t>experience heartburn or regurgitation symptoms despite adequate healing of esophagitis</w:t>
      </w:r>
      <w:r w:rsidRPr="00ED0648">
        <w:rPr>
          <w:rFonts w:ascii="Book Antiqua" w:hAnsi="Book Antiqua" w:cstheme="minorHAnsi"/>
          <w:noProof/>
          <w:sz w:val="24"/>
          <w:szCs w:val="24"/>
          <w:vertAlign w:val="superscript"/>
        </w:rPr>
        <w:t>[5</w:t>
      </w:r>
      <w:r w:rsidR="0022616A" w:rsidRPr="00ED0648">
        <w:rPr>
          <w:rFonts w:ascii="Book Antiqua" w:hAnsi="Book Antiqua" w:cstheme="minorHAnsi"/>
          <w:noProof/>
          <w:sz w:val="24"/>
          <w:szCs w:val="24"/>
          <w:vertAlign w:val="superscript"/>
        </w:rPr>
        <w:t>5</w:t>
      </w:r>
      <w:r w:rsidRPr="00ED0648">
        <w:rPr>
          <w:rFonts w:ascii="Book Antiqua" w:hAnsi="Book Antiqua" w:cstheme="minorHAnsi"/>
          <w:noProof/>
          <w:sz w:val="24"/>
          <w:szCs w:val="24"/>
          <w:vertAlign w:val="superscript"/>
        </w:rPr>
        <w:t>]</w:t>
      </w:r>
      <w:r w:rsidRPr="00ED0648">
        <w:rPr>
          <w:rFonts w:ascii="Book Antiqua" w:hAnsi="Book Antiqua" w:cstheme="minorHAnsi"/>
          <w:sz w:val="24"/>
          <w:szCs w:val="24"/>
        </w:rPr>
        <w:t>. Treatment in clinical practice has been primarily focused on increasing escalation of the PPI dose and/or frequency, or supplementing with additional anti-acid medications</w:t>
      </w:r>
      <w:r w:rsidRPr="00ED0648">
        <w:rPr>
          <w:rFonts w:ascii="Book Antiqua" w:hAnsi="Book Antiqua" w:cstheme="minorHAnsi"/>
          <w:noProof/>
          <w:sz w:val="24"/>
          <w:szCs w:val="24"/>
          <w:vertAlign w:val="superscript"/>
        </w:rPr>
        <w:t>[5</w:t>
      </w:r>
      <w:r w:rsidR="0022616A" w:rsidRPr="00ED0648">
        <w:rPr>
          <w:rFonts w:ascii="Book Antiqua" w:hAnsi="Book Antiqua" w:cstheme="minorHAnsi"/>
          <w:noProof/>
          <w:sz w:val="24"/>
          <w:szCs w:val="24"/>
          <w:vertAlign w:val="superscript"/>
        </w:rPr>
        <w:t>6</w:t>
      </w:r>
      <w:r w:rsidRPr="00ED0648">
        <w:rPr>
          <w:rFonts w:ascii="Book Antiqua" w:hAnsi="Book Antiqua" w:cstheme="minorHAnsi"/>
          <w:noProof/>
          <w:sz w:val="24"/>
          <w:szCs w:val="24"/>
          <w:vertAlign w:val="superscript"/>
        </w:rPr>
        <w:t>]</w:t>
      </w:r>
      <w:r w:rsidRPr="00ED0648">
        <w:rPr>
          <w:rFonts w:ascii="Book Antiqua" w:hAnsi="Book Antiqua" w:cstheme="minorHAnsi"/>
          <w:sz w:val="24"/>
          <w:szCs w:val="24"/>
        </w:rPr>
        <w:t>. In patients who failed twice daily PPI, alternative treatments range from lifestyle and diet modification, weight loss, medical treatment with a focus on controlling the frequency of tLESRs, attenuating esophageal pain perception using visceral analgesics, cognitive behavior therapy, and anti-reflux surgery</w:t>
      </w:r>
      <w:r w:rsidRPr="00ED0648">
        <w:rPr>
          <w:rFonts w:ascii="Book Antiqua" w:hAnsi="Book Antiqua" w:cstheme="minorHAnsi"/>
          <w:noProof/>
          <w:sz w:val="24"/>
          <w:szCs w:val="24"/>
          <w:vertAlign w:val="superscript"/>
        </w:rPr>
        <w:t>[5</w:t>
      </w:r>
      <w:r w:rsidR="0022616A" w:rsidRPr="00ED0648">
        <w:rPr>
          <w:rFonts w:ascii="Book Antiqua" w:hAnsi="Book Antiqua" w:cstheme="minorHAnsi"/>
          <w:noProof/>
          <w:sz w:val="24"/>
          <w:szCs w:val="24"/>
          <w:vertAlign w:val="superscript"/>
        </w:rPr>
        <w:t>6</w:t>
      </w:r>
      <w:r w:rsidRPr="00ED0648">
        <w:rPr>
          <w:rFonts w:ascii="Book Antiqua" w:hAnsi="Book Antiqua" w:cstheme="minorHAnsi"/>
          <w:noProof/>
          <w:sz w:val="24"/>
          <w:szCs w:val="24"/>
          <w:vertAlign w:val="superscript"/>
        </w:rPr>
        <w:t>]</w:t>
      </w:r>
      <w:r w:rsidRPr="00ED0648">
        <w:rPr>
          <w:rFonts w:ascii="Book Antiqua" w:hAnsi="Book Antiqua" w:cstheme="minorHAnsi"/>
          <w:sz w:val="24"/>
          <w:szCs w:val="24"/>
        </w:rPr>
        <w:t xml:space="preserve">. </w:t>
      </w:r>
      <w:r w:rsidRPr="00ED0648" w:rsidDel="00D529CC">
        <w:rPr>
          <w:rFonts w:ascii="Book Antiqua" w:hAnsi="Book Antiqua" w:cstheme="minorHAnsi"/>
          <w:sz w:val="24"/>
          <w:szCs w:val="24"/>
        </w:rPr>
        <w:t>As symptoms of GERD become increasingly severe</w:t>
      </w:r>
      <w:r w:rsidRPr="00ED0648">
        <w:rPr>
          <w:rFonts w:ascii="Book Antiqua" w:hAnsi="Book Antiqua" w:cstheme="minorHAnsi"/>
          <w:sz w:val="24"/>
          <w:szCs w:val="24"/>
        </w:rPr>
        <w:t xml:space="preserve"> and burdensome to the patient despite various treatment approaches</w:t>
      </w:r>
      <w:r w:rsidRPr="00ED0648" w:rsidDel="00D529CC">
        <w:rPr>
          <w:rFonts w:ascii="Book Antiqua" w:hAnsi="Book Antiqua" w:cstheme="minorHAnsi"/>
          <w:sz w:val="24"/>
          <w:szCs w:val="24"/>
        </w:rPr>
        <w:t xml:space="preserve">, patients </w:t>
      </w:r>
      <w:r w:rsidRPr="00ED0648">
        <w:rPr>
          <w:rFonts w:ascii="Book Antiqua" w:hAnsi="Book Antiqua" w:cstheme="minorHAnsi"/>
          <w:sz w:val="24"/>
          <w:szCs w:val="24"/>
        </w:rPr>
        <w:t>may be advised to seek, or may refer themselves for, surgical therapy</w:t>
      </w:r>
      <w:r w:rsidRPr="00ED0648">
        <w:rPr>
          <w:rFonts w:ascii="Book Antiqua" w:hAnsi="Book Antiqua" w:cstheme="minorHAnsi"/>
          <w:noProof/>
          <w:sz w:val="24"/>
          <w:szCs w:val="24"/>
          <w:vertAlign w:val="superscript"/>
        </w:rPr>
        <w:t>[2,23,5</w:t>
      </w:r>
      <w:r w:rsidR="0022616A" w:rsidRPr="00ED0648">
        <w:rPr>
          <w:rFonts w:ascii="Book Antiqua" w:hAnsi="Book Antiqua" w:cstheme="minorHAnsi"/>
          <w:noProof/>
          <w:sz w:val="24"/>
          <w:szCs w:val="24"/>
          <w:vertAlign w:val="superscript"/>
        </w:rPr>
        <w:t>7</w:t>
      </w:r>
      <w:r w:rsidRPr="00ED0648">
        <w:rPr>
          <w:rFonts w:ascii="Book Antiqua" w:hAnsi="Book Antiqua" w:cstheme="minorHAnsi"/>
          <w:noProof/>
          <w:sz w:val="24"/>
          <w:szCs w:val="24"/>
          <w:vertAlign w:val="superscript"/>
        </w:rPr>
        <w:t>]</w:t>
      </w:r>
      <w:r w:rsidRPr="00ED0648">
        <w:rPr>
          <w:rFonts w:ascii="Book Antiqua" w:hAnsi="Book Antiqua" w:cstheme="minorHAnsi"/>
          <w:sz w:val="24"/>
          <w:szCs w:val="24"/>
        </w:rPr>
        <w:t xml:space="preserve">. </w:t>
      </w:r>
    </w:p>
    <w:p w14:paraId="39C74486" w14:textId="6F0C2B50" w:rsidR="008C5A21" w:rsidRPr="00ED0648" w:rsidRDefault="008C5A21" w:rsidP="003E615C">
      <w:pPr>
        <w:adjustRightInd w:val="0"/>
        <w:snapToGrid w:val="0"/>
        <w:spacing w:after="0" w:line="360" w:lineRule="auto"/>
        <w:ind w:firstLineChars="100" w:firstLine="240"/>
        <w:jc w:val="both"/>
        <w:rPr>
          <w:rFonts w:ascii="Book Antiqua" w:hAnsi="Book Antiqua" w:cstheme="minorHAnsi"/>
          <w:sz w:val="24"/>
          <w:szCs w:val="24"/>
        </w:rPr>
      </w:pPr>
      <w:r w:rsidRPr="00ED0648">
        <w:rPr>
          <w:rFonts w:ascii="Book Antiqua" w:hAnsi="Book Antiqua" w:cstheme="minorHAnsi"/>
          <w:sz w:val="24"/>
          <w:szCs w:val="24"/>
        </w:rPr>
        <w:t>A search of the Agency for Healthcare Research and Quality (AHRQ)'s National Guideline Clearinghouse</w:t>
      </w:r>
      <w:r w:rsidRPr="00ED0648">
        <w:rPr>
          <w:rFonts w:ascii="Book Antiqua" w:hAnsi="Book Antiqua" w:cstheme="minorHAnsi"/>
          <w:noProof/>
          <w:sz w:val="24"/>
          <w:szCs w:val="24"/>
          <w:vertAlign w:val="superscript"/>
        </w:rPr>
        <w:t>[</w:t>
      </w:r>
      <w:r w:rsidR="0022616A" w:rsidRPr="00ED0648">
        <w:rPr>
          <w:rFonts w:ascii="Book Antiqua" w:hAnsi="Book Antiqua" w:cstheme="minorHAnsi"/>
          <w:noProof/>
          <w:sz w:val="24"/>
          <w:szCs w:val="24"/>
          <w:vertAlign w:val="superscript"/>
        </w:rPr>
        <w:t>58</w:t>
      </w:r>
      <w:r w:rsidRPr="00ED0648">
        <w:rPr>
          <w:rFonts w:ascii="Book Antiqua" w:hAnsi="Book Antiqua" w:cstheme="minorHAnsi"/>
          <w:noProof/>
          <w:sz w:val="24"/>
          <w:szCs w:val="24"/>
          <w:vertAlign w:val="superscript"/>
        </w:rPr>
        <w:t>]</w:t>
      </w:r>
      <w:r w:rsidRPr="00ED0648">
        <w:rPr>
          <w:rFonts w:ascii="Book Antiqua" w:hAnsi="Book Antiqua" w:cstheme="minorHAnsi"/>
          <w:sz w:val="24"/>
          <w:szCs w:val="24"/>
        </w:rPr>
        <w:t xml:space="preserve"> identified two clinical guidelines evaluating surgery for GERD: the American College of Gastroenterology (ACG) 2013 Guidelines</w:t>
      </w:r>
      <w:r w:rsidRPr="00ED0648">
        <w:rPr>
          <w:rFonts w:ascii="Book Antiqua" w:hAnsi="Book Antiqua" w:cstheme="minorHAnsi"/>
          <w:noProof/>
          <w:sz w:val="24"/>
          <w:szCs w:val="24"/>
          <w:vertAlign w:val="superscript"/>
        </w:rPr>
        <w:t>[23]</w:t>
      </w:r>
      <w:r w:rsidRPr="00ED0648">
        <w:rPr>
          <w:rFonts w:ascii="Book Antiqua" w:hAnsi="Book Antiqua" w:cstheme="minorHAnsi"/>
          <w:sz w:val="24"/>
          <w:szCs w:val="24"/>
        </w:rPr>
        <w:t xml:space="preserve"> and the University of Michigan Health System (UMHS) 2012 Guidelines</w:t>
      </w:r>
      <w:r w:rsidRPr="00ED0648">
        <w:rPr>
          <w:rFonts w:ascii="Book Antiqua" w:hAnsi="Book Antiqua" w:cstheme="minorHAnsi"/>
          <w:noProof/>
          <w:sz w:val="24"/>
          <w:szCs w:val="24"/>
          <w:vertAlign w:val="superscript"/>
        </w:rPr>
        <w:t>[</w:t>
      </w:r>
      <w:r w:rsidR="0022616A" w:rsidRPr="00ED0648">
        <w:rPr>
          <w:rFonts w:ascii="Book Antiqua" w:hAnsi="Book Antiqua" w:cstheme="minorHAnsi"/>
          <w:noProof/>
          <w:sz w:val="24"/>
          <w:szCs w:val="24"/>
          <w:vertAlign w:val="superscript"/>
        </w:rPr>
        <w:t>59</w:t>
      </w:r>
      <w:r w:rsidRPr="00ED0648">
        <w:rPr>
          <w:rFonts w:ascii="Book Antiqua" w:hAnsi="Book Antiqua" w:cstheme="minorHAnsi"/>
          <w:noProof/>
          <w:sz w:val="24"/>
          <w:szCs w:val="24"/>
          <w:vertAlign w:val="superscript"/>
        </w:rPr>
        <w:t>]</w:t>
      </w:r>
      <w:r w:rsidRPr="00ED0648">
        <w:rPr>
          <w:rFonts w:ascii="Book Antiqua" w:hAnsi="Book Antiqua" w:cstheme="minorHAnsi"/>
          <w:sz w:val="24"/>
          <w:szCs w:val="24"/>
        </w:rPr>
        <w:t>. Both guidelines agree that: (1) surgery is a treatment option for patients with chronic reflux and refractory symptoms; (2) surgical therapy is generally not recommended for patients who do not have at least a partial response to acid reduction therapy; and (3) surgery appears to be more effective in patients with typical symptoms of heartburn and/or regurgitation than in patients with extraesophageal or atypical symptoms</w:t>
      </w:r>
      <w:r w:rsidRPr="00ED0648">
        <w:rPr>
          <w:rFonts w:ascii="Book Antiqua" w:hAnsi="Book Antiqua" w:cstheme="minorHAnsi"/>
          <w:noProof/>
          <w:sz w:val="24"/>
          <w:szCs w:val="24"/>
          <w:vertAlign w:val="superscript"/>
        </w:rPr>
        <w:t>[23,</w:t>
      </w:r>
      <w:r w:rsidR="0022616A" w:rsidRPr="00ED0648">
        <w:rPr>
          <w:rFonts w:ascii="Book Antiqua" w:hAnsi="Book Antiqua" w:cstheme="minorHAnsi"/>
          <w:noProof/>
          <w:sz w:val="24"/>
          <w:szCs w:val="24"/>
          <w:vertAlign w:val="superscript"/>
        </w:rPr>
        <w:t>59</w:t>
      </w:r>
      <w:r w:rsidRPr="00ED0648">
        <w:rPr>
          <w:rFonts w:ascii="Book Antiqua" w:hAnsi="Book Antiqua" w:cstheme="minorHAnsi"/>
          <w:noProof/>
          <w:sz w:val="24"/>
          <w:szCs w:val="24"/>
          <w:vertAlign w:val="superscript"/>
        </w:rPr>
        <w:t>]</w:t>
      </w:r>
      <w:r w:rsidRPr="00ED0648">
        <w:rPr>
          <w:rFonts w:ascii="Book Antiqua" w:hAnsi="Book Antiqua" w:cstheme="minorHAnsi"/>
          <w:sz w:val="24"/>
          <w:szCs w:val="24"/>
        </w:rPr>
        <w:t xml:space="preserve">. </w:t>
      </w:r>
    </w:p>
    <w:p w14:paraId="2C9CA2F8" w14:textId="563F080A" w:rsidR="008C5A21" w:rsidRPr="00ED0648" w:rsidDel="00D529CC" w:rsidRDefault="008C5A21" w:rsidP="008C42C4">
      <w:pPr>
        <w:adjustRightInd w:val="0"/>
        <w:snapToGrid w:val="0"/>
        <w:spacing w:after="0" w:line="360" w:lineRule="auto"/>
        <w:ind w:firstLineChars="100" w:firstLine="240"/>
        <w:jc w:val="both"/>
        <w:rPr>
          <w:rFonts w:ascii="Book Antiqua" w:hAnsi="Book Antiqua" w:cstheme="minorHAnsi"/>
          <w:sz w:val="24"/>
          <w:szCs w:val="24"/>
        </w:rPr>
      </w:pPr>
      <w:r w:rsidRPr="00ED0648">
        <w:rPr>
          <w:rFonts w:ascii="Book Antiqua" w:hAnsi="Book Antiqua" w:cstheme="minorHAnsi"/>
          <w:sz w:val="24"/>
          <w:szCs w:val="24"/>
        </w:rPr>
        <w:t>Reasons to refer GERD patients for surgery, including MSA, may include persistent symptoms despite medical therapy, desire to discontinue medical therapy, or presence of a large hiatal hernia</w:t>
      </w:r>
      <w:r w:rsidRPr="00ED0648">
        <w:rPr>
          <w:rFonts w:ascii="Book Antiqua" w:hAnsi="Book Antiqua" w:cstheme="minorHAnsi"/>
          <w:noProof/>
          <w:sz w:val="24"/>
          <w:szCs w:val="24"/>
          <w:vertAlign w:val="superscript"/>
        </w:rPr>
        <w:t>[2,23,4</w:t>
      </w:r>
      <w:r w:rsidR="0022616A" w:rsidRPr="00ED0648">
        <w:rPr>
          <w:rFonts w:ascii="Book Antiqua" w:hAnsi="Book Antiqua" w:cstheme="minorHAnsi"/>
          <w:noProof/>
          <w:sz w:val="24"/>
          <w:szCs w:val="24"/>
          <w:vertAlign w:val="superscript"/>
        </w:rPr>
        <w:t>2</w:t>
      </w:r>
      <w:r w:rsidRPr="00ED0648">
        <w:rPr>
          <w:rFonts w:ascii="Book Antiqua" w:hAnsi="Book Antiqua" w:cstheme="minorHAnsi"/>
          <w:noProof/>
          <w:sz w:val="24"/>
          <w:szCs w:val="24"/>
          <w:vertAlign w:val="superscript"/>
        </w:rPr>
        <w:t>]</w:t>
      </w:r>
      <w:r w:rsidR="00941E7D" w:rsidRPr="00ED0648">
        <w:rPr>
          <w:rFonts w:ascii="Book Antiqua" w:hAnsi="Book Antiqua" w:cstheme="minorHAnsi"/>
          <w:noProof/>
          <w:sz w:val="24"/>
          <w:szCs w:val="24"/>
        </w:rPr>
        <w:t>.</w:t>
      </w:r>
      <w:r w:rsidRPr="00ED0648">
        <w:rPr>
          <w:rFonts w:ascii="Book Antiqua" w:hAnsi="Book Antiqua" w:cstheme="minorHAnsi"/>
          <w:sz w:val="24"/>
          <w:szCs w:val="24"/>
        </w:rPr>
        <w:t xml:space="preserve"> It is important that MSA candidates have normal esophageal motility documented by high resolution manometry. This is to ensure enough esophageal power to break the magnetic bonds and allow the device to open, allowing for normal swallowing</w:t>
      </w:r>
      <w:r w:rsidRPr="00ED0648">
        <w:rPr>
          <w:rFonts w:ascii="Book Antiqua" w:hAnsi="Book Antiqua" w:cstheme="minorHAnsi"/>
          <w:noProof/>
          <w:sz w:val="24"/>
          <w:szCs w:val="24"/>
          <w:vertAlign w:val="superscript"/>
        </w:rPr>
        <w:t>[23]</w:t>
      </w:r>
      <w:r w:rsidRPr="00ED0648">
        <w:rPr>
          <w:rFonts w:ascii="Book Antiqua" w:hAnsi="Book Antiqua" w:cstheme="minorHAnsi"/>
          <w:sz w:val="24"/>
          <w:szCs w:val="24"/>
        </w:rPr>
        <w:t>. P</w:t>
      </w:r>
      <w:r w:rsidRPr="00ED0648" w:rsidDel="00D529CC">
        <w:rPr>
          <w:rFonts w:ascii="Book Antiqua" w:hAnsi="Book Antiqua" w:cstheme="minorHAnsi"/>
          <w:sz w:val="24"/>
          <w:szCs w:val="24"/>
        </w:rPr>
        <w:t xml:space="preserve">otential </w:t>
      </w:r>
      <w:r w:rsidRPr="00ED0648">
        <w:rPr>
          <w:rFonts w:ascii="Book Antiqua" w:hAnsi="Book Antiqua" w:cstheme="minorHAnsi"/>
          <w:sz w:val="24"/>
          <w:szCs w:val="24"/>
        </w:rPr>
        <w:t>surgical candidates</w:t>
      </w:r>
      <w:r w:rsidRPr="00ED0648" w:rsidDel="00D529CC">
        <w:rPr>
          <w:rFonts w:ascii="Book Antiqua" w:hAnsi="Book Antiqua" w:cstheme="minorHAnsi"/>
          <w:sz w:val="24"/>
          <w:szCs w:val="24"/>
        </w:rPr>
        <w:t xml:space="preserve"> </w:t>
      </w:r>
      <w:r w:rsidRPr="00ED0648">
        <w:rPr>
          <w:rFonts w:ascii="Book Antiqua" w:hAnsi="Book Antiqua" w:cstheme="minorHAnsi"/>
          <w:sz w:val="24"/>
          <w:szCs w:val="24"/>
        </w:rPr>
        <w:t xml:space="preserve">for MSA are those </w:t>
      </w:r>
      <w:r w:rsidRPr="00ED0648" w:rsidDel="00D529CC">
        <w:rPr>
          <w:rFonts w:ascii="Book Antiqua" w:hAnsi="Book Antiqua" w:cstheme="minorHAnsi"/>
          <w:sz w:val="24"/>
          <w:szCs w:val="24"/>
        </w:rPr>
        <w:t>GERD patients</w:t>
      </w:r>
      <w:r w:rsidRPr="00ED0648">
        <w:rPr>
          <w:rFonts w:ascii="Book Antiqua" w:hAnsi="Book Antiqua" w:cstheme="minorHAnsi"/>
          <w:sz w:val="24"/>
          <w:szCs w:val="24"/>
        </w:rPr>
        <w:t xml:space="preserve"> (14-20%</w:t>
      </w:r>
      <w:r w:rsidRPr="00ED0648">
        <w:rPr>
          <w:rFonts w:ascii="Book Antiqua" w:hAnsi="Book Antiqua" w:cstheme="minorHAnsi"/>
          <w:noProof/>
          <w:sz w:val="24"/>
          <w:szCs w:val="24"/>
          <w:vertAlign w:val="superscript"/>
        </w:rPr>
        <w:t>[5</w:t>
      </w:r>
      <w:r w:rsidR="0022616A" w:rsidRPr="00ED0648">
        <w:rPr>
          <w:rFonts w:ascii="Book Antiqua" w:hAnsi="Book Antiqua" w:cstheme="minorHAnsi"/>
          <w:noProof/>
          <w:sz w:val="24"/>
          <w:szCs w:val="24"/>
          <w:vertAlign w:val="superscript"/>
        </w:rPr>
        <w:t>7</w:t>
      </w:r>
      <w:r w:rsidRPr="00ED0648">
        <w:rPr>
          <w:rFonts w:ascii="Book Antiqua" w:hAnsi="Book Antiqua" w:cstheme="minorHAnsi"/>
          <w:noProof/>
          <w:sz w:val="24"/>
          <w:szCs w:val="24"/>
          <w:vertAlign w:val="superscript"/>
        </w:rPr>
        <w:t>]</w:t>
      </w:r>
      <w:r w:rsidRPr="00ED0648">
        <w:rPr>
          <w:rFonts w:ascii="Book Antiqua" w:hAnsi="Book Antiqua" w:cstheme="minorHAnsi"/>
          <w:sz w:val="24"/>
          <w:szCs w:val="24"/>
        </w:rPr>
        <w:t xml:space="preserve"> of U.S. population</w:t>
      </w:r>
      <w:r w:rsidRPr="00ED0648">
        <w:rPr>
          <w:rFonts w:ascii="Book Antiqua" w:hAnsi="Book Antiqua" w:cstheme="minorHAnsi"/>
          <w:noProof/>
          <w:sz w:val="24"/>
          <w:szCs w:val="24"/>
          <w:vertAlign w:val="superscript"/>
        </w:rPr>
        <w:t>[</w:t>
      </w:r>
      <w:r w:rsidR="007B6344" w:rsidRPr="00ED0648">
        <w:rPr>
          <w:rFonts w:ascii="Book Antiqua" w:hAnsi="Book Antiqua" w:cstheme="minorHAnsi"/>
          <w:noProof/>
          <w:sz w:val="24"/>
          <w:szCs w:val="24"/>
          <w:vertAlign w:val="superscript"/>
        </w:rPr>
        <w:t>6</w:t>
      </w:r>
      <w:r w:rsidR="0022616A" w:rsidRPr="00ED0648">
        <w:rPr>
          <w:rFonts w:ascii="Book Antiqua" w:hAnsi="Book Antiqua" w:cstheme="minorHAnsi"/>
          <w:noProof/>
          <w:sz w:val="24"/>
          <w:szCs w:val="24"/>
          <w:vertAlign w:val="superscript"/>
        </w:rPr>
        <w:t>0</w:t>
      </w:r>
      <w:r w:rsidRPr="00ED0648">
        <w:rPr>
          <w:rFonts w:ascii="Book Antiqua" w:hAnsi="Book Antiqua" w:cstheme="minorHAnsi"/>
          <w:noProof/>
          <w:sz w:val="24"/>
          <w:szCs w:val="24"/>
          <w:vertAlign w:val="superscript"/>
        </w:rPr>
        <w:t>]</w:t>
      </w:r>
      <w:r w:rsidRPr="00ED0648">
        <w:rPr>
          <w:rFonts w:ascii="Book Antiqua" w:hAnsi="Book Antiqua" w:cstheme="minorHAnsi"/>
          <w:sz w:val="24"/>
          <w:szCs w:val="24"/>
        </w:rPr>
        <w:t xml:space="preserve">) who, despite optimal medical management, continue to experience symptoms of heartburn and/or uncontrolled regurgitation </w:t>
      </w:r>
      <w:r w:rsidR="007C4A08" w:rsidRPr="00ED0648">
        <w:rPr>
          <w:rFonts w:ascii="Book Antiqua" w:hAnsi="Book Antiqua" w:cstheme="minorHAnsi"/>
          <w:sz w:val="24"/>
          <w:szCs w:val="24"/>
        </w:rPr>
        <w:t>[</w:t>
      </w:r>
      <w:r w:rsidRPr="00ED0648">
        <w:rPr>
          <w:rFonts w:ascii="Book Antiqua" w:hAnsi="Book Antiqua" w:cstheme="minorHAnsi"/>
          <w:sz w:val="24"/>
          <w:szCs w:val="24"/>
        </w:rPr>
        <w:t xml:space="preserve">medically managed and refractory to lifestyle and pharmacological interventions </w:t>
      </w:r>
      <w:r w:rsidR="007C4A08" w:rsidRPr="00ED0648">
        <w:rPr>
          <w:rFonts w:ascii="Book Antiqua" w:hAnsi="Book Antiqua" w:cstheme="minorHAnsi"/>
          <w:sz w:val="24"/>
          <w:szCs w:val="24"/>
        </w:rPr>
        <w:t>(</w:t>
      </w:r>
      <w:r w:rsidRPr="00ED0648">
        <w:rPr>
          <w:rFonts w:ascii="Book Antiqua" w:hAnsi="Book Antiqua" w:cstheme="minorHAnsi"/>
          <w:sz w:val="24"/>
          <w:szCs w:val="24"/>
        </w:rPr>
        <w:t>6.0</w:t>
      </w:r>
      <w:r w:rsidR="007C4A08" w:rsidRPr="00ED0648">
        <w:rPr>
          <w:rFonts w:ascii="Book Antiqua" w:hAnsi="Book Antiqua" w:cstheme="minorHAnsi"/>
          <w:sz w:val="24"/>
          <w:szCs w:val="24"/>
        </w:rPr>
        <w:t>%</w:t>
      </w:r>
      <w:r w:rsidRPr="00ED0648">
        <w:rPr>
          <w:rFonts w:ascii="Book Antiqua" w:hAnsi="Book Antiqua" w:cstheme="minorHAnsi"/>
          <w:sz w:val="24"/>
          <w:szCs w:val="24"/>
        </w:rPr>
        <w:t>-24.0%</w:t>
      </w:r>
      <w:r w:rsidR="007C4A08" w:rsidRPr="00ED0648">
        <w:rPr>
          <w:rFonts w:ascii="Book Antiqua" w:hAnsi="Book Antiqua" w:cstheme="minorHAnsi"/>
          <w:sz w:val="24"/>
          <w:szCs w:val="24"/>
        </w:rPr>
        <w:t>)</w:t>
      </w:r>
      <w:r w:rsidRPr="00ED0648">
        <w:rPr>
          <w:rFonts w:ascii="Book Antiqua" w:hAnsi="Book Antiqua" w:cstheme="minorHAnsi"/>
          <w:noProof/>
          <w:sz w:val="24"/>
          <w:szCs w:val="24"/>
          <w:vertAlign w:val="superscript"/>
        </w:rPr>
        <w:t>[22,5</w:t>
      </w:r>
      <w:r w:rsidR="0022616A" w:rsidRPr="00ED0648">
        <w:rPr>
          <w:rFonts w:ascii="Book Antiqua" w:hAnsi="Book Antiqua" w:cstheme="minorHAnsi"/>
          <w:noProof/>
          <w:sz w:val="24"/>
          <w:szCs w:val="24"/>
          <w:vertAlign w:val="superscript"/>
        </w:rPr>
        <w:t>5</w:t>
      </w:r>
      <w:r w:rsidRPr="00ED0648">
        <w:rPr>
          <w:rFonts w:ascii="Book Antiqua" w:hAnsi="Book Antiqua" w:cstheme="minorHAnsi"/>
          <w:noProof/>
          <w:sz w:val="24"/>
          <w:szCs w:val="24"/>
          <w:vertAlign w:val="superscript"/>
        </w:rPr>
        <w:t>,</w:t>
      </w:r>
      <w:r w:rsidR="007B6344" w:rsidRPr="00ED0648">
        <w:rPr>
          <w:rFonts w:ascii="Book Antiqua" w:hAnsi="Book Antiqua" w:cstheme="minorHAnsi"/>
          <w:noProof/>
          <w:sz w:val="24"/>
          <w:szCs w:val="24"/>
          <w:vertAlign w:val="superscript"/>
        </w:rPr>
        <w:t>6</w:t>
      </w:r>
      <w:r w:rsidR="0022616A" w:rsidRPr="00ED0648">
        <w:rPr>
          <w:rFonts w:ascii="Book Antiqua" w:hAnsi="Book Antiqua" w:cstheme="minorHAnsi"/>
          <w:noProof/>
          <w:sz w:val="24"/>
          <w:szCs w:val="24"/>
          <w:vertAlign w:val="superscript"/>
        </w:rPr>
        <w:t>1</w:t>
      </w:r>
      <w:r w:rsidRPr="00ED0648">
        <w:rPr>
          <w:rFonts w:ascii="Book Antiqua" w:hAnsi="Book Antiqua" w:cstheme="minorHAnsi"/>
          <w:noProof/>
          <w:sz w:val="24"/>
          <w:szCs w:val="24"/>
          <w:vertAlign w:val="superscript"/>
        </w:rPr>
        <w:t>,</w:t>
      </w:r>
      <w:r w:rsidR="007B6344" w:rsidRPr="00ED0648">
        <w:rPr>
          <w:rFonts w:ascii="Book Antiqua" w:hAnsi="Book Antiqua" w:cstheme="minorHAnsi"/>
          <w:noProof/>
          <w:sz w:val="24"/>
          <w:szCs w:val="24"/>
          <w:vertAlign w:val="superscript"/>
        </w:rPr>
        <w:t>6</w:t>
      </w:r>
      <w:r w:rsidR="0022616A" w:rsidRPr="00ED0648">
        <w:rPr>
          <w:rFonts w:ascii="Book Antiqua" w:hAnsi="Book Antiqua" w:cstheme="minorHAnsi"/>
          <w:noProof/>
          <w:sz w:val="24"/>
          <w:szCs w:val="24"/>
          <w:vertAlign w:val="superscript"/>
        </w:rPr>
        <w:t>2</w:t>
      </w:r>
      <w:r w:rsidRPr="00ED0648">
        <w:rPr>
          <w:rFonts w:ascii="Book Antiqua" w:hAnsi="Book Antiqua" w:cstheme="minorHAnsi"/>
          <w:noProof/>
          <w:sz w:val="24"/>
          <w:szCs w:val="24"/>
          <w:vertAlign w:val="superscript"/>
        </w:rPr>
        <w:t>]</w:t>
      </w:r>
      <w:r w:rsidR="007C4A08" w:rsidRPr="00ED0648">
        <w:rPr>
          <w:rFonts w:ascii="Book Antiqua" w:hAnsi="Book Antiqua" w:cstheme="minorHAnsi"/>
          <w:sz w:val="24"/>
          <w:szCs w:val="24"/>
        </w:rPr>
        <w:t>]</w:t>
      </w:r>
      <w:r w:rsidRPr="00ED0648">
        <w:rPr>
          <w:rFonts w:ascii="Book Antiqua" w:hAnsi="Book Antiqua" w:cstheme="minorHAnsi"/>
          <w:sz w:val="24"/>
          <w:szCs w:val="24"/>
        </w:rPr>
        <w:t>, have abnormal pH off PPI (61.0</w:t>
      </w:r>
      <w:r w:rsidR="007C4A08" w:rsidRPr="00ED0648">
        <w:rPr>
          <w:rFonts w:ascii="Book Antiqua" w:hAnsi="Book Antiqua" w:cstheme="minorHAnsi"/>
          <w:sz w:val="24"/>
          <w:szCs w:val="24"/>
        </w:rPr>
        <w:t>%</w:t>
      </w:r>
      <w:r w:rsidRPr="00ED0648">
        <w:rPr>
          <w:rFonts w:ascii="Book Antiqua" w:hAnsi="Book Antiqua" w:cstheme="minorHAnsi"/>
          <w:sz w:val="24"/>
          <w:szCs w:val="24"/>
        </w:rPr>
        <w:t>-71.0%)</w:t>
      </w:r>
      <w:r w:rsidRPr="00ED0648">
        <w:rPr>
          <w:rFonts w:ascii="Book Antiqua" w:hAnsi="Book Antiqua" w:cstheme="minorHAnsi"/>
          <w:noProof/>
          <w:sz w:val="24"/>
          <w:szCs w:val="24"/>
          <w:vertAlign w:val="superscript"/>
        </w:rPr>
        <w:t>[6</w:t>
      </w:r>
      <w:r w:rsidR="0022616A" w:rsidRPr="00ED0648">
        <w:rPr>
          <w:rFonts w:ascii="Book Antiqua" w:hAnsi="Book Antiqua" w:cstheme="minorHAnsi"/>
          <w:noProof/>
          <w:sz w:val="24"/>
          <w:szCs w:val="24"/>
          <w:vertAlign w:val="superscript"/>
        </w:rPr>
        <w:t>3</w:t>
      </w:r>
      <w:r w:rsidRPr="00ED0648">
        <w:rPr>
          <w:rFonts w:ascii="Book Antiqua" w:hAnsi="Book Antiqua" w:cstheme="minorHAnsi"/>
          <w:noProof/>
          <w:sz w:val="24"/>
          <w:szCs w:val="24"/>
          <w:vertAlign w:val="superscript"/>
        </w:rPr>
        <w:t>-6</w:t>
      </w:r>
      <w:r w:rsidR="0022616A" w:rsidRPr="00ED0648">
        <w:rPr>
          <w:rFonts w:ascii="Book Antiqua" w:hAnsi="Book Antiqua" w:cstheme="minorHAnsi"/>
          <w:noProof/>
          <w:sz w:val="24"/>
          <w:szCs w:val="24"/>
          <w:vertAlign w:val="superscript"/>
        </w:rPr>
        <w:t>7</w:t>
      </w:r>
      <w:r w:rsidRPr="00ED0648">
        <w:rPr>
          <w:rFonts w:ascii="Book Antiqua" w:hAnsi="Book Antiqua" w:cstheme="minorHAnsi"/>
          <w:noProof/>
          <w:sz w:val="24"/>
          <w:szCs w:val="24"/>
          <w:vertAlign w:val="superscript"/>
        </w:rPr>
        <w:t>]</w:t>
      </w:r>
      <w:r w:rsidRPr="00ED0648">
        <w:rPr>
          <w:rFonts w:ascii="Book Antiqua" w:hAnsi="Book Antiqua" w:cstheme="minorHAnsi"/>
          <w:sz w:val="24"/>
          <w:szCs w:val="24"/>
        </w:rPr>
        <w:t>, and do not have esophageal dysmotility (88.0</w:t>
      </w:r>
      <w:r w:rsidR="007C4A08" w:rsidRPr="00ED0648">
        <w:rPr>
          <w:rFonts w:ascii="Book Antiqua" w:hAnsi="Book Antiqua" w:cstheme="minorHAnsi"/>
          <w:sz w:val="24"/>
          <w:szCs w:val="24"/>
        </w:rPr>
        <w:t>%</w:t>
      </w:r>
      <w:r w:rsidRPr="00ED0648">
        <w:rPr>
          <w:rFonts w:ascii="Book Antiqua" w:hAnsi="Book Antiqua" w:cstheme="minorHAnsi"/>
          <w:sz w:val="24"/>
          <w:szCs w:val="24"/>
        </w:rPr>
        <w:t>-</w:t>
      </w:r>
      <w:r w:rsidRPr="00ED0648">
        <w:rPr>
          <w:rFonts w:ascii="Book Antiqua" w:hAnsi="Book Antiqua" w:cstheme="minorHAnsi"/>
          <w:sz w:val="24"/>
          <w:szCs w:val="24"/>
        </w:rPr>
        <w:lastRenderedPageBreak/>
        <w:t>96.0%)</w:t>
      </w:r>
      <w:r w:rsidRPr="00ED0648">
        <w:rPr>
          <w:rFonts w:ascii="Book Antiqua" w:hAnsi="Book Antiqua" w:cstheme="minorHAnsi"/>
          <w:noProof/>
          <w:sz w:val="24"/>
          <w:szCs w:val="24"/>
          <w:vertAlign w:val="superscript"/>
        </w:rPr>
        <w:t>[</w:t>
      </w:r>
      <w:r w:rsidR="0022616A" w:rsidRPr="00ED0648">
        <w:rPr>
          <w:rFonts w:ascii="Book Antiqua" w:hAnsi="Book Antiqua" w:cstheme="minorHAnsi"/>
          <w:noProof/>
          <w:sz w:val="24"/>
          <w:szCs w:val="24"/>
          <w:vertAlign w:val="superscript"/>
        </w:rPr>
        <w:t>68</w:t>
      </w:r>
      <w:r w:rsidRPr="00ED0648">
        <w:rPr>
          <w:rFonts w:ascii="Book Antiqua" w:hAnsi="Book Antiqua" w:cstheme="minorHAnsi"/>
          <w:noProof/>
          <w:sz w:val="24"/>
          <w:szCs w:val="24"/>
          <w:vertAlign w:val="superscript"/>
        </w:rPr>
        <w:t>,</w:t>
      </w:r>
      <w:r w:rsidR="0022616A" w:rsidRPr="00ED0648">
        <w:rPr>
          <w:rFonts w:ascii="Book Antiqua" w:hAnsi="Book Antiqua" w:cstheme="minorHAnsi"/>
          <w:noProof/>
          <w:sz w:val="24"/>
          <w:szCs w:val="24"/>
          <w:vertAlign w:val="superscript"/>
        </w:rPr>
        <w:t>69</w:t>
      </w:r>
      <w:r w:rsidRPr="00ED0648">
        <w:rPr>
          <w:rFonts w:ascii="Book Antiqua" w:hAnsi="Book Antiqua" w:cstheme="minorHAnsi"/>
          <w:noProof/>
          <w:sz w:val="24"/>
          <w:szCs w:val="24"/>
          <w:vertAlign w:val="superscript"/>
        </w:rPr>
        <w:t>]</w:t>
      </w:r>
      <w:r w:rsidRPr="00ED0648">
        <w:rPr>
          <w:rFonts w:ascii="Book Antiqua" w:hAnsi="Book Antiqua" w:cstheme="minorHAnsi"/>
          <w:sz w:val="24"/>
          <w:szCs w:val="24"/>
        </w:rPr>
        <w:t>. Overall, among patients with GERD, the total eligible population for MSA is estimated to be in the 2.2</w:t>
      </w:r>
      <w:r w:rsidR="008C42C4">
        <w:rPr>
          <w:rFonts w:ascii="Book Antiqua" w:hAnsi="Book Antiqua" w:cstheme="minorHAnsi"/>
          <w:sz w:val="24"/>
          <w:szCs w:val="24"/>
        </w:rPr>
        <w:t>%</w:t>
      </w:r>
      <w:r w:rsidRPr="00ED0648">
        <w:rPr>
          <w:rFonts w:ascii="Book Antiqua" w:hAnsi="Book Antiqua" w:cstheme="minorHAnsi"/>
          <w:sz w:val="24"/>
          <w:szCs w:val="24"/>
        </w:rPr>
        <w:t xml:space="preserve">-2.4% range </w:t>
      </w:r>
      <w:r w:rsidRPr="00ED0648" w:rsidDel="00D529CC">
        <w:rPr>
          <w:rFonts w:ascii="Book Antiqua" w:hAnsi="Book Antiqua" w:cstheme="minorHAnsi"/>
          <w:sz w:val="24"/>
          <w:szCs w:val="24"/>
        </w:rPr>
        <w:t xml:space="preserve">(Figure </w:t>
      </w:r>
      <w:r w:rsidRPr="00ED0648">
        <w:rPr>
          <w:rFonts w:ascii="Book Antiqua" w:hAnsi="Book Antiqua" w:cstheme="minorHAnsi"/>
          <w:sz w:val="24"/>
          <w:szCs w:val="24"/>
        </w:rPr>
        <w:t>2</w:t>
      </w:r>
      <w:r w:rsidRPr="00ED0648" w:rsidDel="00D529CC">
        <w:rPr>
          <w:rFonts w:ascii="Book Antiqua" w:hAnsi="Book Antiqua" w:cstheme="minorHAnsi"/>
          <w:sz w:val="24"/>
          <w:szCs w:val="24"/>
        </w:rPr>
        <w:t>)</w:t>
      </w:r>
      <w:r w:rsidRPr="00ED0648">
        <w:rPr>
          <w:rFonts w:ascii="Book Antiqua" w:hAnsi="Book Antiqua" w:cstheme="minorHAnsi"/>
          <w:sz w:val="24"/>
          <w:szCs w:val="24"/>
        </w:rPr>
        <w:t xml:space="preserve">. </w:t>
      </w:r>
    </w:p>
    <w:p w14:paraId="1024D937" w14:textId="1DE2C8A6" w:rsidR="008C5A21" w:rsidRPr="00ED0648" w:rsidRDefault="008C5A21" w:rsidP="008C42C4">
      <w:pPr>
        <w:adjustRightInd w:val="0"/>
        <w:snapToGrid w:val="0"/>
        <w:spacing w:after="0" w:line="360" w:lineRule="auto"/>
        <w:ind w:firstLineChars="100" w:firstLine="240"/>
        <w:jc w:val="both"/>
        <w:rPr>
          <w:rFonts w:ascii="Book Antiqua" w:hAnsi="Book Antiqua" w:cstheme="minorHAnsi"/>
          <w:sz w:val="24"/>
          <w:szCs w:val="24"/>
        </w:rPr>
      </w:pPr>
      <w:bookmarkStart w:id="198" w:name="_Hlk523849003"/>
      <w:bookmarkStart w:id="199" w:name="_Toc497735222"/>
      <w:r w:rsidRPr="00ED0648">
        <w:rPr>
          <w:rFonts w:ascii="Book Antiqua" w:hAnsi="Book Antiqua" w:cstheme="minorHAnsi"/>
          <w:sz w:val="24"/>
          <w:szCs w:val="24"/>
        </w:rPr>
        <w:t>Currently, it is estimated that only 0.1% of GERD patients</w:t>
      </w:r>
      <w:r w:rsidRPr="00ED0648">
        <w:rPr>
          <w:rFonts w:ascii="Book Antiqua" w:hAnsi="Book Antiqua" w:cstheme="minorHAnsi"/>
          <w:noProof/>
          <w:sz w:val="24"/>
          <w:szCs w:val="24"/>
          <w:vertAlign w:val="superscript"/>
        </w:rPr>
        <w:t>[</w:t>
      </w:r>
      <w:r w:rsidR="00753AAB" w:rsidRPr="00ED0648">
        <w:rPr>
          <w:rFonts w:ascii="Book Antiqua" w:hAnsi="Book Antiqua" w:cstheme="minorHAnsi"/>
          <w:noProof/>
          <w:sz w:val="24"/>
          <w:szCs w:val="24"/>
          <w:vertAlign w:val="superscript"/>
        </w:rPr>
        <w:t>7</w:t>
      </w:r>
      <w:r w:rsidR="0022616A" w:rsidRPr="00ED0648">
        <w:rPr>
          <w:rFonts w:ascii="Book Antiqua" w:hAnsi="Book Antiqua" w:cstheme="minorHAnsi"/>
          <w:noProof/>
          <w:sz w:val="24"/>
          <w:szCs w:val="24"/>
          <w:vertAlign w:val="superscript"/>
        </w:rPr>
        <w:t>0</w:t>
      </w:r>
      <w:r w:rsidRPr="00ED0648">
        <w:rPr>
          <w:rFonts w:ascii="Book Antiqua" w:hAnsi="Book Antiqua" w:cstheme="minorHAnsi"/>
          <w:noProof/>
          <w:sz w:val="24"/>
          <w:szCs w:val="24"/>
          <w:vertAlign w:val="superscript"/>
        </w:rPr>
        <w:t>]</w:t>
      </w:r>
      <w:r w:rsidRPr="00ED0648">
        <w:rPr>
          <w:rFonts w:ascii="Book Antiqua" w:hAnsi="Book Antiqua" w:cstheme="minorHAnsi"/>
          <w:sz w:val="24"/>
          <w:szCs w:val="24"/>
        </w:rPr>
        <w:t xml:space="preserve"> in fact undergo anti-reflux surgery. The reasons underlying the significant gap are multifactorial and would benefit from a more well-defined care pathway. Additional reasons to refer GERD patients for surgery include the desire to discontinue medical therapy, non-compliance, side-effects associated with medical therapy, and the presence of a large hiatal hernia</w:t>
      </w:r>
      <w:r w:rsidRPr="00ED0648">
        <w:rPr>
          <w:rFonts w:ascii="Book Antiqua" w:hAnsi="Book Antiqua" w:cstheme="minorHAnsi"/>
          <w:noProof/>
          <w:sz w:val="24"/>
          <w:szCs w:val="24"/>
          <w:vertAlign w:val="superscript"/>
        </w:rPr>
        <w:t>[23,</w:t>
      </w:r>
      <w:r w:rsidR="00753AAB" w:rsidRPr="00ED0648">
        <w:rPr>
          <w:rFonts w:ascii="Book Antiqua" w:hAnsi="Book Antiqua" w:cstheme="minorHAnsi"/>
          <w:noProof/>
          <w:sz w:val="24"/>
          <w:szCs w:val="24"/>
          <w:vertAlign w:val="superscript"/>
        </w:rPr>
        <w:t>7</w:t>
      </w:r>
      <w:r w:rsidR="0022616A" w:rsidRPr="00ED0648">
        <w:rPr>
          <w:rFonts w:ascii="Book Antiqua" w:hAnsi="Book Antiqua" w:cstheme="minorHAnsi"/>
          <w:noProof/>
          <w:sz w:val="24"/>
          <w:szCs w:val="24"/>
          <w:vertAlign w:val="superscript"/>
        </w:rPr>
        <w:t>1</w:t>
      </w:r>
      <w:r w:rsidRPr="00ED0648">
        <w:rPr>
          <w:rFonts w:ascii="Book Antiqua" w:hAnsi="Book Antiqua" w:cstheme="minorHAnsi"/>
          <w:noProof/>
          <w:sz w:val="24"/>
          <w:szCs w:val="24"/>
          <w:vertAlign w:val="superscript"/>
        </w:rPr>
        <w:t>]</w:t>
      </w:r>
      <w:r w:rsidRPr="00ED0648">
        <w:rPr>
          <w:rFonts w:ascii="Book Antiqua" w:hAnsi="Book Antiqua" w:cstheme="minorHAnsi"/>
          <w:sz w:val="24"/>
          <w:szCs w:val="24"/>
        </w:rPr>
        <w:t>. In practice, patient identification and treatment are based on a combination of the guidelines</w:t>
      </w:r>
      <w:r w:rsidRPr="00ED0648">
        <w:rPr>
          <w:rFonts w:ascii="Book Antiqua" w:hAnsi="Book Antiqua" w:cstheme="minorHAnsi"/>
          <w:noProof/>
          <w:sz w:val="24"/>
          <w:szCs w:val="24"/>
          <w:vertAlign w:val="superscript"/>
        </w:rPr>
        <w:t>[23,</w:t>
      </w:r>
      <w:r w:rsidR="00753AAB" w:rsidRPr="00ED0648">
        <w:rPr>
          <w:rFonts w:ascii="Book Antiqua" w:hAnsi="Book Antiqua" w:cstheme="minorHAnsi"/>
          <w:noProof/>
          <w:sz w:val="24"/>
          <w:szCs w:val="24"/>
          <w:vertAlign w:val="superscript"/>
        </w:rPr>
        <w:t>7</w:t>
      </w:r>
      <w:r w:rsidR="0022616A" w:rsidRPr="00ED0648">
        <w:rPr>
          <w:rFonts w:ascii="Book Antiqua" w:hAnsi="Book Antiqua" w:cstheme="minorHAnsi"/>
          <w:noProof/>
          <w:sz w:val="24"/>
          <w:szCs w:val="24"/>
          <w:vertAlign w:val="superscript"/>
        </w:rPr>
        <w:t>1</w:t>
      </w:r>
      <w:r w:rsidRPr="00ED0648">
        <w:rPr>
          <w:rFonts w:ascii="Book Antiqua" w:hAnsi="Book Antiqua" w:cstheme="minorHAnsi"/>
          <w:noProof/>
          <w:sz w:val="24"/>
          <w:szCs w:val="24"/>
          <w:vertAlign w:val="superscript"/>
        </w:rPr>
        <w:t>]</w:t>
      </w:r>
      <w:r w:rsidRPr="00ED0648">
        <w:rPr>
          <w:rFonts w:ascii="Book Antiqua" w:hAnsi="Book Antiqua" w:cstheme="minorHAnsi"/>
          <w:sz w:val="24"/>
          <w:szCs w:val="24"/>
        </w:rPr>
        <w:t xml:space="preserve">, a robust preoperative work-up, and ultimately, physician assessment of patient symptoms and disease severity. </w:t>
      </w:r>
    </w:p>
    <w:p w14:paraId="70ADD3A4" w14:textId="77777777" w:rsidR="008C5A21" w:rsidRPr="00ED0648" w:rsidRDefault="008C5A21" w:rsidP="00ED0648">
      <w:pPr>
        <w:adjustRightInd w:val="0"/>
        <w:snapToGrid w:val="0"/>
        <w:spacing w:after="0" w:line="360" w:lineRule="auto"/>
        <w:jc w:val="both"/>
        <w:rPr>
          <w:rFonts w:ascii="Book Antiqua" w:hAnsi="Book Antiqua" w:cstheme="minorHAnsi"/>
          <w:sz w:val="24"/>
          <w:szCs w:val="24"/>
        </w:rPr>
      </w:pPr>
    </w:p>
    <w:bookmarkEnd w:id="198"/>
    <w:p w14:paraId="579D316A" w14:textId="3B0D131C" w:rsidR="008C5A21" w:rsidRPr="00ED0648" w:rsidRDefault="007C4A08" w:rsidP="00ED0648">
      <w:pPr>
        <w:pStyle w:val="3"/>
        <w:keepNext w:val="0"/>
        <w:keepLines w:val="0"/>
        <w:widowControl w:val="0"/>
        <w:adjustRightInd w:val="0"/>
        <w:snapToGrid w:val="0"/>
        <w:spacing w:before="0" w:line="360" w:lineRule="auto"/>
        <w:jc w:val="both"/>
        <w:rPr>
          <w:rFonts w:ascii="Book Antiqua" w:hAnsi="Book Antiqua" w:cstheme="minorHAnsi"/>
          <w:b/>
          <w:bCs/>
          <w:color w:val="auto"/>
        </w:rPr>
      </w:pPr>
      <w:r w:rsidRPr="00ED0648">
        <w:rPr>
          <w:rFonts w:ascii="Book Antiqua" w:hAnsi="Book Antiqua" w:cstheme="minorHAnsi"/>
          <w:b/>
          <w:bCs/>
          <w:color w:val="auto"/>
        </w:rPr>
        <w:t>DIAGNOSTICS TO DETERMINE SURGICAL ELIGIBILITY OF GERD</w:t>
      </w:r>
      <w:bookmarkEnd w:id="199"/>
      <w:r w:rsidRPr="00ED0648">
        <w:rPr>
          <w:rFonts w:ascii="Book Antiqua" w:hAnsi="Book Antiqua" w:cstheme="minorHAnsi"/>
          <w:b/>
          <w:bCs/>
          <w:color w:val="auto"/>
        </w:rPr>
        <w:t xml:space="preserve"> PATIENTS</w:t>
      </w:r>
    </w:p>
    <w:p w14:paraId="447D8CA5" w14:textId="271E251D" w:rsidR="008C5A21" w:rsidRPr="00ED0648" w:rsidRDefault="008C5A21" w:rsidP="00ED0648">
      <w:pPr>
        <w:adjustRightInd w:val="0"/>
        <w:snapToGrid w:val="0"/>
        <w:spacing w:after="0" w:line="360" w:lineRule="auto"/>
        <w:jc w:val="both"/>
        <w:rPr>
          <w:rFonts w:ascii="Book Antiqua" w:hAnsi="Book Antiqua" w:cstheme="minorHAnsi"/>
          <w:sz w:val="24"/>
          <w:szCs w:val="24"/>
        </w:rPr>
      </w:pPr>
      <w:r w:rsidRPr="00ED0648">
        <w:rPr>
          <w:rFonts w:ascii="Book Antiqua" w:hAnsi="Book Antiqua" w:cstheme="minorHAnsi"/>
          <w:sz w:val="24"/>
          <w:szCs w:val="24"/>
        </w:rPr>
        <w:t>In order to appropriately identify those patients who might benefit from anti-reflux surgery, it is important that thorough testing be performed. Objective testing is required to confirm the diagnosis of GERD in patients being considered for surgery. Diagnostic testing is recommended for patients with GERD who do not respond to prior treatments, have symptoms suggestive of complications or other conditions (</w:t>
      </w:r>
      <w:r w:rsidRPr="00ED0648">
        <w:rPr>
          <w:rFonts w:ascii="Book Antiqua" w:hAnsi="Book Antiqua" w:cstheme="minorHAnsi"/>
          <w:i/>
          <w:iCs/>
          <w:sz w:val="24"/>
          <w:szCs w:val="24"/>
        </w:rPr>
        <w:t>e.g.</w:t>
      </w:r>
      <w:r w:rsidRPr="00ED0648">
        <w:rPr>
          <w:rFonts w:ascii="Book Antiqua" w:hAnsi="Book Antiqua" w:cstheme="minorHAnsi"/>
          <w:sz w:val="24"/>
          <w:szCs w:val="24"/>
        </w:rPr>
        <w:t>, dysphagia, odynophagia, bleeding, anemia, weight loss), or are at risk for developing Barrett’s esophagus</w:t>
      </w:r>
      <w:r w:rsidRPr="00ED0648">
        <w:rPr>
          <w:rFonts w:ascii="Book Antiqua" w:hAnsi="Book Antiqua" w:cstheme="minorHAnsi"/>
          <w:noProof/>
          <w:sz w:val="24"/>
          <w:szCs w:val="24"/>
          <w:vertAlign w:val="superscript"/>
        </w:rPr>
        <w:t>[23]</w:t>
      </w:r>
      <w:r w:rsidRPr="00ED0648">
        <w:rPr>
          <w:rFonts w:ascii="Book Antiqua" w:hAnsi="Book Antiqua" w:cstheme="minorHAnsi"/>
          <w:sz w:val="24"/>
          <w:szCs w:val="24"/>
        </w:rPr>
        <w:t>. Typical pre-operative diagnostic testing includes esophagogastroduodenoscopy (EGD), ambulatory pH monitoring, esophageal high-resolution manometry, and esophagram (Figure 3)</w:t>
      </w:r>
      <w:r w:rsidRPr="00ED0648">
        <w:rPr>
          <w:rFonts w:ascii="Book Antiqua" w:hAnsi="Book Antiqua" w:cstheme="minorHAnsi"/>
          <w:noProof/>
          <w:sz w:val="24"/>
          <w:szCs w:val="24"/>
          <w:vertAlign w:val="superscript"/>
        </w:rPr>
        <w:t>[23,5</w:t>
      </w:r>
      <w:r w:rsidR="0022616A" w:rsidRPr="00ED0648">
        <w:rPr>
          <w:rFonts w:ascii="Book Antiqua" w:hAnsi="Book Antiqua" w:cstheme="minorHAnsi"/>
          <w:noProof/>
          <w:sz w:val="24"/>
          <w:szCs w:val="24"/>
          <w:vertAlign w:val="superscript"/>
        </w:rPr>
        <w:t>7</w:t>
      </w:r>
      <w:r w:rsidRPr="00ED0648">
        <w:rPr>
          <w:rFonts w:ascii="Book Antiqua" w:hAnsi="Book Antiqua" w:cstheme="minorHAnsi"/>
          <w:noProof/>
          <w:sz w:val="24"/>
          <w:szCs w:val="24"/>
          <w:vertAlign w:val="superscript"/>
        </w:rPr>
        <w:t>]</w:t>
      </w:r>
      <w:r w:rsidRPr="00ED0648">
        <w:rPr>
          <w:rFonts w:ascii="Book Antiqua" w:hAnsi="Book Antiqua" w:cstheme="minorHAnsi"/>
          <w:sz w:val="24"/>
          <w:szCs w:val="24"/>
        </w:rPr>
        <w:t>.</w:t>
      </w:r>
      <w:r w:rsidRPr="00ED0648" w:rsidDel="00026768">
        <w:rPr>
          <w:rFonts w:ascii="Book Antiqua" w:hAnsi="Book Antiqua" w:cstheme="minorHAnsi"/>
          <w:sz w:val="24"/>
          <w:szCs w:val="24"/>
        </w:rPr>
        <w:t xml:space="preserve"> </w:t>
      </w:r>
      <w:r w:rsidRPr="00ED0648">
        <w:rPr>
          <w:rFonts w:ascii="Book Antiqua" w:hAnsi="Book Antiqua" w:cstheme="minorHAnsi"/>
          <w:sz w:val="24"/>
          <w:szCs w:val="24"/>
        </w:rPr>
        <w:t>Each testing modality has a specific role in the diagnosis and evaluation of GERD, and no single test alone can provide the entire clinical picture</w:t>
      </w:r>
      <w:r w:rsidRPr="00ED0648">
        <w:rPr>
          <w:rFonts w:ascii="Book Antiqua" w:hAnsi="Book Antiqua" w:cstheme="minorHAnsi"/>
          <w:noProof/>
          <w:sz w:val="24"/>
          <w:szCs w:val="24"/>
          <w:vertAlign w:val="superscript"/>
        </w:rPr>
        <w:t>[</w:t>
      </w:r>
      <w:r w:rsidR="00753AAB" w:rsidRPr="00ED0648">
        <w:rPr>
          <w:rFonts w:ascii="Book Antiqua" w:hAnsi="Book Antiqua" w:cstheme="minorHAnsi"/>
          <w:noProof/>
          <w:sz w:val="24"/>
          <w:szCs w:val="24"/>
          <w:vertAlign w:val="superscript"/>
        </w:rPr>
        <w:t>7</w:t>
      </w:r>
      <w:r w:rsidR="0022616A" w:rsidRPr="00ED0648">
        <w:rPr>
          <w:rFonts w:ascii="Book Antiqua" w:hAnsi="Book Antiqua" w:cstheme="minorHAnsi"/>
          <w:noProof/>
          <w:sz w:val="24"/>
          <w:szCs w:val="24"/>
          <w:vertAlign w:val="superscript"/>
        </w:rPr>
        <w:t>2</w:t>
      </w:r>
      <w:r w:rsidRPr="00ED0648">
        <w:rPr>
          <w:rFonts w:ascii="Book Antiqua" w:hAnsi="Book Antiqua" w:cstheme="minorHAnsi"/>
          <w:noProof/>
          <w:sz w:val="24"/>
          <w:szCs w:val="24"/>
          <w:vertAlign w:val="superscript"/>
        </w:rPr>
        <w:t>]</w:t>
      </w:r>
      <w:r w:rsidRPr="00ED0648">
        <w:rPr>
          <w:rFonts w:ascii="Book Antiqua" w:hAnsi="Book Antiqua" w:cstheme="minorHAnsi"/>
          <w:sz w:val="24"/>
          <w:szCs w:val="24"/>
        </w:rPr>
        <w:t xml:space="preserve">. </w:t>
      </w:r>
    </w:p>
    <w:p w14:paraId="4A827ECF" w14:textId="77777777" w:rsidR="007C4A08" w:rsidRPr="00ED0648" w:rsidRDefault="007C4A08" w:rsidP="00ED0648">
      <w:pPr>
        <w:adjustRightInd w:val="0"/>
        <w:snapToGrid w:val="0"/>
        <w:spacing w:after="0" w:line="360" w:lineRule="auto"/>
        <w:jc w:val="both"/>
        <w:rPr>
          <w:rFonts w:ascii="Book Antiqua" w:eastAsia="Times New Roman" w:hAnsi="Book Antiqua" w:cstheme="minorHAnsi"/>
          <w:b/>
          <w:sz w:val="24"/>
          <w:szCs w:val="24"/>
        </w:rPr>
      </w:pPr>
    </w:p>
    <w:p w14:paraId="1F896751" w14:textId="4136518C" w:rsidR="008C5A21" w:rsidRPr="00ED0648" w:rsidRDefault="008C5A21" w:rsidP="00ED0648">
      <w:pPr>
        <w:adjustRightInd w:val="0"/>
        <w:snapToGrid w:val="0"/>
        <w:spacing w:after="0" w:line="360" w:lineRule="auto"/>
        <w:jc w:val="both"/>
        <w:rPr>
          <w:rFonts w:ascii="Book Antiqua" w:hAnsi="Book Antiqua" w:cstheme="minorHAnsi"/>
          <w:b/>
          <w:bCs/>
          <w:i/>
          <w:sz w:val="24"/>
          <w:szCs w:val="24"/>
        </w:rPr>
      </w:pPr>
      <w:bookmarkStart w:id="200" w:name="_Toc497735223"/>
      <w:r w:rsidRPr="00ED0648">
        <w:rPr>
          <w:rFonts w:ascii="Book Antiqua" w:hAnsi="Book Antiqua" w:cstheme="minorHAnsi"/>
          <w:b/>
          <w:bCs/>
          <w:i/>
          <w:sz w:val="24"/>
          <w:szCs w:val="24"/>
        </w:rPr>
        <w:t>EGD</w:t>
      </w:r>
    </w:p>
    <w:p w14:paraId="754D4BF0" w14:textId="4A076415" w:rsidR="008C5A21" w:rsidRPr="00ED0648" w:rsidRDefault="008C5A21" w:rsidP="00ED0648">
      <w:pPr>
        <w:pStyle w:val="3"/>
        <w:keepNext w:val="0"/>
        <w:keepLines w:val="0"/>
        <w:widowControl w:val="0"/>
        <w:adjustRightInd w:val="0"/>
        <w:snapToGrid w:val="0"/>
        <w:spacing w:before="0" w:line="360" w:lineRule="auto"/>
        <w:jc w:val="both"/>
        <w:rPr>
          <w:rFonts w:ascii="Book Antiqua" w:hAnsi="Book Antiqua" w:cstheme="minorHAnsi"/>
          <w:color w:val="auto"/>
        </w:rPr>
      </w:pPr>
      <w:r w:rsidRPr="00ED0648">
        <w:rPr>
          <w:rFonts w:ascii="Book Antiqua" w:hAnsi="Book Antiqua" w:cstheme="minorHAnsi"/>
          <w:color w:val="auto"/>
        </w:rPr>
        <w:t>The American Society for Gastrointestinal Endoscopy (ASGE)</w:t>
      </w:r>
      <w:r w:rsidRPr="00ED0648">
        <w:rPr>
          <w:rFonts w:ascii="Book Antiqua" w:hAnsi="Book Antiqua" w:cstheme="minorHAnsi"/>
          <w:noProof/>
          <w:color w:val="auto"/>
          <w:vertAlign w:val="superscript"/>
        </w:rPr>
        <w:t>[7</w:t>
      </w:r>
      <w:r w:rsidR="0022616A" w:rsidRPr="00ED0648">
        <w:rPr>
          <w:rFonts w:ascii="Book Antiqua" w:hAnsi="Book Antiqua" w:cstheme="minorHAnsi"/>
          <w:noProof/>
          <w:color w:val="auto"/>
          <w:vertAlign w:val="superscript"/>
        </w:rPr>
        <w:t>3</w:t>
      </w:r>
      <w:r w:rsidRPr="00ED0648">
        <w:rPr>
          <w:rFonts w:ascii="Book Antiqua" w:hAnsi="Book Antiqua" w:cstheme="minorHAnsi"/>
          <w:noProof/>
          <w:color w:val="auto"/>
          <w:vertAlign w:val="superscript"/>
        </w:rPr>
        <w:t>]</w:t>
      </w:r>
      <w:r w:rsidRPr="00ED0648">
        <w:rPr>
          <w:rFonts w:ascii="Book Antiqua" w:hAnsi="Book Antiqua" w:cstheme="minorHAnsi"/>
          <w:color w:val="auto"/>
        </w:rPr>
        <w:t xml:space="preserve"> and the American Gastroenterological Association (AGA)</w:t>
      </w:r>
      <w:r w:rsidRPr="00ED0648">
        <w:rPr>
          <w:rFonts w:ascii="Book Antiqua" w:hAnsi="Book Antiqua" w:cstheme="minorHAnsi"/>
          <w:noProof/>
          <w:color w:val="auto"/>
          <w:vertAlign w:val="superscript"/>
        </w:rPr>
        <w:t>[5</w:t>
      </w:r>
      <w:r w:rsidR="0022616A" w:rsidRPr="00ED0648">
        <w:rPr>
          <w:rFonts w:ascii="Book Antiqua" w:hAnsi="Book Antiqua" w:cstheme="minorHAnsi"/>
          <w:noProof/>
          <w:color w:val="auto"/>
          <w:vertAlign w:val="superscript"/>
        </w:rPr>
        <w:t>7</w:t>
      </w:r>
      <w:r w:rsidRPr="00ED0648">
        <w:rPr>
          <w:rFonts w:ascii="Book Antiqua" w:hAnsi="Book Antiqua" w:cstheme="minorHAnsi"/>
          <w:noProof/>
          <w:color w:val="auto"/>
          <w:vertAlign w:val="superscript"/>
        </w:rPr>
        <w:t>]</w:t>
      </w:r>
      <w:r w:rsidRPr="00ED0648">
        <w:rPr>
          <w:rFonts w:ascii="Book Antiqua" w:hAnsi="Book Antiqua" w:cstheme="minorHAnsi"/>
          <w:color w:val="auto"/>
        </w:rPr>
        <w:t xml:space="preserve"> recommend that EGD be performed for patients who have symptoms suggesting complicated GERD or alarm symptoms. Repeat EGD should also be performed in patients with severe erosive esophagitis after at least </w:t>
      </w:r>
      <w:r w:rsidRPr="00ED0648">
        <w:rPr>
          <w:rFonts w:ascii="Book Antiqua" w:hAnsi="Book Antiqua" w:cstheme="minorHAnsi"/>
          <w:color w:val="auto"/>
        </w:rPr>
        <w:lastRenderedPageBreak/>
        <w:t>an 8-wk course of PPI therapy to exclude underlying Barrett’s esophagus and dysplasia</w:t>
      </w:r>
      <w:r w:rsidRPr="00ED0648">
        <w:rPr>
          <w:rFonts w:ascii="Book Antiqua" w:hAnsi="Book Antiqua" w:cstheme="minorHAnsi"/>
          <w:noProof/>
          <w:color w:val="auto"/>
          <w:vertAlign w:val="superscript"/>
        </w:rPr>
        <w:t>[7</w:t>
      </w:r>
      <w:r w:rsidR="0022616A" w:rsidRPr="00ED0648">
        <w:rPr>
          <w:rFonts w:ascii="Book Antiqua" w:hAnsi="Book Antiqua" w:cstheme="minorHAnsi"/>
          <w:noProof/>
          <w:color w:val="auto"/>
          <w:vertAlign w:val="superscript"/>
        </w:rPr>
        <w:t>3</w:t>
      </w:r>
      <w:r w:rsidR="003A3467" w:rsidRPr="00ED0648">
        <w:rPr>
          <w:rFonts w:ascii="Book Antiqua" w:hAnsi="Book Antiqua" w:cstheme="minorHAnsi"/>
          <w:noProof/>
          <w:color w:val="auto"/>
          <w:vertAlign w:val="superscript"/>
        </w:rPr>
        <w:t>,</w:t>
      </w:r>
      <w:r w:rsidRPr="00ED0648">
        <w:rPr>
          <w:rFonts w:ascii="Book Antiqua" w:hAnsi="Book Antiqua" w:cstheme="minorHAnsi"/>
          <w:noProof/>
          <w:color w:val="auto"/>
          <w:vertAlign w:val="superscript"/>
        </w:rPr>
        <w:t>7</w:t>
      </w:r>
      <w:r w:rsidR="0022616A" w:rsidRPr="00ED0648">
        <w:rPr>
          <w:rFonts w:ascii="Book Antiqua" w:hAnsi="Book Antiqua" w:cstheme="minorHAnsi"/>
          <w:noProof/>
          <w:color w:val="auto"/>
          <w:vertAlign w:val="superscript"/>
        </w:rPr>
        <w:t>4</w:t>
      </w:r>
      <w:r w:rsidRPr="00ED0648">
        <w:rPr>
          <w:rFonts w:ascii="Book Antiqua" w:hAnsi="Book Antiqua" w:cstheme="minorHAnsi"/>
          <w:noProof/>
          <w:color w:val="auto"/>
          <w:vertAlign w:val="superscript"/>
        </w:rPr>
        <w:t>]</w:t>
      </w:r>
      <w:r w:rsidRPr="00ED0648">
        <w:rPr>
          <w:rFonts w:ascii="Book Antiqua" w:hAnsi="Book Antiqua" w:cstheme="minorHAnsi"/>
          <w:color w:val="auto"/>
        </w:rPr>
        <w:t>.</w:t>
      </w:r>
    </w:p>
    <w:p w14:paraId="61AC70F3" w14:textId="77777777" w:rsidR="007C4A08" w:rsidRPr="00ED0648" w:rsidRDefault="007C4A08" w:rsidP="00ED0648">
      <w:pPr>
        <w:adjustRightInd w:val="0"/>
        <w:snapToGrid w:val="0"/>
        <w:spacing w:after="0" w:line="360" w:lineRule="auto"/>
        <w:jc w:val="both"/>
        <w:rPr>
          <w:rFonts w:ascii="Book Antiqua" w:hAnsi="Book Antiqua"/>
          <w:sz w:val="24"/>
          <w:szCs w:val="24"/>
        </w:rPr>
      </w:pPr>
    </w:p>
    <w:p w14:paraId="31673B43" w14:textId="5FCBDEE6" w:rsidR="008C5A21" w:rsidRPr="00ED0648" w:rsidRDefault="008C5A21" w:rsidP="00ED0648">
      <w:pPr>
        <w:adjustRightInd w:val="0"/>
        <w:snapToGrid w:val="0"/>
        <w:spacing w:after="0" w:line="360" w:lineRule="auto"/>
        <w:jc w:val="both"/>
        <w:rPr>
          <w:rFonts w:ascii="Book Antiqua" w:hAnsi="Book Antiqua" w:cstheme="minorHAnsi"/>
          <w:b/>
          <w:bCs/>
          <w:i/>
          <w:sz w:val="24"/>
          <w:szCs w:val="24"/>
        </w:rPr>
      </w:pPr>
      <w:r w:rsidRPr="00ED0648">
        <w:rPr>
          <w:rFonts w:ascii="Book Antiqua" w:hAnsi="Book Antiqua" w:cstheme="minorHAnsi"/>
          <w:b/>
          <w:bCs/>
          <w:i/>
          <w:sz w:val="24"/>
          <w:szCs w:val="24"/>
        </w:rPr>
        <w:t>pH</w:t>
      </w:r>
      <w:bookmarkEnd w:id="200"/>
      <w:r w:rsidRPr="00ED0648">
        <w:rPr>
          <w:rFonts w:ascii="Book Antiqua" w:hAnsi="Book Antiqua" w:cstheme="minorHAnsi"/>
          <w:b/>
          <w:bCs/>
          <w:i/>
          <w:sz w:val="24"/>
          <w:szCs w:val="24"/>
        </w:rPr>
        <w:t xml:space="preserve"> </w:t>
      </w:r>
      <w:r w:rsidR="007C4A08" w:rsidRPr="00ED0648">
        <w:rPr>
          <w:rFonts w:ascii="Book Antiqua" w:hAnsi="Book Antiqua" w:cstheme="minorHAnsi"/>
          <w:b/>
          <w:bCs/>
          <w:i/>
          <w:sz w:val="24"/>
          <w:szCs w:val="24"/>
        </w:rPr>
        <w:t>m</w:t>
      </w:r>
      <w:r w:rsidRPr="00ED0648">
        <w:rPr>
          <w:rFonts w:ascii="Book Antiqua" w:hAnsi="Book Antiqua" w:cstheme="minorHAnsi"/>
          <w:b/>
          <w:bCs/>
          <w:i/>
          <w:sz w:val="24"/>
          <w:szCs w:val="24"/>
        </w:rPr>
        <w:t>onitoring</w:t>
      </w:r>
    </w:p>
    <w:p w14:paraId="60594398" w14:textId="18976946" w:rsidR="008C5A21" w:rsidRPr="00ED0648" w:rsidRDefault="008C5A21" w:rsidP="00ED0648">
      <w:pPr>
        <w:pStyle w:val="3"/>
        <w:keepNext w:val="0"/>
        <w:keepLines w:val="0"/>
        <w:widowControl w:val="0"/>
        <w:adjustRightInd w:val="0"/>
        <w:snapToGrid w:val="0"/>
        <w:spacing w:before="0" w:line="360" w:lineRule="auto"/>
        <w:jc w:val="both"/>
        <w:rPr>
          <w:rFonts w:ascii="Book Antiqua" w:hAnsi="Book Antiqua" w:cstheme="minorHAnsi"/>
          <w:color w:val="auto"/>
        </w:rPr>
      </w:pPr>
      <w:r w:rsidRPr="00ED0648">
        <w:rPr>
          <w:rFonts w:ascii="Book Antiqua" w:hAnsi="Book Antiqua" w:cstheme="minorHAnsi"/>
          <w:color w:val="auto"/>
        </w:rPr>
        <w:t>Ambulatory esophageal pH monitoring is critical to establish a diagnosis of GERD</w:t>
      </w:r>
      <w:r w:rsidRPr="00ED0648">
        <w:rPr>
          <w:rFonts w:ascii="Book Antiqua" w:hAnsi="Book Antiqua" w:cstheme="minorHAnsi"/>
          <w:noProof/>
          <w:color w:val="auto"/>
          <w:vertAlign w:val="superscript"/>
        </w:rPr>
        <w:t>[7</w:t>
      </w:r>
      <w:r w:rsidR="0022616A" w:rsidRPr="00ED0648">
        <w:rPr>
          <w:rFonts w:ascii="Book Antiqua" w:hAnsi="Book Antiqua" w:cstheme="minorHAnsi"/>
          <w:noProof/>
          <w:color w:val="auto"/>
          <w:vertAlign w:val="superscript"/>
        </w:rPr>
        <w:t>5</w:t>
      </w:r>
      <w:r w:rsidRPr="00ED0648">
        <w:rPr>
          <w:rFonts w:ascii="Book Antiqua" w:hAnsi="Book Antiqua" w:cstheme="minorHAnsi"/>
          <w:noProof/>
          <w:color w:val="auto"/>
          <w:vertAlign w:val="superscript"/>
        </w:rPr>
        <w:t>]</w:t>
      </w:r>
      <w:r w:rsidRPr="00ED0648">
        <w:rPr>
          <w:rFonts w:ascii="Book Antiqua" w:hAnsi="Book Antiqua" w:cstheme="minorHAnsi"/>
          <w:color w:val="auto"/>
        </w:rPr>
        <w:t>. pH monitoring directly measures the extent and frequency with which acid refluxes into the esophagus and has been shown to be the most sensitive and specific test to objectively diagnose GERD</w:t>
      </w:r>
      <w:r w:rsidRPr="00ED0648">
        <w:rPr>
          <w:rFonts w:ascii="Book Antiqua" w:hAnsi="Book Antiqua" w:cstheme="minorHAnsi"/>
          <w:noProof/>
          <w:color w:val="auto"/>
          <w:vertAlign w:val="superscript"/>
        </w:rPr>
        <w:t>[5</w:t>
      </w:r>
      <w:r w:rsidR="0022616A" w:rsidRPr="00ED0648">
        <w:rPr>
          <w:rFonts w:ascii="Book Antiqua" w:hAnsi="Book Antiqua" w:cstheme="minorHAnsi"/>
          <w:noProof/>
          <w:color w:val="auto"/>
          <w:vertAlign w:val="superscript"/>
        </w:rPr>
        <w:t>7</w:t>
      </w:r>
      <w:r w:rsidRPr="00ED0648">
        <w:rPr>
          <w:rFonts w:ascii="Book Antiqua" w:hAnsi="Book Antiqua" w:cstheme="minorHAnsi"/>
          <w:noProof/>
          <w:color w:val="auto"/>
          <w:vertAlign w:val="superscript"/>
        </w:rPr>
        <w:t>,6</w:t>
      </w:r>
      <w:r w:rsidR="0022616A" w:rsidRPr="00ED0648">
        <w:rPr>
          <w:rFonts w:ascii="Book Antiqua" w:hAnsi="Book Antiqua" w:cstheme="minorHAnsi"/>
          <w:noProof/>
          <w:color w:val="auto"/>
          <w:vertAlign w:val="superscript"/>
        </w:rPr>
        <w:t>3</w:t>
      </w:r>
      <w:r w:rsidRPr="00ED0648">
        <w:rPr>
          <w:rFonts w:ascii="Book Antiqua" w:hAnsi="Book Antiqua" w:cstheme="minorHAnsi"/>
          <w:noProof/>
          <w:color w:val="auto"/>
          <w:vertAlign w:val="superscript"/>
        </w:rPr>
        <w:t>]</w:t>
      </w:r>
      <w:r w:rsidRPr="00ED0648">
        <w:rPr>
          <w:rFonts w:ascii="Book Antiqua" w:hAnsi="Book Antiqua" w:cstheme="minorHAnsi"/>
          <w:color w:val="auto"/>
        </w:rPr>
        <w:t xml:space="preserve">. pH-impedance monitoring also measures the proximal extent of reflux and can differentiate between acidic, weakly-acidic and non-acid reflux. </w:t>
      </w:r>
    </w:p>
    <w:p w14:paraId="5FA27455" w14:textId="77777777" w:rsidR="007C4A08" w:rsidRPr="00ED0648" w:rsidRDefault="007C4A08" w:rsidP="00ED0648">
      <w:pPr>
        <w:adjustRightInd w:val="0"/>
        <w:snapToGrid w:val="0"/>
        <w:spacing w:after="0" w:line="360" w:lineRule="auto"/>
        <w:jc w:val="both"/>
        <w:rPr>
          <w:rFonts w:ascii="Book Antiqua" w:hAnsi="Book Antiqua"/>
          <w:b/>
          <w:bCs/>
          <w:sz w:val="24"/>
          <w:szCs w:val="24"/>
        </w:rPr>
      </w:pPr>
    </w:p>
    <w:p w14:paraId="5B82F848" w14:textId="77777777" w:rsidR="008C5A21" w:rsidRPr="00ED0648" w:rsidRDefault="008C5A21" w:rsidP="00ED0648">
      <w:pPr>
        <w:adjustRightInd w:val="0"/>
        <w:snapToGrid w:val="0"/>
        <w:spacing w:after="0" w:line="360" w:lineRule="auto"/>
        <w:jc w:val="both"/>
        <w:rPr>
          <w:rFonts w:ascii="Book Antiqua" w:hAnsi="Book Antiqua" w:cstheme="minorHAnsi"/>
          <w:b/>
          <w:bCs/>
          <w:i/>
          <w:sz w:val="24"/>
          <w:szCs w:val="24"/>
        </w:rPr>
      </w:pPr>
      <w:bookmarkStart w:id="201" w:name="_Toc497735224"/>
      <w:r w:rsidRPr="00ED0648">
        <w:rPr>
          <w:rFonts w:ascii="Book Antiqua" w:hAnsi="Book Antiqua" w:cstheme="minorHAnsi"/>
          <w:b/>
          <w:bCs/>
          <w:i/>
          <w:sz w:val="24"/>
          <w:szCs w:val="24"/>
        </w:rPr>
        <w:t>Manometry</w:t>
      </w:r>
      <w:bookmarkEnd w:id="201"/>
    </w:p>
    <w:p w14:paraId="4A7BC8BC" w14:textId="7655CF52" w:rsidR="008C5A21" w:rsidRPr="00ED0648" w:rsidRDefault="008C5A21" w:rsidP="00ED0648">
      <w:pPr>
        <w:pStyle w:val="3"/>
        <w:keepNext w:val="0"/>
        <w:keepLines w:val="0"/>
        <w:widowControl w:val="0"/>
        <w:adjustRightInd w:val="0"/>
        <w:snapToGrid w:val="0"/>
        <w:spacing w:before="0" w:line="360" w:lineRule="auto"/>
        <w:jc w:val="both"/>
        <w:rPr>
          <w:rFonts w:ascii="Book Antiqua" w:hAnsi="Book Antiqua"/>
          <w:color w:val="auto"/>
        </w:rPr>
      </w:pPr>
      <w:r w:rsidRPr="00ED0648">
        <w:rPr>
          <w:rFonts w:ascii="Book Antiqua" w:hAnsi="Book Antiqua" w:cstheme="minorHAnsi"/>
          <w:color w:val="auto"/>
        </w:rPr>
        <w:t>In addition to upper endoscopy and esophageal pH testing, a preoperative evaluation should include high resolution manometry to ensure normal esophageal motility</w:t>
      </w:r>
      <w:r w:rsidRPr="00ED0648">
        <w:rPr>
          <w:rFonts w:ascii="Book Antiqua" w:hAnsi="Book Antiqua" w:cstheme="minorHAnsi"/>
          <w:noProof/>
          <w:color w:val="auto"/>
          <w:vertAlign w:val="superscript"/>
        </w:rPr>
        <w:t>[19,5</w:t>
      </w:r>
      <w:r w:rsidR="0022616A" w:rsidRPr="00ED0648">
        <w:rPr>
          <w:rFonts w:ascii="Book Antiqua" w:hAnsi="Book Antiqua" w:cstheme="minorHAnsi"/>
          <w:noProof/>
          <w:color w:val="auto"/>
          <w:vertAlign w:val="superscript"/>
        </w:rPr>
        <w:t>7</w:t>
      </w:r>
      <w:r w:rsidRPr="00ED0648">
        <w:rPr>
          <w:rFonts w:ascii="Book Antiqua" w:hAnsi="Book Antiqua" w:cstheme="minorHAnsi"/>
          <w:noProof/>
          <w:color w:val="auto"/>
          <w:vertAlign w:val="superscript"/>
        </w:rPr>
        <w:t>]</w:t>
      </w:r>
      <w:r w:rsidRPr="00ED0648">
        <w:rPr>
          <w:rFonts w:ascii="Book Antiqua" w:hAnsi="Book Antiqua" w:cstheme="minorHAnsi"/>
          <w:color w:val="auto"/>
        </w:rPr>
        <w:t>. Manometry measures the pressure in the upper and lower esophageal sphincters, determines the effectiveness and coordination of peristalsis, and detects abnormal contractions. Manometry can be used to diagnose esophageal motility disorders such as achalasia, esophageal spasm, and lower esophageal sphincter hypotension and hypertension</w:t>
      </w:r>
      <w:r w:rsidRPr="00ED0648">
        <w:rPr>
          <w:rFonts w:ascii="Book Antiqua" w:hAnsi="Book Antiqua" w:cstheme="minorHAnsi"/>
          <w:noProof/>
          <w:color w:val="auto"/>
          <w:vertAlign w:val="superscript"/>
        </w:rPr>
        <w:t>[5</w:t>
      </w:r>
      <w:r w:rsidR="0022616A" w:rsidRPr="00ED0648">
        <w:rPr>
          <w:rFonts w:ascii="Book Antiqua" w:hAnsi="Book Antiqua" w:cstheme="minorHAnsi"/>
          <w:noProof/>
          <w:color w:val="auto"/>
          <w:vertAlign w:val="superscript"/>
        </w:rPr>
        <w:t>7</w:t>
      </w:r>
      <w:r w:rsidRPr="00ED0648">
        <w:rPr>
          <w:rFonts w:ascii="Book Antiqua" w:hAnsi="Book Antiqua" w:cstheme="minorHAnsi"/>
          <w:noProof/>
          <w:color w:val="auto"/>
          <w:vertAlign w:val="superscript"/>
        </w:rPr>
        <w:t>]</w:t>
      </w:r>
      <w:r w:rsidRPr="00ED0648">
        <w:rPr>
          <w:rFonts w:ascii="Book Antiqua" w:hAnsi="Book Antiqua" w:cstheme="minorHAnsi"/>
          <w:color w:val="auto"/>
        </w:rPr>
        <w:t xml:space="preserve">. </w:t>
      </w:r>
    </w:p>
    <w:p w14:paraId="09D0A154" w14:textId="77777777" w:rsidR="008C5A21" w:rsidRPr="00ED0648" w:rsidRDefault="008C5A21" w:rsidP="00ED0648">
      <w:pPr>
        <w:adjustRightInd w:val="0"/>
        <w:snapToGrid w:val="0"/>
        <w:spacing w:after="0" w:line="360" w:lineRule="auto"/>
        <w:jc w:val="both"/>
        <w:rPr>
          <w:rFonts w:ascii="Book Antiqua" w:hAnsi="Book Antiqua" w:cstheme="minorHAnsi"/>
          <w:sz w:val="24"/>
          <w:szCs w:val="24"/>
        </w:rPr>
      </w:pPr>
    </w:p>
    <w:p w14:paraId="23C9BC81" w14:textId="66E9BF59" w:rsidR="008C5A21" w:rsidRPr="00ED0648" w:rsidRDefault="007C4A08" w:rsidP="00ED0648">
      <w:pPr>
        <w:adjustRightInd w:val="0"/>
        <w:snapToGrid w:val="0"/>
        <w:spacing w:after="0" w:line="360" w:lineRule="auto"/>
        <w:jc w:val="both"/>
        <w:rPr>
          <w:rFonts w:ascii="Book Antiqua" w:hAnsi="Book Antiqua" w:cstheme="minorHAnsi"/>
          <w:b/>
          <w:bCs/>
          <w:sz w:val="24"/>
          <w:szCs w:val="24"/>
        </w:rPr>
      </w:pPr>
      <w:r w:rsidRPr="00ED0648">
        <w:rPr>
          <w:rFonts w:ascii="Book Antiqua" w:hAnsi="Book Antiqua" w:cstheme="minorHAnsi"/>
          <w:b/>
          <w:bCs/>
          <w:sz w:val="24"/>
          <w:szCs w:val="24"/>
        </w:rPr>
        <w:t>TYPICAL CLINICAL PATHWAYS FOR GERD SYMPTOMS AND OPPORTUNITIES FOR IMPROVING CARE WITH MSA</w:t>
      </w:r>
    </w:p>
    <w:p w14:paraId="0D51620E" w14:textId="5FCF0ACA" w:rsidR="008C5A21" w:rsidRPr="00ED0648" w:rsidRDefault="008C5A21" w:rsidP="00ED0648">
      <w:pPr>
        <w:pStyle w:val="3"/>
        <w:keepNext w:val="0"/>
        <w:keepLines w:val="0"/>
        <w:widowControl w:val="0"/>
        <w:adjustRightInd w:val="0"/>
        <w:snapToGrid w:val="0"/>
        <w:spacing w:before="0" w:line="360" w:lineRule="auto"/>
        <w:jc w:val="both"/>
        <w:rPr>
          <w:rFonts w:ascii="Book Antiqua" w:hAnsi="Book Antiqua" w:cstheme="minorHAnsi"/>
          <w:color w:val="auto"/>
        </w:rPr>
      </w:pPr>
      <w:r w:rsidRPr="00ED0648">
        <w:rPr>
          <w:rFonts w:ascii="Book Antiqua" w:hAnsi="Book Antiqua" w:cstheme="minorHAnsi"/>
          <w:color w:val="auto"/>
        </w:rPr>
        <w:t>The diversity of clinical presentations of GERD poses challenges for clinicians in primary and specialty care settings. As Figure 4 illustrates, GERD patients may present with a range of typical or atypical symptoms. Typical symptoms of GERD include heartburn, regurgitation, and dysphagia</w:t>
      </w:r>
      <w:r w:rsidRPr="00ED0648">
        <w:rPr>
          <w:rFonts w:ascii="Book Antiqua" w:hAnsi="Book Antiqua" w:cstheme="minorHAnsi"/>
          <w:noProof/>
          <w:color w:val="auto"/>
          <w:vertAlign w:val="superscript"/>
        </w:rPr>
        <w:t>[2,23,7</w:t>
      </w:r>
      <w:r w:rsidR="0022616A" w:rsidRPr="00ED0648">
        <w:rPr>
          <w:rFonts w:ascii="Book Antiqua" w:hAnsi="Book Antiqua" w:cstheme="minorHAnsi"/>
          <w:noProof/>
          <w:color w:val="auto"/>
          <w:vertAlign w:val="superscript"/>
        </w:rPr>
        <w:t>6</w:t>
      </w:r>
      <w:r w:rsidRPr="00ED0648">
        <w:rPr>
          <w:rFonts w:ascii="Book Antiqua" w:hAnsi="Book Antiqua" w:cstheme="minorHAnsi"/>
          <w:noProof/>
          <w:color w:val="auto"/>
          <w:vertAlign w:val="superscript"/>
        </w:rPr>
        <w:t>,7</w:t>
      </w:r>
      <w:r w:rsidR="0022616A" w:rsidRPr="00ED0648">
        <w:rPr>
          <w:rFonts w:ascii="Book Antiqua" w:hAnsi="Book Antiqua" w:cstheme="minorHAnsi"/>
          <w:noProof/>
          <w:color w:val="auto"/>
          <w:vertAlign w:val="superscript"/>
        </w:rPr>
        <w:t>7</w:t>
      </w:r>
      <w:r w:rsidRPr="00ED0648">
        <w:rPr>
          <w:rFonts w:ascii="Book Antiqua" w:hAnsi="Book Antiqua" w:cstheme="minorHAnsi"/>
          <w:noProof/>
          <w:color w:val="auto"/>
          <w:vertAlign w:val="superscript"/>
        </w:rPr>
        <w:t>]</w:t>
      </w:r>
      <w:r w:rsidRPr="00ED0648">
        <w:rPr>
          <w:rFonts w:ascii="Book Antiqua" w:hAnsi="Book Antiqua" w:cstheme="minorHAnsi"/>
          <w:color w:val="auto"/>
        </w:rPr>
        <w:t>. Although dysphagia can be associated with uncomplicated GERD, its presence warrants investigation for alternative etiologies, including underlying motility disorder, stricture, ring, or neoplasm</w:t>
      </w:r>
      <w:r w:rsidRPr="00ED0648">
        <w:rPr>
          <w:rFonts w:ascii="Book Antiqua" w:hAnsi="Book Antiqua" w:cstheme="minorHAnsi"/>
          <w:noProof/>
          <w:color w:val="auto"/>
          <w:vertAlign w:val="superscript"/>
        </w:rPr>
        <w:t>[23,</w:t>
      </w:r>
      <w:r w:rsidR="0022616A" w:rsidRPr="00ED0648">
        <w:rPr>
          <w:rFonts w:ascii="Book Antiqua" w:hAnsi="Book Antiqua" w:cstheme="minorHAnsi"/>
          <w:noProof/>
          <w:color w:val="auto"/>
          <w:vertAlign w:val="superscript"/>
        </w:rPr>
        <w:t>78</w:t>
      </w:r>
      <w:r w:rsidRPr="00ED0648">
        <w:rPr>
          <w:rFonts w:ascii="Book Antiqua" w:hAnsi="Book Antiqua" w:cstheme="minorHAnsi"/>
          <w:noProof/>
          <w:color w:val="auto"/>
          <w:vertAlign w:val="superscript"/>
        </w:rPr>
        <w:t>]</w:t>
      </w:r>
      <w:r w:rsidRPr="00ED0648">
        <w:rPr>
          <w:rFonts w:ascii="Book Antiqua" w:hAnsi="Book Antiqua" w:cstheme="minorHAnsi"/>
          <w:color w:val="auto"/>
        </w:rPr>
        <w:t>. Atypical GERD symptoms may include dyspepsia, epigastric pain, nausea, bloating, and belching</w:t>
      </w:r>
      <w:r w:rsidRPr="00ED0648">
        <w:rPr>
          <w:rFonts w:ascii="Book Antiqua" w:hAnsi="Book Antiqua" w:cstheme="minorHAnsi"/>
          <w:noProof/>
          <w:color w:val="auto"/>
          <w:vertAlign w:val="superscript"/>
        </w:rPr>
        <w:t>[19,23]</w:t>
      </w:r>
      <w:r w:rsidRPr="00ED0648">
        <w:rPr>
          <w:rFonts w:ascii="Book Antiqua" w:hAnsi="Book Antiqua" w:cstheme="minorHAnsi"/>
          <w:color w:val="auto"/>
        </w:rPr>
        <w:t xml:space="preserve">. Extraesophageal GERD symptoms include chronic cough, chronic laryngitis, and </w:t>
      </w:r>
      <w:r w:rsidRPr="00ED0648">
        <w:rPr>
          <w:rFonts w:ascii="Book Antiqua" w:hAnsi="Book Antiqua" w:cstheme="minorHAnsi"/>
          <w:color w:val="auto"/>
        </w:rPr>
        <w:lastRenderedPageBreak/>
        <w:t>associated asthma symptoms</w:t>
      </w:r>
      <w:r w:rsidRPr="00ED0648">
        <w:rPr>
          <w:rFonts w:ascii="Book Antiqua" w:hAnsi="Book Antiqua" w:cstheme="minorHAnsi"/>
          <w:noProof/>
          <w:color w:val="auto"/>
          <w:vertAlign w:val="superscript"/>
        </w:rPr>
        <w:t>[23</w:t>
      </w:r>
      <w:r w:rsidRPr="00ED0648">
        <w:rPr>
          <w:rFonts w:ascii="Book Antiqua" w:hAnsi="Book Antiqua" w:cstheme="minorHAnsi"/>
          <w:color w:val="auto"/>
          <w:vertAlign w:val="superscript"/>
        </w:rPr>
        <w:t>,</w:t>
      </w:r>
      <w:r w:rsidRPr="00ED0648">
        <w:rPr>
          <w:rFonts w:ascii="Book Antiqua" w:hAnsi="Book Antiqua" w:cstheme="minorHAnsi"/>
          <w:noProof/>
          <w:color w:val="auto"/>
          <w:vertAlign w:val="superscript"/>
        </w:rPr>
        <w:t>7</w:t>
      </w:r>
      <w:r w:rsidR="0022616A" w:rsidRPr="00ED0648">
        <w:rPr>
          <w:rFonts w:ascii="Book Antiqua" w:hAnsi="Book Antiqua" w:cstheme="minorHAnsi"/>
          <w:noProof/>
          <w:color w:val="auto"/>
          <w:vertAlign w:val="superscript"/>
        </w:rPr>
        <w:t>7</w:t>
      </w:r>
      <w:r w:rsidRPr="00ED0648">
        <w:rPr>
          <w:rFonts w:ascii="Book Antiqua" w:hAnsi="Book Antiqua" w:cstheme="minorHAnsi"/>
          <w:color w:val="auto"/>
          <w:vertAlign w:val="superscript"/>
        </w:rPr>
        <w:t>,</w:t>
      </w:r>
      <w:r w:rsidR="0022616A" w:rsidRPr="00ED0648">
        <w:rPr>
          <w:rFonts w:ascii="Book Antiqua" w:hAnsi="Book Antiqua" w:cstheme="minorHAnsi"/>
          <w:noProof/>
          <w:color w:val="auto"/>
          <w:vertAlign w:val="superscript"/>
        </w:rPr>
        <w:t>79</w:t>
      </w:r>
      <w:r w:rsidRPr="00ED0648">
        <w:rPr>
          <w:rFonts w:ascii="Book Antiqua" w:hAnsi="Book Antiqua" w:cstheme="minorHAnsi"/>
          <w:color w:val="auto"/>
          <w:vertAlign w:val="superscript"/>
        </w:rPr>
        <w:t>,</w:t>
      </w:r>
      <w:r w:rsidR="00753AAB" w:rsidRPr="00ED0648">
        <w:rPr>
          <w:rFonts w:ascii="Book Antiqua" w:hAnsi="Book Antiqua" w:cstheme="minorHAnsi"/>
          <w:noProof/>
          <w:color w:val="auto"/>
          <w:vertAlign w:val="superscript"/>
        </w:rPr>
        <w:t>8</w:t>
      </w:r>
      <w:r w:rsidR="0022616A" w:rsidRPr="00ED0648">
        <w:rPr>
          <w:rFonts w:ascii="Book Antiqua" w:hAnsi="Book Antiqua" w:cstheme="minorHAnsi"/>
          <w:noProof/>
          <w:color w:val="auto"/>
          <w:vertAlign w:val="superscript"/>
        </w:rPr>
        <w:t>0</w:t>
      </w:r>
      <w:r w:rsidRPr="00ED0648">
        <w:rPr>
          <w:rFonts w:ascii="Book Antiqua" w:hAnsi="Book Antiqua" w:cstheme="minorHAnsi"/>
          <w:noProof/>
          <w:color w:val="auto"/>
          <w:vertAlign w:val="superscript"/>
        </w:rPr>
        <w:t>]</w:t>
      </w:r>
      <w:r w:rsidRPr="00ED0648">
        <w:rPr>
          <w:rFonts w:ascii="Book Antiqua" w:hAnsi="Book Antiqua" w:cstheme="minorHAnsi"/>
          <w:color w:val="auto"/>
        </w:rPr>
        <w:t>. Atypical symptoms may overlap with other conditions, complicating diagnosis and treatment. Distinguishing them from GERD with appropriate diagnosis is important</w:t>
      </w:r>
      <w:r w:rsidRPr="00ED0648">
        <w:rPr>
          <w:rFonts w:ascii="Book Antiqua" w:hAnsi="Book Antiqua" w:cstheme="minorHAnsi"/>
          <w:noProof/>
          <w:color w:val="auto"/>
          <w:vertAlign w:val="superscript"/>
        </w:rPr>
        <w:t>[</w:t>
      </w:r>
      <w:r w:rsidR="00753AAB" w:rsidRPr="00ED0648">
        <w:rPr>
          <w:rFonts w:ascii="Book Antiqua" w:hAnsi="Book Antiqua" w:cstheme="minorHAnsi"/>
          <w:noProof/>
          <w:color w:val="auto"/>
          <w:vertAlign w:val="superscript"/>
        </w:rPr>
        <w:t>8</w:t>
      </w:r>
      <w:r w:rsidR="0022616A" w:rsidRPr="00ED0648">
        <w:rPr>
          <w:rFonts w:ascii="Book Antiqua" w:hAnsi="Book Antiqua" w:cstheme="minorHAnsi"/>
          <w:noProof/>
          <w:color w:val="auto"/>
          <w:vertAlign w:val="superscript"/>
        </w:rPr>
        <w:t>1</w:t>
      </w:r>
      <w:r w:rsidRPr="00ED0648">
        <w:rPr>
          <w:rFonts w:ascii="Book Antiqua" w:hAnsi="Book Antiqua" w:cstheme="minorHAnsi"/>
          <w:noProof/>
          <w:color w:val="auto"/>
          <w:vertAlign w:val="superscript"/>
        </w:rPr>
        <w:t>]</w:t>
      </w:r>
      <w:r w:rsidRPr="00ED0648">
        <w:rPr>
          <w:rFonts w:ascii="Book Antiqua" w:hAnsi="Book Antiqua" w:cstheme="minorHAnsi"/>
          <w:color w:val="auto"/>
        </w:rPr>
        <w:t xml:space="preserve">. </w:t>
      </w:r>
    </w:p>
    <w:p w14:paraId="062B679D" w14:textId="24DDDEAC" w:rsidR="008C5A21" w:rsidRPr="00ED0648" w:rsidRDefault="008C5A21" w:rsidP="008C42C4">
      <w:pPr>
        <w:pStyle w:val="3"/>
        <w:keepNext w:val="0"/>
        <w:keepLines w:val="0"/>
        <w:widowControl w:val="0"/>
        <w:adjustRightInd w:val="0"/>
        <w:snapToGrid w:val="0"/>
        <w:spacing w:before="0" w:line="360" w:lineRule="auto"/>
        <w:ind w:firstLineChars="100" w:firstLine="240"/>
        <w:jc w:val="both"/>
        <w:rPr>
          <w:rFonts w:ascii="Book Antiqua" w:hAnsi="Book Antiqua" w:cstheme="minorHAnsi"/>
          <w:color w:val="auto"/>
        </w:rPr>
      </w:pPr>
      <w:r w:rsidRPr="00ED0648">
        <w:rPr>
          <w:rFonts w:ascii="Book Antiqua" w:hAnsi="Book Antiqua" w:cstheme="minorHAnsi"/>
          <w:color w:val="auto"/>
        </w:rPr>
        <w:t>There is significant room for improvement in GERD diagnosis and treatment, particularly among patients with atypical symptoms for optimal patient care and healthcare resource utilization</w:t>
      </w:r>
      <w:r w:rsidRPr="00ED0648">
        <w:rPr>
          <w:rFonts w:ascii="Book Antiqua" w:hAnsi="Book Antiqua" w:cstheme="minorHAnsi"/>
          <w:noProof/>
          <w:color w:val="auto"/>
          <w:vertAlign w:val="superscript"/>
        </w:rPr>
        <w:t>[</w:t>
      </w:r>
      <w:r w:rsidR="00753AAB" w:rsidRPr="00ED0648">
        <w:rPr>
          <w:rFonts w:ascii="Book Antiqua" w:hAnsi="Book Antiqua" w:cstheme="minorHAnsi"/>
          <w:noProof/>
          <w:color w:val="auto"/>
          <w:vertAlign w:val="superscript"/>
        </w:rPr>
        <w:t>8</w:t>
      </w:r>
      <w:r w:rsidR="0022616A" w:rsidRPr="00ED0648">
        <w:rPr>
          <w:rFonts w:ascii="Book Antiqua" w:hAnsi="Book Antiqua" w:cstheme="minorHAnsi"/>
          <w:noProof/>
          <w:color w:val="auto"/>
          <w:vertAlign w:val="superscript"/>
        </w:rPr>
        <w:t>1</w:t>
      </w:r>
      <w:r w:rsidRPr="00ED0648">
        <w:rPr>
          <w:rFonts w:ascii="Book Antiqua" w:hAnsi="Book Antiqua" w:cstheme="minorHAnsi"/>
          <w:noProof/>
          <w:color w:val="auto"/>
          <w:vertAlign w:val="superscript"/>
        </w:rPr>
        <w:t>-8</w:t>
      </w:r>
      <w:r w:rsidR="0022616A" w:rsidRPr="00ED0648">
        <w:rPr>
          <w:rFonts w:ascii="Book Antiqua" w:hAnsi="Book Antiqua" w:cstheme="minorHAnsi"/>
          <w:noProof/>
          <w:color w:val="auto"/>
          <w:vertAlign w:val="superscript"/>
        </w:rPr>
        <w:t>3</w:t>
      </w:r>
      <w:r w:rsidRPr="00ED0648">
        <w:rPr>
          <w:rFonts w:ascii="Book Antiqua" w:hAnsi="Book Antiqua" w:cstheme="minorHAnsi"/>
          <w:noProof/>
          <w:color w:val="auto"/>
          <w:vertAlign w:val="superscript"/>
        </w:rPr>
        <w:t>]</w:t>
      </w:r>
      <w:r w:rsidRPr="00ED0648">
        <w:rPr>
          <w:rFonts w:ascii="Book Antiqua" w:hAnsi="Book Antiqua" w:cstheme="minorHAnsi"/>
          <w:color w:val="auto"/>
        </w:rPr>
        <w:t>. A study from AHRQ demonstrated that hospitalizations for disorders caused by GERD rose 103 percent between 1998 and 2005</w:t>
      </w:r>
      <w:r w:rsidRPr="00ED0648">
        <w:rPr>
          <w:rFonts w:ascii="Book Antiqua" w:hAnsi="Book Antiqua" w:cstheme="minorHAnsi"/>
          <w:noProof/>
          <w:color w:val="auto"/>
          <w:vertAlign w:val="superscript"/>
        </w:rPr>
        <w:t>[8</w:t>
      </w:r>
      <w:r w:rsidR="0022616A" w:rsidRPr="00ED0648">
        <w:rPr>
          <w:rFonts w:ascii="Book Antiqua" w:hAnsi="Book Antiqua" w:cstheme="minorHAnsi"/>
          <w:noProof/>
          <w:color w:val="auto"/>
          <w:vertAlign w:val="superscript"/>
        </w:rPr>
        <w:t>4</w:t>
      </w:r>
      <w:r w:rsidRPr="00ED0648">
        <w:rPr>
          <w:rFonts w:ascii="Book Antiqua" w:hAnsi="Book Antiqua" w:cstheme="minorHAnsi"/>
          <w:noProof/>
          <w:color w:val="auto"/>
          <w:vertAlign w:val="superscript"/>
        </w:rPr>
        <w:t>]</w:t>
      </w:r>
      <w:r w:rsidRPr="00ED0648">
        <w:rPr>
          <w:rFonts w:ascii="Book Antiqua" w:hAnsi="Book Antiqua" w:cstheme="minorHAnsi"/>
          <w:color w:val="auto"/>
        </w:rPr>
        <w:t>. As such, detailed investigations and objective measurements in patients with symptoms of GERD should be performed with the intent of making the correct diagnosis, thus enabling choice of appropriate therapy</w:t>
      </w:r>
      <w:r w:rsidRPr="00ED0648">
        <w:rPr>
          <w:rFonts w:ascii="Book Antiqua" w:hAnsi="Book Antiqua" w:cstheme="minorHAnsi"/>
          <w:noProof/>
          <w:color w:val="auto"/>
          <w:vertAlign w:val="superscript"/>
        </w:rPr>
        <w:t>[8</w:t>
      </w:r>
      <w:r w:rsidR="0022616A" w:rsidRPr="00ED0648">
        <w:rPr>
          <w:rFonts w:ascii="Book Antiqua" w:hAnsi="Book Antiqua" w:cstheme="minorHAnsi"/>
          <w:noProof/>
          <w:color w:val="auto"/>
          <w:vertAlign w:val="superscript"/>
        </w:rPr>
        <w:t>5</w:t>
      </w:r>
      <w:r w:rsidRPr="00ED0648">
        <w:rPr>
          <w:rFonts w:ascii="Book Antiqua" w:hAnsi="Book Antiqua" w:cstheme="minorHAnsi"/>
          <w:noProof/>
          <w:color w:val="auto"/>
          <w:vertAlign w:val="superscript"/>
        </w:rPr>
        <w:t>]</w:t>
      </w:r>
      <w:r w:rsidRPr="00ED0648">
        <w:rPr>
          <w:rFonts w:ascii="Book Antiqua" w:hAnsi="Book Antiqua" w:cstheme="minorHAnsi"/>
          <w:color w:val="auto"/>
        </w:rPr>
        <w:t xml:space="preserve">. </w:t>
      </w:r>
    </w:p>
    <w:p w14:paraId="6EB4268D" w14:textId="77777777" w:rsidR="007C4A08" w:rsidRPr="00ED0648" w:rsidRDefault="007C4A08" w:rsidP="00ED0648">
      <w:pPr>
        <w:adjustRightInd w:val="0"/>
        <w:snapToGrid w:val="0"/>
        <w:spacing w:after="0" w:line="360" w:lineRule="auto"/>
        <w:jc w:val="both"/>
        <w:rPr>
          <w:rFonts w:ascii="Book Antiqua" w:hAnsi="Book Antiqua"/>
          <w:sz w:val="24"/>
          <w:szCs w:val="24"/>
        </w:rPr>
      </w:pPr>
    </w:p>
    <w:p w14:paraId="4A32B22C" w14:textId="4B98A98D" w:rsidR="008C5A21" w:rsidRPr="00ED0648" w:rsidRDefault="008C5A21" w:rsidP="00ED0648">
      <w:pPr>
        <w:adjustRightInd w:val="0"/>
        <w:snapToGrid w:val="0"/>
        <w:spacing w:after="0" w:line="360" w:lineRule="auto"/>
        <w:jc w:val="both"/>
        <w:rPr>
          <w:rFonts w:ascii="Book Antiqua" w:hAnsi="Book Antiqua" w:cstheme="minorHAnsi"/>
          <w:b/>
          <w:bCs/>
          <w:i/>
          <w:sz w:val="24"/>
          <w:szCs w:val="24"/>
        </w:rPr>
      </w:pPr>
      <w:r w:rsidRPr="00ED0648">
        <w:rPr>
          <w:rFonts w:ascii="Book Antiqua" w:hAnsi="Book Antiqua" w:cstheme="minorHAnsi"/>
          <w:b/>
          <w:bCs/>
          <w:i/>
          <w:sz w:val="24"/>
          <w:szCs w:val="24"/>
        </w:rPr>
        <w:t xml:space="preserve">Clinical </w:t>
      </w:r>
      <w:r w:rsidR="007C4A08" w:rsidRPr="00ED0648">
        <w:rPr>
          <w:rFonts w:ascii="Book Antiqua" w:hAnsi="Book Antiqua" w:cstheme="minorHAnsi"/>
          <w:b/>
          <w:bCs/>
          <w:i/>
          <w:sz w:val="24"/>
          <w:szCs w:val="24"/>
        </w:rPr>
        <w:t>p</w:t>
      </w:r>
      <w:r w:rsidRPr="00ED0648">
        <w:rPr>
          <w:rFonts w:ascii="Book Antiqua" w:hAnsi="Book Antiqua" w:cstheme="minorHAnsi"/>
          <w:b/>
          <w:bCs/>
          <w:i/>
          <w:sz w:val="24"/>
          <w:szCs w:val="24"/>
        </w:rPr>
        <w:t>athways</w:t>
      </w:r>
    </w:p>
    <w:p w14:paraId="15EA2E69" w14:textId="16D89502" w:rsidR="008C5A21" w:rsidRPr="00ED0648" w:rsidRDefault="008C5A21" w:rsidP="00ED0648">
      <w:pPr>
        <w:adjustRightInd w:val="0"/>
        <w:snapToGrid w:val="0"/>
        <w:spacing w:after="0" w:line="360" w:lineRule="auto"/>
        <w:jc w:val="both"/>
        <w:rPr>
          <w:rFonts w:ascii="Book Antiqua" w:hAnsi="Book Antiqua" w:cstheme="minorHAnsi"/>
          <w:sz w:val="24"/>
          <w:szCs w:val="24"/>
        </w:rPr>
      </w:pPr>
      <w:r w:rsidRPr="00ED0648">
        <w:rPr>
          <w:rFonts w:ascii="Book Antiqua" w:hAnsi="Book Antiqua" w:cstheme="minorHAnsi"/>
          <w:sz w:val="24"/>
          <w:szCs w:val="24"/>
        </w:rPr>
        <w:t>In addition to obtaining an accurate diagnosis of GERD and conducting a through evaluation of the esophagus, it is also important that algorithms for referral for diagnosis to treatment be defined. When the diagnosis is uncertain or when GERD symptoms do not resolve following self-treatment, patients often present to primary care providers (PCPs)</w:t>
      </w:r>
      <w:r w:rsidRPr="00ED0648">
        <w:rPr>
          <w:rFonts w:ascii="Book Antiqua" w:hAnsi="Book Antiqua" w:cstheme="minorHAnsi"/>
          <w:noProof/>
          <w:sz w:val="24"/>
          <w:szCs w:val="24"/>
          <w:vertAlign w:val="superscript"/>
        </w:rPr>
        <w:t>[</w:t>
      </w:r>
      <w:r w:rsidR="00753AAB" w:rsidRPr="00ED0648">
        <w:rPr>
          <w:rFonts w:ascii="Book Antiqua" w:hAnsi="Book Antiqua" w:cstheme="minorHAnsi"/>
          <w:noProof/>
          <w:sz w:val="24"/>
          <w:szCs w:val="24"/>
          <w:vertAlign w:val="superscript"/>
        </w:rPr>
        <w:t>8</w:t>
      </w:r>
      <w:r w:rsidR="0022616A" w:rsidRPr="00ED0648">
        <w:rPr>
          <w:rFonts w:ascii="Book Antiqua" w:hAnsi="Book Antiqua" w:cstheme="minorHAnsi"/>
          <w:noProof/>
          <w:sz w:val="24"/>
          <w:szCs w:val="24"/>
          <w:vertAlign w:val="superscript"/>
        </w:rPr>
        <w:t>1</w:t>
      </w:r>
      <w:r w:rsidRPr="00ED0648">
        <w:rPr>
          <w:rFonts w:ascii="Book Antiqua" w:hAnsi="Book Antiqua" w:cstheme="minorHAnsi"/>
          <w:noProof/>
          <w:sz w:val="24"/>
          <w:szCs w:val="24"/>
          <w:vertAlign w:val="superscript"/>
        </w:rPr>
        <w:t>]</w:t>
      </w:r>
      <w:r w:rsidRPr="00ED0648">
        <w:rPr>
          <w:rFonts w:ascii="Book Antiqua" w:hAnsi="Book Antiqua" w:cstheme="minorHAnsi"/>
          <w:sz w:val="24"/>
          <w:szCs w:val="24"/>
        </w:rPr>
        <w:t>. Some research has shown that patients with chronic diseases may have better health outcomes when PCPs co-manage care with specialists</w:t>
      </w:r>
      <w:r w:rsidRPr="00ED0648">
        <w:rPr>
          <w:rFonts w:ascii="Book Antiqua" w:hAnsi="Book Antiqua" w:cstheme="minorHAnsi"/>
          <w:noProof/>
          <w:sz w:val="24"/>
          <w:szCs w:val="24"/>
          <w:vertAlign w:val="superscript"/>
        </w:rPr>
        <w:t>[8</w:t>
      </w:r>
      <w:r w:rsidR="0022616A" w:rsidRPr="00ED0648">
        <w:rPr>
          <w:rFonts w:ascii="Book Antiqua" w:hAnsi="Book Antiqua" w:cstheme="minorHAnsi"/>
          <w:noProof/>
          <w:sz w:val="24"/>
          <w:szCs w:val="24"/>
          <w:vertAlign w:val="superscript"/>
        </w:rPr>
        <w:t>6</w:t>
      </w:r>
      <w:r w:rsidRPr="00ED0648">
        <w:rPr>
          <w:rFonts w:ascii="Book Antiqua" w:hAnsi="Book Antiqua" w:cstheme="minorHAnsi"/>
          <w:noProof/>
          <w:sz w:val="24"/>
          <w:szCs w:val="24"/>
          <w:vertAlign w:val="superscript"/>
        </w:rPr>
        <w:t>]</w:t>
      </w:r>
      <w:r w:rsidRPr="00ED0648">
        <w:rPr>
          <w:rFonts w:ascii="Book Antiqua" w:hAnsi="Book Antiqua" w:cstheme="minorHAnsi"/>
          <w:sz w:val="24"/>
          <w:szCs w:val="24"/>
        </w:rPr>
        <w:t>. Patients with GERD also often present to emergency rooms (ERs). In an AHRQ analysis of GERD hospitalizations, 69% of patients initially presented to the ER</w:t>
      </w:r>
      <w:r w:rsidRPr="00ED0648">
        <w:rPr>
          <w:rFonts w:ascii="Book Antiqua" w:hAnsi="Book Antiqua" w:cstheme="minorHAnsi"/>
          <w:noProof/>
          <w:sz w:val="24"/>
          <w:szCs w:val="24"/>
          <w:vertAlign w:val="superscript"/>
        </w:rPr>
        <w:t>[8</w:t>
      </w:r>
      <w:r w:rsidR="0022616A" w:rsidRPr="00ED0648">
        <w:rPr>
          <w:rFonts w:ascii="Book Antiqua" w:hAnsi="Book Antiqua" w:cstheme="minorHAnsi"/>
          <w:noProof/>
          <w:sz w:val="24"/>
          <w:szCs w:val="24"/>
          <w:vertAlign w:val="superscript"/>
        </w:rPr>
        <w:t>4</w:t>
      </w:r>
      <w:r w:rsidRPr="00ED0648">
        <w:rPr>
          <w:rFonts w:ascii="Book Antiqua" w:hAnsi="Book Antiqua" w:cstheme="minorHAnsi"/>
          <w:noProof/>
          <w:sz w:val="24"/>
          <w:szCs w:val="24"/>
          <w:vertAlign w:val="superscript"/>
        </w:rPr>
        <w:t>]</w:t>
      </w:r>
      <w:r w:rsidRPr="00ED0648">
        <w:rPr>
          <w:rFonts w:ascii="Book Antiqua" w:hAnsi="Book Antiqua" w:cstheme="minorHAnsi"/>
          <w:sz w:val="24"/>
          <w:szCs w:val="24"/>
        </w:rPr>
        <w:t>. Patients with GERD may also seek care from otolaryngologists, allergists, immunologists, and pulmonologists, as it is estimated that 38</w:t>
      </w:r>
      <w:r w:rsidR="009C6877">
        <w:rPr>
          <w:rFonts w:ascii="Book Antiqua" w:hAnsi="Book Antiqua" w:cstheme="minorHAnsi"/>
          <w:sz w:val="24"/>
          <w:szCs w:val="24"/>
        </w:rPr>
        <w:t>%</w:t>
      </w:r>
      <w:r w:rsidR="009C6877" w:rsidRPr="00ED0648">
        <w:rPr>
          <w:rFonts w:ascii="Book Antiqua" w:hAnsi="Book Antiqua" w:cstheme="minorHAnsi"/>
          <w:sz w:val="24"/>
          <w:szCs w:val="24"/>
        </w:rPr>
        <w:t>-</w:t>
      </w:r>
      <w:r w:rsidRPr="00ED0648">
        <w:rPr>
          <w:rFonts w:ascii="Book Antiqua" w:hAnsi="Book Antiqua" w:cstheme="minorHAnsi"/>
          <w:sz w:val="24"/>
          <w:szCs w:val="24"/>
        </w:rPr>
        <w:t>51% of asthmatics have GERD</w:t>
      </w:r>
      <w:r w:rsidRPr="00ED0648">
        <w:rPr>
          <w:rFonts w:ascii="Book Antiqua" w:hAnsi="Book Antiqua" w:cstheme="minorHAnsi"/>
          <w:noProof/>
          <w:sz w:val="24"/>
          <w:szCs w:val="24"/>
          <w:vertAlign w:val="superscript"/>
        </w:rPr>
        <w:t>[</w:t>
      </w:r>
      <w:r w:rsidR="0022616A" w:rsidRPr="00ED0648">
        <w:rPr>
          <w:rFonts w:ascii="Book Antiqua" w:hAnsi="Book Antiqua" w:cstheme="minorHAnsi"/>
          <w:noProof/>
          <w:sz w:val="24"/>
          <w:szCs w:val="24"/>
          <w:vertAlign w:val="superscript"/>
        </w:rPr>
        <w:t>79</w:t>
      </w:r>
      <w:r w:rsidRPr="00ED0648">
        <w:rPr>
          <w:rFonts w:ascii="Book Antiqua" w:hAnsi="Book Antiqua" w:cstheme="minorHAnsi"/>
          <w:noProof/>
          <w:sz w:val="24"/>
          <w:szCs w:val="24"/>
          <w:vertAlign w:val="superscript"/>
        </w:rPr>
        <w:t>]</w:t>
      </w:r>
      <w:r w:rsidRPr="00ED0648">
        <w:rPr>
          <w:rFonts w:ascii="Book Antiqua" w:hAnsi="Book Antiqua" w:cstheme="minorHAnsi"/>
          <w:sz w:val="24"/>
          <w:szCs w:val="24"/>
        </w:rPr>
        <w:t>, and approximately 60% of patients with obstructive sleep apnea may have GERD</w:t>
      </w:r>
      <w:r w:rsidRPr="00ED0648">
        <w:rPr>
          <w:rFonts w:ascii="Book Antiqua" w:hAnsi="Book Antiqua" w:cstheme="minorHAnsi"/>
          <w:noProof/>
          <w:sz w:val="24"/>
          <w:szCs w:val="24"/>
          <w:vertAlign w:val="superscript"/>
        </w:rPr>
        <w:t>[</w:t>
      </w:r>
      <w:r w:rsidR="00753AAB" w:rsidRPr="00ED0648">
        <w:rPr>
          <w:rFonts w:ascii="Book Antiqua" w:hAnsi="Book Antiqua" w:cstheme="minorHAnsi"/>
          <w:noProof/>
          <w:sz w:val="24"/>
          <w:szCs w:val="24"/>
          <w:vertAlign w:val="superscript"/>
        </w:rPr>
        <w:t>5</w:t>
      </w:r>
      <w:r w:rsidR="0022616A" w:rsidRPr="00ED0648">
        <w:rPr>
          <w:rFonts w:ascii="Book Antiqua" w:hAnsi="Book Antiqua" w:cstheme="minorHAnsi"/>
          <w:noProof/>
          <w:sz w:val="24"/>
          <w:szCs w:val="24"/>
          <w:vertAlign w:val="superscript"/>
        </w:rPr>
        <w:t>2</w:t>
      </w:r>
      <w:r w:rsidRPr="00ED0648">
        <w:rPr>
          <w:rFonts w:ascii="Book Antiqua" w:hAnsi="Book Antiqua" w:cstheme="minorHAnsi"/>
          <w:noProof/>
          <w:sz w:val="24"/>
          <w:szCs w:val="24"/>
          <w:vertAlign w:val="superscript"/>
        </w:rPr>
        <w:t>]</w:t>
      </w:r>
      <w:r w:rsidRPr="00ED0648">
        <w:rPr>
          <w:rFonts w:ascii="Book Antiqua" w:hAnsi="Book Antiqua" w:cstheme="minorHAnsi"/>
          <w:sz w:val="24"/>
          <w:szCs w:val="24"/>
        </w:rPr>
        <w:t>. In some cases, referrals to anti-reflux surgery may be limited to only those patients with severe disease and large hiatal hernias</w:t>
      </w:r>
      <w:r w:rsidRPr="00ED0648">
        <w:rPr>
          <w:rFonts w:ascii="Book Antiqua" w:hAnsi="Book Antiqua" w:cstheme="minorHAnsi"/>
          <w:noProof/>
          <w:sz w:val="24"/>
          <w:szCs w:val="24"/>
          <w:vertAlign w:val="superscript"/>
        </w:rPr>
        <w:t>[8</w:t>
      </w:r>
      <w:r w:rsidR="0022616A" w:rsidRPr="00ED0648">
        <w:rPr>
          <w:rFonts w:ascii="Book Antiqua" w:hAnsi="Book Antiqua" w:cstheme="minorHAnsi"/>
          <w:noProof/>
          <w:sz w:val="24"/>
          <w:szCs w:val="24"/>
          <w:vertAlign w:val="superscript"/>
        </w:rPr>
        <w:t>7</w:t>
      </w:r>
      <w:r w:rsidRPr="00ED0648">
        <w:rPr>
          <w:rFonts w:ascii="Book Antiqua" w:hAnsi="Book Antiqua" w:cstheme="minorHAnsi"/>
          <w:noProof/>
          <w:sz w:val="24"/>
          <w:szCs w:val="24"/>
          <w:vertAlign w:val="superscript"/>
        </w:rPr>
        <w:t>]</w:t>
      </w:r>
      <w:r w:rsidRPr="00ED0648">
        <w:rPr>
          <w:rFonts w:ascii="Book Antiqua" w:hAnsi="Book Antiqua" w:cstheme="minorHAnsi"/>
          <w:sz w:val="24"/>
          <w:szCs w:val="24"/>
        </w:rPr>
        <w:t>. Timely referral of patients to a specialist in GERD when empiric treatment is insufficient may lead to improved clinical management</w:t>
      </w:r>
      <w:r w:rsidRPr="00ED0648">
        <w:rPr>
          <w:rFonts w:ascii="Book Antiqua" w:hAnsi="Book Antiqua" w:cstheme="minorHAnsi"/>
          <w:noProof/>
          <w:sz w:val="24"/>
          <w:szCs w:val="24"/>
          <w:vertAlign w:val="superscript"/>
        </w:rPr>
        <w:t>[</w:t>
      </w:r>
      <w:r w:rsidR="0022616A" w:rsidRPr="00ED0648">
        <w:rPr>
          <w:rFonts w:ascii="Book Antiqua" w:hAnsi="Book Antiqua" w:cstheme="minorHAnsi"/>
          <w:noProof/>
          <w:sz w:val="24"/>
          <w:szCs w:val="24"/>
          <w:vertAlign w:val="superscript"/>
        </w:rPr>
        <w:t>88</w:t>
      </w:r>
      <w:r w:rsidRPr="00ED0648">
        <w:rPr>
          <w:rFonts w:ascii="Book Antiqua" w:hAnsi="Book Antiqua" w:cstheme="minorHAnsi"/>
          <w:noProof/>
          <w:sz w:val="24"/>
          <w:szCs w:val="24"/>
          <w:vertAlign w:val="superscript"/>
        </w:rPr>
        <w:t>]</w:t>
      </w:r>
      <w:r w:rsidRPr="00ED0648">
        <w:rPr>
          <w:rFonts w:ascii="Book Antiqua" w:hAnsi="Book Antiqua" w:cstheme="minorHAnsi"/>
          <w:sz w:val="24"/>
          <w:szCs w:val="24"/>
        </w:rPr>
        <w:t xml:space="preserve">. However, referral algorithms across the spectrum of medical and surgical options are not established. Those data indicate that improved education and disease state awareness are critical for recognizing symptoms suggestive of GERD, and for navigating patients through appropriate diagnostic </w:t>
      </w:r>
      <w:r w:rsidRPr="00ED0648">
        <w:rPr>
          <w:rFonts w:ascii="Book Antiqua" w:hAnsi="Book Antiqua" w:cstheme="minorHAnsi"/>
          <w:sz w:val="24"/>
          <w:szCs w:val="24"/>
        </w:rPr>
        <w:lastRenderedPageBreak/>
        <w:t>pathways to ensure timely specialty referral</w:t>
      </w:r>
      <w:r w:rsidRPr="00ED0648">
        <w:rPr>
          <w:rFonts w:ascii="Book Antiqua" w:hAnsi="Book Antiqua" w:cstheme="minorHAnsi"/>
          <w:noProof/>
          <w:sz w:val="24"/>
          <w:szCs w:val="24"/>
          <w:vertAlign w:val="superscript"/>
        </w:rPr>
        <w:t>[8</w:t>
      </w:r>
      <w:r w:rsidR="0022616A" w:rsidRPr="00ED0648">
        <w:rPr>
          <w:rFonts w:ascii="Book Antiqua" w:hAnsi="Book Antiqua" w:cstheme="minorHAnsi"/>
          <w:noProof/>
          <w:sz w:val="24"/>
          <w:szCs w:val="24"/>
          <w:vertAlign w:val="superscript"/>
        </w:rPr>
        <w:t>6</w:t>
      </w:r>
      <w:r w:rsidRPr="00ED0648">
        <w:rPr>
          <w:rFonts w:ascii="Book Antiqua" w:hAnsi="Book Antiqua" w:cstheme="minorHAnsi"/>
          <w:noProof/>
          <w:sz w:val="24"/>
          <w:szCs w:val="24"/>
          <w:vertAlign w:val="superscript"/>
        </w:rPr>
        <w:t>]</w:t>
      </w:r>
      <w:r w:rsidRPr="00ED0648">
        <w:rPr>
          <w:rFonts w:ascii="Book Antiqua" w:hAnsi="Book Antiqua" w:cstheme="minorHAnsi"/>
          <w:sz w:val="24"/>
          <w:szCs w:val="24"/>
        </w:rPr>
        <w:t>. As such, establishing an easily understood, evidence-based algorithmic approach to implement best practices would serve better inform patients and physicians alike</w:t>
      </w:r>
      <w:r w:rsidR="008C42C4" w:rsidRPr="00ED0648">
        <w:rPr>
          <w:rFonts w:ascii="Book Antiqua" w:hAnsi="Book Antiqua" w:cstheme="minorHAnsi"/>
          <w:noProof/>
          <w:sz w:val="24"/>
          <w:szCs w:val="24"/>
          <w:vertAlign w:val="superscript"/>
        </w:rPr>
        <w:t>[8</w:t>
      </w:r>
      <w:r w:rsidR="008C42C4">
        <w:rPr>
          <w:rFonts w:ascii="Book Antiqua" w:hAnsi="Book Antiqua" w:cstheme="minorHAnsi"/>
          <w:noProof/>
          <w:sz w:val="24"/>
          <w:szCs w:val="24"/>
          <w:vertAlign w:val="superscript"/>
        </w:rPr>
        <w:t>9,90</w:t>
      </w:r>
      <w:r w:rsidR="008C42C4" w:rsidRPr="00ED0648">
        <w:rPr>
          <w:rFonts w:ascii="Book Antiqua" w:hAnsi="Book Antiqua" w:cstheme="minorHAnsi"/>
          <w:noProof/>
          <w:sz w:val="24"/>
          <w:szCs w:val="24"/>
          <w:vertAlign w:val="superscript"/>
        </w:rPr>
        <w:t>]</w:t>
      </w:r>
      <w:r w:rsidRPr="00ED0648">
        <w:rPr>
          <w:rFonts w:ascii="Book Antiqua" w:hAnsi="Book Antiqua" w:cstheme="minorHAnsi"/>
          <w:sz w:val="24"/>
          <w:szCs w:val="24"/>
        </w:rPr>
        <w:t xml:space="preserve">. </w:t>
      </w:r>
    </w:p>
    <w:p w14:paraId="54031F40" w14:textId="77777777" w:rsidR="008C5A21" w:rsidRPr="00ED0648" w:rsidRDefault="008C5A21" w:rsidP="00ED0648">
      <w:pPr>
        <w:adjustRightInd w:val="0"/>
        <w:snapToGrid w:val="0"/>
        <w:spacing w:after="0" w:line="360" w:lineRule="auto"/>
        <w:jc w:val="both"/>
        <w:rPr>
          <w:rFonts w:ascii="Book Antiqua" w:hAnsi="Book Antiqua" w:cstheme="minorHAnsi"/>
          <w:b/>
          <w:sz w:val="24"/>
          <w:szCs w:val="24"/>
        </w:rPr>
      </w:pPr>
    </w:p>
    <w:p w14:paraId="16D2C16E" w14:textId="3A89D3EB" w:rsidR="008C5A21" w:rsidRPr="00ED0648" w:rsidRDefault="007C4A08" w:rsidP="00ED0648">
      <w:pPr>
        <w:adjustRightInd w:val="0"/>
        <w:snapToGrid w:val="0"/>
        <w:spacing w:after="0" w:line="360" w:lineRule="auto"/>
        <w:jc w:val="both"/>
        <w:rPr>
          <w:rFonts w:ascii="Book Antiqua" w:hAnsi="Book Antiqua" w:cstheme="minorHAnsi"/>
          <w:b/>
          <w:sz w:val="24"/>
          <w:szCs w:val="24"/>
        </w:rPr>
      </w:pPr>
      <w:r w:rsidRPr="00ED0648">
        <w:rPr>
          <w:rFonts w:ascii="Book Antiqua" w:hAnsi="Book Antiqua" w:cstheme="minorHAnsi"/>
          <w:b/>
          <w:sz w:val="24"/>
          <w:szCs w:val="24"/>
        </w:rPr>
        <w:t>CONCLUSION</w:t>
      </w:r>
    </w:p>
    <w:p w14:paraId="2E535102" w14:textId="03AE6EA3" w:rsidR="008C5A21" w:rsidRPr="00ED0648" w:rsidRDefault="008C5A21" w:rsidP="00ED0648">
      <w:pPr>
        <w:adjustRightInd w:val="0"/>
        <w:snapToGrid w:val="0"/>
        <w:spacing w:after="0" w:line="360" w:lineRule="auto"/>
        <w:jc w:val="both"/>
        <w:rPr>
          <w:rFonts w:ascii="Book Antiqua" w:hAnsi="Book Antiqua" w:cstheme="minorHAnsi"/>
          <w:sz w:val="24"/>
          <w:szCs w:val="24"/>
        </w:rPr>
      </w:pPr>
      <w:r w:rsidRPr="00ED0648">
        <w:rPr>
          <w:rFonts w:ascii="Book Antiqua" w:hAnsi="Book Antiqua" w:cstheme="minorHAnsi"/>
          <w:sz w:val="24"/>
          <w:szCs w:val="24"/>
        </w:rPr>
        <w:t>Optimal GERD management requires an emphasis on care coordination, improving healthcare quality through a patient-centered and evidence-based approach. An individualized approach to the GERD patient with a thorough understanding of optimal patient selection and patient referral to appropriate specialists is important for achieving desirable outcomes</w:t>
      </w:r>
      <w:r w:rsidRPr="00ED0648">
        <w:rPr>
          <w:rFonts w:ascii="Book Antiqua" w:hAnsi="Book Antiqua" w:cstheme="minorHAnsi"/>
          <w:noProof/>
          <w:sz w:val="24"/>
          <w:szCs w:val="24"/>
          <w:vertAlign w:val="superscript"/>
        </w:rPr>
        <w:t>[15,</w:t>
      </w:r>
      <w:r w:rsidR="0022616A" w:rsidRPr="00ED0648">
        <w:rPr>
          <w:rFonts w:ascii="Book Antiqua" w:hAnsi="Book Antiqua" w:cstheme="minorHAnsi"/>
          <w:noProof/>
          <w:sz w:val="24"/>
          <w:szCs w:val="24"/>
          <w:vertAlign w:val="superscript"/>
        </w:rPr>
        <w:t>49</w:t>
      </w:r>
      <w:r w:rsidRPr="00ED0648">
        <w:rPr>
          <w:rFonts w:ascii="Book Antiqua" w:hAnsi="Book Antiqua" w:cstheme="minorHAnsi"/>
          <w:noProof/>
          <w:sz w:val="24"/>
          <w:szCs w:val="24"/>
          <w:vertAlign w:val="superscript"/>
        </w:rPr>
        <w:t>]</w:t>
      </w:r>
      <w:r w:rsidRPr="00ED0648">
        <w:rPr>
          <w:rFonts w:ascii="Book Antiqua" w:hAnsi="Book Antiqua" w:cstheme="minorHAnsi"/>
          <w:sz w:val="24"/>
          <w:szCs w:val="24"/>
        </w:rPr>
        <w:t xml:space="preserve">. While lifestyle modifications and pharmacological therapy control symptoms for most GERD patients, there is a significant subset of patients whose symptoms are not adequately controlled. </w:t>
      </w:r>
      <w:bookmarkStart w:id="202" w:name="_Hlk522619208"/>
      <w:r w:rsidRPr="00ED0648">
        <w:rPr>
          <w:rFonts w:ascii="Book Antiqua" w:hAnsi="Book Antiqua" w:cstheme="minorHAnsi"/>
          <w:sz w:val="24"/>
          <w:szCs w:val="24"/>
        </w:rPr>
        <w:t xml:space="preserve">Objective testing is required to confirm the diagnosis, and to anatomically and physiologically evaluate the nature and severity of GERD and to help reveal the optimal patient treatment. For MSA surgery, the optimal population may be described and identified as a sub-segment of patient population who experience GERD symptoms of heartburn and/or uncontrolled regurgitation despite optimal medical management, have abnormal pH, and </w:t>
      </w:r>
      <w:bookmarkEnd w:id="202"/>
      <w:r w:rsidRPr="00ED0648">
        <w:rPr>
          <w:rFonts w:ascii="Book Antiqua" w:hAnsi="Book Antiqua" w:cstheme="minorHAnsi"/>
          <w:sz w:val="24"/>
          <w:szCs w:val="24"/>
        </w:rPr>
        <w:t xml:space="preserve">have normal esophageal motility. </w:t>
      </w:r>
    </w:p>
    <w:p w14:paraId="4D578E78" w14:textId="53063E2F" w:rsidR="008C42C4" w:rsidRDefault="008C5A21" w:rsidP="00ED0648">
      <w:pPr>
        <w:adjustRightInd w:val="0"/>
        <w:snapToGrid w:val="0"/>
        <w:spacing w:after="0" w:line="360" w:lineRule="auto"/>
        <w:jc w:val="both"/>
        <w:rPr>
          <w:rFonts w:ascii="Book Antiqua" w:hAnsi="Book Antiqua" w:cstheme="minorHAnsi"/>
          <w:sz w:val="24"/>
          <w:szCs w:val="24"/>
        </w:rPr>
      </w:pPr>
      <w:r w:rsidRPr="00ED0648">
        <w:rPr>
          <w:rFonts w:ascii="Book Antiqua" w:hAnsi="Book Antiqua" w:cstheme="minorHAnsi"/>
          <w:sz w:val="24"/>
          <w:szCs w:val="24"/>
        </w:rPr>
        <w:t xml:space="preserve">Management algorithms incorporating medical and surgical treatments of GERD are not established. Currently, only a small fraction of eligible patients </w:t>
      </w:r>
      <w:r w:rsidR="006F4B91" w:rsidRPr="00ED0648">
        <w:rPr>
          <w:rFonts w:ascii="Book Antiqua" w:hAnsi="Book Antiqua" w:cstheme="minorHAnsi"/>
          <w:sz w:val="24"/>
          <w:szCs w:val="24"/>
        </w:rPr>
        <w:t xml:space="preserve">benefit from </w:t>
      </w:r>
      <w:r w:rsidRPr="00ED0648">
        <w:rPr>
          <w:rFonts w:ascii="Book Antiqua" w:hAnsi="Book Antiqua" w:cstheme="minorHAnsi"/>
          <w:sz w:val="24"/>
          <w:szCs w:val="24"/>
        </w:rPr>
        <w:t xml:space="preserve">anti-reflux surgery. Reasons underlying the gap between potential surgical candidates and real-world utilization of anti-reflux surgery have not been well studied. Further studies are needed to identify impediments to access to surgical options for eligible patients. Strategies that may narrow this treatment gap include: </w:t>
      </w:r>
      <w:r w:rsidR="007C4A08" w:rsidRPr="00ED0648">
        <w:rPr>
          <w:rFonts w:ascii="Book Antiqua" w:hAnsi="Book Antiqua" w:cstheme="minorHAnsi"/>
          <w:sz w:val="24"/>
          <w:szCs w:val="24"/>
        </w:rPr>
        <w:t>(</w:t>
      </w:r>
      <w:r w:rsidRPr="00ED0648">
        <w:rPr>
          <w:rFonts w:ascii="Book Antiqua" w:hAnsi="Book Antiqua" w:cstheme="minorHAnsi"/>
          <w:sz w:val="24"/>
          <w:szCs w:val="24"/>
          <w:shd w:val="clear" w:color="auto" w:fill="FFFFFF"/>
        </w:rPr>
        <w:t xml:space="preserve">1) </w:t>
      </w:r>
      <w:r w:rsidRPr="00ED0648">
        <w:rPr>
          <w:rFonts w:ascii="Book Antiqua" w:hAnsi="Book Antiqua" w:cstheme="minorHAnsi"/>
          <w:sz w:val="24"/>
          <w:szCs w:val="24"/>
        </w:rPr>
        <w:t xml:space="preserve">improving PCP and gastroenterologist awareness of surgical guidelines; </w:t>
      </w:r>
      <w:r w:rsidR="007C4A08" w:rsidRPr="00ED0648">
        <w:rPr>
          <w:rFonts w:ascii="Book Antiqua" w:hAnsi="Book Antiqua" w:cstheme="minorHAnsi"/>
          <w:sz w:val="24"/>
          <w:szCs w:val="24"/>
        </w:rPr>
        <w:t>(</w:t>
      </w:r>
      <w:r w:rsidRPr="00ED0648">
        <w:rPr>
          <w:rFonts w:ascii="Book Antiqua" w:hAnsi="Book Antiqua" w:cstheme="minorHAnsi"/>
          <w:sz w:val="24"/>
          <w:szCs w:val="24"/>
        </w:rPr>
        <w:t xml:space="preserve">2) improving physician training curricula with respect to the evolving anti-reflux surgery procedures (such as MSA); and </w:t>
      </w:r>
      <w:r w:rsidR="003E615C" w:rsidRPr="00ED0648">
        <w:rPr>
          <w:rFonts w:ascii="Book Antiqua" w:hAnsi="Book Antiqua" w:cstheme="minorHAnsi"/>
          <w:sz w:val="24"/>
          <w:szCs w:val="24"/>
        </w:rPr>
        <w:t>(3)</w:t>
      </w:r>
      <w:r w:rsidR="003E615C">
        <w:rPr>
          <w:rFonts w:ascii="Book Antiqua" w:hAnsi="Book Antiqua" w:cstheme="minorHAnsi"/>
          <w:sz w:val="24"/>
          <w:szCs w:val="24"/>
        </w:rPr>
        <w:t xml:space="preserve"> </w:t>
      </w:r>
      <w:r w:rsidRPr="00ED0648">
        <w:rPr>
          <w:rFonts w:ascii="Book Antiqua" w:hAnsi="Book Antiqua" w:cstheme="minorHAnsi"/>
          <w:sz w:val="24"/>
          <w:szCs w:val="24"/>
        </w:rPr>
        <w:t>importantly</w:t>
      </w:r>
      <w:r w:rsidR="003E615C">
        <w:rPr>
          <w:rFonts w:ascii="Book Antiqua" w:hAnsi="Book Antiqua" w:cstheme="minorHAnsi"/>
          <w:sz w:val="24"/>
          <w:szCs w:val="24"/>
        </w:rPr>
        <w:t xml:space="preserve"> </w:t>
      </w:r>
      <w:r w:rsidRPr="00ED0648">
        <w:rPr>
          <w:rFonts w:ascii="Book Antiqua" w:hAnsi="Book Antiqua" w:cstheme="minorHAnsi"/>
          <w:sz w:val="24"/>
          <w:szCs w:val="24"/>
          <w:shd w:val="clear" w:color="auto" w:fill="FFFFFF"/>
        </w:rPr>
        <w:t xml:space="preserve">developing an evidence-based, multidisciplinary referral network that includes the patient, the PCP, the gastroenterologist, and the surgeon. </w:t>
      </w:r>
      <w:r w:rsidRPr="00ED0648">
        <w:rPr>
          <w:rFonts w:ascii="Book Antiqua" w:hAnsi="Book Antiqua" w:cstheme="minorHAnsi"/>
          <w:sz w:val="24"/>
          <w:szCs w:val="24"/>
        </w:rPr>
        <w:t xml:space="preserve">Such a network will empower both patients and providers access to all treatment options to optimally </w:t>
      </w:r>
      <w:r w:rsidRPr="00ED0648">
        <w:rPr>
          <w:rFonts w:ascii="Book Antiqua" w:hAnsi="Book Antiqua" w:cstheme="minorHAnsi"/>
          <w:sz w:val="24"/>
          <w:szCs w:val="24"/>
        </w:rPr>
        <w:lastRenderedPageBreak/>
        <w:t xml:space="preserve">control their reflux disease, thereby potentially increasing the quality of life of patients and decreasing overall healthcare resource utilization. </w:t>
      </w:r>
    </w:p>
    <w:p w14:paraId="428E68DF" w14:textId="77777777" w:rsidR="008C42C4" w:rsidRDefault="008C42C4">
      <w:pPr>
        <w:rPr>
          <w:rFonts w:ascii="Book Antiqua" w:hAnsi="Book Antiqua" w:cstheme="minorHAnsi"/>
          <w:sz w:val="24"/>
          <w:szCs w:val="24"/>
        </w:rPr>
      </w:pPr>
      <w:r>
        <w:rPr>
          <w:rFonts w:ascii="Book Antiqua" w:hAnsi="Book Antiqua" w:cstheme="minorHAnsi"/>
          <w:sz w:val="24"/>
          <w:szCs w:val="24"/>
        </w:rPr>
        <w:br w:type="page"/>
      </w:r>
    </w:p>
    <w:p w14:paraId="2A32489B" w14:textId="62B8A9B3" w:rsidR="008C5A21" w:rsidRPr="009C6877" w:rsidRDefault="007C4A08" w:rsidP="009C6877">
      <w:pPr>
        <w:adjustRightInd w:val="0"/>
        <w:snapToGrid w:val="0"/>
        <w:spacing w:after="0" w:line="360" w:lineRule="auto"/>
        <w:jc w:val="both"/>
        <w:rPr>
          <w:rFonts w:ascii="Book Antiqua" w:hAnsi="Book Antiqua" w:cstheme="minorHAnsi"/>
          <w:sz w:val="24"/>
          <w:szCs w:val="24"/>
        </w:rPr>
      </w:pPr>
      <w:r w:rsidRPr="00ED0648">
        <w:rPr>
          <w:rFonts w:ascii="Book Antiqua" w:hAnsi="Book Antiqua" w:cstheme="minorHAnsi"/>
          <w:b/>
          <w:sz w:val="24"/>
          <w:szCs w:val="24"/>
        </w:rPr>
        <w:lastRenderedPageBreak/>
        <w:t>REFERENCES</w:t>
      </w:r>
    </w:p>
    <w:p w14:paraId="4E281507" w14:textId="77777777" w:rsidR="00ED0648" w:rsidRPr="00ED0648" w:rsidRDefault="00ED0648" w:rsidP="00ED0648">
      <w:pPr>
        <w:adjustRightInd w:val="0"/>
        <w:snapToGrid w:val="0"/>
        <w:spacing w:after="0" w:line="360" w:lineRule="auto"/>
        <w:jc w:val="both"/>
        <w:rPr>
          <w:rFonts w:ascii="Book Antiqua" w:eastAsiaTheme="minorEastAsia" w:hAnsi="Book Antiqua"/>
          <w:sz w:val="24"/>
          <w:szCs w:val="24"/>
        </w:rPr>
      </w:pPr>
      <w:r w:rsidRPr="00ED0648">
        <w:rPr>
          <w:rFonts w:ascii="Book Antiqua" w:hAnsi="Book Antiqua"/>
          <w:sz w:val="24"/>
          <w:szCs w:val="24"/>
        </w:rPr>
        <w:t xml:space="preserve">1 </w:t>
      </w:r>
      <w:r w:rsidRPr="00ED0648">
        <w:rPr>
          <w:rFonts w:ascii="Book Antiqua" w:hAnsi="Book Antiqua"/>
          <w:b/>
          <w:sz w:val="24"/>
          <w:szCs w:val="24"/>
        </w:rPr>
        <w:t>Menezes MA</w:t>
      </w:r>
      <w:r w:rsidRPr="00ED0648">
        <w:rPr>
          <w:rFonts w:ascii="Book Antiqua" w:hAnsi="Book Antiqua"/>
          <w:sz w:val="24"/>
          <w:szCs w:val="24"/>
        </w:rPr>
        <w:t xml:space="preserve">, Herbella FAM. Pathophysiology of Gastroesophageal Reflux Disease. </w:t>
      </w:r>
      <w:r w:rsidRPr="00ED0648">
        <w:rPr>
          <w:rFonts w:ascii="Book Antiqua" w:hAnsi="Book Antiqua"/>
          <w:i/>
          <w:sz w:val="24"/>
          <w:szCs w:val="24"/>
        </w:rPr>
        <w:t>World J Surg</w:t>
      </w:r>
      <w:r w:rsidRPr="00ED0648">
        <w:rPr>
          <w:rFonts w:ascii="Book Antiqua" w:hAnsi="Book Antiqua"/>
          <w:sz w:val="24"/>
          <w:szCs w:val="24"/>
        </w:rPr>
        <w:t xml:space="preserve"> 2017; </w:t>
      </w:r>
      <w:r w:rsidRPr="00ED0648">
        <w:rPr>
          <w:rFonts w:ascii="Book Antiqua" w:hAnsi="Book Antiqua"/>
          <w:b/>
          <w:sz w:val="24"/>
          <w:szCs w:val="24"/>
        </w:rPr>
        <w:t>41</w:t>
      </w:r>
      <w:r w:rsidRPr="00ED0648">
        <w:rPr>
          <w:rFonts w:ascii="Book Antiqua" w:hAnsi="Book Antiqua"/>
          <w:sz w:val="24"/>
          <w:szCs w:val="24"/>
        </w:rPr>
        <w:t>: 1666-1671 [PMID: 28258452 DOI: 10.1007/s00268-017-3952-4]</w:t>
      </w:r>
    </w:p>
    <w:p w14:paraId="72BB7AA4" w14:textId="77777777" w:rsidR="00ED0648" w:rsidRPr="00ED0648" w:rsidRDefault="00ED0648" w:rsidP="00ED0648">
      <w:pPr>
        <w:adjustRightInd w:val="0"/>
        <w:snapToGrid w:val="0"/>
        <w:spacing w:after="0" w:line="360" w:lineRule="auto"/>
        <w:jc w:val="both"/>
        <w:rPr>
          <w:rFonts w:ascii="Book Antiqua" w:hAnsi="Book Antiqua"/>
          <w:sz w:val="24"/>
          <w:szCs w:val="24"/>
        </w:rPr>
      </w:pPr>
      <w:r w:rsidRPr="00ED0648">
        <w:rPr>
          <w:rFonts w:ascii="Book Antiqua" w:hAnsi="Book Antiqua"/>
          <w:sz w:val="24"/>
          <w:szCs w:val="24"/>
        </w:rPr>
        <w:t xml:space="preserve">2 </w:t>
      </w:r>
      <w:r w:rsidRPr="00ED0648">
        <w:rPr>
          <w:rFonts w:ascii="Book Antiqua" w:hAnsi="Book Antiqua"/>
          <w:b/>
          <w:sz w:val="24"/>
          <w:szCs w:val="24"/>
        </w:rPr>
        <w:t>Stefanidis D</w:t>
      </w:r>
      <w:r w:rsidRPr="00ED0648">
        <w:rPr>
          <w:rFonts w:ascii="Book Antiqua" w:hAnsi="Book Antiqua"/>
          <w:sz w:val="24"/>
          <w:szCs w:val="24"/>
        </w:rPr>
        <w:t xml:space="preserve">, Hope WW, Kohn GP, Reardon PR, Richardson WS, Fanelli RD; SAGES Guidelines Committee. Guidelines for surgical treatment of gastroesophageal reflux disease. </w:t>
      </w:r>
      <w:r w:rsidRPr="00ED0648">
        <w:rPr>
          <w:rFonts w:ascii="Book Antiqua" w:hAnsi="Book Antiqua"/>
          <w:i/>
          <w:sz w:val="24"/>
          <w:szCs w:val="24"/>
        </w:rPr>
        <w:t>Surg Endosc</w:t>
      </w:r>
      <w:r w:rsidRPr="00ED0648">
        <w:rPr>
          <w:rFonts w:ascii="Book Antiqua" w:hAnsi="Book Antiqua"/>
          <w:sz w:val="24"/>
          <w:szCs w:val="24"/>
        </w:rPr>
        <w:t xml:space="preserve"> 2010; </w:t>
      </w:r>
      <w:r w:rsidRPr="00ED0648">
        <w:rPr>
          <w:rFonts w:ascii="Book Antiqua" w:hAnsi="Book Antiqua"/>
          <w:b/>
          <w:sz w:val="24"/>
          <w:szCs w:val="24"/>
        </w:rPr>
        <w:t>24</w:t>
      </w:r>
      <w:r w:rsidRPr="00ED0648">
        <w:rPr>
          <w:rFonts w:ascii="Book Antiqua" w:hAnsi="Book Antiqua"/>
          <w:sz w:val="24"/>
          <w:szCs w:val="24"/>
        </w:rPr>
        <w:t>: 2647-2669 [PMID: 20725747 DOI: 10.1007/s00464-010-1267-8]</w:t>
      </w:r>
    </w:p>
    <w:p w14:paraId="1D5CE243" w14:textId="77777777" w:rsidR="00ED0648" w:rsidRPr="00ED0648" w:rsidRDefault="00ED0648" w:rsidP="00ED0648">
      <w:pPr>
        <w:adjustRightInd w:val="0"/>
        <w:snapToGrid w:val="0"/>
        <w:spacing w:after="0" w:line="360" w:lineRule="auto"/>
        <w:jc w:val="both"/>
        <w:rPr>
          <w:rFonts w:ascii="Book Antiqua" w:hAnsi="Book Antiqua"/>
          <w:sz w:val="24"/>
          <w:szCs w:val="24"/>
        </w:rPr>
      </w:pPr>
      <w:r w:rsidRPr="00ED0648">
        <w:rPr>
          <w:rFonts w:ascii="Book Antiqua" w:hAnsi="Book Antiqua"/>
          <w:sz w:val="24"/>
          <w:szCs w:val="24"/>
        </w:rPr>
        <w:t xml:space="preserve">3 </w:t>
      </w:r>
      <w:r w:rsidRPr="00ED0648">
        <w:rPr>
          <w:rFonts w:ascii="Book Antiqua" w:hAnsi="Book Antiqua"/>
          <w:b/>
          <w:sz w:val="24"/>
          <w:szCs w:val="24"/>
        </w:rPr>
        <w:t>Herregods TV</w:t>
      </w:r>
      <w:r w:rsidRPr="00ED0648">
        <w:rPr>
          <w:rFonts w:ascii="Book Antiqua" w:hAnsi="Book Antiqua"/>
          <w:sz w:val="24"/>
          <w:szCs w:val="24"/>
        </w:rPr>
        <w:t xml:space="preserve">, Bredenoord AJ, Smout AJ. Pathophysiology of gastroesophageal reflux disease: new understanding in a new era. </w:t>
      </w:r>
      <w:r w:rsidRPr="00ED0648">
        <w:rPr>
          <w:rFonts w:ascii="Book Antiqua" w:hAnsi="Book Antiqua"/>
          <w:i/>
          <w:sz w:val="24"/>
          <w:szCs w:val="24"/>
        </w:rPr>
        <w:t>Neurogastroenterol Motil</w:t>
      </w:r>
      <w:r w:rsidRPr="00ED0648">
        <w:rPr>
          <w:rFonts w:ascii="Book Antiqua" w:hAnsi="Book Antiqua"/>
          <w:sz w:val="24"/>
          <w:szCs w:val="24"/>
        </w:rPr>
        <w:t xml:space="preserve"> 2015; </w:t>
      </w:r>
      <w:r w:rsidRPr="00ED0648">
        <w:rPr>
          <w:rFonts w:ascii="Book Antiqua" w:hAnsi="Book Antiqua"/>
          <w:b/>
          <w:sz w:val="24"/>
          <w:szCs w:val="24"/>
        </w:rPr>
        <w:t>27</w:t>
      </w:r>
      <w:r w:rsidRPr="00ED0648">
        <w:rPr>
          <w:rFonts w:ascii="Book Antiqua" w:hAnsi="Book Antiqua"/>
          <w:sz w:val="24"/>
          <w:szCs w:val="24"/>
        </w:rPr>
        <w:t>: 1202-1213 [PMID: 26053301 DOI: 10.1111/nmo.12611]</w:t>
      </w:r>
    </w:p>
    <w:p w14:paraId="0F60E169" w14:textId="77777777" w:rsidR="00ED0648" w:rsidRPr="00ED0648" w:rsidRDefault="00ED0648" w:rsidP="00ED0648">
      <w:pPr>
        <w:adjustRightInd w:val="0"/>
        <w:snapToGrid w:val="0"/>
        <w:spacing w:after="0" w:line="360" w:lineRule="auto"/>
        <w:jc w:val="both"/>
        <w:rPr>
          <w:rFonts w:ascii="Book Antiqua" w:hAnsi="Book Antiqua"/>
          <w:sz w:val="24"/>
          <w:szCs w:val="24"/>
        </w:rPr>
      </w:pPr>
      <w:r w:rsidRPr="00ED0648">
        <w:rPr>
          <w:rFonts w:ascii="Book Antiqua" w:hAnsi="Book Antiqua"/>
          <w:sz w:val="24"/>
          <w:szCs w:val="24"/>
        </w:rPr>
        <w:t xml:space="preserve">4 </w:t>
      </w:r>
      <w:r w:rsidRPr="00ED0648">
        <w:rPr>
          <w:rFonts w:ascii="Book Antiqua" w:hAnsi="Book Antiqua"/>
          <w:b/>
          <w:sz w:val="24"/>
          <w:szCs w:val="24"/>
        </w:rPr>
        <w:t>Mikami DJ</w:t>
      </w:r>
      <w:r w:rsidRPr="00ED0648">
        <w:rPr>
          <w:rFonts w:ascii="Book Antiqua" w:hAnsi="Book Antiqua"/>
          <w:sz w:val="24"/>
          <w:szCs w:val="24"/>
        </w:rPr>
        <w:t xml:space="preserve">, Murayama KM. Physiology and pathogenesis of gastroesophageal reflux disease. </w:t>
      </w:r>
      <w:r w:rsidRPr="00ED0648">
        <w:rPr>
          <w:rFonts w:ascii="Book Antiqua" w:hAnsi="Book Antiqua"/>
          <w:i/>
          <w:sz w:val="24"/>
          <w:szCs w:val="24"/>
        </w:rPr>
        <w:t>Surg Clin North Am</w:t>
      </w:r>
      <w:r w:rsidRPr="00ED0648">
        <w:rPr>
          <w:rFonts w:ascii="Book Antiqua" w:hAnsi="Book Antiqua"/>
          <w:sz w:val="24"/>
          <w:szCs w:val="24"/>
        </w:rPr>
        <w:t xml:space="preserve"> 2015; </w:t>
      </w:r>
      <w:r w:rsidRPr="00ED0648">
        <w:rPr>
          <w:rFonts w:ascii="Book Antiqua" w:hAnsi="Book Antiqua"/>
          <w:b/>
          <w:sz w:val="24"/>
          <w:szCs w:val="24"/>
        </w:rPr>
        <w:t>95</w:t>
      </w:r>
      <w:r w:rsidRPr="00ED0648">
        <w:rPr>
          <w:rFonts w:ascii="Book Antiqua" w:hAnsi="Book Antiqua"/>
          <w:sz w:val="24"/>
          <w:szCs w:val="24"/>
        </w:rPr>
        <w:t>: 515-525 [PMID: 25965127 DOI: 10.1016/j.suc.2015.02.006]</w:t>
      </w:r>
    </w:p>
    <w:p w14:paraId="12B42E0C" w14:textId="77777777" w:rsidR="00ED0648" w:rsidRPr="00ED0648" w:rsidRDefault="00ED0648" w:rsidP="00ED0648">
      <w:pPr>
        <w:adjustRightInd w:val="0"/>
        <w:snapToGrid w:val="0"/>
        <w:spacing w:after="0" w:line="360" w:lineRule="auto"/>
        <w:jc w:val="both"/>
        <w:rPr>
          <w:rFonts w:ascii="Book Antiqua" w:hAnsi="Book Antiqua"/>
          <w:sz w:val="24"/>
          <w:szCs w:val="24"/>
        </w:rPr>
      </w:pPr>
      <w:r w:rsidRPr="00ED0648">
        <w:rPr>
          <w:rFonts w:ascii="Book Antiqua" w:hAnsi="Book Antiqua"/>
          <w:sz w:val="24"/>
          <w:szCs w:val="24"/>
        </w:rPr>
        <w:t xml:space="preserve">5 </w:t>
      </w:r>
      <w:r w:rsidRPr="00ED0648">
        <w:rPr>
          <w:rFonts w:ascii="Book Antiqua" w:hAnsi="Book Antiqua"/>
          <w:b/>
          <w:sz w:val="24"/>
          <w:szCs w:val="24"/>
        </w:rPr>
        <w:t>Patti MG</w:t>
      </w:r>
      <w:r w:rsidRPr="00ED0648">
        <w:rPr>
          <w:rFonts w:ascii="Book Antiqua" w:hAnsi="Book Antiqua"/>
          <w:sz w:val="24"/>
          <w:szCs w:val="24"/>
        </w:rPr>
        <w:t xml:space="preserve">. An Evidence-Based Approach to the Treatment of Gastroesophageal Reflux Disease. </w:t>
      </w:r>
      <w:r w:rsidRPr="00ED0648">
        <w:rPr>
          <w:rFonts w:ascii="Book Antiqua" w:hAnsi="Book Antiqua"/>
          <w:i/>
          <w:sz w:val="24"/>
          <w:szCs w:val="24"/>
        </w:rPr>
        <w:t>JAMA Surg</w:t>
      </w:r>
      <w:r w:rsidRPr="00ED0648">
        <w:rPr>
          <w:rFonts w:ascii="Book Antiqua" w:hAnsi="Book Antiqua"/>
          <w:sz w:val="24"/>
          <w:szCs w:val="24"/>
        </w:rPr>
        <w:t xml:space="preserve"> 2016; </w:t>
      </w:r>
      <w:r w:rsidRPr="00ED0648">
        <w:rPr>
          <w:rFonts w:ascii="Book Antiqua" w:hAnsi="Book Antiqua"/>
          <w:b/>
          <w:sz w:val="24"/>
          <w:szCs w:val="24"/>
        </w:rPr>
        <w:t>151</w:t>
      </w:r>
      <w:r w:rsidRPr="00ED0648">
        <w:rPr>
          <w:rFonts w:ascii="Book Antiqua" w:hAnsi="Book Antiqua"/>
          <w:sz w:val="24"/>
          <w:szCs w:val="24"/>
        </w:rPr>
        <w:t>: 73-78 [PMID: 26629969 DOI: 10.1001/jamasurg.2015.4233]</w:t>
      </w:r>
    </w:p>
    <w:p w14:paraId="25573EFA" w14:textId="77777777" w:rsidR="00ED0648" w:rsidRPr="00ED0648" w:rsidRDefault="00ED0648" w:rsidP="00ED0648">
      <w:pPr>
        <w:adjustRightInd w:val="0"/>
        <w:snapToGrid w:val="0"/>
        <w:spacing w:after="0" w:line="360" w:lineRule="auto"/>
        <w:jc w:val="both"/>
        <w:rPr>
          <w:rFonts w:ascii="Book Antiqua" w:hAnsi="Book Antiqua"/>
          <w:sz w:val="24"/>
          <w:szCs w:val="24"/>
        </w:rPr>
      </w:pPr>
      <w:r w:rsidRPr="00ED0648">
        <w:rPr>
          <w:rFonts w:ascii="Book Antiqua" w:hAnsi="Book Antiqua"/>
          <w:sz w:val="24"/>
          <w:szCs w:val="24"/>
        </w:rPr>
        <w:t xml:space="preserve">6 </w:t>
      </w:r>
      <w:r w:rsidRPr="00ED0648">
        <w:rPr>
          <w:rFonts w:ascii="Book Antiqua" w:hAnsi="Book Antiqua"/>
          <w:b/>
          <w:sz w:val="24"/>
          <w:szCs w:val="24"/>
        </w:rPr>
        <w:t>Ghosh SK</w:t>
      </w:r>
      <w:r w:rsidRPr="00ED0648">
        <w:rPr>
          <w:rFonts w:ascii="Book Antiqua" w:hAnsi="Book Antiqua"/>
          <w:sz w:val="24"/>
          <w:szCs w:val="24"/>
        </w:rPr>
        <w:t xml:space="preserve">, Kahrilas PJ, Brasseur JG. Liquid in the gastroesophageal segment promotes reflux, but compliance does not: a mathematical modeling study. </w:t>
      </w:r>
      <w:r w:rsidRPr="00ED0648">
        <w:rPr>
          <w:rFonts w:ascii="Book Antiqua" w:hAnsi="Book Antiqua"/>
          <w:i/>
          <w:sz w:val="24"/>
          <w:szCs w:val="24"/>
        </w:rPr>
        <w:t>Am J Physiol Gastrointest Liver Physiol</w:t>
      </w:r>
      <w:r w:rsidRPr="00ED0648">
        <w:rPr>
          <w:rFonts w:ascii="Book Antiqua" w:hAnsi="Book Antiqua"/>
          <w:sz w:val="24"/>
          <w:szCs w:val="24"/>
        </w:rPr>
        <w:t xml:space="preserve"> 2008; </w:t>
      </w:r>
      <w:r w:rsidRPr="00ED0648">
        <w:rPr>
          <w:rFonts w:ascii="Book Antiqua" w:hAnsi="Book Antiqua"/>
          <w:b/>
          <w:sz w:val="24"/>
          <w:szCs w:val="24"/>
        </w:rPr>
        <w:t>295</w:t>
      </w:r>
      <w:r w:rsidRPr="00ED0648">
        <w:rPr>
          <w:rFonts w:ascii="Book Antiqua" w:hAnsi="Book Antiqua"/>
          <w:sz w:val="24"/>
          <w:szCs w:val="24"/>
        </w:rPr>
        <w:t>: G920-G933 [PMID: 18718998 DOI: 10.1152/ajpgi.90310.2008]</w:t>
      </w:r>
    </w:p>
    <w:p w14:paraId="1F17D4A3" w14:textId="77777777" w:rsidR="00ED0648" w:rsidRPr="00ED0648" w:rsidRDefault="00ED0648" w:rsidP="00ED0648">
      <w:pPr>
        <w:adjustRightInd w:val="0"/>
        <w:snapToGrid w:val="0"/>
        <w:spacing w:after="0" w:line="360" w:lineRule="auto"/>
        <w:jc w:val="both"/>
        <w:rPr>
          <w:rFonts w:ascii="Book Antiqua" w:hAnsi="Book Antiqua"/>
          <w:sz w:val="24"/>
          <w:szCs w:val="24"/>
        </w:rPr>
      </w:pPr>
      <w:r w:rsidRPr="00ED0648">
        <w:rPr>
          <w:rFonts w:ascii="Book Antiqua" w:hAnsi="Book Antiqua"/>
          <w:sz w:val="24"/>
          <w:szCs w:val="24"/>
        </w:rPr>
        <w:t xml:space="preserve">7 </w:t>
      </w:r>
      <w:r w:rsidRPr="00ED0648">
        <w:rPr>
          <w:rFonts w:ascii="Book Antiqua" w:hAnsi="Book Antiqua"/>
          <w:b/>
          <w:sz w:val="24"/>
          <w:szCs w:val="24"/>
        </w:rPr>
        <w:t>Hyun JJ</w:t>
      </w:r>
      <w:r w:rsidRPr="00ED0648">
        <w:rPr>
          <w:rFonts w:ascii="Book Antiqua" w:hAnsi="Book Antiqua"/>
          <w:sz w:val="24"/>
          <w:szCs w:val="24"/>
        </w:rPr>
        <w:t xml:space="preserve">, Bak YT. Clinical significance of hiatal hernia. </w:t>
      </w:r>
      <w:r w:rsidRPr="00ED0648">
        <w:rPr>
          <w:rFonts w:ascii="Book Antiqua" w:hAnsi="Book Antiqua"/>
          <w:i/>
          <w:sz w:val="24"/>
          <w:szCs w:val="24"/>
        </w:rPr>
        <w:t>Gut Liver</w:t>
      </w:r>
      <w:r w:rsidRPr="00ED0648">
        <w:rPr>
          <w:rFonts w:ascii="Book Antiqua" w:hAnsi="Book Antiqua"/>
          <w:sz w:val="24"/>
          <w:szCs w:val="24"/>
        </w:rPr>
        <w:t xml:space="preserve"> 2011; </w:t>
      </w:r>
      <w:r w:rsidRPr="00ED0648">
        <w:rPr>
          <w:rFonts w:ascii="Book Antiqua" w:hAnsi="Book Antiqua"/>
          <w:b/>
          <w:sz w:val="24"/>
          <w:szCs w:val="24"/>
        </w:rPr>
        <w:t>5</w:t>
      </w:r>
      <w:r w:rsidRPr="00ED0648">
        <w:rPr>
          <w:rFonts w:ascii="Book Antiqua" w:hAnsi="Book Antiqua"/>
          <w:sz w:val="24"/>
          <w:szCs w:val="24"/>
        </w:rPr>
        <w:t>: 267-277 [PMID: 21927653 DOI: 10.5009/gnl.2011.5.3.267]</w:t>
      </w:r>
    </w:p>
    <w:p w14:paraId="7045468E" w14:textId="77777777" w:rsidR="00ED0648" w:rsidRPr="00ED0648" w:rsidRDefault="00ED0648" w:rsidP="00ED0648">
      <w:pPr>
        <w:adjustRightInd w:val="0"/>
        <w:snapToGrid w:val="0"/>
        <w:spacing w:after="0" w:line="360" w:lineRule="auto"/>
        <w:jc w:val="both"/>
        <w:rPr>
          <w:rFonts w:ascii="Book Antiqua" w:hAnsi="Book Antiqua"/>
          <w:sz w:val="24"/>
          <w:szCs w:val="24"/>
        </w:rPr>
      </w:pPr>
      <w:r w:rsidRPr="00ED0648">
        <w:rPr>
          <w:rFonts w:ascii="Book Antiqua" w:hAnsi="Book Antiqua"/>
          <w:sz w:val="24"/>
          <w:szCs w:val="24"/>
        </w:rPr>
        <w:t xml:space="preserve">8 </w:t>
      </w:r>
      <w:r w:rsidRPr="00ED0648">
        <w:rPr>
          <w:rFonts w:ascii="Book Antiqua" w:hAnsi="Book Antiqua"/>
          <w:b/>
          <w:sz w:val="24"/>
          <w:szCs w:val="24"/>
        </w:rPr>
        <w:t>Mittal RK</w:t>
      </w:r>
      <w:r w:rsidRPr="00ED0648">
        <w:rPr>
          <w:rFonts w:ascii="Book Antiqua" w:hAnsi="Book Antiqua"/>
          <w:sz w:val="24"/>
          <w:szCs w:val="24"/>
        </w:rPr>
        <w:t xml:space="preserve">. The crural diaphragm, an external lower esophageal sphincter: a definitive study. </w:t>
      </w:r>
      <w:r w:rsidRPr="00ED0648">
        <w:rPr>
          <w:rFonts w:ascii="Book Antiqua" w:hAnsi="Book Antiqua"/>
          <w:i/>
          <w:sz w:val="24"/>
          <w:szCs w:val="24"/>
        </w:rPr>
        <w:t>Gastroenterology</w:t>
      </w:r>
      <w:r w:rsidRPr="00ED0648">
        <w:rPr>
          <w:rFonts w:ascii="Book Antiqua" w:hAnsi="Book Antiqua"/>
          <w:sz w:val="24"/>
          <w:szCs w:val="24"/>
        </w:rPr>
        <w:t xml:space="preserve"> 1993; </w:t>
      </w:r>
      <w:r w:rsidRPr="00ED0648">
        <w:rPr>
          <w:rFonts w:ascii="Book Antiqua" w:hAnsi="Book Antiqua"/>
          <w:b/>
          <w:sz w:val="24"/>
          <w:szCs w:val="24"/>
        </w:rPr>
        <w:t>105</w:t>
      </w:r>
      <w:r w:rsidRPr="00ED0648">
        <w:rPr>
          <w:rFonts w:ascii="Book Antiqua" w:hAnsi="Book Antiqua"/>
          <w:sz w:val="24"/>
          <w:szCs w:val="24"/>
        </w:rPr>
        <w:t>: 1565-1567 [PMID: 8224664]</w:t>
      </w:r>
    </w:p>
    <w:p w14:paraId="2CB0B185" w14:textId="77777777" w:rsidR="00ED0648" w:rsidRPr="00ED0648" w:rsidRDefault="00ED0648" w:rsidP="00ED0648">
      <w:pPr>
        <w:adjustRightInd w:val="0"/>
        <w:snapToGrid w:val="0"/>
        <w:spacing w:after="0" w:line="360" w:lineRule="auto"/>
        <w:jc w:val="both"/>
        <w:rPr>
          <w:rFonts w:ascii="Book Antiqua" w:hAnsi="Book Antiqua"/>
          <w:sz w:val="24"/>
          <w:szCs w:val="24"/>
        </w:rPr>
      </w:pPr>
      <w:r w:rsidRPr="00ED0648">
        <w:rPr>
          <w:rFonts w:ascii="Book Antiqua" w:hAnsi="Book Antiqua"/>
          <w:sz w:val="24"/>
          <w:szCs w:val="24"/>
        </w:rPr>
        <w:t xml:space="preserve">9 </w:t>
      </w:r>
      <w:r w:rsidRPr="00ED0648">
        <w:rPr>
          <w:rFonts w:ascii="Book Antiqua" w:hAnsi="Book Antiqua"/>
          <w:b/>
          <w:sz w:val="24"/>
          <w:szCs w:val="24"/>
        </w:rPr>
        <w:t>Pandolfino JE</w:t>
      </w:r>
      <w:r w:rsidRPr="00ED0648">
        <w:rPr>
          <w:rFonts w:ascii="Book Antiqua" w:hAnsi="Book Antiqua"/>
          <w:sz w:val="24"/>
          <w:szCs w:val="24"/>
        </w:rPr>
        <w:t xml:space="preserve">, Kim H, Ghosh SK, Clarke JO, Zhang Q, Kahrilas PJ. High-resolution manometry of the EGJ: an analysis of crural diaphragm function in GERD. </w:t>
      </w:r>
      <w:r w:rsidRPr="00ED0648">
        <w:rPr>
          <w:rFonts w:ascii="Book Antiqua" w:hAnsi="Book Antiqua"/>
          <w:i/>
          <w:sz w:val="24"/>
          <w:szCs w:val="24"/>
        </w:rPr>
        <w:t>Am J Gastroenterol</w:t>
      </w:r>
      <w:r w:rsidRPr="00ED0648">
        <w:rPr>
          <w:rFonts w:ascii="Book Antiqua" w:hAnsi="Book Antiqua"/>
          <w:sz w:val="24"/>
          <w:szCs w:val="24"/>
        </w:rPr>
        <w:t xml:space="preserve"> 2007; </w:t>
      </w:r>
      <w:r w:rsidRPr="00ED0648">
        <w:rPr>
          <w:rFonts w:ascii="Book Antiqua" w:hAnsi="Book Antiqua"/>
          <w:b/>
          <w:sz w:val="24"/>
          <w:szCs w:val="24"/>
        </w:rPr>
        <w:t>102</w:t>
      </w:r>
      <w:r w:rsidRPr="00ED0648">
        <w:rPr>
          <w:rFonts w:ascii="Book Antiqua" w:hAnsi="Book Antiqua"/>
          <w:sz w:val="24"/>
          <w:szCs w:val="24"/>
        </w:rPr>
        <w:t>: 1056-1063 [PMID: 17319930 DOI: 10.1111/j.1572-0241.2007.01138.x]</w:t>
      </w:r>
    </w:p>
    <w:p w14:paraId="1196FF94" w14:textId="77777777" w:rsidR="00ED0648" w:rsidRPr="00ED0648" w:rsidRDefault="00ED0648" w:rsidP="00ED0648">
      <w:pPr>
        <w:adjustRightInd w:val="0"/>
        <w:snapToGrid w:val="0"/>
        <w:spacing w:after="0" w:line="360" w:lineRule="auto"/>
        <w:jc w:val="both"/>
        <w:rPr>
          <w:rFonts w:ascii="Book Antiqua" w:hAnsi="Book Antiqua"/>
          <w:sz w:val="24"/>
          <w:szCs w:val="24"/>
        </w:rPr>
      </w:pPr>
      <w:r w:rsidRPr="00ED0648">
        <w:rPr>
          <w:rFonts w:ascii="Book Antiqua" w:hAnsi="Book Antiqua"/>
          <w:sz w:val="24"/>
          <w:szCs w:val="24"/>
        </w:rPr>
        <w:t xml:space="preserve">10 </w:t>
      </w:r>
      <w:r w:rsidRPr="00ED0648">
        <w:rPr>
          <w:rFonts w:ascii="Book Antiqua" w:hAnsi="Book Antiqua"/>
          <w:b/>
          <w:sz w:val="24"/>
          <w:szCs w:val="24"/>
        </w:rPr>
        <w:t>Tolone S</w:t>
      </w:r>
      <w:r w:rsidRPr="00ED0648">
        <w:rPr>
          <w:rFonts w:ascii="Book Antiqua" w:hAnsi="Book Antiqua"/>
          <w:sz w:val="24"/>
          <w:szCs w:val="24"/>
        </w:rPr>
        <w:t xml:space="preserve">, de Cassan C, de Bortoli N, Roman S, Galeazzi F, Salvador R, Marabotto E, Furnari M, Zentilin P, Marchi S, Bardini R, Sturniolo GC, Savarino V, Savarino E. Esophagogastric junction morphology is associated with a positive impedance-pH </w:t>
      </w:r>
      <w:r w:rsidRPr="00ED0648">
        <w:rPr>
          <w:rFonts w:ascii="Book Antiqua" w:hAnsi="Book Antiqua"/>
          <w:sz w:val="24"/>
          <w:szCs w:val="24"/>
        </w:rPr>
        <w:lastRenderedPageBreak/>
        <w:t xml:space="preserve">monitoring in patients with GERD. </w:t>
      </w:r>
      <w:r w:rsidRPr="00ED0648">
        <w:rPr>
          <w:rFonts w:ascii="Book Antiqua" w:hAnsi="Book Antiqua"/>
          <w:i/>
          <w:sz w:val="24"/>
          <w:szCs w:val="24"/>
        </w:rPr>
        <w:t>Neurogastroenterol Motil</w:t>
      </w:r>
      <w:r w:rsidRPr="00ED0648">
        <w:rPr>
          <w:rFonts w:ascii="Book Antiqua" w:hAnsi="Book Antiqua"/>
          <w:sz w:val="24"/>
          <w:szCs w:val="24"/>
        </w:rPr>
        <w:t xml:space="preserve"> 2015; </w:t>
      </w:r>
      <w:r w:rsidRPr="00ED0648">
        <w:rPr>
          <w:rFonts w:ascii="Book Antiqua" w:hAnsi="Book Antiqua"/>
          <w:b/>
          <w:sz w:val="24"/>
          <w:szCs w:val="24"/>
        </w:rPr>
        <w:t>27</w:t>
      </w:r>
      <w:r w:rsidRPr="00ED0648">
        <w:rPr>
          <w:rFonts w:ascii="Book Antiqua" w:hAnsi="Book Antiqua"/>
          <w:sz w:val="24"/>
          <w:szCs w:val="24"/>
        </w:rPr>
        <w:t>: 1175-1182 [PMID: 26010058 DOI: 10.1111/nmo.12606]</w:t>
      </w:r>
    </w:p>
    <w:p w14:paraId="68D79672" w14:textId="77777777" w:rsidR="00ED0648" w:rsidRPr="00ED0648" w:rsidRDefault="00ED0648" w:rsidP="00ED0648">
      <w:pPr>
        <w:adjustRightInd w:val="0"/>
        <w:snapToGrid w:val="0"/>
        <w:spacing w:after="0" w:line="360" w:lineRule="auto"/>
        <w:jc w:val="both"/>
        <w:rPr>
          <w:rFonts w:ascii="Book Antiqua" w:hAnsi="Book Antiqua"/>
          <w:sz w:val="24"/>
          <w:szCs w:val="24"/>
        </w:rPr>
      </w:pPr>
      <w:r w:rsidRPr="00ED0648">
        <w:rPr>
          <w:rFonts w:ascii="Book Antiqua" w:hAnsi="Book Antiqua"/>
          <w:sz w:val="24"/>
          <w:szCs w:val="24"/>
        </w:rPr>
        <w:t xml:space="preserve">11 </w:t>
      </w:r>
      <w:r w:rsidRPr="00ED0648">
        <w:rPr>
          <w:rFonts w:ascii="Book Antiqua" w:hAnsi="Book Antiqua"/>
          <w:b/>
          <w:sz w:val="24"/>
          <w:szCs w:val="24"/>
        </w:rPr>
        <w:t>Rona KA</w:t>
      </w:r>
      <w:r w:rsidRPr="00ED0648">
        <w:rPr>
          <w:rFonts w:ascii="Book Antiqua" w:hAnsi="Book Antiqua"/>
          <w:sz w:val="24"/>
          <w:szCs w:val="24"/>
        </w:rPr>
        <w:t xml:space="preserve">, Reynolds J, Schwameis K, Zehetner J, Samakar K, Oh P, Vong D, Sandhu K, Katkhouda N, Bildzukewicz N, Lipham JC. Efficacy of magnetic sphincter augmentation in patients with large hiatal hernias. </w:t>
      </w:r>
      <w:r w:rsidRPr="00ED0648">
        <w:rPr>
          <w:rFonts w:ascii="Book Antiqua" w:hAnsi="Book Antiqua"/>
          <w:i/>
          <w:sz w:val="24"/>
          <w:szCs w:val="24"/>
        </w:rPr>
        <w:t>Surg Endosc</w:t>
      </w:r>
      <w:r w:rsidRPr="00ED0648">
        <w:rPr>
          <w:rFonts w:ascii="Book Antiqua" w:hAnsi="Book Antiqua"/>
          <w:sz w:val="24"/>
          <w:szCs w:val="24"/>
        </w:rPr>
        <w:t xml:space="preserve"> 2017; </w:t>
      </w:r>
      <w:r w:rsidRPr="00ED0648">
        <w:rPr>
          <w:rFonts w:ascii="Book Antiqua" w:hAnsi="Book Antiqua"/>
          <w:b/>
          <w:sz w:val="24"/>
          <w:szCs w:val="24"/>
        </w:rPr>
        <w:t>31</w:t>
      </w:r>
      <w:r w:rsidRPr="00ED0648">
        <w:rPr>
          <w:rFonts w:ascii="Book Antiqua" w:hAnsi="Book Antiqua"/>
          <w:sz w:val="24"/>
          <w:szCs w:val="24"/>
        </w:rPr>
        <w:t>: 2096-2102 [PMID: 27553803 DOI: 10.1007/s00464-016-5204-3]</w:t>
      </w:r>
    </w:p>
    <w:p w14:paraId="31B390C5" w14:textId="77777777" w:rsidR="00ED0648" w:rsidRPr="00ED0648" w:rsidRDefault="00ED0648" w:rsidP="00ED0648">
      <w:pPr>
        <w:adjustRightInd w:val="0"/>
        <w:snapToGrid w:val="0"/>
        <w:spacing w:after="0" w:line="360" w:lineRule="auto"/>
        <w:jc w:val="both"/>
        <w:rPr>
          <w:rFonts w:ascii="Book Antiqua" w:hAnsi="Book Antiqua"/>
          <w:sz w:val="24"/>
          <w:szCs w:val="24"/>
        </w:rPr>
      </w:pPr>
      <w:r w:rsidRPr="00ED0648">
        <w:rPr>
          <w:rFonts w:ascii="Book Antiqua" w:hAnsi="Book Antiqua"/>
          <w:sz w:val="24"/>
          <w:szCs w:val="24"/>
        </w:rPr>
        <w:t xml:space="preserve">12 </w:t>
      </w:r>
      <w:r w:rsidRPr="00ED0648">
        <w:rPr>
          <w:rFonts w:ascii="Book Antiqua" w:hAnsi="Book Antiqua"/>
          <w:b/>
          <w:sz w:val="24"/>
          <w:szCs w:val="24"/>
        </w:rPr>
        <w:t>Pandolfino JE</w:t>
      </w:r>
      <w:r w:rsidRPr="00ED0648">
        <w:rPr>
          <w:rFonts w:ascii="Book Antiqua" w:hAnsi="Book Antiqua"/>
          <w:sz w:val="24"/>
          <w:szCs w:val="24"/>
        </w:rPr>
        <w:t xml:space="preserve">, Zhang QG, Ghosh SK, Han A, Boniquit C, Kahrilas PJ. Transient lower esophageal sphincter relaxations and reflux: mechanistic analysis using concurrent fluoroscopy and high-resolution manometry. </w:t>
      </w:r>
      <w:r w:rsidRPr="00ED0648">
        <w:rPr>
          <w:rFonts w:ascii="Book Antiqua" w:hAnsi="Book Antiqua"/>
          <w:i/>
          <w:sz w:val="24"/>
          <w:szCs w:val="24"/>
        </w:rPr>
        <w:t>Gastroenterology</w:t>
      </w:r>
      <w:r w:rsidRPr="00ED0648">
        <w:rPr>
          <w:rFonts w:ascii="Book Antiqua" w:hAnsi="Book Antiqua"/>
          <w:sz w:val="24"/>
          <w:szCs w:val="24"/>
        </w:rPr>
        <w:t xml:space="preserve"> 2006; </w:t>
      </w:r>
      <w:r w:rsidRPr="00ED0648">
        <w:rPr>
          <w:rFonts w:ascii="Book Antiqua" w:hAnsi="Book Antiqua"/>
          <w:b/>
          <w:sz w:val="24"/>
          <w:szCs w:val="24"/>
        </w:rPr>
        <w:t>131</w:t>
      </w:r>
      <w:r w:rsidRPr="00ED0648">
        <w:rPr>
          <w:rFonts w:ascii="Book Antiqua" w:hAnsi="Book Antiqua"/>
          <w:sz w:val="24"/>
          <w:szCs w:val="24"/>
        </w:rPr>
        <w:t>: 1725-1733 [PMID: 17087957 DOI: 10.1053/j.gastro.2006.09.009]</w:t>
      </w:r>
    </w:p>
    <w:p w14:paraId="50C5AAFC" w14:textId="77777777" w:rsidR="00ED0648" w:rsidRPr="00ED0648" w:rsidRDefault="00ED0648" w:rsidP="00ED0648">
      <w:pPr>
        <w:adjustRightInd w:val="0"/>
        <w:snapToGrid w:val="0"/>
        <w:spacing w:after="0" w:line="360" w:lineRule="auto"/>
        <w:jc w:val="both"/>
        <w:rPr>
          <w:rFonts w:ascii="Book Antiqua" w:hAnsi="Book Antiqua"/>
          <w:sz w:val="24"/>
          <w:szCs w:val="24"/>
        </w:rPr>
      </w:pPr>
      <w:r w:rsidRPr="00ED0648">
        <w:rPr>
          <w:rFonts w:ascii="Book Antiqua" w:hAnsi="Book Antiqua"/>
          <w:sz w:val="24"/>
          <w:szCs w:val="24"/>
        </w:rPr>
        <w:t xml:space="preserve">13 </w:t>
      </w:r>
      <w:r w:rsidRPr="00ED0648">
        <w:rPr>
          <w:rFonts w:ascii="Book Antiqua" w:hAnsi="Book Antiqua"/>
          <w:b/>
          <w:sz w:val="24"/>
          <w:szCs w:val="24"/>
        </w:rPr>
        <w:t>Halicka J</w:t>
      </w:r>
      <w:r w:rsidRPr="00ED0648">
        <w:rPr>
          <w:rFonts w:ascii="Book Antiqua" w:hAnsi="Book Antiqua"/>
          <w:sz w:val="24"/>
          <w:szCs w:val="24"/>
        </w:rPr>
        <w:t xml:space="preserve">, Banovcin P Jr, Halickova M, Demeter M, Hyrdel R, Tatar M, Kollarik M. Acid infusion into the esophagus increases the number of meal-induced transient lower esophageal sphincter relaxations (TLESRs) in healthy volunteers. </w:t>
      </w:r>
      <w:r w:rsidRPr="00ED0648">
        <w:rPr>
          <w:rFonts w:ascii="Book Antiqua" w:hAnsi="Book Antiqua"/>
          <w:i/>
          <w:sz w:val="24"/>
          <w:szCs w:val="24"/>
        </w:rPr>
        <w:t>Neurogastroenterol Motil</w:t>
      </w:r>
      <w:r w:rsidRPr="00ED0648">
        <w:rPr>
          <w:rFonts w:ascii="Book Antiqua" w:hAnsi="Book Antiqua"/>
          <w:sz w:val="24"/>
          <w:szCs w:val="24"/>
        </w:rPr>
        <w:t xml:space="preserve"> 2014; </w:t>
      </w:r>
      <w:r w:rsidRPr="00ED0648">
        <w:rPr>
          <w:rFonts w:ascii="Book Antiqua" w:hAnsi="Book Antiqua"/>
          <w:b/>
          <w:sz w:val="24"/>
          <w:szCs w:val="24"/>
        </w:rPr>
        <w:t>26</w:t>
      </w:r>
      <w:r w:rsidRPr="00ED0648">
        <w:rPr>
          <w:rFonts w:ascii="Book Antiqua" w:hAnsi="Book Antiqua"/>
          <w:sz w:val="24"/>
          <w:szCs w:val="24"/>
        </w:rPr>
        <w:t>: 1469-1476 [PMID: 25155416 DOI: 10.1111/nmo.12409]</w:t>
      </w:r>
    </w:p>
    <w:p w14:paraId="4A3D6215" w14:textId="77777777" w:rsidR="00ED0648" w:rsidRPr="00ED0648" w:rsidRDefault="00ED0648" w:rsidP="00ED0648">
      <w:pPr>
        <w:adjustRightInd w:val="0"/>
        <w:snapToGrid w:val="0"/>
        <w:spacing w:after="0" w:line="360" w:lineRule="auto"/>
        <w:jc w:val="both"/>
        <w:rPr>
          <w:rFonts w:ascii="Book Antiqua" w:hAnsi="Book Antiqua"/>
          <w:sz w:val="24"/>
          <w:szCs w:val="24"/>
        </w:rPr>
      </w:pPr>
      <w:r w:rsidRPr="00ED0648">
        <w:rPr>
          <w:rFonts w:ascii="Book Antiqua" w:hAnsi="Book Antiqua"/>
          <w:sz w:val="24"/>
          <w:szCs w:val="24"/>
        </w:rPr>
        <w:t xml:space="preserve">14 </w:t>
      </w:r>
      <w:r w:rsidRPr="00ED0648">
        <w:rPr>
          <w:rFonts w:ascii="Book Antiqua" w:hAnsi="Book Antiqua"/>
          <w:b/>
          <w:sz w:val="24"/>
          <w:szCs w:val="24"/>
        </w:rPr>
        <w:t>Banovcin P Jr</w:t>
      </w:r>
      <w:r w:rsidRPr="00ED0648">
        <w:rPr>
          <w:rFonts w:ascii="Book Antiqua" w:hAnsi="Book Antiqua"/>
          <w:sz w:val="24"/>
          <w:szCs w:val="24"/>
        </w:rPr>
        <w:t xml:space="preserve">, Halicka J, Halickova M, Duricek M, Hyrdel R, Tatar M, Kollarik M. Studies on the regulation of transient lower esophageal sphincter relaxations (TLESRs) by acid in the esophagus and stomach. </w:t>
      </w:r>
      <w:r w:rsidRPr="00ED0648">
        <w:rPr>
          <w:rFonts w:ascii="Book Antiqua" w:hAnsi="Book Antiqua"/>
          <w:i/>
          <w:sz w:val="24"/>
          <w:szCs w:val="24"/>
        </w:rPr>
        <w:t>Dis Esophagus</w:t>
      </w:r>
      <w:r w:rsidRPr="00ED0648">
        <w:rPr>
          <w:rFonts w:ascii="Book Antiqua" w:hAnsi="Book Antiqua"/>
          <w:sz w:val="24"/>
          <w:szCs w:val="24"/>
        </w:rPr>
        <w:t xml:space="preserve"> 2016; </w:t>
      </w:r>
      <w:r w:rsidRPr="00ED0648">
        <w:rPr>
          <w:rFonts w:ascii="Book Antiqua" w:hAnsi="Book Antiqua"/>
          <w:b/>
          <w:sz w:val="24"/>
          <w:szCs w:val="24"/>
        </w:rPr>
        <w:t>29</w:t>
      </w:r>
      <w:r w:rsidRPr="00ED0648">
        <w:rPr>
          <w:rFonts w:ascii="Book Antiqua" w:hAnsi="Book Antiqua"/>
          <w:sz w:val="24"/>
          <w:szCs w:val="24"/>
        </w:rPr>
        <w:t>: 484-489 [PMID: 25873206 DOI: 10.1111/dote.12357]</w:t>
      </w:r>
    </w:p>
    <w:p w14:paraId="2FE8A5FB" w14:textId="77777777" w:rsidR="00ED0648" w:rsidRPr="00ED0648" w:rsidRDefault="00ED0648" w:rsidP="00ED0648">
      <w:pPr>
        <w:adjustRightInd w:val="0"/>
        <w:snapToGrid w:val="0"/>
        <w:spacing w:after="0" w:line="360" w:lineRule="auto"/>
        <w:jc w:val="both"/>
        <w:rPr>
          <w:rFonts w:ascii="Book Antiqua" w:hAnsi="Book Antiqua"/>
          <w:sz w:val="24"/>
          <w:szCs w:val="24"/>
        </w:rPr>
      </w:pPr>
      <w:r w:rsidRPr="00ED0648">
        <w:rPr>
          <w:rFonts w:ascii="Book Antiqua" w:hAnsi="Book Antiqua"/>
          <w:sz w:val="24"/>
          <w:szCs w:val="24"/>
        </w:rPr>
        <w:t xml:space="preserve">15 </w:t>
      </w:r>
      <w:r w:rsidRPr="00ED0648">
        <w:rPr>
          <w:rFonts w:ascii="Book Antiqua" w:hAnsi="Book Antiqua"/>
          <w:b/>
          <w:sz w:val="24"/>
          <w:szCs w:val="24"/>
        </w:rPr>
        <w:t>Katz PO</w:t>
      </w:r>
      <w:r w:rsidRPr="00ED0648">
        <w:rPr>
          <w:rFonts w:ascii="Book Antiqua" w:hAnsi="Book Antiqua"/>
          <w:sz w:val="24"/>
          <w:szCs w:val="24"/>
        </w:rPr>
        <w:t xml:space="preserve">. Treatment of gastroesophageal reflux disease: use of algorithms to aid in management. </w:t>
      </w:r>
      <w:r w:rsidRPr="00ED0648">
        <w:rPr>
          <w:rFonts w:ascii="Book Antiqua" w:hAnsi="Book Antiqua"/>
          <w:i/>
          <w:sz w:val="24"/>
          <w:szCs w:val="24"/>
        </w:rPr>
        <w:t>Am J Gastroenterol</w:t>
      </w:r>
      <w:r w:rsidRPr="00ED0648">
        <w:rPr>
          <w:rFonts w:ascii="Book Antiqua" w:hAnsi="Book Antiqua"/>
          <w:sz w:val="24"/>
          <w:szCs w:val="24"/>
        </w:rPr>
        <w:t xml:space="preserve"> 1999; </w:t>
      </w:r>
      <w:r w:rsidRPr="00ED0648">
        <w:rPr>
          <w:rFonts w:ascii="Book Antiqua" w:hAnsi="Book Antiqua"/>
          <w:b/>
          <w:sz w:val="24"/>
          <w:szCs w:val="24"/>
        </w:rPr>
        <w:t>94</w:t>
      </w:r>
      <w:r w:rsidRPr="00ED0648">
        <w:rPr>
          <w:rFonts w:ascii="Book Antiqua" w:hAnsi="Book Antiqua"/>
          <w:sz w:val="24"/>
          <w:szCs w:val="24"/>
        </w:rPr>
        <w:t>: S3-10 [PMID: 10565603]</w:t>
      </w:r>
    </w:p>
    <w:p w14:paraId="0B346CAC" w14:textId="5B40D948" w:rsidR="00ED0648" w:rsidRPr="00ED0648" w:rsidRDefault="00ED0648" w:rsidP="00ED0648">
      <w:pPr>
        <w:adjustRightInd w:val="0"/>
        <w:snapToGrid w:val="0"/>
        <w:spacing w:after="0" w:line="360" w:lineRule="auto"/>
        <w:jc w:val="both"/>
        <w:rPr>
          <w:rFonts w:ascii="Book Antiqua" w:hAnsi="Book Antiqua"/>
          <w:sz w:val="24"/>
          <w:szCs w:val="24"/>
        </w:rPr>
      </w:pPr>
      <w:r w:rsidRPr="00ED0648">
        <w:rPr>
          <w:rFonts w:ascii="Book Antiqua" w:hAnsi="Book Antiqua"/>
          <w:sz w:val="24"/>
          <w:szCs w:val="24"/>
        </w:rPr>
        <w:t xml:space="preserve">16 </w:t>
      </w:r>
      <w:r w:rsidRPr="009C6877">
        <w:rPr>
          <w:rFonts w:ascii="Book Antiqua" w:hAnsi="Book Antiqua"/>
          <w:b/>
          <w:bCs/>
          <w:sz w:val="24"/>
          <w:szCs w:val="24"/>
        </w:rPr>
        <w:t>Institute for Healthcare Improvement (IHI</w:t>
      </w:r>
      <w:r w:rsidRPr="00ED0648">
        <w:rPr>
          <w:rFonts w:ascii="Book Antiqua" w:hAnsi="Book Antiqua"/>
          <w:sz w:val="24"/>
          <w:szCs w:val="24"/>
        </w:rPr>
        <w:t xml:space="preserve">). The IHI Triple Aim Initiative. 2019. </w:t>
      </w:r>
      <w:r w:rsidR="009C6877">
        <w:rPr>
          <w:rFonts w:ascii="Book Antiqua" w:hAnsi="Book Antiqua"/>
          <w:sz w:val="24"/>
          <w:szCs w:val="24"/>
        </w:rPr>
        <w:t>[</w:t>
      </w:r>
      <w:r w:rsidR="009C6877" w:rsidRPr="00ED0648">
        <w:rPr>
          <w:rFonts w:ascii="Book Antiqua" w:hAnsi="Book Antiqua"/>
          <w:sz w:val="24"/>
          <w:szCs w:val="24"/>
        </w:rPr>
        <w:t>Accessed February 10, 2019</w:t>
      </w:r>
      <w:r w:rsidR="009C6877">
        <w:rPr>
          <w:rFonts w:ascii="Book Antiqua" w:hAnsi="Book Antiqua"/>
          <w:sz w:val="24"/>
          <w:szCs w:val="24"/>
        </w:rPr>
        <w:t xml:space="preserve">] </w:t>
      </w:r>
      <w:r w:rsidRPr="00ED0648">
        <w:rPr>
          <w:rFonts w:ascii="Book Antiqua" w:hAnsi="Book Antiqua"/>
          <w:sz w:val="24"/>
          <w:szCs w:val="24"/>
        </w:rPr>
        <w:t>Available at: http://www.ihi.org/</w:t>
      </w:r>
    </w:p>
    <w:p w14:paraId="7539B7D5" w14:textId="09BFC98B" w:rsidR="00ED0648" w:rsidRPr="00ED0648" w:rsidRDefault="00ED0648" w:rsidP="00ED0648">
      <w:pPr>
        <w:adjustRightInd w:val="0"/>
        <w:snapToGrid w:val="0"/>
        <w:spacing w:after="0" w:line="360" w:lineRule="auto"/>
        <w:jc w:val="both"/>
        <w:rPr>
          <w:rFonts w:ascii="Book Antiqua" w:hAnsi="Book Antiqua"/>
          <w:sz w:val="24"/>
          <w:szCs w:val="24"/>
        </w:rPr>
      </w:pPr>
      <w:r w:rsidRPr="00ED0648">
        <w:rPr>
          <w:rFonts w:ascii="Book Antiqua" w:hAnsi="Book Antiqua"/>
          <w:sz w:val="24"/>
          <w:szCs w:val="24"/>
        </w:rPr>
        <w:t xml:space="preserve">17 </w:t>
      </w:r>
      <w:r w:rsidRPr="00227D5C">
        <w:rPr>
          <w:rFonts w:ascii="Book Antiqua" w:hAnsi="Book Antiqua"/>
          <w:b/>
          <w:bCs/>
          <w:sz w:val="24"/>
          <w:szCs w:val="24"/>
        </w:rPr>
        <w:t>Kinchen KS</w:t>
      </w:r>
      <w:r w:rsidRPr="00ED0648">
        <w:rPr>
          <w:rFonts w:ascii="Book Antiqua" w:hAnsi="Book Antiqua"/>
          <w:sz w:val="24"/>
          <w:szCs w:val="24"/>
        </w:rPr>
        <w:t>, Cooper LA, Levine D, Wang NY, Powe NR. Referral of Patients to Specialists: Factors Affecting Choice of Specialist by Primary Care Physicians.</w:t>
      </w:r>
      <w:r w:rsidRPr="00227D5C">
        <w:rPr>
          <w:rFonts w:ascii="Book Antiqua" w:hAnsi="Book Antiqua"/>
          <w:i/>
          <w:iCs/>
          <w:sz w:val="24"/>
          <w:szCs w:val="24"/>
        </w:rPr>
        <w:t xml:space="preserve"> </w:t>
      </w:r>
      <w:r w:rsidR="00227D5C" w:rsidRPr="00227D5C">
        <w:rPr>
          <w:rFonts w:ascii="Book Antiqua" w:hAnsi="Book Antiqua"/>
          <w:i/>
          <w:iCs/>
          <w:sz w:val="24"/>
          <w:szCs w:val="24"/>
        </w:rPr>
        <w:t>Ann Fam Med</w:t>
      </w:r>
      <w:r w:rsidRPr="00ED0648">
        <w:rPr>
          <w:rFonts w:ascii="Book Antiqua" w:hAnsi="Book Antiqua"/>
          <w:sz w:val="24"/>
          <w:szCs w:val="24"/>
        </w:rPr>
        <w:t xml:space="preserve"> 2004; </w:t>
      </w:r>
      <w:r w:rsidRPr="00227D5C">
        <w:rPr>
          <w:rFonts w:ascii="Book Antiqua" w:hAnsi="Book Antiqua"/>
          <w:b/>
          <w:bCs/>
          <w:sz w:val="24"/>
          <w:szCs w:val="24"/>
        </w:rPr>
        <w:t>2</w:t>
      </w:r>
      <w:r w:rsidRPr="00ED0648">
        <w:rPr>
          <w:rFonts w:ascii="Book Antiqua" w:hAnsi="Book Antiqua"/>
          <w:sz w:val="24"/>
          <w:szCs w:val="24"/>
        </w:rPr>
        <w:t>: 245-252 [</w:t>
      </w:r>
      <w:r w:rsidR="00227D5C" w:rsidRPr="00227D5C">
        <w:rPr>
          <w:rFonts w:ascii="Book Antiqua" w:hAnsi="Book Antiqua"/>
          <w:sz w:val="24"/>
          <w:szCs w:val="24"/>
        </w:rPr>
        <w:t>PMID: 15209202</w:t>
      </w:r>
      <w:r w:rsidRPr="00ED0648">
        <w:rPr>
          <w:rFonts w:ascii="Book Antiqua" w:hAnsi="Book Antiqua"/>
          <w:sz w:val="24"/>
          <w:szCs w:val="24"/>
        </w:rPr>
        <w:t>]</w:t>
      </w:r>
    </w:p>
    <w:p w14:paraId="424E4CCE" w14:textId="14C0556B" w:rsidR="00ED0648" w:rsidRPr="00ED0648" w:rsidRDefault="00ED0648" w:rsidP="00ED0648">
      <w:pPr>
        <w:adjustRightInd w:val="0"/>
        <w:snapToGrid w:val="0"/>
        <w:spacing w:after="0" w:line="360" w:lineRule="auto"/>
        <w:jc w:val="both"/>
        <w:rPr>
          <w:rFonts w:ascii="Book Antiqua" w:hAnsi="Book Antiqua"/>
          <w:sz w:val="24"/>
          <w:szCs w:val="24"/>
        </w:rPr>
      </w:pPr>
      <w:r w:rsidRPr="00ED0648">
        <w:rPr>
          <w:rFonts w:ascii="Book Antiqua" w:hAnsi="Book Antiqua"/>
          <w:sz w:val="24"/>
          <w:szCs w:val="24"/>
        </w:rPr>
        <w:t xml:space="preserve">18 </w:t>
      </w:r>
      <w:r w:rsidRPr="00227D5C">
        <w:rPr>
          <w:rFonts w:ascii="Book Antiqua" w:hAnsi="Book Antiqua"/>
          <w:b/>
          <w:bCs/>
          <w:sz w:val="24"/>
          <w:szCs w:val="24"/>
        </w:rPr>
        <w:t>Gikas A</w:t>
      </w:r>
      <w:r w:rsidRPr="00ED0648">
        <w:rPr>
          <w:rFonts w:ascii="Book Antiqua" w:hAnsi="Book Antiqua"/>
          <w:sz w:val="24"/>
          <w:szCs w:val="24"/>
        </w:rPr>
        <w:t xml:space="preserve">, Triantafillidis JK. The role of primary care physicians in early diagnosis and treatment of chronic gastrointestinal diseases. </w:t>
      </w:r>
      <w:r w:rsidR="00227D5C" w:rsidRPr="00227D5C">
        <w:rPr>
          <w:rFonts w:ascii="Book Antiqua" w:hAnsi="Book Antiqua"/>
          <w:i/>
          <w:iCs/>
          <w:sz w:val="24"/>
          <w:szCs w:val="24"/>
        </w:rPr>
        <w:t xml:space="preserve">Int J Gen Med </w:t>
      </w:r>
      <w:r w:rsidRPr="00ED0648">
        <w:rPr>
          <w:rFonts w:ascii="Book Antiqua" w:hAnsi="Book Antiqua"/>
          <w:sz w:val="24"/>
          <w:szCs w:val="24"/>
        </w:rPr>
        <w:t xml:space="preserve">2014; </w:t>
      </w:r>
      <w:r w:rsidRPr="00227D5C">
        <w:rPr>
          <w:rFonts w:ascii="Book Antiqua" w:hAnsi="Book Antiqua"/>
          <w:b/>
          <w:bCs/>
          <w:sz w:val="24"/>
          <w:szCs w:val="24"/>
        </w:rPr>
        <w:t>7</w:t>
      </w:r>
      <w:r w:rsidRPr="00ED0648">
        <w:rPr>
          <w:rFonts w:ascii="Book Antiqua" w:hAnsi="Book Antiqua"/>
          <w:sz w:val="24"/>
          <w:szCs w:val="24"/>
        </w:rPr>
        <w:t>: 159-173 [</w:t>
      </w:r>
      <w:r w:rsidR="00227D5C" w:rsidRPr="00227D5C">
        <w:rPr>
          <w:rFonts w:ascii="Book Antiqua" w:hAnsi="Book Antiqua"/>
          <w:sz w:val="24"/>
          <w:szCs w:val="24"/>
        </w:rPr>
        <w:t>PMID: 24648750</w:t>
      </w:r>
      <w:r w:rsidR="00227D5C">
        <w:rPr>
          <w:rFonts w:ascii="Book Antiqua" w:hAnsi="Book Antiqua"/>
          <w:sz w:val="24"/>
          <w:szCs w:val="24"/>
        </w:rPr>
        <w:t xml:space="preserve"> </w:t>
      </w:r>
      <w:r w:rsidR="00227D5C" w:rsidRPr="00227D5C">
        <w:rPr>
          <w:rFonts w:ascii="Book Antiqua" w:hAnsi="Book Antiqua"/>
          <w:sz w:val="24"/>
          <w:szCs w:val="24"/>
        </w:rPr>
        <w:t>DOI: 10.2147/IJGM.S58888</w:t>
      </w:r>
      <w:r w:rsidRPr="00ED0648">
        <w:rPr>
          <w:rFonts w:ascii="Book Antiqua" w:hAnsi="Book Antiqua"/>
          <w:sz w:val="24"/>
          <w:szCs w:val="24"/>
        </w:rPr>
        <w:t>]</w:t>
      </w:r>
    </w:p>
    <w:p w14:paraId="50E5605D" w14:textId="428B0888" w:rsidR="00ED0648" w:rsidRPr="00ED0648" w:rsidRDefault="00ED0648" w:rsidP="00ED0648">
      <w:pPr>
        <w:adjustRightInd w:val="0"/>
        <w:snapToGrid w:val="0"/>
        <w:spacing w:after="0" w:line="360" w:lineRule="auto"/>
        <w:jc w:val="both"/>
        <w:rPr>
          <w:rFonts w:ascii="Book Antiqua" w:hAnsi="Book Antiqua"/>
          <w:sz w:val="24"/>
          <w:szCs w:val="24"/>
        </w:rPr>
      </w:pPr>
      <w:r w:rsidRPr="00ED0648">
        <w:rPr>
          <w:rFonts w:ascii="Book Antiqua" w:hAnsi="Book Antiqua"/>
          <w:sz w:val="24"/>
          <w:szCs w:val="24"/>
        </w:rPr>
        <w:lastRenderedPageBreak/>
        <w:t xml:space="preserve">19 </w:t>
      </w:r>
      <w:r w:rsidRPr="00C83DC5">
        <w:rPr>
          <w:rFonts w:ascii="Book Antiqua" w:hAnsi="Book Antiqua"/>
          <w:b/>
          <w:bCs/>
          <w:sz w:val="24"/>
          <w:szCs w:val="24"/>
        </w:rPr>
        <w:t>Badillo R</w:t>
      </w:r>
      <w:r w:rsidRPr="00ED0648">
        <w:rPr>
          <w:rFonts w:ascii="Book Antiqua" w:hAnsi="Book Antiqua"/>
          <w:sz w:val="24"/>
          <w:szCs w:val="24"/>
        </w:rPr>
        <w:t xml:space="preserve">, Francis D. Diagnosis and treatment of gastroesophageal reflux disease. </w:t>
      </w:r>
      <w:r w:rsidR="00C83DC5" w:rsidRPr="00C83DC5">
        <w:rPr>
          <w:rFonts w:ascii="Book Antiqua" w:hAnsi="Book Antiqua"/>
          <w:i/>
          <w:iCs/>
          <w:sz w:val="24"/>
          <w:szCs w:val="24"/>
        </w:rPr>
        <w:t>World J Gastrointest Pharmacol Ther</w:t>
      </w:r>
      <w:r w:rsidRPr="00C83DC5">
        <w:rPr>
          <w:rFonts w:ascii="Book Antiqua" w:hAnsi="Book Antiqua"/>
          <w:i/>
          <w:iCs/>
          <w:sz w:val="24"/>
          <w:szCs w:val="24"/>
        </w:rPr>
        <w:t xml:space="preserve"> </w:t>
      </w:r>
      <w:r w:rsidRPr="00ED0648">
        <w:rPr>
          <w:rFonts w:ascii="Book Antiqua" w:hAnsi="Book Antiqua"/>
          <w:sz w:val="24"/>
          <w:szCs w:val="24"/>
        </w:rPr>
        <w:t>2014; 5: 105-112 [</w:t>
      </w:r>
      <w:r w:rsidR="00C83DC5" w:rsidRPr="00C83DC5">
        <w:rPr>
          <w:rFonts w:ascii="Book Antiqua" w:hAnsi="Book Antiqua"/>
          <w:sz w:val="24"/>
          <w:szCs w:val="24"/>
        </w:rPr>
        <w:t xml:space="preserve">PMID: 25133039 </w:t>
      </w:r>
      <w:r w:rsidRPr="00ED0648">
        <w:rPr>
          <w:rFonts w:ascii="Book Antiqua" w:hAnsi="Book Antiqua"/>
          <w:sz w:val="24"/>
          <w:szCs w:val="24"/>
        </w:rPr>
        <w:t>DOI: 10.4292/wjgpt.v5.i3.105]</w:t>
      </w:r>
    </w:p>
    <w:p w14:paraId="0AAEAE59" w14:textId="77777777" w:rsidR="00ED0648" w:rsidRPr="00ED0648" w:rsidRDefault="00ED0648" w:rsidP="00ED0648">
      <w:pPr>
        <w:adjustRightInd w:val="0"/>
        <w:snapToGrid w:val="0"/>
        <w:spacing w:after="0" w:line="360" w:lineRule="auto"/>
        <w:jc w:val="both"/>
        <w:rPr>
          <w:rFonts w:ascii="Book Antiqua" w:hAnsi="Book Antiqua"/>
          <w:sz w:val="24"/>
          <w:szCs w:val="24"/>
        </w:rPr>
      </w:pPr>
      <w:r w:rsidRPr="00ED0648">
        <w:rPr>
          <w:rFonts w:ascii="Book Antiqua" w:hAnsi="Book Antiqua"/>
          <w:sz w:val="24"/>
          <w:szCs w:val="24"/>
        </w:rPr>
        <w:t xml:space="preserve">20 </w:t>
      </w:r>
      <w:r w:rsidRPr="00ED0648">
        <w:rPr>
          <w:rFonts w:ascii="Book Antiqua" w:hAnsi="Book Antiqua"/>
          <w:b/>
          <w:sz w:val="24"/>
          <w:szCs w:val="24"/>
        </w:rPr>
        <w:t>Yadlapati R</w:t>
      </w:r>
      <w:r w:rsidRPr="00ED0648">
        <w:rPr>
          <w:rFonts w:ascii="Book Antiqua" w:hAnsi="Book Antiqua"/>
          <w:sz w:val="24"/>
          <w:szCs w:val="24"/>
        </w:rPr>
        <w:t xml:space="preserve">, Dakhoul L, Pandolfino JE, Keswani RN. The Quality of Care for Gastroesophageal Reflux Disease. </w:t>
      </w:r>
      <w:r w:rsidRPr="00ED0648">
        <w:rPr>
          <w:rFonts w:ascii="Book Antiqua" w:hAnsi="Book Antiqua"/>
          <w:i/>
          <w:sz w:val="24"/>
          <w:szCs w:val="24"/>
        </w:rPr>
        <w:t>Dig Dis Sci</w:t>
      </w:r>
      <w:r w:rsidRPr="00ED0648">
        <w:rPr>
          <w:rFonts w:ascii="Book Antiqua" w:hAnsi="Book Antiqua"/>
          <w:sz w:val="24"/>
          <w:szCs w:val="24"/>
        </w:rPr>
        <w:t xml:space="preserve"> 2017; </w:t>
      </w:r>
      <w:r w:rsidRPr="00ED0648">
        <w:rPr>
          <w:rFonts w:ascii="Book Antiqua" w:hAnsi="Book Antiqua"/>
          <w:b/>
          <w:sz w:val="24"/>
          <w:szCs w:val="24"/>
        </w:rPr>
        <w:t>62</w:t>
      </w:r>
      <w:r w:rsidRPr="00ED0648">
        <w:rPr>
          <w:rFonts w:ascii="Book Antiqua" w:hAnsi="Book Antiqua"/>
          <w:sz w:val="24"/>
          <w:szCs w:val="24"/>
        </w:rPr>
        <w:t>: 569-576 [PMID: 28028689 DOI: 10.1007/s10620-016-4409-6]</w:t>
      </w:r>
    </w:p>
    <w:p w14:paraId="6A6348A6" w14:textId="77777777" w:rsidR="00ED0648" w:rsidRPr="00ED0648" w:rsidRDefault="00ED0648" w:rsidP="00ED0648">
      <w:pPr>
        <w:adjustRightInd w:val="0"/>
        <w:snapToGrid w:val="0"/>
        <w:spacing w:after="0" w:line="360" w:lineRule="auto"/>
        <w:jc w:val="both"/>
        <w:rPr>
          <w:rFonts w:ascii="Book Antiqua" w:hAnsi="Book Antiqua"/>
          <w:sz w:val="24"/>
          <w:szCs w:val="24"/>
        </w:rPr>
      </w:pPr>
      <w:r w:rsidRPr="00ED0648">
        <w:rPr>
          <w:rFonts w:ascii="Book Antiqua" w:hAnsi="Book Antiqua"/>
          <w:sz w:val="24"/>
          <w:szCs w:val="24"/>
        </w:rPr>
        <w:t xml:space="preserve">21 </w:t>
      </w:r>
      <w:r w:rsidRPr="00ED0648">
        <w:rPr>
          <w:rFonts w:ascii="Book Antiqua" w:hAnsi="Book Antiqua"/>
          <w:b/>
          <w:sz w:val="24"/>
          <w:szCs w:val="24"/>
        </w:rPr>
        <w:t>Vela MF</w:t>
      </w:r>
      <w:r w:rsidRPr="00ED0648">
        <w:rPr>
          <w:rFonts w:ascii="Book Antiqua" w:hAnsi="Book Antiqua"/>
          <w:sz w:val="24"/>
          <w:szCs w:val="24"/>
        </w:rPr>
        <w:t xml:space="preserve">, Camacho-Lobato L, Srinivasan R, Tutuian R, Katz PO, Castell DO. Simultaneous intraesophageal impedance and pH measurement of acid and nonacid gastroesophageal reflux: effect of omeprazole. </w:t>
      </w:r>
      <w:r w:rsidRPr="00ED0648">
        <w:rPr>
          <w:rFonts w:ascii="Book Antiqua" w:hAnsi="Book Antiqua"/>
          <w:i/>
          <w:sz w:val="24"/>
          <w:szCs w:val="24"/>
        </w:rPr>
        <w:t>Gastroenterology</w:t>
      </w:r>
      <w:r w:rsidRPr="00ED0648">
        <w:rPr>
          <w:rFonts w:ascii="Book Antiqua" w:hAnsi="Book Antiqua"/>
          <w:sz w:val="24"/>
          <w:szCs w:val="24"/>
        </w:rPr>
        <w:t xml:space="preserve"> 2001; </w:t>
      </w:r>
      <w:r w:rsidRPr="00ED0648">
        <w:rPr>
          <w:rFonts w:ascii="Book Antiqua" w:hAnsi="Book Antiqua"/>
          <w:b/>
          <w:sz w:val="24"/>
          <w:szCs w:val="24"/>
        </w:rPr>
        <w:t>120</w:t>
      </w:r>
      <w:r w:rsidRPr="00ED0648">
        <w:rPr>
          <w:rFonts w:ascii="Book Antiqua" w:hAnsi="Book Antiqua"/>
          <w:sz w:val="24"/>
          <w:szCs w:val="24"/>
        </w:rPr>
        <w:t>: 1599-1606 [PMID: 11375942]</w:t>
      </w:r>
    </w:p>
    <w:p w14:paraId="7DE6EA9B" w14:textId="77777777" w:rsidR="00ED0648" w:rsidRPr="00ED0648" w:rsidRDefault="00ED0648" w:rsidP="00ED0648">
      <w:pPr>
        <w:adjustRightInd w:val="0"/>
        <w:snapToGrid w:val="0"/>
        <w:spacing w:after="0" w:line="360" w:lineRule="auto"/>
        <w:jc w:val="both"/>
        <w:rPr>
          <w:rFonts w:ascii="Book Antiqua" w:hAnsi="Book Antiqua"/>
          <w:sz w:val="24"/>
          <w:szCs w:val="24"/>
        </w:rPr>
      </w:pPr>
      <w:r w:rsidRPr="00ED0648">
        <w:rPr>
          <w:rFonts w:ascii="Book Antiqua" w:hAnsi="Book Antiqua"/>
          <w:sz w:val="24"/>
          <w:szCs w:val="24"/>
        </w:rPr>
        <w:t xml:space="preserve">22 </w:t>
      </w:r>
      <w:r w:rsidRPr="00ED0648">
        <w:rPr>
          <w:rFonts w:ascii="Book Antiqua" w:hAnsi="Book Antiqua"/>
          <w:b/>
          <w:sz w:val="24"/>
          <w:szCs w:val="24"/>
        </w:rPr>
        <w:t>Kahrilas PJ</w:t>
      </w:r>
      <w:r w:rsidRPr="00ED0648">
        <w:rPr>
          <w:rFonts w:ascii="Book Antiqua" w:hAnsi="Book Antiqua"/>
          <w:sz w:val="24"/>
          <w:szCs w:val="24"/>
        </w:rPr>
        <w:t xml:space="preserve">, Howden CW, Hughes N. Response of regurgitation to proton pump inhibitor therapy in clinical trials of gastroesophageal reflux disease. </w:t>
      </w:r>
      <w:r w:rsidRPr="00ED0648">
        <w:rPr>
          <w:rFonts w:ascii="Book Antiqua" w:hAnsi="Book Antiqua"/>
          <w:i/>
          <w:sz w:val="24"/>
          <w:szCs w:val="24"/>
        </w:rPr>
        <w:t>Am J Gastroenterol</w:t>
      </w:r>
      <w:r w:rsidRPr="00ED0648">
        <w:rPr>
          <w:rFonts w:ascii="Book Antiqua" w:hAnsi="Book Antiqua"/>
          <w:sz w:val="24"/>
          <w:szCs w:val="24"/>
        </w:rPr>
        <w:t xml:space="preserve"> 2011; </w:t>
      </w:r>
      <w:r w:rsidRPr="00ED0648">
        <w:rPr>
          <w:rFonts w:ascii="Book Antiqua" w:hAnsi="Book Antiqua"/>
          <w:b/>
          <w:sz w:val="24"/>
          <w:szCs w:val="24"/>
        </w:rPr>
        <w:t>106</w:t>
      </w:r>
      <w:r w:rsidRPr="00ED0648">
        <w:rPr>
          <w:rFonts w:ascii="Book Antiqua" w:hAnsi="Book Antiqua"/>
          <w:sz w:val="24"/>
          <w:szCs w:val="24"/>
        </w:rPr>
        <w:t>: 1419-25; quiz 1426 [PMID: 21537361 DOI: 10.1038/ajg.2011.146]</w:t>
      </w:r>
    </w:p>
    <w:p w14:paraId="1EC34880" w14:textId="77777777" w:rsidR="00ED0648" w:rsidRPr="00ED0648" w:rsidRDefault="00ED0648" w:rsidP="00ED0648">
      <w:pPr>
        <w:adjustRightInd w:val="0"/>
        <w:snapToGrid w:val="0"/>
        <w:spacing w:after="0" w:line="360" w:lineRule="auto"/>
        <w:jc w:val="both"/>
        <w:rPr>
          <w:rFonts w:ascii="Book Antiqua" w:hAnsi="Book Antiqua"/>
          <w:sz w:val="24"/>
          <w:szCs w:val="24"/>
        </w:rPr>
      </w:pPr>
      <w:r w:rsidRPr="00ED0648">
        <w:rPr>
          <w:rFonts w:ascii="Book Antiqua" w:hAnsi="Book Antiqua"/>
          <w:sz w:val="24"/>
          <w:szCs w:val="24"/>
        </w:rPr>
        <w:t xml:space="preserve">23 </w:t>
      </w:r>
      <w:r w:rsidRPr="00ED0648">
        <w:rPr>
          <w:rFonts w:ascii="Book Antiqua" w:hAnsi="Book Antiqua"/>
          <w:b/>
          <w:sz w:val="24"/>
          <w:szCs w:val="24"/>
        </w:rPr>
        <w:t>Katz PO</w:t>
      </w:r>
      <w:r w:rsidRPr="00ED0648">
        <w:rPr>
          <w:rFonts w:ascii="Book Antiqua" w:hAnsi="Book Antiqua"/>
          <w:sz w:val="24"/>
          <w:szCs w:val="24"/>
        </w:rPr>
        <w:t xml:space="preserve">, Gerson LB, Vela MF. Guidelines for the diagnosis and management of gastroesophageal reflux disease. </w:t>
      </w:r>
      <w:r w:rsidRPr="00ED0648">
        <w:rPr>
          <w:rFonts w:ascii="Book Antiqua" w:hAnsi="Book Antiqua"/>
          <w:i/>
          <w:sz w:val="24"/>
          <w:szCs w:val="24"/>
        </w:rPr>
        <w:t>Am J Gastroenterol</w:t>
      </w:r>
      <w:r w:rsidRPr="00ED0648">
        <w:rPr>
          <w:rFonts w:ascii="Book Antiqua" w:hAnsi="Book Antiqua"/>
          <w:sz w:val="24"/>
          <w:szCs w:val="24"/>
        </w:rPr>
        <w:t xml:space="preserve"> 2013; </w:t>
      </w:r>
      <w:r w:rsidRPr="00ED0648">
        <w:rPr>
          <w:rFonts w:ascii="Book Antiqua" w:hAnsi="Book Antiqua"/>
          <w:b/>
          <w:sz w:val="24"/>
          <w:szCs w:val="24"/>
        </w:rPr>
        <w:t>108</w:t>
      </w:r>
      <w:r w:rsidRPr="00ED0648">
        <w:rPr>
          <w:rFonts w:ascii="Book Antiqua" w:hAnsi="Book Antiqua"/>
          <w:sz w:val="24"/>
          <w:szCs w:val="24"/>
        </w:rPr>
        <w:t>: 308-28; quiz 329 [PMID: 23419381 DOI: 10.1038/ajg.2012.444]</w:t>
      </w:r>
    </w:p>
    <w:p w14:paraId="44C12AA5" w14:textId="77777777" w:rsidR="00ED0648" w:rsidRPr="00ED0648" w:rsidRDefault="00ED0648" w:rsidP="00ED0648">
      <w:pPr>
        <w:adjustRightInd w:val="0"/>
        <w:snapToGrid w:val="0"/>
        <w:spacing w:after="0" w:line="360" w:lineRule="auto"/>
        <w:jc w:val="both"/>
        <w:rPr>
          <w:rFonts w:ascii="Book Antiqua" w:hAnsi="Book Antiqua"/>
          <w:sz w:val="24"/>
          <w:szCs w:val="24"/>
        </w:rPr>
      </w:pPr>
      <w:r w:rsidRPr="00ED0648">
        <w:rPr>
          <w:rFonts w:ascii="Book Antiqua" w:hAnsi="Book Antiqua"/>
          <w:sz w:val="24"/>
          <w:szCs w:val="24"/>
        </w:rPr>
        <w:t>24 Minjarez R. Surgical therapy for gastroesophageal reflux disease. GI Motility online 2006; 16 May 2006</w:t>
      </w:r>
    </w:p>
    <w:p w14:paraId="418DD51B" w14:textId="77777777" w:rsidR="00ED0648" w:rsidRPr="00ED0648" w:rsidRDefault="00ED0648" w:rsidP="00ED0648">
      <w:pPr>
        <w:adjustRightInd w:val="0"/>
        <w:snapToGrid w:val="0"/>
        <w:spacing w:after="0" w:line="360" w:lineRule="auto"/>
        <w:jc w:val="both"/>
        <w:rPr>
          <w:rFonts w:ascii="Book Antiqua" w:hAnsi="Book Antiqua"/>
          <w:sz w:val="24"/>
          <w:szCs w:val="24"/>
        </w:rPr>
      </w:pPr>
      <w:r w:rsidRPr="00ED0648">
        <w:rPr>
          <w:rFonts w:ascii="Book Antiqua" w:hAnsi="Book Antiqua"/>
          <w:sz w:val="24"/>
          <w:szCs w:val="24"/>
        </w:rPr>
        <w:t xml:space="preserve">25 </w:t>
      </w:r>
      <w:r w:rsidRPr="00ED0648">
        <w:rPr>
          <w:rFonts w:ascii="Book Antiqua" w:hAnsi="Book Antiqua"/>
          <w:b/>
          <w:sz w:val="24"/>
          <w:szCs w:val="24"/>
        </w:rPr>
        <w:t>Moore M</w:t>
      </w:r>
      <w:r w:rsidRPr="00ED0648">
        <w:rPr>
          <w:rFonts w:ascii="Book Antiqua" w:hAnsi="Book Antiqua"/>
          <w:sz w:val="24"/>
          <w:szCs w:val="24"/>
        </w:rPr>
        <w:t xml:space="preserve">, Afaneh C, Benhuri D, Antonacci C, Abelson J, Zarnegar R. Gastroesophageal reflux disease: A review of surgical decision making. </w:t>
      </w:r>
      <w:r w:rsidRPr="00ED0648">
        <w:rPr>
          <w:rFonts w:ascii="Book Antiqua" w:hAnsi="Book Antiqua"/>
          <w:i/>
          <w:sz w:val="24"/>
          <w:szCs w:val="24"/>
        </w:rPr>
        <w:t>World J Gastrointest Surg</w:t>
      </w:r>
      <w:r w:rsidRPr="00ED0648">
        <w:rPr>
          <w:rFonts w:ascii="Book Antiqua" w:hAnsi="Book Antiqua"/>
          <w:sz w:val="24"/>
          <w:szCs w:val="24"/>
        </w:rPr>
        <w:t xml:space="preserve"> 2016; </w:t>
      </w:r>
      <w:r w:rsidRPr="00ED0648">
        <w:rPr>
          <w:rFonts w:ascii="Book Antiqua" w:hAnsi="Book Antiqua"/>
          <w:b/>
          <w:sz w:val="24"/>
          <w:szCs w:val="24"/>
        </w:rPr>
        <w:t>8</w:t>
      </w:r>
      <w:r w:rsidRPr="00ED0648">
        <w:rPr>
          <w:rFonts w:ascii="Book Antiqua" w:hAnsi="Book Antiqua"/>
          <w:sz w:val="24"/>
          <w:szCs w:val="24"/>
        </w:rPr>
        <w:t>: 77-83 [PMID: 26843915 DOI: 10.4240/wjgs.v8.i1.77]</w:t>
      </w:r>
    </w:p>
    <w:p w14:paraId="79354C7D" w14:textId="0854BA78" w:rsidR="00ED0648" w:rsidRPr="00ED0648" w:rsidRDefault="00ED0648" w:rsidP="00ED0648">
      <w:pPr>
        <w:adjustRightInd w:val="0"/>
        <w:snapToGrid w:val="0"/>
        <w:spacing w:after="0" w:line="360" w:lineRule="auto"/>
        <w:jc w:val="both"/>
        <w:rPr>
          <w:rFonts w:ascii="Book Antiqua" w:hAnsi="Book Antiqua"/>
          <w:sz w:val="24"/>
          <w:szCs w:val="24"/>
        </w:rPr>
      </w:pPr>
      <w:r w:rsidRPr="00ED0648">
        <w:rPr>
          <w:rFonts w:ascii="Book Antiqua" w:hAnsi="Book Antiqua"/>
          <w:sz w:val="24"/>
          <w:szCs w:val="24"/>
        </w:rPr>
        <w:t xml:space="preserve">26 </w:t>
      </w:r>
      <w:r w:rsidRPr="00ED0648">
        <w:rPr>
          <w:rFonts w:ascii="Book Antiqua" w:hAnsi="Book Antiqua"/>
          <w:b/>
          <w:sz w:val="24"/>
          <w:szCs w:val="24"/>
        </w:rPr>
        <w:t>Richter JE</w:t>
      </w:r>
      <w:r w:rsidRPr="00ED0648">
        <w:rPr>
          <w:rFonts w:ascii="Book Antiqua" w:hAnsi="Book Antiqua"/>
          <w:sz w:val="24"/>
          <w:szCs w:val="24"/>
        </w:rPr>
        <w:t xml:space="preserve">. Gastroesophageal reflux disease treatment: side effects and complications of fundoplication. </w:t>
      </w:r>
      <w:r w:rsidRPr="00ED0648">
        <w:rPr>
          <w:rFonts w:ascii="Book Antiqua" w:hAnsi="Book Antiqua"/>
          <w:i/>
          <w:sz w:val="24"/>
          <w:szCs w:val="24"/>
        </w:rPr>
        <w:t>Clin Gastroenterol Hepatol</w:t>
      </w:r>
      <w:r w:rsidRPr="00ED0648">
        <w:rPr>
          <w:rFonts w:ascii="Book Antiqua" w:hAnsi="Book Antiqua"/>
          <w:sz w:val="24"/>
          <w:szCs w:val="24"/>
        </w:rPr>
        <w:t xml:space="preserve"> 2013; </w:t>
      </w:r>
      <w:r w:rsidRPr="00ED0648">
        <w:rPr>
          <w:rFonts w:ascii="Book Antiqua" w:hAnsi="Book Antiqua"/>
          <w:b/>
          <w:sz w:val="24"/>
          <w:szCs w:val="24"/>
        </w:rPr>
        <w:t>11</w:t>
      </w:r>
      <w:r w:rsidRPr="00ED0648">
        <w:rPr>
          <w:rFonts w:ascii="Book Antiqua" w:hAnsi="Book Antiqua"/>
          <w:sz w:val="24"/>
          <w:szCs w:val="24"/>
        </w:rPr>
        <w:t>: 465-</w:t>
      </w:r>
      <w:r w:rsidR="009C610A">
        <w:rPr>
          <w:rFonts w:ascii="Book Antiqua" w:hAnsi="Book Antiqua"/>
          <w:sz w:val="24"/>
          <w:szCs w:val="24"/>
        </w:rPr>
        <w:t>4</w:t>
      </w:r>
      <w:r w:rsidRPr="00ED0648">
        <w:rPr>
          <w:rFonts w:ascii="Book Antiqua" w:hAnsi="Book Antiqua"/>
          <w:sz w:val="24"/>
          <w:szCs w:val="24"/>
        </w:rPr>
        <w:t>71; quiz e39 [PMID: 23267868 DOI: 10.1016/j.cgh.2012.12.006]</w:t>
      </w:r>
    </w:p>
    <w:p w14:paraId="0CC455E4" w14:textId="77777777" w:rsidR="00ED0648" w:rsidRPr="00ED0648" w:rsidRDefault="00ED0648" w:rsidP="00ED0648">
      <w:pPr>
        <w:adjustRightInd w:val="0"/>
        <w:snapToGrid w:val="0"/>
        <w:spacing w:after="0" w:line="360" w:lineRule="auto"/>
        <w:jc w:val="both"/>
        <w:rPr>
          <w:rFonts w:ascii="Book Antiqua" w:hAnsi="Book Antiqua"/>
          <w:sz w:val="24"/>
          <w:szCs w:val="24"/>
        </w:rPr>
      </w:pPr>
      <w:r w:rsidRPr="00ED0648">
        <w:rPr>
          <w:rFonts w:ascii="Book Antiqua" w:hAnsi="Book Antiqua"/>
          <w:sz w:val="24"/>
          <w:szCs w:val="24"/>
        </w:rPr>
        <w:t xml:space="preserve">27 </w:t>
      </w:r>
      <w:r w:rsidRPr="00ED0648">
        <w:rPr>
          <w:rFonts w:ascii="Book Antiqua" w:hAnsi="Book Antiqua"/>
          <w:b/>
          <w:sz w:val="24"/>
          <w:szCs w:val="24"/>
        </w:rPr>
        <w:t>Ganz RA</w:t>
      </w:r>
      <w:r w:rsidRPr="00ED0648">
        <w:rPr>
          <w:rFonts w:ascii="Book Antiqua" w:hAnsi="Book Antiqua"/>
          <w:sz w:val="24"/>
          <w:szCs w:val="24"/>
        </w:rPr>
        <w:t xml:space="preserve">. A Modern Magnetic Implant for Gastroesophageal Reflux Disease. </w:t>
      </w:r>
      <w:r w:rsidRPr="00ED0648">
        <w:rPr>
          <w:rFonts w:ascii="Book Antiqua" w:hAnsi="Book Antiqua"/>
          <w:i/>
          <w:sz w:val="24"/>
          <w:szCs w:val="24"/>
        </w:rPr>
        <w:t>Clin Gastroenterol Hepatol</w:t>
      </w:r>
      <w:r w:rsidRPr="00ED0648">
        <w:rPr>
          <w:rFonts w:ascii="Book Antiqua" w:hAnsi="Book Antiqua"/>
          <w:sz w:val="24"/>
          <w:szCs w:val="24"/>
        </w:rPr>
        <w:t xml:space="preserve"> 2017; </w:t>
      </w:r>
      <w:r w:rsidRPr="00ED0648">
        <w:rPr>
          <w:rFonts w:ascii="Book Antiqua" w:hAnsi="Book Antiqua"/>
          <w:b/>
          <w:sz w:val="24"/>
          <w:szCs w:val="24"/>
        </w:rPr>
        <w:t>15</w:t>
      </w:r>
      <w:r w:rsidRPr="00ED0648">
        <w:rPr>
          <w:rFonts w:ascii="Book Antiqua" w:hAnsi="Book Antiqua"/>
          <w:sz w:val="24"/>
          <w:szCs w:val="24"/>
        </w:rPr>
        <w:t>: 1326-1337 [PMID: 28025156 DOI: 10.1016/j.cgh.2016.12.019]</w:t>
      </w:r>
    </w:p>
    <w:p w14:paraId="631FD6AE" w14:textId="77777777" w:rsidR="00ED0648" w:rsidRPr="00ED0648" w:rsidRDefault="00ED0648" w:rsidP="00ED0648">
      <w:pPr>
        <w:adjustRightInd w:val="0"/>
        <w:snapToGrid w:val="0"/>
        <w:spacing w:after="0" w:line="360" w:lineRule="auto"/>
        <w:jc w:val="both"/>
        <w:rPr>
          <w:rFonts w:ascii="Book Antiqua" w:hAnsi="Book Antiqua"/>
          <w:sz w:val="24"/>
          <w:szCs w:val="24"/>
        </w:rPr>
      </w:pPr>
      <w:r w:rsidRPr="00ED0648">
        <w:rPr>
          <w:rFonts w:ascii="Book Antiqua" w:hAnsi="Book Antiqua"/>
          <w:sz w:val="24"/>
          <w:szCs w:val="24"/>
        </w:rPr>
        <w:t xml:space="preserve">28 </w:t>
      </w:r>
      <w:r w:rsidRPr="00ED0648">
        <w:rPr>
          <w:rFonts w:ascii="Book Antiqua" w:hAnsi="Book Antiqua"/>
          <w:b/>
          <w:sz w:val="24"/>
          <w:szCs w:val="24"/>
        </w:rPr>
        <w:t>Vakil N</w:t>
      </w:r>
      <w:r w:rsidRPr="00ED0648">
        <w:rPr>
          <w:rFonts w:ascii="Book Antiqua" w:hAnsi="Book Antiqua"/>
          <w:sz w:val="24"/>
          <w:szCs w:val="24"/>
        </w:rPr>
        <w:t xml:space="preserve">, Shaw M, Kirby R. Clinical effectiveness of laparoscopic fundoplication in a U.S. community. </w:t>
      </w:r>
      <w:r w:rsidRPr="00ED0648">
        <w:rPr>
          <w:rFonts w:ascii="Book Antiqua" w:hAnsi="Book Antiqua"/>
          <w:i/>
          <w:sz w:val="24"/>
          <w:szCs w:val="24"/>
        </w:rPr>
        <w:t>Am J Med</w:t>
      </w:r>
      <w:r w:rsidRPr="00ED0648">
        <w:rPr>
          <w:rFonts w:ascii="Book Antiqua" w:hAnsi="Book Antiqua"/>
          <w:sz w:val="24"/>
          <w:szCs w:val="24"/>
        </w:rPr>
        <w:t xml:space="preserve"> 2003; </w:t>
      </w:r>
      <w:r w:rsidRPr="00ED0648">
        <w:rPr>
          <w:rFonts w:ascii="Book Antiqua" w:hAnsi="Book Antiqua"/>
          <w:b/>
          <w:sz w:val="24"/>
          <w:szCs w:val="24"/>
        </w:rPr>
        <w:t>114</w:t>
      </w:r>
      <w:r w:rsidRPr="00ED0648">
        <w:rPr>
          <w:rFonts w:ascii="Book Antiqua" w:hAnsi="Book Antiqua"/>
          <w:sz w:val="24"/>
          <w:szCs w:val="24"/>
        </w:rPr>
        <w:t>: 1-5 [PMID: 12543281]</w:t>
      </w:r>
    </w:p>
    <w:p w14:paraId="577BBCA8" w14:textId="77777777" w:rsidR="00ED0648" w:rsidRPr="00ED0648" w:rsidRDefault="00ED0648" w:rsidP="00ED0648">
      <w:pPr>
        <w:adjustRightInd w:val="0"/>
        <w:snapToGrid w:val="0"/>
        <w:spacing w:after="0" w:line="360" w:lineRule="auto"/>
        <w:jc w:val="both"/>
        <w:rPr>
          <w:rFonts w:ascii="Book Antiqua" w:hAnsi="Book Antiqua"/>
          <w:sz w:val="24"/>
          <w:szCs w:val="24"/>
        </w:rPr>
      </w:pPr>
      <w:r w:rsidRPr="00ED0648">
        <w:rPr>
          <w:rFonts w:ascii="Book Antiqua" w:hAnsi="Book Antiqua"/>
          <w:sz w:val="24"/>
          <w:szCs w:val="24"/>
        </w:rPr>
        <w:lastRenderedPageBreak/>
        <w:t xml:space="preserve">29 </w:t>
      </w:r>
      <w:r w:rsidRPr="00ED0648">
        <w:rPr>
          <w:rFonts w:ascii="Book Antiqua" w:hAnsi="Book Antiqua"/>
          <w:b/>
          <w:sz w:val="24"/>
          <w:szCs w:val="24"/>
        </w:rPr>
        <w:t>Kellokumpu I</w:t>
      </w:r>
      <w:r w:rsidRPr="00ED0648">
        <w:rPr>
          <w:rFonts w:ascii="Book Antiqua" w:hAnsi="Book Antiqua"/>
          <w:sz w:val="24"/>
          <w:szCs w:val="24"/>
        </w:rPr>
        <w:t xml:space="preserve">, Voutilainen M, Haglund C, Färkkilä M, Roberts PJ, Kautiainen H. Quality of life following laparoscopic Nissen fundoplication: assessing short-term and long-term outcomes. </w:t>
      </w:r>
      <w:r w:rsidRPr="00ED0648">
        <w:rPr>
          <w:rFonts w:ascii="Book Antiqua" w:hAnsi="Book Antiqua"/>
          <w:i/>
          <w:sz w:val="24"/>
          <w:szCs w:val="24"/>
        </w:rPr>
        <w:t>World J Gastroenterol</w:t>
      </w:r>
      <w:r w:rsidRPr="00ED0648">
        <w:rPr>
          <w:rFonts w:ascii="Book Antiqua" w:hAnsi="Book Antiqua"/>
          <w:sz w:val="24"/>
          <w:szCs w:val="24"/>
        </w:rPr>
        <w:t xml:space="preserve"> 2013; </w:t>
      </w:r>
      <w:r w:rsidRPr="00ED0648">
        <w:rPr>
          <w:rFonts w:ascii="Book Antiqua" w:hAnsi="Book Antiqua"/>
          <w:b/>
          <w:sz w:val="24"/>
          <w:szCs w:val="24"/>
        </w:rPr>
        <w:t>19</w:t>
      </w:r>
      <w:r w:rsidRPr="00ED0648">
        <w:rPr>
          <w:rFonts w:ascii="Book Antiqua" w:hAnsi="Book Antiqua"/>
          <w:sz w:val="24"/>
          <w:szCs w:val="24"/>
        </w:rPr>
        <w:t>: 3810-3818 [PMID: 23840119 DOI: 10.3748/wjg.v19.i24.3810]</w:t>
      </w:r>
    </w:p>
    <w:p w14:paraId="41016501" w14:textId="77777777" w:rsidR="00ED0648" w:rsidRPr="00ED0648" w:rsidRDefault="00ED0648" w:rsidP="00ED0648">
      <w:pPr>
        <w:adjustRightInd w:val="0"/>
        <w:snapToGrid w:val="0"/>
        <w:spacing w:after="0" w:line="360" w:lineRule="auto"/>
        <w:jc w:val="both"/>
        <w:rPr>
          <w:rFonts w:ascii="Book Antiqua" w:hAnsi="Book Antiqua"/>
          <w:sz w:val="24"/>
          <w:szCs w:val="24"/>
        </w:rPr>
      </w:pPr>
      <w:r w:rsidRPr="00ED0648">
        <w:rPr>
          <w:rFonts w:ascii="Book Antiqua" w:hAnsi="Book Antiqua"/>
          <w:sz w:val="24"/>
          <w:szCs w:val="24"/>
        </w:rPr>
        <w:t xml:space="preserve">30 </w:t>
      </w:r>
      <w:r w:rsidRPr="00ED0648">
        <w:rPr>
          <w:rFonts w:ascii="Book Antiqua" w:hAnsi="Book Antiqua"/>
          <w:b/>
          <w:sz w:val="24"/>
          <w:szCs w:val="24"/>
        </w:rPr>
        <w:t>Ganz RA</w:t>
      </w:r>
      <w:r w:rsidRPr="00ED0648">
        <w:rPr>
          <w:rFonts w:ascii="Book Antiqua" w:hAnsi="Book Antiqua"/>
          <w:sz w:val="24"/>
          <w:szCs w:val="24"/>
        </w:rPr>
        <w:t xml:space="preserve">, Edmundowicz SA, Taiganides PA, Lipham JC, Smith CD, DeVault KR, Horgan S, Jacobsen G, Luketich JD, Smith CC, Schlack-Haerer SC, Kothari SN, Dunst CM, Watson TJ, Peters J, Oelschlager BK, Perry KA, Melvin S, Bemelman WA, Smout AJ, Dunn D. Long-term Outcomes of Patients Receiving a Magnetic Sphincter Augmentation Device for Gastroesophageal Reflux. </w:t>
      </w:r>
      <w:r w:rsidRPr="00ED0648">
        <w:rPr>
          <w:rFonts w:ascii="Book Antiqua" w:hAnsi="Book Antiqua"/>
          <w:i/>
          <w:sz w:val="24"/>
          <w:szCs w:val="24"/>
        </w:rPr>
        <w:t>Clin Gastroenterol Hepatol</w:t>
      </w:r>
      <w:r w:rsidRPr="00ED0648">
        <w:rPr>
          <w:rFonts w:ascii="Book Antiqua" w:hAnsi="Book Antiqua"/>
          <w:sz w:val="24"/>
          <w:szCs w:val="24"/>
        </w:rPr>
        <w:t xml:space="preserve"> 2016; </w:t>
      </w:r>
      <w:r w:rsidRPr="00ED0648">
        <w:rPr>
          <w:rFonts w:ascii="Book Antiqua" w:hAnsi="Book Antiqua"/>
          <w:b/>
          <w:sz w:val="24"/>
          <w:szCs w:val="24"/>
        </w:rPr>
        <w:t>14</w:t>
      </w:r>
      <w:r w:rsidRPr="00ED0648">
        <w:rPr>
          <w:rFonts w:ascii="Book Antiqua" w:hAnsi="Book Antiqua"/>
          <w:sz w:val="24"/>
          <w:szCs w:val="24"/>
        </w:rPr>
        <w:t>: 671-677 [PMID: 26044316 DOI: 10.1016/j.cgh.2015.05.028]</w:t>
      </w:r>
    </w:p>
    <w:p w14:paraId="6D8CA762" w14:textId="77777777" w:rsidR="00ED0648" w:rsidRPr="00ED0648" w:rsidRDefault="00ED0648" w:rsidP="00ED0648">
      <w:pPr>
        <w:adjustRightInd w:val="0"/>
        <w:snapToGrid w:val="0"/>
        <w:spacing w:after="0" w:line="360" w:lineRule="auto"/>
        <w:jc w:val="both"/>
        <w:rPr>
          <w:rFonts w:ascii="Book Antiqua" w:hAnsi="Book Antiqua"/>
          <w:sz w:val="24"/>
          <w:szCs w:val="24"/>
        </w:rPr>
      </w:pPr>
      <w:r w:rsidRPr="00ED0648">
        <w:rPr>
          <w:rFonts w:ascii="Book Antiqua" w:hAnsi="Book Antiqua"/>
          <w:sz w:val="24"/>
          <w:szCs w:val="24"/>
        </w:rPr>
        <w:t xml:space="preserve">31 </w:t>
      </w:r>
      <w:r w:rsidRPr="00ED0648">
        <w:rPr>
          <w:rFonts w:ascii="Book Antiqua" w:hAnsi="Book Antiqua"/>
          <w:b/>
          <w:sz w:val="24"/>
          <w:szCs w:val="24"/>
        </w:rPr>
        <w:t>Lipham JC</w:t>
      </w:r>
      <w:r w:rsidRPr="00ED0648">
        <w:rPr>
          <w:rFonts w:ascii="Book Antiqua" w:hAnsi="Book Antiqua"/>
          <w:sz w:val="24"/>
          <w:szCs w:val="24"/>
        </w:rPr>
        <w:t xml:space="preserve">, DeMeester TR, Ganz RA, Bonavina L, Saino G, Dunn DH, Fockens P, Bemelman W. The LINX® reflux management system: confirmed safety and efficacy now at 4 years. </w:t>
      </w:r>
      <w:r w:rsidRPr="00ED0648">
        <w:rPr>
          <w:rFonts w:ascii="Book Antiqua" w:hAnsi="Book Antiqua"/>
          <w:i/>
          <w:sz w:val="24"/>
          <w:szCs w:val="24"/>
        </w:rPr>
        <w:t>Surg Endosc</w:t>
      </w:r>
      <w:r w:rsidRPr="00ED0648">
        <w:rPr>
          <w:rFonts w:ascii="Book Antiqua" w:hAnsi="Book Antiqua"/>
          <w:sz w:val="24"/>
          <w:szCs w:val="24"/>
        </w:rPr>
        <w:t xml:space="preserve"> 2012; </w:t>
      </w:r>
      <w:r w:rsidRPr="00ED0648">
        <w:rPr>
          <w:rFonts w:ascii="Book Antiqua" w:hAnsi="Book Antiqua"/>
          <w:b/>
          <w:sz w:val="24"/>
          <w:szCs w:val="24"/>
        </w:rPr>
        <w:t>26</w:t>
      </w:r>
      <w:r w:rsidRPr="00ED0648">
        <w:rPr>
          <w:rFonts w:ascii="Book Antiqua" w:hAnsi="Book Antiqua"/>
          <w:sz w:val="24"/>
          <w:szCs w:val="24"/>
        </w:rPr>
        <w:t>: 2944-2949 [PMID: 22538694 DOI: 10.1007/s00464-012-2289-1]</w:t>
      </w:r>
    </w:p>
    <w:p w14:paraId="47FE5A81" w14:textId="77777777" w:rsidR="00ED0648" w:rsidRPr="00ED0648" w:rsidRDefault="00ED0648" w:rsidP="00ED0648">
      <w:pPr>
        <w:adjustRightInd w:val="0"/>
        <w:snapToGrid w:val="0"/>
        <w:spacing w:after="0" w:line="360" w:lineRule="auto"/>
        <w:jc w:val="both"/>
        <w:rPr>
          <w:rFonts w:ascii="Book Antiqua" w:hAnsi="Book Antiqua"/>
          <w:sz w:val="24"/>
          <w:szCs w:val="24"/>
        </w:rPr>
      </w:pPr>
      <w:r w:rsidRPr="00ED0648">
        <w:rPr>
          <w:rFonts w:ascii="Book Antiqua" w:hAnsi="Book Antiqua"/>
          <w:sz w:val="24"/>
          <w:szCs w:val="24"/>
        </w:rPr>
        <w:t xml:space="preserve">32 </w:t>
      </w:r>
      <w:r w:rsidRPr="00ED0648">
        <w:rPr>
          <w:rFonts w:ascii="Book Antiqua" w:hAnsi="Book Antiqua"/>
          <w:b/>
          <w:sz w:val="24"/>
          <w:szCs w:val="24"/>
        </w:rPr>
        <w:t>Warren HF</w:t>
      </w:r>
      <w:r w:rsidRPr="00ED0648">
        <w:rPr>
          <w:rFonts w:ascii="Book Antiqua" w:hAnsi="Book Antiqua"/>
          <w:sz w:val="24"/>
          <w:szCs w:val="24"/>
        </w:rPr>
        <w:t xml:space="preserve">, Reynolds JL, Lipham JC, Zehetner J, Bildzukewicz NA, Taiganides PA, Mickley J, Aye RW, Farivar AS, Louie BE. Multi-institutional outcomes using magnetic sphincter augmentation versus Nissen fundoplication for chronic gastroesophageal reflux disease. </w:t>
      </w:r>
      <w:r w:rsidRPr="00ED0648">
        <w:rPr>
          <w:rFonts w:ascii="Book Antiqua" w:hAnsi="Book Antiqua"/>
          <w:i/>
          <w:sz w:val="24"/>
          <w:szCs w:val="24"/>
        </w:rPr>
        <w:t>Surg Endosc</w:t>
      </w:r>
      <w:r w:rsidRPr="00ED0648">
        <w:rPr>
          <w:rFonts w:ascii="Book Antiqua" w:hAnsi="Book Antiqua"/>
          <w:sz w:val="24"/>
          <w:szCs w:val="24"/>
        </w:rPr>
        <w:t xml:space="preserve"> 2016; </w:t>
      </w:r>
      <w:r w:rsidRPr="00ED0648">
        <w:rPr>
          <w:rFonts w:ascii="Book Antiqua" w:hAnsi="Book Antiqua"/>
          <w:b/>
          <w:sz w:val="24"/>
          <w:szCs w:val="24"/>
        </w:rPr>
        <w:t>30</w:t>
      </w:r>
      <w:r w:rsidRPr="00ED0648">
        <w:rPr>
          <w:rFonts w:ascii="Book Antiqua" w:hAnsi="Book Antiqua"/>
          <w:sz w:val="24"/>
          <w:szCs w:val="24"/>
        </w:rPr>
        <w:t>: 3289-3296 [PMID: 26541740 DOI: 10.1007/s00464-015-4659-y]</w:t>
      </w:r>
    </w:p>
    <w:p w14:paraId="03E2E31B" w14:textId="77777777" w:rsidR="00ED0648" w:rsidRPr="00ED0648" w:rsidRDefault="00ED0648" w:rsidP="00ED0648">
      <w:pPr>
        <w:adjustRightInd w:val="0"/>
        <w:snapToGrid w:val="0"/>
        <w:spacing w:after="0" w:line="360" w:lineRule="auto"/>
        <w:jc w:val="both"/>
        <w:rPr>
          <w:rFonts w:ascii="Book Antiqua" w:hAnsi="Book Antiqua"/>
          <w:sz w:val="24"/>
          <w:szCs w:val="24"/>
        </w:rPr>
      </w:pPr>
      <w:r w:rsidRPr="00ED0648">
        <w:rPr>
          <w:rFonts w:ascii="Book Antiqua" w:hAnsi="Book Antiqua"/>
          <w:sz w:val="24"/>
          <w:szCs w:val="24"/>
        </w:rPr>
        <w:t xml:space="preserve">33 </w:t>
      </w:r>
      <w:r w:rsidRPr="00ED0648">
        <w:rPr>
          <w:rFonts w:ascii="Book Antiqua" w:hAnsi="Book Antiqua"/>
          <w:b/>
          <w:sz w:val="24"/>
          <w:szCs w:val="24"/>
        </w:rPr>
        <w:t>Saino G</w:t>
      </w:r>
      <w:r w:rsidRPr="00ED0648">
        <w:rPr>
          <w:rFonts w:ascii="Book Antiqua" w:hAnsi="Book Antiqua"/>
          <w:sz w:val="24"/>
          <w:szCs w:val="24"/>
        </w:rPr>
        <w:t xml:space="preserve">, Bonavina L, Lipham JC, Dunn D, Ganz RA. Magnetic Sphincter Augmentation for Gastroesophageal Reflux at 5 Years: Final Results of a Pilot Study Show Long-Term Acid Reduction and Symptom Improvement. </w:t>
      </w:r>
      <w:r w:rsidRPr="00ED0648">
        <w:rPr>
          <w:rFonts w:ascii="Book Antiqua" w:hAnsi="Book Antiqua"/>
          <w:i/>
          <w:sz w:val="24"/>
          <w:szCs w:val="24"/>
        </w:rPr>
        <w:t>J Laparoendosc Adv Surg Tech A</w:t>
      </w:r>
      <w:r w:rsidRPr="00ED0648">
        <w:rPr>
          <w:rFonts w:ascii="Book Antiqua" w:hAnsi="Book Antiqua"/>
          <w:sz w:val="24"/>
          <w:szCs w:val="24"/>
        </w:rPr>
        <w:t xml:space="preserve"> 2015; </w:t>
      </w:r>
      <w:r w:rsidRPr="00ED0648">
        <w:rPr>
          <w:rFonts w:ascii="Book Antiqua" w:hAnsi="Book Antiqua"/>
          <w:b/>
          <w:sz w:val="24"/>
          <w:szCs w:val="24"/>
        </w:rPr>
        <w:t>25</w:t>
      </w:r>
      <w:r w:rsidRPr="00ED0648">
        <w:rPr>
          <w:rFonts w:ascii="Book Antiqua" w:hAnsi="Book Antiqua"/>
          <w:sz w:val="24"/>
          <w:szCs w:val="24"/>
        </w:rPr>
        <w:t>: 787-792 [PMID: 26437027 DOI: 10.1089/lap.2015.0394]</w:t>
      </w:r>
    </w:p>
    <w:p w14:paraId="322F26ED" w14:textId="77777777" w:rsidR="00ED0648" w:rsidRPr="00ED0648" w:rsidRDefault="00ED0648" w:rsidP="00ED0648">
      <w:pPr>
        <w:adjustRightInd w:val="0"/>
        <w:snapToGrid w:val="0"/>
        <w:spacing w:after="0" w:line="360" w:lineRule="auto"/>
        <w:jc w:val="both"/>
        <w:rPr>
          <w:rFonts w:ascii="Book Antiqua" w:hAnsi="Book Antiqua"/>
          <w:sz w:val="24"/>
          <w:szCs w:val="24"/>
        </w:rPr>
      </w:pPr>
      <w:r w:rsidRPr="00ED0648">
        <w:rPr>
          <w:rFonts w:ascii="Book Antiqua" w:hAnsi="Book Antiqua"/>
          <w:sz w:val="24"/>
          <w:szCs w:val="24"/>
        </w:rPr>
        <w:t xml:space="preserve">34 </w:t>
      </w:r>
      <w:r w:rsidRPr="00ED0648">
        <w:rPr>
          <w:rFonts w:ascii="Book Antiqua" w:hAnsi="Book Antiqua"/>
          <w:b/>
          <w:sz w:val="24"/>
          <w:szCs w:val="24"/>
        </w:rPr>
        <w:t>Smith CD</w:t>
      </w:r>
      <w:r w:rsidRPr="00ED0648">
        <w:rPr>
          <w:rFonts w:ascii="Book Antiqua" w:hAnsi="Book Antiqua"/>
          <w:sz w:val="24"/>
          <w:szCs w:val="24"/>
        </w:rPr>
        <w:t xml:space="preserve">, DeVault KR, Buchanan M. Introduction of mechanical sphincter augmentation for gastroesophageal reflux disease into practice: early clinical outcomes and keys to successful adoption. </w:t>
      </w:r>
      <w:r w:rsidRPr="00ED0648">
        <w:rPr>
          <w:rFonts w:ascii="Book Antiqua" w:hAnsi="Book Antiqua"/>
          <w:i/>
          <w:sz w:val="24"/>
          <w:szCs w:val="24"/>
        </w:rPr>
        <w:t>J Am Coll Surg</w:t>
      </w:r>
      <w:r w:rsidRPr="00ED0648">
        <w:rPr>
          <w:rFonts w:ascii="Book Antiqua" w:hAnsi="Book Antiqua"/>
          <w:sz w:val="24"/>
          <w:szCs w:val="24"/>
        </w:rPr>
        <w:t xml:space="preserve"> 2014; </w:t>
      </w:r>
      <w:r w:rsidRPr="00ED0648">
        <w:rPr>
          <w:rFonts w:ascii="Book Antiqua" w:hAnsi="Book Antiqua"/>
          <w:b/>
          <w:sz w:val="24"/>
          <w:szCs w:val="24"/>
        </w:rPr>
        <w:t>218</w:t>
      </w:r>
      <w:r w:rsidRPr="00ED0648">
        <w:rPr>
          <w:rFonts w:ascii="Book Antiqua" w:hAnsi="Book Antiqua"/>
          <w:sz w:val="24"/>
          <w:szCs w:val="24"/>
        </w:rPr>
        <w:t>: 776-781 [PMID: 24529809 DOI: 10.1016/j.jamcollsurg.2013.12.034]</w:t>
      </w:r>
    </w:p>
    <w:p w14:paraId="55F51AB4" w14:textId="5D8D0416" w:rsidR="00ED0648" w:rsidRPr="00ED0648" w:rsidRDefault="00ED0648" w:rsidP="00ED0648">
      <w:pPr>
        <w:adjustRightInd w:val="0"/>
        <w:snapToGrid w:val="0"/>
        <w:spacing w:after="0" w:line="360" w:lineRule="auto"/>
        <w:jc w:val="both"/>
        <w:rPr>
          <w:rFonts w:ascii="Book Antiqua" w:hAnsi="Book Antiqua"/>
          <w:sz w:val="24"/>
          <w:szCs w:val="24"/>
        </w:rPr>
      </w:pPr>
      <w:r w:rsidRPr="00ED0648">
        <w:rPr>
          <w:rFonts w:ascii="Book Antiqua" w:hAnsi="Book Antiqua"/>
          <w:sz w:val="24"/>
          <w:szCs w:val="24"/>
        </w:rPr>
        <w:t xml:space="preserve">35 </w:t>
      </w:r>
      <w:r w:rsidRPr="00ED0648">
        <w:rPr>
          <w:rFonts w:ascii="Book Antiqua" w:hAnsi="Book Antiqua"/>
          <w:b/>
          <w:sz w:val="24"/>
          <w:szCs w:val="24"/>
        </w:rPr>
        <w:t>Skubleny D</w:t>
      </w:r>
      <w:r w:rsidRPr="00ED0648">
        <w:rPr>
          <w:rFonts w:ascii="Book Antiqua" w:hAnsi="Book Antiqua"/>
          <w:sz w:val="24"/>
          <w:szCs w:val="24"/>
        </w:rPr>
        <w:t>, Switzer NJ, Dang J, Gill RS, Shi X, de Gara C, Birch DW, Wong C, Hutter MM, Karmali S. LINX®</w:t>
      </w:r>
      <w:r w:rsidR="009C610A">
        <w:rPr>
          <w:rFonts w:ascii="Book Antiqua" w:hAnsi="Book Antiqua"/>
          <w:sz w:val="24"/>
          <w:szCs w:val="24"/>
        </w:rPr>
        <w:t xml:space="preserve"> </w:t>
      </w:r>
      <w:r w:rsidRPr="00ED0648">
        <w:rPr>
          <w:rFonts w:ascii="Book Antiqua" w:hAnsi="Book Antiqua"/>
          <w:sz w:val="24"/>
          <w:szCs w:val="24"/>
        </w:rPr>
        <w:t xml:space="preserve">magnetic esophageal sphincter augmentation versus Nissen </w:t>
      </w:r>
      <w:r w:rsidRPr="00ED0648">
        <w:rPr>
          <w:rFonts w:ascii="Book Antiqua" w:hAnsi="Book Antiqua"/>
          <w:sz w:val="24"/>
          <w:szCs w:val="24"/>
        </w:rPr>
        <w:lastRenderedPageBreak/>
        <w:t xml:space="preserve">fundoplication for gastroesophageal reflux disease: a systematic review and meta-analysis. </w:t>
      </w:r>
      <w:r w:rsidRPr="00ED0648">
        <w:rPr>
          <w:rFonts w:ascii="Book Antiqua" w:hAnsi="Book Antiqua"/>
          <w:i/>
          <w:sz w:val="24"/>
          <w:szCs w:val="24"/>
        </w:rPr>
        <w:t>Surg Endosc</w:t>
      </w:r>
      <w:r w:rsidRPr="00ED0648">
        <w:rPr>
          <w:rFonts w:ascii="Book Antiqua" w:hAnsi="Book Antiqua"/>
          <w:sz w:val="24"/>
          <w:szCs w:val="24"/>
        </w:rPr>
        <w:t xml:space="preserve"> 2017; </w:t>
      </w:r>
      <w:r w:rsidRPr="00ED0648">
        <w:rPr>
          <w:rFonts w:ascii="Book Antiqua" w:hAnsi="Book Antiqua"/>
          <w:b/>
          <w:sz w:val="24"/>
          <w:szCs w:val="24"/>
        </w:rPr>
        <w:t>31</w:t>
      </w:r>
      <w:r w:rsidRPr="00ED0648">
        <w:rPr>
          <w:rFonts w:ascii="Book Antiqua" w:hAnsi="Book Antiqua"/>
          <w:sz w:val="24"/>
          <w:szCs w:val="24"/>
        </w:rPr>
        <w:t>: 3078-3084 [PMID: 27981382 DOI: 10.1007/s00464-016-5370-3]</w:t>
      </w:r>
    </w:p>
    <w:p w14:paraId="370E459B" w14:textId="77777777" w:rsidR="00ED0648" w:rsidRPr="00ED0648" w:rsidRDefault="00ED0648" w:rsidP="00ED0648">
      <w:pPr>
        <w:adjustRightInd w:val="0"/>
        <w:snapToGrid w:val="0"/>
        <w:spacing w:after="0" w:line="360" w:lineRule="auto"/>
        <w:jc w:val="both"/>
        <w:rPr>
          <w:rFonts w:ascii="Book Antiqua" w:hAnsi="Book Antiqua"/>
          <w:sz w:val="24"/>
          <w:szCs w:val="24"/>
        </w:rPr>
      </w:pPr>
      <w:r w:rsidRPr="00ED0648">
        <w:rPr>
          <w:rFonts w:ascii="Book Antiqua" w:hAnsi="Book Antiqua"/>
          <w:sz w:val="24"/>
          <w:szCs w:val="24"/>
        </w:rPr>
        <w:t xml:space="preserve">36 </w:t>
      </w:r>
      <w:r w:rsidRPr="00ED0648">
        <w:rPr>
          <w:rFonts w:ascii="Book Antiqua" w:hAnsi="Book Antiqua"/>
          <w:b/>
          <w:sz w:val="24"/>
          <w:szCs w:val="24"/>
        </w:rPr>
        <w:t>Reynolds JL</w:t>
      </w:r>
      <w:r w:rsidRPr="00ED0648">
        <w:rPr>
          <w:rFonts w:ascii="Book Antiqua" w:hAnsi="Book Antiqua"/>
          <w:sz w:val="24"/>
          <w:szCs w:val="24"/>
        </w:rPr>
        <w:t xml:space="preserve">, Zehetner J, Nieh A, Bildzukewicz N, Sandhu K, Katkhouda N, Lipham JC. Charges, outcomes, and complications: a comparison of magnetic sphincter augmentation versus laparoscopic Nissen fundoplication for the treatment of GERD. </w:t>
      </w:r>
      <w:r w:rsidRPr="00ED0648">
        <w:rPr>
          <w:rFonts w:ascii="Book Antiqua" w:hAnsi="Book Antiqua"/>
          <w:i/>
          <w:sz w:val="24"/>
          <w:szCs w:val="24"/>
        </w:rPr>
        <w:t>Surg Endosc</w:t>
      </w:r>
      <w:r w:rsidRPr="00ED0648">
        <w:rPr>
          <w:rFonts w:ascii="Book Antiqua" w:hAnsi="Book Antiqua"/>
          <w:sz w:val="24"/>
          <w:szCs w:val="24"/>
        </w:rPr>
        <w:t xml:space="preserve"> 2016; </w:t>
      </w:r>
      <w:r w:rsidRPr="00ED0648">
        <w:rPr>
          <w:rFonts w:ascii="Book Antiqua" w:hAnsi="Book Antiqua"/>
          <w:b/>
          <w:sz w:val="24"/>
          <w:szCs w:val="24"/>
        </w:rPr>
        <w:t>30</w:t>
      </w:r>
      <w:r w:rsidRPr="00ED0648">
        <w:rPr>
          <w:rFonts w:ascii="Book Antiqua" w:hAnsi="Book Antiqua"/>
          <w:sz w:val="24"/>
          <w:szCs w:val="24"/>
        </w:rPr>
        <w:t>: 3225-3230 [PMID: 26541730 DOI: 10.1007/s00464-015-4635-6]</w:t>
      </w:r>
    </w:p>
    <w:p w14:paraId="39911976" w14:textId="05E2B70F" w:rsidR="00ED0648" w:rsidRPr="00ED0648" w:rsidRDefault="00ED0648" w:rsidP="00ED0648">
      <w:pPr>
        <w:adjustRightInd w:val="0"/>
        <w:snapToGrid w:val="0"/>
        <w:spacing w:after="0" w:line="360" w:lineRule="auto"/>
        <w:jc w:val="both"/>
        <w:rPr>
          <w:rFonts w:ascii="Book Antiqua" w:hAnsi="Book Antiqua"/>
          <w:sz w:val="24"/>
          <w:szCs w:val="24"/>
        </w:rPr>
      </w:pPr>
      <w:r w:rsidRPr="00ED0648">
        <w:rPr>
          <w:rFonts w:ascii="Book Antiqua" w:hAnsi="Book Antiqua"/>
          <w:sz w:val="24"/>
          <w:szCs w:val="24"/>
        </w:rPr>
        <w:t xml:space="preserve">37 </w:t>
      </w:r>
      <w:r w:rsidRPr="00ED0648">
        <w:rPr>
          <w:rFonts w:ascii="Book Antiqua" w:hAnsi="Book Antiqua"/>
          <w:b/>
          <w:sz w:val="24"/>
          <w:szCs w:val="24"/>
        </w:rPr>
        <w:t>Ganz RA</w:t>
      </w:r>
      <w:r w:rsidRPr="00ED0648">
        <w:rPr>
          <w:rFonts w:ascii="Book Antiqua" w:hAnsi="Book Antiqua"/>
          <w:sz w:val="24"/>
          <w:szCs w:val="24"/>
        </w:rPr>
        <w:t xml:space="preserve">. The Esophageal Sphincter Device for Treatment of GERD. </w:t>
      </w:r>
      <w:r w:rsidRPr="00ED0648">
        <w:rPr>
          <w:rFonts w:ascii="Book Antiqua" w:hAnsi="Book Antiqua"/>
          <w:i/>
          <w:sz w:val="24"/>
          <w:szCs w:val="24"/>
        </w:rPr>
        <w:t xml:space="preserve">Gastroenterol Hepatol </w:t>
      </w:r>
      <w:r w:rsidRPr="009C610A">
        <w:rPr>
          <w:rFonts w:ascii="Book Antiqua" w:hAnsi="Book Antiqua"/>
          <w:iCs/>
          <w:sz w:val="24"/>
          <w:szCs w:val="24"/>
        </w:rPr>
        <w:t xml:space="preserve">(NY) </w:t>
      </w:r>
      <w:r w:rsidRPr="00ED0648">
        <w:rPr>
          <w:rFonts w:ascii="Book Antiqua" w:hAnsi="Book Antiqua"/>
          <w:sz w:val="24"/>
          <w:szCs w:val="24"/>
        </w:rPr>
        <w:t xml:space="preserve">2013; </w:t>
      </w:r>
      <w:r w:rsidRPr="00ED0648">
        <w:rPr>
          <w:rFonts w:ascii="Book Antiqua" w:hAnsi="Book Antiqua"/>
          <w:b/>
          <w:sz w:val="24"/>
          <w:szCs w:val="24"/>
        </w:rPr>
        <w:t>9</w:t>
      </w:r>
      <w:r w:rsidRPr="00ED0648">
        <w:rPr>
          <w:rFonts w:ascii="Book Antiqua" w:hAnsi="Book Antiqua"/>
          <w:sz w:val="24"/>
          <w:szCs w:val="24"/>
        </w:rPr>
        <w:t>: 661-663 [PMID: 24764781]</w:t>
      </w:r>
    </w:p>
    <w:p w14:paraId="0E8A88A8" w14:textId="77777777" w:rsidR="00ED0648" w:rsidRPr="00ED0648" w:rsidRDefault="00ED0648" w:rsidP="00ED0648">
      <w:pPr>
        <w:adjustRightInd w:val="0"/>
        <w:snapToGrid w:val="0"/>
        <w:spacing w:after="0" w:line="360" w:lineRule="auto"/>
        <w:jc w:val="both"/>
        <w:rPr>
          <w:rFonts w:ascii="Book Antiqua" w:hAnsi="Book Antiqua"/>
          <w:sz w:val="24"/>
          <w:szCs w:val="24"/>
        </w:rPr>
      </w:pPr>
      <w:r w:rsidRPr="00ED0648">
        <w:rPr>
          <w:rFonts w:ascii="Book Antiqua" w:hAnsi="Book Antiqua"/>
          <w:sz w:val="24"/>
          <w:szCs w:val="24"/>
        </w:rPr>
        <w:t xml:space="preserve">38 </w:t>
      </w:r>
      <w:r w:rsidRPr="00ED0648">
        <w:rPr>
          <w:rFonts w:ascii="Book Antiqua" w:hAnsi="Book Antiqua"/>
          <w:b/>
          <w:sz w:val="24"/>
          <w:szCs w:val="24"/>
        </w:rPr>
        <w:t>Prakash D</w:t>
      </w:r>
      <w:r w:rsidRPr="00ED0648">
        <w:rPr>
          <w:rFonts w:ascii="Book Antiqua" w:hAnsi="Book Antiqua"/>
          <w:sz w:val="24"/>
          <w:szCs w:val="24"/>
        </w:rPr>
        <w:t xml:space="preserve">, Campbell B, Wajed S. Introduction into the NHS of magnetic sphincter augmentation: an innovative surgical therapy for reflux - results and challenges. </w:t>
      </w:r>
      <w:r w:rsidRPr="00ED0648">
        <w:rPr>
          <w:rFonts w:ascii="Book Antiqua" w:hAnsi="Book Antiqua"/>
          <w:i/>
          <w:sz w:val="24"/>
          <w:szCs w:val="24"/>
        </w:rPr>
        <w:t>Ann R Coll Surg Engl</w:t>
      </w:r>
      <w:r w:rsidRPr="00ED0648">
        <w:rPr>
          <w:rFonts w:ascii="Book Antiqua" w:hAnsi="Book Antiqua"/>
          <w:sz w:val="24"/>
          <w:szCs w:val="24"/>
        </w:rPr>
        <w:t xml:space="preserve"> 2018; </w:t>
      </w:r>
      <w:r w:rsidRPr="00ED0648">
        <w:rPr>
          <w:rFonts w:ascii="Book Antiqua" w:hAnsi="Book Antiqua"/>
          <w:b/>
          <w:sz w:val="24"/>
          <w:szCs w:val="24"/>
        </w:rPr>
        <w:t>100</w:t>
      </w:r>
      <w:r w:rsidRPr="00ED0648">
        <w:rPr>
          <w:rFonts w:ascii="Book Antiqua" w:hAnsi="Book Antiqua"/>
          <w:sz w:val="24"/>
          <w:szCs w:val="24"/>
        </w:rPr>
        <w:t>: 251-256 [PMID: 29364013 DOI: 10.1308/rcsann.2017.0224]</w:t>
      </w:r>
    </w:p>
    <w:p w14:paraId="73A93EC3" w14:textId="77777777" w:rsidR="00ED0648" w:rsidRPr="00ED0648" w:rsidRDefault="00ED0648" w:rsidP="00ED0648">
      <w:pPr>
        <w:adjustRightInd w:val="0"/>
        <w:snapToGrid w:val="0"/>
        <w:spacing w:after="0" w:line="360" w:lineRule="auto"/>
        <w:jc w:val="both"/>
        <w:rPr>
          <w:rFonts w:ascii="Book Antiqua" w:hAnsi="Book Antiqua"/>
          <w:sz w:val="24"/>
          <w:szCs w:val="24"/>
        </w:rPr>
      </w:pPr>
      <w:r w:rsidRPr="00ED0648">
        <w:rPr>
          <w:rFonts w:ascii="Book Antiqua" w:hAnsi="Book Antiqua"/>
          <w:sz w:val="24"/>
          <w:szCs w:val="24"/>
        </w:rPr>
        <w:t xml:space="preserve">39 </w:t>
      </w:r>
      <w:r w:rsidRPr="00ED0648">
        <w:rPr>
          <w:rFonts w:ascii="Book Antiqua" w:hAnsi="Book Antiqua"/>
          <w:b/>
          <w:sz w:val="24"/>
          <w:szCs w:val="24"/>
        </w:rPr>
        <w:t>Aiolfi A</w:t>
      </w:r>
      <w:r w:rsidRPr="00ED0648">
        <w:rPr>
          <w:rFonts w:ascii="Book Antiqua" w:hAnsi="Book Antiqua"/>
          <w:sz w:val="24"/>
          <w:szCs w:val="24"/>
        </w:rPr>
        <w:t xml:space="preserve">, Asti E, Bernardi D, Bonitta G, Rausa E, Siboni S, Bonavina L. Early results of magnetic sphincter augmentation versus fundoplication for gastroesophageal reflux disease: Systematic review and meta-analysis. </w:t>
      </w:r>
      <w:r w:rsidRPr="00ED0648">
        <w:rPr>
          <w:rFonts w:ascii="Book Antiqua" w:hAnsi="Book Antiqua"/>
          <w:i/>
          <w:sz w:val="24"/>
          <w:szCs w:val="24"/>
        </w:rPr>
        <w:t>Int J Surg</w:t>
      </w:r>
      <w:r w:rsidRPr="00ED0648">
        <w:rPr>
          <w:rFonts w:ascii="Book Antiqua" w:hAnsi="Book Antiqua"/>
          <w:sz w:val="24"/>
          <w:szCs w:val="24"/>
        </w:rPr>
        <w:t xml:space="preserve"> 2018; </w:t>
      </w:r>
      <w:r w:rsidRPr="00ED0648">
        <w:rPr>
          <w:rFonts w:ascii="Book Antiqua" w:hAnsi="Book Antiqua"/>
          <w:b/>
          <w:sz w:val="24"/>
          <w:szCs w:val="24"/>
        </w:rPr>
        <w:t>52</w:t>
      </w:r>
      <w:r w:rsidRPr="00ED0648">
        <w:rPr>
          <w:rFonts w:ascii="Book Antiqua" w:hAnsi="Book Antiqua"/>
          <w:sz w:val="24"/>
          <w:szCs w:val="24"/>
        </w:rPr>
        <w:t>: 82-88 [PMID: 29471155 DOI: 10.1016/j.ijsu.2018.02.041]</w:t>
      </w:r>
    </w:p>
    <w:p w14:paraId="3ED9C5B6" w14:textId="77777777" w:rsidR="00ED0648" w:rsidRPr="00ED0648" w:rsidRDefault="00ED0648" w:rsidP="00ED0648">
      <w:pPr>
        <w:adjustRightInd w:val="0"/>
        <w:snapToGrid w:val="0"/>
        <w:spacing w:after="0" w:line="360" w:lineRule="auto"/>
        <w:jc w:val="both"/>
        <w:rPr>
          <w:rFonts w:ascii="Book Antiqua" w:hAnsi="Book Antiqua"/>
          <w:sz w:val="24"/>
          <w:szCs w:val="24"/>
        </w:rPr>
      </w:pPr>
      <w:r w:rsidRPr="00ED0648">
        <w:rPr>
          <w:rFonts w:ascii="Book Antiqua" w:hAnsi="Book Antiqua"/>
          <w:sz w:val="24"/>
          <w:szCs w:val="24"/>
        </w:rPr>
        <w:t xml:space="preserve">40 </w:t>
      </w:r>
      <w:r w:rsidRPr="00ED0648">
        <w:rPr>
          <w:rFonts w:ascii="Book Antiqua" w:hAnsi="Book Antiqua"/>
          <w:b/>
          <w:sz w:val="24"/>
          <w:szCs w:val="24"/>
        </w:rPr>
        <w:t>Bonavina L</w:t>
      </w:r>
      <w:r w:rsidRPr="00ED0648">
        <w:rPr>
          <w:rFonts w:ascii="Book Antiqua" w:hAnsi="Book Antiqua"/>
          <w:sz w:val="24"/>
          <w:szCs w:val="24"/>
        </w:rPr>
        <w:t xml:space="preserve">, Saino G, Bona D, Sironi A, Lazzari V. One hundred consecutive patients treated with magnetic sphincter augmentation for gastroesophageal reflux disease: 6 years of clinical experience from a single center. </w:t>
      </w:r>
      <w:r w:rsidRPr="00ED0648">
        <w:rPr>
          <w:rFonts w:ascii="Book Antiqua" w:hAnsi="Book Antiqua"/>
          <w:i/>
          <w:sz w:val="24"/>
          <w:szCs w:val="24"/>
        </w:rPr>
        <w:t>J Am Coll Surg</w:t>
      </w:r>
      <w:r w:rsidRPr="00ED0648">
        <w:rPr>
          <w:rFonts w:ascii="Book Antiqua" w:hAnsi="Book Antiqua"/>
          <w:sz w:val="24"/>
          <w:szCs w:val="24"/>
        </w:rPr>
        <w:t xml:space="preserve"> 2013; </w:t>
      </w:r>
      <w:r w:rsidRPr="00ED0648">
        <w:rPr>
          <w:rFonts w:ascii="Book Antiqua" w:hAnsi="Book Antiqua"/>
          <w:b/>
          <w:sz w:val="24"/>
          <w:szCs w:val="24"/>
        </w:rPr>
        <w:t>217</w:t>
      </w:r>
      <w:r w:rsidRPr="00ED0648">
        <w:rPr>
          <w:rFonts w:ascii="Book Antiqua" w:hAnsi="Book Antiqua"/>
          <w:sz w:val="24"/>
          <w:szCs w:val="24"/>
        </w:rPr>
        <w:t>: 577-585 [PMID: 23856355 DOI: 10.1016/j.jamcollsurg.2013.04.039]</w:t>
      </w:r>
    </w:p>
    <w:p w14:paraId="4382AF28" w14:textId="77777777" w:rsidR="00ED0648" w:rsidRPr="00ED0648" w:rsidRDefault="00ED0648" w:rsidP="00ED0648">
      <w:pPr>
        <w:adjustRightInd w:val="0"/>
        <w:snapToGrid w:val="0"/>
        <w:spacing w:after="0" w:line="360" w:lineRule="auto"/>
        <w:jc w:val="both"/>
        <w:rPr>
          <w:rFonts w:ascii="Book Antiqua" w:hAnsi="Book Antiqua"/>
          <w:sz w:val="24"/>
          <w:szCs w:val="24"/>
        </w:rPr>
      </w:pPr>
      <w:r w:rsidRPr="00ED0648">
        <w:rPr>
          <w:rFonts w:ascii="Book Antiqua" w:hAnsi="Book Antiqua"/>
          <w:sz w:val="24"/>
          <w:szCs w:val="24"/>
        </w:rPr>
        <w:t xml:space="preserve">41 </w:t>
      </w:r>
      <w:r w:rsidRPr="00ED0648">
        <w:rPr>
          <w:rFonts w:ascii="Book Antiqua" w:hAnsi="Book Antiqua"/>
          <w:b/>
          <w:sz w:val="24"/>
          <w:szCs w:val="24"/>
        </w:rPr>
        <w:t>Bonavina L</w:t>
      </w:r>
      <w:r w:rsidRPr="00ED0648">
        <w:rPr>
          <w:rFonts w:ascii="Book Antiqua" w:hAnsi="Book Antiqua"/>
          <w:sz w:val="24"/>
          <w:szCs w:val="24"/>
        </w:rPr>
        <w:t xml:space="preserve">, Saino G, Lipham JC, Demeester TR. LINX(®) Reflux Management System in chronic gastroesophageal reflux: a novel effective technology for restoring the natural barrier to reflux. </w:t>
      </w:r>
      <w:r w:rsidRPr="00ED0648">
        <w:rPr>
          <w:rFonts w:ascii="Book Antiqua" w:hAnsi="Book Antiqua"/>
          <w:i/>
          <w:sz w:val="24"/>
          <w:szCs w:val="24"/>
        </w:rPr>
        <w:t>Therap Adv Gastroenterol</w:t>
      </w:r>
      <w:r w:rsidRPr="00ED0648">
        <w:rPr>
          <w:rFonts w:ascii="Book Antiqua" w:hAnsi="Book Antiqua"/>
          <w:sz w:val="24"/>
          <w:szCs w:val="24"/>
        </w:rPr>
        <w:t xml:space="preserve"> 2013; </w:t>
      </w:r>
      <w:r w:rsidRPr="00ED0648">
        <w:rPr>
          <w:rFonts w:ascii="Book Antiqua" w:hAnsi="Book Antiqua"/>
          <w:b/>
          <w:sz w:val="24"/>
          <w:szCs w:val="24"/>
        </w:rPr>
        <w:t>6</w:t>
      </w:r>
      <w:r w:rsidRPr="00ED0648">
        <w:rPr>
          <w:rFonts w:ascii="Book Antiqua" w:hAnsi="Book Antiqua"/>
          <w:sz w:val="24"/>
          <w:szCs w:val="24"/>
        </w:rPr>
        <w:t>: 261-268 [PMID: 23814607 DOI: 10.1177/1756283x13486311]</w:t>
      </w:r>
    </w:p>
    <w:p w14:paraId="07867BC9" w14:textId="65955F9D" w:rsidR="00ED0648" w:rsidRPr="00ED0648" w:rsidRDefault="00ED0648" w:rsidP="00ED0648">
      <w:pPr>
        <w:adjustRightInd w:val="0"/>
        <w:snapToGrid w:val="0"/>
        <w:spacing w:after="0" w:line="360" w:lineRule="auto"/>
        <w:jc w:val="both"/>
        <w:rPr>
          <w:rFonts w:ascii="Book Antiqua" w:hAnsi="Book Antiqua"/>
          <w:sz w:val="24"/>
          <w:szCs w:val="24"/>
        </w:rPr>
      </w:pPr>
      <w:r w:rsidRPr="00ED0648">
        <w:rPr>
          <w:rFonts w:ascii="Book Antiqua" w:hAnsi="Book Antiqua"/>
          <w:sz w:val="24"/>
          <w:szCs w:val="24"/>
        </w:rPr>
        <w:t xml:space="preserve">42 </w:t>
      </w:r>
      <w:r w:rsidRPr="00ED0648">
        <w:rPr>
          <w:rFonts w:ascii="Book Antiqua" w:hAnsi="Book Antiqua"/>
          <w:b/>
          <w:sz w:val="24"/>
          <w:szCs w:val="24"/>
        </w:rPr>
        <w:t>Ganz RA</w:t>
      </w:r>
      <w:r w:rsidRPr="00ED0648">
        <w:rPr>
          <w:rFonts w:ascii="Book Antiqua" w:hAnsi="Book Antiqua"/>
          <w:sz w:val="24"/>
          <w:szCs w:val="24"/>
        </w:rPr>
        <w:t xml:space="preserve">. A Review of New Surgical and Endoscopic Therapies for Gastroesophageal Reflux Disease. </w:t>
      </w:r>
      <w:r w:rsidRPr="00ED0648">
        <w:rPr>
          <w:rFonts w:ascii="Book Antiqua" w:hAnsi="Book Antiqua"/>
          <w:i/>
          <w:sz w:val="24"/>
          <w:szCs w:val="24"/>
        </w:rPr>
        <w:t xml:space="preserve">Gastroenterol Hepatol </w:t>
      </w:r>
      <w:r w:rsidRPr="009C610A">
        <w:rPr>
          <w:rFonts w:ascii="Book Antiqua" w:hAnsi="Book Antiqua"/>
          <w:iCs/>
          <w:sz w:val="24"/>
          <w:szCs w:val="24"/>
        </w:rPr>
        <w:t>(NY)</w:t>
      </w:r>
      <w:r w:rsidRPr="00ED0648">
        <w:rPr>
          <w:rFonts w:ascii="Book Antiqua" w:hAnsi="Book Antiqua"/>
          <w:sz w:val="24"/>
          <w:szCs w:val="24"/>
        </w:rPr>
        <w:t xml:space="preserve"> 2016; </w:t>
      </w:r>
      <w:r w:rsidRPr="00ED0648">
        <w:rPr>
          <w:rFonts w:ascii="Book Antiqua" w:hAnsi="Book Antiqua"/>
          <w:b/>
          <w:sz w:val="24"/>
          <w:szCs w:val="24"/>
        </w:rPr>
        <w:t>12</w:t>
      </w:r>
      <w:r w:rsidRPr="00ED0648">
        <w:rPr>
          <w:rFonts w:ascii="Book Antiqua" w:hAnsi="Book Antiqua"/>
          <w:sz w:val="24"/>
          <w:szCs w:val="24"/>
        </w:rPr>
        <w:t>: 424-431 [PMID: 27489524]</w:t>
      </w:r>
    </w:p>
    <w:p w14:paraId="4D4770DC" w14:textId="77777777" w:rsidR="00ED0648" w:rsidRPr="00ED0648" w:rsidRDefault="00ED0648" w:rsidP="00ED0648">
      <w:pPr>
        <w:adjustRightInd w:val="0"/>
        <w:snapToGrid w:val="0"/>
        <w:spacing w:after="0" w:line="360" w:lineRule="auto"/>
        <w:jc w:val="both"/>
        <w:rPr>
          <w:rFonts w:ascii="Book Antiqua" w:hAnsi="Book Antiqua"/>
          <w:sz w:val="24"/>
          <w:szCs w:val="24"/>
        </w:rPr>
      </w:pPr>
      <w:r w:rsidRPr="00ED0648">
        <w:rPr>
          <w:rFonts w:ascii="Book Antiqua" w:hAnsi="Book Antiqua"/>
          <w:sz w:val="24"/>
          <w:szCs w:val="24"/>
        </w:rPr>
        <w:t xml:space="preserve">43 </w:t>
      </w:r>
      <w:r w:rsidRPr="00ED0648">
        <w:rPr>
          <w:rFonts w:ascii="Book Antiqua" w:hAnsi="Book Antiqua"/>
          <w:b/>
          <w:sz w:val="24"/>
          <w:szCs w:val="24"/>
        </w:rPr>
        <w:t>Bell R</w:t>
      </w:r>
      <w:r w:rsidRPr="00ED0648">
        <w:rPr>
          <w:rFonts w:ascii="Book Antiqua" w:hAnsi="Book Antiqua"/>
          <w:sz w:val="24"/>
          <w:szCs w:val="24"/>
        </w:rPr>
        <w:t xml:space="preserve">, Lipham J, Louie B, Williams V, Luketich J, Hill M, Richards W, Dunst C, Lister D, McDowell-Jacobs L, Reardon P, Woods K, Gould J, Buckley FP 3rd, Kothari S, Khaitan L, Smith CD, Park A, Smith C, Jacobsen G, Abbas G, Katz P. Laparoscopic magnetic </w:t>
      </w:r>
      <w:r w:rsidRPr="00ED0648">
        <w:rPr>
          <w:rFonts w:ascii="Book Antiqua" w:hAnsi="Book Antiqua"/>
          <w:sz w:val="24"/>
          <w:szCs w:val="24"/>
        </w:rPr>
        <w:lastRenderedPageBreak/>
        <w:t xml:space="preserve">sphincter augmentation versus double-dose proton pump inhibitors for management of moderate-to-severe regurgitation in GERD: a randomized controlled trial. </w:t>
      </w:r>
      <w:r w:rsidRPr="00ED0648">
        <w:rPr>
          <w:rFonts w:ascii="Book Antiqua" w:hAnsi="Book Antiqua"/>
          <w:i/>
          <w:sz w:val="24"/>
          <w:szCs w:val="24"/>
        </w:rPr>
        <w:t>Gastrointest Endosc</w:t>
      </w:r>
      <w:r w:rsidRPr="00ED0648">
        <w:rPr>
          <w:rFonts w:ascii="Book Antiqua" w:hAnsi="Book Antiqua"/>
          <w:sz w:val="24"/>
          <w:szCs w:val="24"/>
        </w:rPr>
        <w:t xml:space="preserve"> 2019; </w:t>
      </w:r>
      <w:r w:rsidRPr="00ED0648">
        <w:rPr>
          <w:rFonts w:ascii="Book Antiqua" w:hAnsi="Book Antiqua"/>
          <w:b/>
          <w:sz w:val="24"/>
          <w:szCs w:val="24"/>
        </w:rPr>
        <w:t>89</w:t>
      </w:r>
      <w:r w:rsidRPr="00ED0648">
        <w:rPr>
          <w:rFonts w:ascii="Book Antiqua" w:hAnsi="Book Antiqua"/>
          <w:sz w:val="24"/>
          <w:szCs w:val="24"/>
        </w:rPr>
        <w:t>: 14-22.e1 [PMID: 30031018 DOI: 10.1016/j.gie.2018.07.007]</w:t>
      </w:r>
    </w:p>
    <w:p w14:paraId="48C19385" w14:textId="77777777" w:rsidR="00ED0648" w:rsidRPr="00ED0648" w:rsidRDefault="00ED0648" w:rsidP="00ED0648">
      <w:pPr>
        <w:adjustRightInd w:val="0"/>
        <w:snapToGrid w:val="0"/>
        <w:spacing w:after="0" w:line="360" w:lineRule="auto"/>
        <w:jc w:val="both"/>
        <w:rPr>
          <w:rFonts w:ascii="Book Antiqua" w:hAnsi="Book Antiqua"/>
          <w:sz w:val="24"/>
          <w:szCs w:val="24"/>
        </w:rPr>
      </w:pPr>
      <w:r w:rsidRPr="00ED0648">
        <w:rPr>
          <w:rFonts w:ascii="Book Antiqua" w:hAnsi="Book Antiqua"/>
          <w:sz w:val="24"/>
          <w:szCs w:val="24"/>
        </w:rPr>
        <w:t xml:space="preserve">44 </w:t>
      </w:r>
      <w:r w:rsidRPr="00ED0648">
        <w:rPr>
          <w:rFonts w:ascii="Book Antiqua" w:hAnsi="Book Antiqua"/>
          <w:b/>
          <w:sz w:val="24"/>
          <w:szCs w:val="24"/>
        </w:rPr>
        <w:t>Riegler M</w:t>
      </w:r>
      <w:r w:rsidRPr="00ED0648">
        <w:rPr>
          <w:rFonts w:ascii="Book Antiqua" w:hAnsi="Book Antiqua"/>
          <w:sz w:val="24"/>
          <w:szCs w:val="24"/>
        </w:rPr>
        <w:t xml:space="preserve">, Schoppman SF, Bonavina L, Ashton D, Horbach T, Kemen M. Magnetic sphincter augmentation and fundoplication for GERD in clinical practice: one-year results of a multicenter, prospective observational study. </w:t>
      </w:r>
      <w:r w:rsidRPr="00ED0648">
        <w:rPr>
          <w:rFonts w:ascii="Book Antiqua" w:hAnsi="Book Antiqua"/>
          <w:i/>
          <w:sz w:val="24"/>
          <w:szCs w:val="24"/>
        </w:rPr>
        <w:t>Surg Endosc</w:t>
      </w:r>
      <w:r w:rsidRPr="00ED0648">
        <w:rPr>
          <w:rFonts w:ascii="Book Antiqua" w:hAnsi="Book Antiqua"/>
          <w:sz w:val="24"/>
          <w:szCs w:val="24"/>
        </w:rPr>
        <w:t xml:space="preserve"> 2015; </w:t>
      </w:r>
      <w:r w:rsidRPr="00ED0648">
        <w:rPr>
          <w:rFonts w:ascii="Book Antiqua" w:hAnsi="Book Antiqua"/>
          <w:b/>
          <w:sz w:val="24"/>
          <w:szCs w:val="24"/>
        </w:rPr>
        <w:t>29</w:t>
      </w:r>
      <w:r w:rsidRPr="00ED0648">
        <w:rPr>
          <w:rFonts w:ascii="Book Antiqua" w:hAnsi="Book Antiqua"/>
          <w:sz w:val="24"/>
          <w:szCs w:val="24"/>
        </w:rPr>
        <w:t>: 1123-1129 [PMID: 25171881 DOI: 10.1007/s00464-014-3772-7]</w:t>
      </w:r>
    </w:p>
    <w:p w14:paraId="454528DD" w14:textId="77777777" w:rsidR="00ED0648" w:rsidRPr="00ED0648" w:rsidRDefault="00ED0648" w:rsidP="00ED0648">
      <w:pPr>
        <w:adjustRightInd w:val="0"/>
        <w:snapToGrid w:val="0"/>
        <w:spacing w:after="0" w:line="360" w:lineRule="auto"/>
        <w:jc w:val="both"/>
        <w:rPr>
          <w:rFonts w:ascii="Book Antiqua" w:hAnsi="Book Antiqua"/>
          <w:sz w:val="24"/>
          <w:szCs w:val="24"/>
        </w:rPr>
      </w:pPr>
      <w:r w:rsidRPr="00ED0648">
        <w:rPr>
          <w:rFonts w:ascii="Book Antiqua" w:hAnsi="Book Antiqua"/>
          <w:sz w:val="24"/>
          <w:szCs w:val="24"/>
        </w:rPr>
        <w:t xml:space="preserve">45 </w:t>
      </w:r>
      <w:r w:rsidRPr="00ED0648">
        <w:rPr>
          <w:rFonts w:ascii="Book Antiqua" w:hAnsi="Book Antiqua"/>
          <w:b/>
          <w:sz w:val="24"/>
          <w:szCs w:val="24"/>
        </w:rPr>
        <w:t>Warren HF</w:t>
      </w:r>
      <w:r w:rsidRPr="00ED0648">
        <w:rPr>
          <w:rFonts w:ascii="Book Antiqua" w:hAnsi="Book Antiqua"/>
          <w:sz w:val="24"/>
          <w:szCs w:val="24"/>
        </w:rPr>
        <w:t xml:space="preserve">, Louie BE, Farivar AS, Wilshire C, Aye RW. Manometric Changes to the Lower Esophageal Sphincter After Magnetic Sphincter Augmentation in Patients With Chronic Gastroesophageal Reflux Disease. </w:t>
      </w:r>
      <w:r w:rsidRPr="00ED0648">
        <w:rPr>
          <w:rFonts w:ascii="Book Antiqua" w:hAnsi="Book Antiqua"/>
          <w:i/>
          <w:sz w:val="24"/>
          <w:szCs w:val="24"/>
        </w:rPr>
        <w:t>Ann Surg</w:t>
      </w:r>
      <w:r w:rsidRPr="00ED0648">
        <w:rPr>
          <w:rFonts w:ascii="Book Antiqua" w:hAnsi="Book Antiqua"/>
          <w:sz w:val="24"/>
          <w:szCs w:val="24"/>
        </w:rPr>
        <w:t xml:space="preserve"> 2017; </w:t>
      </w:r>
      <w:r w:rsidRPr="00ED0648">
        <w:rPr>
          <w:rFonts w:ascii="Book Antiqua" w:hAnsi="Book Antiqua"/>
          <w:b/>
          <w:sz w:val="24"/>
          <w:szCs w:val="24"/>
        </w:rPr>
        <w:t>266</w:t>
      </w:r>
      <w:r w:rsidRPr="00ED0648">
        <w:rPr>
          <w:rFonts w:ascii="Book Antiqua" w:hAnsi="Book Antiqua"/>
          <w:sz w:val="24"/>
          <w:szCs w:val="24"/>
        </w:rPr>
        <w:t>: 99-104 [PMID: 27464617 DOI: 10.1097/sla.0000000000001935]</w:t>
      </w:r>
    </w:p>
    <w:p w14:paraId="093D6E12" w14:textId="77777777" w:rsidR="00ED0648" w:rsidRPr="00ED0648" w:rsidRDefault="00ED0648" w:rsidP="00ED0648">
      <w:pPr>
        <w:adjustRightInd w:val="0"/>
        <w:snapToGrid w:val="0"/>
        <w:spacing w:after="0" w:line="360" w:lineRule="auto"/>
        <w:jc w:val="both"/>
        <w:rPr>
          <w:rFonts w:ascii="Book Antiqua" w:hAnsi="Book Antiqua"/>
          <w:sz w:val="24"/>
          <w:szCs w:val="24"/>
        </w:rPr>
      </w:pPr>
      <w:r w:rsidRPr="00ED0648">
        <w:rPr>
          <w:rFonts w:ascii="Book Antiqua" w:hAnsi="Book Antiqua"/>
          <w:sz w:val="24"/>
          <w:szCs w:val="24"/>
        </w:rPr>
        <w:t xml:space="preserve">46 </w:t>
      </w:r>
      <w:r w:rsidRPr="00ED0648">
        <w:rPr>
          <w:rFonts w:ascii="Book Antiqua" w:hAnsi="Book Antiqua"/>
          <w:b/>
          <w:sz w:val="24"/>
          <w:szCs w:val="24"/>
        </w:rPr>
        <w:t>Louie BE</w:t>
      </w:r>
      <w:r w:rsidRPr="00ED0648">
        <w:rPr>
          <w:rFonts w:ascii="Book Antiqua" w:hAnsi="Book Antiqua"/>
          <w:sz w:val="24"/>
          <w:szCs w:val="24"/>
        </w:rPr>
        <w:t xml:space="preserve">, Farivar AS, Shultz D, Brennan C, Vallières E, Aye RW. Short-term outcomes using magnetic sphincter augmentation versus Nissen fundoplication for medically resistant gastroesophageal reflux disease. </w:t>
      </w:r>
      <w:r w:rsidRPr="00ED0648">
        <w:rPr>
          <w:rFonts w:ascii="Book Antiqua" w:hAnsi="Book Antiqua"/>
          <w:i/>
          <w:sz w:val="24"/>
          <w:szCs w:val="24"/>
        </w:rPr>
        <w:t>Ann Thorac Surg</w:t>
      </w:r>
      <w:r w:rsidRPr="00ED0648">
        <w:rPr>
          <w:rFonts w:ascii="Book Antiqua" w:hAnsi="Book Antiqua"/>
          <w:sz w:val="24"/>
          <w:szCs w:val="24"/>
        </w:rPr>
        <w:t xml:space="preserve"> 2014; </w:t>
      </w:r>
      <w:r w:rsidRPr="00ED0648">
        <w:rPr>
          <w:rFonts w:ascii="Book Antiqua" w:hAnsi="Book Antiqua"/>
          <w:b/>
          <w:sz w:val="24"/>
          <w:szCs w:val="24"/>
        </w:rPr>
        <w:t>98</w:t>
      </w:r>
      <w:r w:rsidRPr="00ED0648">
        <w:rPr>
          <w:rFonts w:ascii="Book Antiqua" w:hAnsi="Book Antiqua"/>
          <w:sz w:val="24"/>
          <w:szCs w:val="24"/>
        </w:rPr>
        <w:t>: 498-504; discussion 504-5 [PMID: 24961840 DOI: 10.1016/j.athoracsur.2014.04.074]</w:t>
      </w:r>
    </w:p>
    <w:p w14:paraId="14B45C78" w14:textId="4899D3D7" w:rsidR="00ED0648" w:rsidRPr="00ED0648" w:rsidRDefault="00ED0648" w:rsidP="00ED0648">
      <w:pPr>
        <w:adjustRightInd w:val="0"/>
        <w:snapToGrid w:val="0"/>
        <w:spacing w:after="0" w:line="360" w:lineRule="auto"/>
        <w:jc w:val="both"/>
        <w:rPr>
          <w:rFonts w:ascii="Book Antiqua" w:hAnsi="Book Antiqua"/>
          <w:sz w:val="24"/>
          <w:szCs w:val="24"/>
        </w:rPr>
      </w:pPr>
      <w:r w:rsidRPr="00ED0648">
        <w:rPr>
          <w:rFonts w:ascii="Book Antiqua" w:hAnsi="Book Antiqua"/>
          <w:sz w:val="24"/>
          <w:szCs w:val="24"/>
        </w:rPr>
        <w:t xml:space="preserve">47 </w:t>
      </w:r>
      <w:r w:rsidRPr="00ED0648">
        <w:rPr>
          <w:rFonts w:ascii="Book Antiqua" w:hAnsi="Book Antiqua"/>
          <w:b/>
          <w:sz w:val="24"/>
          <w:szCs w:val="24"/>
        </w:rPr>
        <w:t>Louie BE</w:t>
      </w:r>
      <w:r w:rsidRPr="00ED0648">
        <w:rPr>
          <w:rFonts w:ascii="Book Antiqua" w:hAnsi="Book Antiqua"/>
          <w:sz w:val="24"/>
          <w:szCs w:val="24"/>
        </w:rPr>
        <w:t xml:space="preserve">, Smith CD, Smith CC, Bell RCW, Gillian GK, Mandel JS, Perry KA, Birkenhagen WK, Taiganides PA, Dunst CM, McCollister HM, Lipham JC, Khaitan LK, Tsuda ST, Jobe BA, Kothari SN, Gould JC. Objective Evidence of Reflux Control After Magnetic Sphincter Augmentation: One Year Results From a Post Approval Study. </w:t>
      </w:r>
      <w:r w:rsidRPr="00ED0648">
        <w:rPr>
          <w:rFonts w:ascii="Book Antiqua" w:hAnsi="Book Antiqua"/>
          <w:i/>
          <w:sz w:val="24"/>
          <w:szCs w:val="24"/>
        </w:rPr>
        <w:t>Ann Surg</w:t>
      </w:r>
      <w:r w:rsidRPr="00ED0648">
        <w:rPr>
          <w:rFonts w:ascii="Book Antiqua" w:hAnsi="Book Antiqua"/>
          <w:sz w:val="24"/>
          <w:szCs w:val="24"/>
        </w:rPr>
        <w:t xml:space="preserve"> 2018</w:t>
      </w:r>
      <w:r w:rsidR="009C610A">
        <w:rPr>
          <w:rFonts w:ascii="Book Antiqua" w:hAnsi="Book Antiqua"/>
          <w:sz w:val="24"/>
          <w:szCs w:val="24"/>
        </w:rPr>
        <w:t xml:space="preserve"> </w:t>
      </w:r>
      <w:r w:rsidRPr="00ED0648">
        <w:rPr>
          <w:rFonts w:ascii="Book Antiqua" w:hAnsi="Book Antiqua"/>
          <w:sz w:val="24"/>
          <w:szCs w:val="24"/>
        </w:rPr>
        <w:t>[PMID: 29697454 DOI: 10.1097/SLA.0000000000002789]</w:t>
      </w:r>
    </w:p>
    <w:p w14:paraId="664C1659" w14:textId="77777777" w:rsidR="00ED0648" w:rsidRPr="00ED0648" w:rsidRDefault="00ED0648" w:rsidP="00ED0648">
      <w:pPr>
        <w:adjustRightInd w:val="0"/>
        <w:snapToGrid w:val="0"/>
        <w:spacing w:after="0" w:line="360" w:lineRule="auto"/>
        <w:jc w:val="both"/>
        <w:rPr>
          <w:rFonts w:ascii="Book Antiqua" w:hAnsi="Book Antiqua"/>
          <w:sz w:val="24"/>
          <w:szCs w:val="24"/>
        </w:rPr>
      </w:pPr>
      <w:r w:rsidRPr="00ED0648">
        <w:rPr>
          <w:rFonts w:ascii="Book Antiqua" w:hAnsi="Book Antiqua"/>
          <w:sz w:val="24"/>
          <w:szCs w:val="24"/>
        </w:rPr>
        <w:t xml:space="preserve">48 </w:t>
      </w:r>
      <w:r w:rsidRPr="00ED0648">
        <w:rPr>
          <w:rFonts w:ascii="Book Antiqua" w:hAnsi="Book Antiqua"/>
          <w:b/>
          <w:sz w:val="24"/>
          <w:szCs w:val="24"/>
        </w:rPr>
        <w:t>Chen MY</w:t>
      </w:r>
      <w:r w:rsidRPr="00ED0648">
        <w:rPr>
          <w:rFonts w:ascii="Book Antiqua" w:hAnsi="Book Antiqua"/>
          <w:sz w:val="24"/>
          <w:szCs w:val="24"/>
        </w:rPr>
        <w:t xml:space="preserve">, Huang DY, Wu A, Zhu YB, Zhu HP, Lin LM, Cai XJ. Efficacy of Magnetic Sphincter Augmentation versus Nissen Fundoplication for Gastroesophageal Reflux Disease in Short Term: A Meta-Analysis. </w:t>
      </w:r>
      <w:r w:rsidRPr="00ED0648">
        <w:rPr>
          <w:rFonts w:ascii="Book Antiqua" w:hAnsi="Book Antiqua"/>
          <w:i/>
          <w:sz w:val="24"/>
          <w:szCs w:val="24"/>
        </w:rPr>
        <w:t>Can J Gastroenterol Hepatol</w:t>
      </w:r>
      <w:r w:rsidRPr="00ED0648">
        <w:rPr>
          <w:rFonts w:ascii="Book Antiqua" w:hAnsi="Book Antiqua"/>
          <w:sz w:val="24"/>
          <w:szCs w:val="24"/>
        </w:rPr>
        <w:t xml:space="preserve"> 2017; </w:t>
      </w:r>
      <w:r w:rsidRPr="00ED0648">
        <w:rPr>
          <w:rFonts w:ascii="Book Antiqua" w:hAnsi="Book Antiqua"/>
          <w:b/>
          <w:sz w:val="24"/>
          <w:szCs w:val="24"/>
        </w:rPr>
        <w:t>2017</w:t>
      </w:r>
      <w:r w:rsidRPr="00ED0648">
        <w:rPr>
          <w:rFonts w:ascii="Book Antiqua" w:hAnsi="Book Antiqua"/>
          <w:sz w:val="24"/>
          <w:szCs w:val="24"/>
        </w:rPr>
        <w:t>: 9596342 [PMID: 28466002 DOI: 10.1155/2017/9596342]</w:t>
      </w:r>
    </w:p>
    <w:p w14:paraId="10023B5D" w14:textId="77777777" w:rsidR="00ED0648" w:rsidRPr="00ED0648" w:rsidRDefault="00ED0648" w:rsidP="00ED0648">
      <w:pPr>
        <w:adjustRightInd w:val="0"/>
        <w:snapToGrid w:val="0"/>
        <w:spacing w:after="0" w:line="360" w:lineRule="auto"/>
        <w:jc w:val="both"/>
        <w:rPr>
          <w:rFonts w:ascii="Book Antiqua" w:hAnsi="Book Antiqua"/>
          <w:sz w:val="24"/>
          <w:szCs w:val="24"/>
        </w:rPr>
      </w:pPr>
      <w:r w:rsidRPr="00ED0648">
        <w:rPr>
          <w:rFonts w:ascii="Book Antiqua" w:hAnsi="Book Antiqua"/>
          <w:sz w:val="24"/>
          <w:szCs w:val="24"/>
        </w:rPr>
        <w:t xml:space="preserve">49 </w:t>
      </w:r>
      <w:r w:rsidRPr="00ED0648">
        <w:rPr>
          <w:rFonts w:ascii="Book Antiqua" w:hAnsi="Book Antiqua"/>
          <w:b/>
          <w:sz w:val="24"/>
          <w:szCs w:val="24"/>
        </w:rPr>
        <w:t>Sarani B</w:t>
      </w:r>
      <w:r w:rsidRPr="00ED0648">
        <w:rPr>
          <w:rFonts w:ascii="Book Antiqua" w:hAnsi="Book Antiqua"/>
          <w:sz w:val="24"/>
          <w:szCs w:val="24"/>
        </w:rPr>
        <w:t xml:space="preserve">, Scanlon J, Jackson P, Evans SR. Selection criteria among gastroenterologists and surgeons for laparoscopic antireflux surgery. </w:t>
      </w:r>
      <w:r w:rsidRPr="00ED0648">
        <w:rPr>
          <w:rFonts w:ascii="Book Antiqua" w:hAnsi="Book Antiqua"/>
          <w:i/>
          <w:sz w:val="24"/>
          <w:szCs w:val="24"/>
        </w:rPr>
        <w:t>Surg Endosc</w:t>
      </w:r>
      <w:r w:rsidRPr="00ED0648">
        <w:rPr>
          <w:rFonts w:ascii="Book Antiqua" w:hAnsi="Book Antiqua"/>
          <w:sz w:val="24"/>
          <w:szCs w:val="24"/>
        </w:rPr>
        <w:t xml:space="preserve"> 2002; </w:t>
      </w:r>
      <w:r w:rsidRPr="00ED0648">
        <w:rPr>
          <w:rFonts w:ascii="Book Antiqua" w:hAnsi="Book Antiqua"/>
          <w:b/>
          <w:sz w:val="24"/>
          <w:szCs w:val="24"/>
        </w:rPr>
        <w:t>16</w:t>
      </w:r>
      <w:r w:rsidRPr="00ED0648">
        <w:rPr>
          <w:rFonts w:ascii="Book Antiqua" w:hAnsi="Book Antiqua"/>
          <w:sz w:val="24"/>
          <w:szCs w:val="24"/>
        </w:rPr>
        <w:t>: 57-63 [PMID: 11961606 DOI: 10.1007/s004640080169]</w:t>
      </w:r>
    </w:p>
    <w:p w14:paraId="40AC08E5" w14:textId="77777777" w:rsidR="00ED0648" w:rsidRPr="00ED0648" w:rsidRDefault="00ED0648" w:rsidP="00ED0648">
      <w:pPr>
        <w:adjustRightInd w:val="0"/>
        <w:snapToGrid w:val="0"/>
        <w:spacing w:after="0" w:line="360" w:lineRule="auto"/>
        <w:jc w:val="both"/>
        <w:rPr>
          <w:rFonts w:ascii="Book Antiqua" w:hAnsi="Book Antiqua"/>
          <w:sz w:val="24"/>
          <w:szCs w:val="24"/>
        </w:rPr>
      </w:pPr>
      <w:r w:rsidRPr="00ED0648">
        <w:rPr>
          <w:rFonts w:ascii="Book Antiqua" w:hAnsi="Book Antiqua"/>
          <w:sz w:val="24"/>
          <w:szCs w:val="24"/>
        </w:rPr>
        <w:lastRenderedPageBreak/>
        <w:t xml:space="preserve">50 </w:t>
      </w:r>
      <w:r w:rsidRPr="00ED0648">
        <w:rPr>
          <w:rFonts w:ascii="Book Antiqua" w:hAnsi="Book Antiqua"/>
          <w:b/>
          <w:sz w:val="24"/>
          <w:szCs w:val="24"/>
        </w:rPr>
        <w:t>Richter JE</w:t>
      </w:r>
      <w:r w:rsidRPr="00ED0648">
        <w:rPr>
          <w:rFonts w:ascii="Book Antiqua" w:hAnsi="Book Antiqua"/>
          <w:sz w:val="24"/>
          <w:szCs w:val="24"/>
        </w:rPr>
        <w:t xml:space="preserve">, Rubenstein JH. Presentation and Epidemiology of Gastroesophageal Reflux Disease. </w:t>
      </w:r>
      <w:r w:rsidRPr="00ED0648">
        <w:rPr>
          <w:rFonts w:ascii="Book Antiqua" w:hAnsi="Book Antiqua"/>
          <w:i/>
          <w:sz w:val="24"/>
          <w:szCs w:val="24"/>
        </w:rPr>
        <w:t>Gastroenterology</w:t>
      </w:r>
      <w:r w:rsidRPr="00ED0648">
        <w:rPr>
          <w:rFonts w:ascii="Book Antiqua" w:hAnsi="Book Antiqua"/>
          <w:sz w:val="24"/>
          <w:szCs w:val="24"/>
        </w:rPr>
        <w:t xml:space="preserve"> 2018; </w:t>
      </w:r>
      <w:r w:rsidRPr="00ED0648">
        <w:rPr>
          <w:rFonts w:ascii="Book Antiqua" w:hAnsi="Book Antiqua"/>
          <w:b/>
          <w:sz w:val="24"/>
          <w:szCs w:val="24"/>
        </w:rPr>
        <w:t>154</w:t>
      </w:r>
      <w:r w:rsidRPr="00ED0648">
        <w:rPr>
          <w:rFonts w:ascii="Book Antiqua" w:hAnsi="Book Antiqua"/>
          <w:sz w:val="24"/>
          <w:szCs w:val="24"/>
        </w:rPr>
        <w:t>: 267-276 [PMID: 28780072 DOI: 10.1053/j.gastro.2017.07.045]</w:t>
      </w:r>
    </w:p>
    <w:p w14:paraId="22DE162E" w14:textId="77777777" w:rsidR="00ED0648" w:rsidRPr="00ED0648" w:rsidRDefault="00ED0648" w:rsidP="00ED0648">
      <w:pPr>
        <w:adjustRightInd w:val="0"/>
        <w:snapToGrid w:val="0"/>
        <w:spacing w:after="0" w:line="360" w:lineRule="auto"/>
        <w:jc w:val="both"/>
        <w:rPr>
          <w:rFonts w:ascii="Book Antiqua" w:hAnsi="Book Antiqua"/>
          <w:sz w:val="24"/>
          <w:szCs w:val="24"/>
        </w:rPr>
      </w:pPr>
      <w:r w:rsidRPr="00ED0648">
        <w:rPr>
          <w:rFonts w:ascii="Book Antiqua" w:hAnsi="Book Antiqua"/>
          <w:sz w:val="24"/>
          <w:szCs w:val="24"/>
        </w:rPr>
        <w:t xml:space="preserve">51 </w:t>
      </w:r>
      <w:r w:rsidRPr="00ED0648">
        <w:rPr>
          <w:rFonts w:ascii="Book Antiqua" w:hAnsi="Book Antiqua"/>
          <w:b/>
          <w:sz w:val="24"/>
          <w:szCs w:val="24"/>
        </w:rPr>
        <w:t>Kimura Y</w:t>
      </w:r>
      <w:r w:rsidRPr="00ED0648">
        <w:rPr>
          <w:rFonts w:ascii="Book Antiqua" w:hAnsi="Book Antiqua"/>
          <w:sz w:val="24"/>
          <w:szCs w:val="24"/>
        </w:rPr>
        <w:t xml:space="preserve">, Kamiya T, Senoo K, Tsuchida K, Hirano A, Kojima H, Yamashita H, Yamakawa Y, Nishigaki N, Ozeki T, Endo M, Nakanishi K, Sando M, Inagaki Y, Shikano M, Mizoshita T, Kubota E, Tanida S, Kataoka H, Katsumi K, Joh T. Persistent reflux symptoms cause anxiety, depression, and mental health and sleep disorders in gastroesophageal reflux disease patients. </w:t>
      </w:r>
      <w:r w:rsidRPr="00ED0648">
        <w:rPr>
          <w:rFonts w:ascii="Book Antiqua" w:hAnsi="Book Antiqua"/>
          <w:i/>
          <w:sz w:val="24"/>
          <w:szCs w:val="24"/>
        </w:rPr>
        <w:t>J Clin Biochem Nutr</w:t>
      </w:r>
      <w:r w:rsidRPr="00ED0648">
        <w:rPr>
          <w:rFonts w:ascii="Book Antiqua" w:hAnsi="Book Antiqua"/>
          <w:sz w:val="24"/>
          <w:szCs w:val="24"/>
        </w:rPr>
        <w:t xml:space="preserve"> 2016; </w:t>
      </w:r>
      <w:r w:rsidRPr="00ED0648">
        <w:rPr>
          <w:rFonts w:ascii="Book Antiqua" w:hAnsi="Book Antiqua"/>
          <w:b/>
          <w:sz w:val="24"/>
          <w:szCs w:val="24"/>
        </w:rPr>
        <w:t>59</w:t>
      </w:r>
      <w:r w:rsidRPr="00ED0648">
        <w:rPr>
          <w:rFonts w:ascii="Book Antiqua" w:hAnsi="Book Antiqua"/>
          <w:sz w:val="24"/>
          <w:szCs w:val="24"/>
        </w:rPr>
        <w:t>: 71-77 [PMID: 27499583 DOI: 10.3164/jcbn.16-9]</w:t>
      </w:r>
    </w:p>
    <w:p w14:paraId="3D05A626" w14:textId="77777777" w:rsidR="00ED0648" w:rsidRPr="00ED0648" w:rsidRDefault="00ED0648" w:rsidP="00ED0648">
      <w:pPr>
        <w:adjustRightInd w:val="0"/>
        <w:snapToGrid w:val="0"/>
        <w:spacing w:after="0" w:line="360" w:lineRule="auto"/>
        <w:jc w:val="both"/>
        <w:rPr>
          <w:rFonts w:ascii="Book Antiqua" w:hAnsi="Book Antiqua"/>
          <w:sz w:val="24"/>
          <w:szCs w:val="24"/>
        </w:rPr>
      </w:pPr>
      <w:r w:rsidRPr="00ED0648">
        <w:rPr>
          <w:rFonts w:ascii="Book Antiqua" w:hAnsi="Book Antiqua"/>
          <w:sz w:val="24"/>
          <w:szCs w:val="24"/>
        </w:rPr>
        <w:t xml:space="preserve">52 </w:t>
      </w:r>
      <w:r w:rsidRPr="00ED0648">
        <w:rPr>
          <w:rFonts w:ascii="Book Antiqua" w:hAnsi="Book Antiqua"/>
          <w:b/>
          <w:sz w:val="24"/>
          <w:szCs w:val="24"/>
        </w:rPr>
        <w:t>Jung HK</w:t>
      </w:r>
      <w:r w:rsidRPr="00ED0648">
        <w:rPr>
          <w:rFonts w:ascii="Book Antiqua" w:hAnsi="Book Antiqua"/>
          <w:sz w:val="24"/>
          <w:szCs w:val="24"/>
        </w:rPr>
        <w:t xml:space="preserve">, Choung RS, Talley NJ. Gastroesophageal reflux disease and sleep disorders: evidence for a causal link and therapeutic implications. </w:t>
      </w:r>
      <w:r w:rsidRPr="00ED0648">
        <w:rPr>
          <w:rFonts w:ascii="Book Antiqua" w:hAnsi="Book Antiqua"/>
          <w:i/>
          <w:sz w:val="24"/>
          <w:szCs w:val="24"/>
        </w:rPr>
        <w:t>J Neurogastroenterol Motil</w:t>
      </w:r>
      <w:r w:rsidRPr="00ED0648">
        <w:rPr>
          <w:rFonts w:ascii="Book Antiqua" w:hAnsi="Book Antiqua"/>
          <w:sz w:val="24"/>
          <w:szCs w:val="24"/>
        </w:rPr>
        <w:t xml:space="preserve"> 2010; </w:t>
      </w:r>
      <w:r w:rsidRPr="00ED0648">
        <w:rPr>
          <w:rFonts w:ascii="Book Antiqua" w:hAnsi="Book Antiqua"/>
          <w:b/>
          <w:sz w:val="24"/>
          <w:szCs w:val="24"/>
        </w:rPr>
        <w:t>16</w:t>
      </w:r>
      <w:r w:rsidRPr="00ED0648">
        <w:rPr>
          <w:rFonts w:ascii="Book Antiqua" w:hAnsi="Book Antiqua"/>
          <w:sz w:val="24"/>
          <w:szCs w:val="24"/>
        </w:rPr>
        <w:t>: 22-29 [PMID: 20535322 DOI: 10.5056/jnm.2010.16.1.22]</w:t>
      </w:r>
    </w:p>
    <w:p w14:paraId="1CC3C591" w14:textId="77777777" w:rsidR="00ED0648" w:rsidRPr="00ED0648" w:rsidRDefault="00ED0648" w:rsidP="00ED0648">
      <w:pPr>
        <w:adjustRightInd w:val="0"/>
        <w:snapToGrid w:val="0"/>
        <w:spacing w:after="0" w:line="360" w:lineRule="auto"/>
        <w:jc w:val="both"/>
        <w:rPr>
          <w:rFonts w:ascii="Book Antiqua" w:hAnsi="Book Antiqua"/>
          <w:sz w:val="24"/>
          <w:szCs w:val="24"/>
        </w:rPr>
      </w:pPr>
      <w:r w:rsidRPr="00ED0648">
        <w:rPr>
          <w:rFonts w:ascii="Book Antiqua" w:hAnsi="Book Antiqua"/>
          <w:sz w:val="24"/>
          <w:szCs w:val="24"/>
        </w:rPr>
        <w:t xml:space="preserve">53 </w:t>
      </w:r>
      <w:r w:rsidRPr="00ED0648">
        <w:rPr>
          <w:rFonts w:ascii="Book Antiqua" w:hAnsi="Book Antiqua"/>
          <w:b/>
          <w:sz w:val="24"/>
          <w:szCs w:val="24"/>
        </w:rPr>
        <w:t>Toghanian S</w:t>
      </w:r>
      <w:r w:rsidRPr="00ED0648">
        <w:rPr>
          <w:rFonts w:ascii="Book Antiqua" w:hAnsi="Book Antiqua"/>
          <w:sz w:val="24"/>
          <w:szCs w:val="24"/>
        </w:rPr>
        <w:t xml:space="preserve">, Johnson DA, Stålhammar NO, Zerbib F. Burden of gastro-oesophageal reflux disease in patients with persistent and intense symptoms despite proton pump inhibitor therapy: A post hoc analysis of the 2007 national health and wellness survey. </w:t>
      </w:r>
      <w:r w:rsidRPr="00ED0648">
        <w:rPr>
          <w:rFonts w:ascii="Book Antiqua" w:hAnsi="Book Antiqua"/>
          <w:i/>
          <w:sz w:val="24"/>
          <w:szCs w:val="24"/>
        </w:rPr>
        <w:t>Clin Drug Investig</w:t>
      </w:r>
      <w:r w:rsidRPr="00ED0648">
        <w:rPr>
          <w:rFonts w:ascii="Book Antiqua" w:hAnsi="Book Antiqua"/>
          <w:sz w:val="24"/>
          <w:szCs w:val="24"/>
        </w:rPr>
        <w:t xml:space="preserve"> 2011; </w:t>
      </w:r>
      <w:r w:rsidRPr="00ED0648">
        <w:rPr>
          <w:rFonts w:ascii="Book Antiqua" w:hAnsi="Book Antiqua"/>
          <w:b/>
          <w:sz w:val="24"/>
          <w:szCs w:val="24"/>
        </w:rPr>
        <w:t>31</w:t>
      </w:r>
      <w:r w:rsidRPr="00ED0648">
        <w:rPr>
          <w:rFonts w:ascii="Book Antiqua" w:hAnsi="Book Antiqua"/>
          <w:sz w:val="24"/>
          <w:szCs w:val="24"/>
        </w:rPr>
        <w:t>: 703-715 [PMID: 21756007 DOI: 10.2165/11595480-000000000-00000]</w:t>
      </w:r>
    </w:p>
    <w:p w14:paraId="1D7F0346" w14:textId="65DB2413" w:rsidR="00ED0648" w:rsidRPr="00ED0648" w:rsidRDefault="00ED0648" w:rsidP="00ED0648">
      <w:pPr>
        <w:adjustRightInd w:val="0"/>
        <w:snapToGrid w:val="0"/>
        <w:spacing w:after="0" w:line="360" w:lineRule="auto"/>
        <w:jc w:val="both"/>
        <w:rPr>
          <w:rFonts w:ascii="Book Antiqua" w:hAnsi="Book Antiqua"/>
          <w:sz w:val="24"/>
          <w:szCs w:val="24"/>
        </w:rPr>
      </w:pPr>
      <w:r w:rsidRPr="00ED0648">
        <w:rPr>
          <w:rFonts w:ascii="Book Antiqua" w:hAnsi="Book Antiqua"/>
          <w:sz w:val="24"/>
          <w:szCs w:val="24"/>
        </w:rPr>
        <w:t xml:space="preserve">54 </w:t>
      </w:r>
      <w:r w:rsidRPr="00537775">
        <w:rPr>
          <w:rFonts w:ascii="Book Antiqua" w:hAnsi="Book Antiqua"/>
          <w:b/>
          <w:bCs/>
          <w:sz w:val="24"/>
          <w:szCs w:val="24"/>
        </w:rPr>
        <w:t>Bashashati M</w:t>
      </w:r>
      <w:r w:rsidRPr="00ED0648">
        <w:rPr>
          <w:rFonts w:ascii="Book Antiqua" w:hAnsi="Book Antiqua"/>
          <w:sz w:val="24"/>
          <w:szCs w:val="24"/>
        </w:rPr>
        <w:t xml:space="preserve">, Hejazi RA, Andrews CN, Storr MA. Gastroesophageal reflux symptoms not responding to proton pump inhibitor: GERD, NERD, NARD, esophageal hypersensitivity or dyspepsia? </w:t>
      </w:r>
      <w:r w:rsidR="00537775" w:rsidRPr="00537775">
        <w:rPr>
          <w:rFonts w:ascii="Book Antiqua" w:hAnsi="Book Antiqua"/>
          <w:i/>
          <w:iCs/>
          <w:sz w:val="24"/>
          <w:szCs w:val="24"/>
        </w:rPr>
        <w:t>Can J Gastroenterol Hepatol</w:t>
      </w:r>
      <w:r w:rsidRPr="00537775">
        <w:rPr>
          <w:rFonts w:ascii="Book Antiqua" w:hAnsi="Book Antiqua"/>
          <w:i/>
          <w:iCs/>
          <w:sz w:val="24"/>
          <w:szCs w:val="24"/>
        </w:rPr>
        <w:t xml:space="preserve"> </w:t>
      </w:r>
      <w:r w:rsidRPr="00ED0648">
        <w:rPr>
          <w:rFonts w:ascii="Book Antiqua" w:hAnsi="Book Antiqua"/>
          <w:sz w:val="24"/>
          <w:szCs w:val="24"/>
        </w:rPr>
        <w:t xml:space="preserve">2014; </w:t>
      </w:r>
      <w:r w:rsidRPr="00537775">
        <w:rPr>
          <w:rFonts w:ascii="Book Antiqua" w:hAnsi="Book Antiqua"/>
          <w:b/>
          <w:bCs/>
          <w:sz w:val="24"/>
          <w:szCs w:val="24"/>
        </w:rPr>
        <w:t>28</w:t>
      </w:r>
      <w:r w:rsidRPr="00ED0648">
        <w:rPr>
          <w:rFonts w:ascii="Book Antiqua" w:hAnsi="Book Antiqua"/>
          <w:sz w:val="24"/>
          <w:szCs w:val="24"/>
        </w:rPr>
        <w:t>: 335-341 [</w:t>
      </w:r>
      <w:r w:rsidR="00537775" w:rsidRPr="00537775">
        <w:rPr>
          <w:rFonts w:ascii="Book Antiqua" w:hAnsi="Book Antiqua"/>
          <w:sz w:val="24"/>
          <w:szCs w:val="24"/>
        </w:rPr>
        <w:t>PMID: 24719900</w:t>
      </w:r>
      <w:r w:rsidRPr="00ED0648">
        <w:rPr>
          <w:rFonts w:ascii="Book Antiqua" w:hAnsi="Book Antiqua"/>
          <w:sz w:val="24"/>
          <w:szCs w:val="24"/>
        </w:rPr>
        <w:t>]</w:t>
      </w:r>
    </w:p>
    <w:p w14:paraId="2CAD65BA" w14:textId="77777777" w:rsidR="00ED0648" w:rsidRPr="00ED0648" w:rsidRDefault="00ED0648" w:rsidP="00ED0648">
      <w:pPr>
        <w:adjustRightInd w:val="0"/>
        <w:snapToGrid w:val="0"/>
        <w:spacing w:after="0" w:line="360" w:lineRule="auto"/>
        <w:jc w:val="both"/>
        <w:rPr>
          <w:rFonts w:ascii="Book Antiqua" w:hAnsi="Book Antiqua"/>
          <w:sz w:val="24"/>
          <w:szCs w:val="24"/>
        </w:rPr>
      </w:pPr>
      <w:r w:rsidRPr="00ED0648">
        <w:rPr>
          <w:rFonts w:ascii="Book Antiqua" w:hAnsi="Book Antiqua"/>
          <w:sz w:val="24"/>
          <w:szCs w:val="24"/>
        </w:rPr>
        <w:t xml:space="preserve">55 </w:t>
      </w:r>
      <w:r w:rsidRPr="00ED0648">
        <w:rPr>
          <w:rFonts w:ascii="Book Antiqua" w:hAnsi="Book Antiqua"/>
          <w:b/>
          <w:sz w:val="24"/>
          <w:szCs w:val="24"/>
        </w:rPr>
        <w:t>Castell DO</w:t>
      </w:r>
      <w:r w:rsidRPr="00ED0648">
        <w:rPr>
          <w:rFonts w:ascii="Book Antiqua" w:hAnsi="Book Antiqua"/>
          <w:sz w:val="24"/>
          <w:szCs w:val="24"/>
        </w:rPr>
        <w:t xml:space="preserve">, Kahrilas PJ, Richter JE, Vakil NB, Johnson DA, Zuckerman S, Skammer W, Levine JG. Esomeprazole (40 mg) compared with lansoprazole (30 mg) in the treatment of erosive esophagitis. </w:t>
      </w:r>
      <w:r w:rsidRPr="00ED0648">
        <w:rPr>
          <w:rFonts w:ascii="Book Antiqua" w:hAnsi="Book Antiqua"/>
          <w:i/>
          <w:sz w:val="24"/>
          <w:szCs w:val="24"/>
        </w:rPr>
        <w:t>Am J Gastroenterol</w:t>
      </w:r>
      <w:r w:rsidRPr="00ED0648">
        <w:rPr>
          <w:rFonts w:ascii="Book Antiqua" w:hAnsi="Book Antiqua"/>
          <w:sz w:val="24"/>
          <w:szCs w:val="24"/>
        </w:rPr>
        <w:t xml:space="preserve"> 2002; </w:t>
      </w:r>
      <w:r w:rsidRPr="00ED0648">
        <w:rPr>
          <w:rFonts w:ascii="Book Antiqua" w:hAnsi="Book Antiqua"/>
          <w:b/>
          <w:sz w:val="24"/>
          <w:szCs w:val="24"/>
        </w:rPr>
        <w:t>97</w:t>
      </w:r>
      <w:r w:rsidRPr="00ED0648">
        <w:rPr>
          <w:rFonts w:ascii="Book Antiqua" w:hAnsi="Book Antiqua"/>
          <w:sz w:val="24"/>
          <w:szCs w:val="24"/>
        </w:rPr>
        <w:t>: 575-583 [PMID: 11922549 DOI: 10.1111/j.1572-0241.2002.05532.x]</w:t>
      </w:r>
    </w:p>
    <w:p w14:paraId="13246D7C" w14:textId="77777777" w:rsidR="00ED0648" w:rsidRPr="00ED0648" w:rsidRDefault="00ED0648" w:rsidP="00ED0648">
      <w:pPr>
        <w:adjustRightInd w:val="0"/>
        <w:snapToGrid w:val="0"/>
        <w:spacing w:after="0" w:line="360" w:lineRule="auto"/>
        <w:jc w:val="both"/>
        <w:rPr>
          <w:rFonts w:ascii="Book Antiqua" w:hAnsi="Book Antiqua"/>
          <w:sz w:val="24"/>
          <w:szCs w:val="24"/>
        </w:rPr>
      </w:pPr>
      <w:r w:rsidRPr="00ED0648">
        <w:rPr>
          <w:rFonts w:ascii="Book Antiqua" w:hAnsi="Book Antiqua"/>
          <w:sz w:val="24"/>
          <w:szCs w:val="24"/>
        </w:rPr>
        <w:t xml:space="preserve">56 </w:t>
      </w:r>
      <w:r w:rsidRPr="00ED0648">
        <w:rPr>
          <w:rFonts w:ascii="Book Antiqua" w:hAnsi="Book Antiqua"/>
          <w:b/>
          <w:sz w:val="24"/>
          <w:szCs w:val="24"/>
        </w:rPr>
        <w:t>Gyawali CP</w:t>
      </w:r>
      <w:r w:rsidRPr="00ED0648">
        <w:rPr>
          <w:rFonts w:ascii="Book Antiqua" w:hAnsi="Book Antiqua"/>
          <w:sz w:val="24"/>
          <w:szCs w:val="24"/>
        </w:rPr>
        <w:t xml:space="preserve">, Fass R. Management of Gastroesophageal Reflux Disease. </w:t>
      </w:r>
      <w:r w:rsidRPr="00ED0648">
        <w:rPr>
          <w:rFonts w:ascii="Book Antiqua" w:hAnsi="Book Antiqua"/>
          <w:i/>
          <w:sz w:val="24"/>
          <w:szCs w:val="24"/>
        </w:rPr>
        <w:t>Gastroenterology</w:t>
      </w:r>
      <w:r w:rsidRPr="00ED0648">
        <w:rPr>
          <w:rFonts w:ascii="Book Antiqua" w:hAnsi="Book Antiqua"/>
          <w:sz w:val="24"/>
          <w:szCs w:val="24"/>
        </w:rPr>
        <w:t xml:space="preserve"> 2018; </w:t>
      </w:r>
      <w:r w:rsidRPr="00ED0648">
        <w:rPr>
          <w:rFonts w:ascii="Book Antiqua" w:hAnsi="Book Antiqua"/>
          <w:b/>
          <w:sz w:val="24"/>
          <w:szCs w:val="24"/>
        </w:rPr>
        <w:t>154</w:t>
      </w:r>
      <w:r w:rsidRPr="00ED0648">
        <w:rPr>
          <w:rFonts w:ascii="Book Antiqua" w:hAnsi="Book Antiqua"/>
          <w:sz w:val="24"/>
          <w:szCs w:val="24"/>
        </w:rPr>
        <w:t>: 302-318 [PMID: 28827081 DOI: 10.1053/j.gastro.2017.07.049]</w:t>
      </w:r>
    </w:p>
    <w:p w14:paraId="7788EA83" w14:textId="77777777" w:rsidR="00ED0648" w:rsidRPr="00ED0648" w:rsidRDefault="00ED0648" w:rsidP="00ED0648">
      <w:pPr>
        <w:adjustRightInd w:val="0"/>
        <w:snapToGrid w:val="0"/>
        <w:spacing w:after="0" w:line="360" w:lineRule="auto"/>
        <w:jc w:val="both"/>
        <w:rPr>
          <w:rFonts w:ascii="Book Antiqua" w:hAnsi="Book Antiqua"/>
          <w:sz w:val="24"/>
          <w:szCs w:val="24"/>
        </w:rPr>
      </w:pPr>
      <w:r w:rsidRPr="00ED0648">
        <w:rPr>
          <w:rFonts w:ascii="Book Antiqua" w:hAnsi="Book Antiqua"/>
          <w:sz w:val="24"/>
          <w:szCs w:val="24"/>
        </w:rPr>
        <w:t xml:space="preserve">57 </w:t>
      </w:r>
      <w:r w:rsidRPr="00ED0648">
        <w:rPr>
          <w:rFonts w:ascii="Book Antiqua" w:hAnsi="Book Antiqua"/>
          <w:b/>
          <w:sz w:val="24"/>
          <w:szCs w:val="24"/>
        </w:rPr>
        <w:t>Kahrilas PJ</w:t>
      </w:r>
      <w:r w:rsidRPr="00ED0648">
        <w:rPr>
          <w:rFonts w:ascii="Book Antiqua" w:hAnsi="Book Antiqua"/>
          <w:sz w:val="24"/>
          <w:szCs w:val="24"/>
        </w:rPr>
        <w:t xml:space="preserve">, Shaheen NJ, Vaezi MF, Hiltz SW, Black E, Modlin IM, Johnson SP, Allen J, Brill JV; American Gastroenterological Association. American Gastroenterological </w:t>
      </w:r>
      <w:r w:rsidRPr="00ED0648">
        <w:rPr>
          <w:rFonts w:ascii="Book Antiqua" w:hAnsi="Book Antiqua"/>
          <w:sz w:val="24"/>
          <w:szCs w:val="24"/>
        </w:rPr>
        <w:lastRenderedPageBreak/>
        <w:t xml:space="preserve">Association Medical Position Statement on the management of gastroesophageal reflux disease. </w:t>
      </w:r>
      <w:r w:rsidRPr="00ED0648">
        <w:rPr>
          <w:rFonts w:ascii="Book Antiqua" w:hAnsi="Book Antiqua"/>
          <w:i/>
          <w:sz w:val="24"/>
          <w:szCs w:val="24"/>
        </w:rPr>
        <w:t>Gastroenterology</w:t>
      </w:r>
      <w:r w:rsidRPr="00ED0648">
        <w:rPr>
          <w:rFonts w:ascii="Book Antiqua" w:hAnsi="Book Antiqua"/>
          <w:sz w:val="24"/>
          <w:szCs w:val="24"/>
        </w:rPr>
        <w:t xml:space="preserve"> 2008; </w:t>
      </w:r>
      <w:r w:rsidRPr="00ED0648">
        <w:rPr>
          <w:rFonts w:ascii="Book Antiqua" w:hAnsi="Book Antiqua"/>
          <w:b/>
          <w:sz w:val="24"/>
          <w:szCs w:val="24"/>
        </w:rPr>
        <w:t>135</w:t>
      </w:r>
      <w:r w:rsidRPr="00ED0648">
        <w:rPr>
          <w:rFonts w:ascii="Book Antiqua" w:hAnsi="Book Antiqua"/>
          <w:sz w:val="24"/>
          <w:szCs w:val="24"/>
        </w:rPr>
        <w:t>: 1383-1391, 1391.e1-1391.e5 [PMID: 18789939 DOI: 10.1053/j.gastro.2008.08.045]</w:t>
      </w:r>
    </w:p>
    <w:p w14:paraId="5A9993D5" w14:textId="28ACB8B6" w:rsidR="00ED0648" w:rsidRPr="00ED0648" w:rsidRDefault="00ED0648" w:rsidP="00ED0648">
      <w:pPr>
        <w:adjustRightInd w:val="0"/>
        <w:snapToGrid w:val="0"/>
        <w:spacing w:after="0" w:line="360" w:lineRule="auto"/>
        <w:jc w:val="both"/>
        <w:rPr>
          <w:rFonts w:ascii="Book Antiqua" w:hAnsi="Book Antiqua"/>
          <w:sz w:val="24"/>
          <w:szCs w:val="24"/>
        </w:rPr>
      </w:pPr>
      <w:r w:rsidRPr="00ED0648">
        <w:rPr>
          <w:rFonts w:ascii="Book Antiqua" w:hAnsi="Book Antiqua"/>
          <w:sz w:val="24"/>
          <w:szCs w:val="24"/>
        </w:rPr>
        <w:t xml:space="preserve">58 </w:t>
      </w:r>
      <w:r w:rsidRPr="009C610A">
        <w:rPr>
          <w:rFonts w:ascii="Book Antiqua" w:hAnsi="Book Antiqua"/>
          <w:b/>
          <w:bCs/>
          <w:sz w:val="24"/>
          <w:szCs w:val="24"/>
        </w:rPr>
        <w:t>Gastroesophageal reflux disease (GERD)</w:t>
      </w:r>
      <w:r w:rsidRPr="00ED0648">
        <w:rPr>
          <w:rFonts w:ascii="Book Antiqua" w:hAnsi="Book Antiqua"/>
          <w:sz w:val="24"/>
          <w:szCs w:val="24"/>
        </w:rPr>
        <w:t>.</w:t>
      </w:r>
      <w:r w:rsidR="009C610A">
        <w:rPr>
          <w:rFonts w:ascii="Book Antiqua" w:hAnsi="Book Antiqua"/>
          <w:sz w:val="24"/>
          <w:szCs w:val="24"/>
        </w:rPr>
        <w:t xml:space="preserve"> </w:t>
      </w:r>
      <w:r w:rsidRPr="00ED0648">
        <w:rPr>
          <w:rFonts w:ascii="Book Antiqua" w:hAnsi="Book Antiqua"/>
          <w:sz w:val="24"/>
          <w:szCs w:val="24"/>
        </w:rPr>
        <w:t>National Guideline Clearinghouse. Rockville MD: Agency for Healthcare Research and Quality (AHRQ), 2018</w:t>
      </w:r>
    </w:p>
    <w:p w14:paraId="50C9301D" w14:textId="77777777" w:rsidR="00ED0648" w:rsidRPr="00ED0648" w:rsidRDefault="00ED0648" w:rsidP="00ED0648">
      <w:pPr>
        <w:adjustRightInd w:val="0"/>
        <w:snapToGrid w:val="0"/>
        <w:spacing w:after="0" w:line="360" w:lineRule="auto"/>
        <w:jc w:val="both"/>
        <w:rPr>
          <w:rFonts w:ascii="Book Antiqua" w:hAnsi="Book Antiqua"/>
          <w:sz w:val="24"/>
          <w:szCs w:val="24"/>
        </w:rPr>
      </w:pPr>
      <w:r w:rsidRPr="00ED0648">
        <w:rPr>
          <w:rFonts w:ascii="Book Antiqua" w:hAnsi="Book Antiqua"/>
          <w:sz w:val="24"/>
          <w:szCs w:val="24"/>
        </w:rPr>
        <w:t xml:space="preserve">59 </w:t>
      </w:r>
      <w:r w:rsidRPr="009C610A">
        <w:rPr>
          <w:rFonts w:ascii="Book Antiqua" w:hAnsi="Book Antiqua"/>
          <w:b/>
          <w:bCs/>
          <w:sz w:val="24"/>
          <w:szCs w:val="24"/>
        </w:rPr>
        <w:t>University of Michigan Health System</w:t>
      </w:r>
      <w:r w:rsidRPr="00ED0648">
        <w:rPr>
          <w:rFonts w:ascii="Book Antiqua" w:hAnsi="Book Antiqua"/>
          <w:sz w:val="24"/>
          <w:szCs w:val="24"/>
        </w:rPr>
        <w:t>. Gastroesophageal reflux disease (GERD). Ann Arbor (MI): University of Michigan Health System, 2012: Critical Care Guidelines</w:t>
      </w:r>
    </w:p>
    <w:p w14:paraId="5147AB4A" w14:textId="77777777" w:rsidR="00ED0648" w:rsidRPr="00ED0648" w:rsidRDefault="00ED0648" w:rsidP="00ED0648">
      <w:pPr>
        <w:adjustRightInd w:val="0"/>
        <w:snapToGrid w:val="0"/>
        <w:spacing w:after="0" w:line="360" w:lineRule="auto"/>
        <w:jc w:val="both"/>
        <w:rPr>
          <w:rFonts w:ascii="Book Antiqua" w:hAnsi="Book Antiqua"/>
          <w:sz w:val="24"/>
          <w:szCs w:val="24"/>
        </w:rPr>
      </w:pPr>
      <w:r w:rsidRPr="00ED0648">
        <w:rPr>
          <w:rFonts w:ascii="Book Antiqua" w:hAnsi="Book Antiqua"/>
          <w:sz w:val="24"/>
          <w:szCs w:val="24"/>
        </w:rPr>
        <w:t>60 United States Census Bureau. U.S. and World Population Clock - Census Bureau. 2018</w:t>
      </w:r>
    </w:p>
    <w:p w14:paraId="45831F28" w14:textId="77777777" w:rsidR="00ED0648" w:rsidRPr="00ED0648" w:rsidRDefault="00ED0648" w:rsidP="00ED0648">
      <w:pPr>
        <w:adjustRightInd w:val="0"/>
        <w:snapToGrid w:val="0"/>
        <w:spacing w:after="0" w:line="360" w:lineRule="auto"/>
        <w:jc w:val="both"/>
        <w:rPr>
          <w:rFonts w:ascii="Book Antiqua" w:hAnsi="Book Antiqua"/>
          <w:sz w:val="24"/>
          <w:szCs w:val="24"/>
        </w:rPr>
      </w:pPr>
      <w:r w:rsidRPr="00ED0648">
        <w:rPr>
          <w:rFonts w:ascii="Book Antiqua" w:hAnsi="Book Antiqua"/>
          <w:sz w:val="24"/>
          <w:szCs w:val="24"/>
        </w:rPr>
        <w:t xml:space="preserve">61 </w:t>
      </w:r>
      <w:r w:rsidRPr="00ED0648">
        <w:rPr>
          <w:rFonts w:ascii="Book Antiqua" w:hAnsi="Book Antiqua"/>
          <w:b/>
          <w:sz w:val="24"/>
          <w:szCs w:val="24"/>
        </w:rPr>
        <w:t>Kahrilas PJ</w:t>
      </w:r>
      <w:r w:rsidRPr="00ED0648">
        <w:rPr>
          <w:rFonts w:ascii="Book Antiqua" w:hAnsi="Book Antiqua"/>
          <w:sz w:val="24"/>
          <w:szCs w:val="24"/>
        </w:rPr>
        <w:t xml:space="preserve">, Boeckxstaens G, Smout AJ. Management of the patient with incomplete response to PPI therapy. </w:t>
      </w:r>
      <w:r w:rsidRPr="00ED0648">
        <w:rPr>
          <w:rFonts w:ascii="Book Antiqua" w:hAnsi="Book Antiqua"/>
          <w:i/>
          <w:sz w:val="24"/>
          <w:szCs w:val="24"/>
        </w:rPr>
        <w:t>Best Pract Res Clin Gastroenterol</w:t>
      </w:r>
      <w:r w:rsidRPr="00ED0648">
        <w:rPr>
          <w:rFonts w:ascii="Book Antiqua" w:hAnsi="Book Antiqua"/>
          <w:sz w:val="24"/>
          <w:szCs w:val="24"/>
        </w:rPr>
        <w:t xml:space="preserve"> 2013; </w:t>
      </w:r>
      <w:r w:rsidRPr="00ED0648">
        <w:rPr>
          <w:rFonts w:ascii="Book Antiqua" w:hAnsi="Book Antiqua"/>
          <w:b/>
          <w:sz w:val="24"/>
          <w:szCs w:val="24"/>
        </w:rPr>
        <w:t>27</w:t>
      </w:r>
      <w:r w:rsidRPr="00ED0648">
        <w:rPr>
          <w:rFonts w:ascii="Book Antiqua" w:hAnsi="Book Antiqua"/>
          <w:sz w:val="24"/>
          <w:szCs w:val="24"/>
        </w:rPr>
        <w:t>: 401-414 [PMID: 23998978 DOI: 10.1016/j.bpg.2013.06.005]</w:t>
      </w:r>
    </w:p>
    <w:p w14:paraId="524F233D" w14:textId="77777777" w:rsidR="00ED0648" w:rsidRPr="00ED0648" w:rsidRDefault="00ED0648" w:rsidP="00ED0648">
      <w:pPr>
        <w:adjustRightInd w:val="0"/>
        <w:snapToGrid w:val="0"/>
        <w:spacing w:after="0" w:line="360" w:lineRule="auto"/>
        <w:jc w:val="both"/>
        <w:rPr>
          <w:rFonts w:ascii="Book Antiqua" w:hAnsi="Book Antiqua"/>
          <w:sz w:val="24"/>
          <w:szCs w:val="24"/>
        </w:rPr>
      </w:pPr>
      <w:r w:rsidRPr="00ED0648">
        <w:rPr>
          <w:rFonts w:ascii="Book Antiqua" w:hAnsi="Book Antiqua"/>
          <w:sz w:val="24"/>
          <w:szCs w:val="24"/>
        </w:rPr>
        <w:t xml:space="preserve">62 </w:t>
      </w:r>
      <w:r w:rsidRPr="00ED0648">
        <w:rPr>
          <w:rFonts w:ascii="Book Antiqua" w:hAnsi="Book Antiqua"/>
          <w:b/>
          <w:sz w:val="24"/>
          <w:szCs w:val="24"/>
        </w:rPr>
        <w:t>El-Serag HB</w:t>
      </w:r>
      <w:r w:rsidRPr="00ED0648">
        <w:rPr>
          <w:rFonts w:ascii="Book Antiqua" w:hAnsi="Book Antiqua"/>
          <w:sz w:val="24"/>
          <w:szCs w:val="24"/>
        </w:rPr>
        <w:t xml:space="preserve">, Fitzgerald S, Richardson P. The extent and determinants of prescribing and adherence with acid-reducing medications: a national claims database study. </w:t>
      </w:r>
      <w:r w:rsidRPr="00ED0648">
        <w:rPr>
          <w:rFonts w:ascii="Book Antiqua" w:hAnsi="Book Antiqua"/>
          <w:i/>
          <w:sz w:val="24"/>
          <w:szCs w:val="24"/>
        </w:rPr>
        <w:t>Am J Gastroenterol</w:t>
      </w:r>
      <w:r w:rsidRPr="00ED0648">
        <w:rPr>
          <w:rFonts w:ascii="Book Antiqua" w:hAnsi="Book Antiqua"/>
          <w:sz w:val="24"/>
          <w:szCs w:val="24"/>
        </w:rPr>
        <w:t xml:space="preserve"> 2009; </w:t>
      </w:r>
      <w:r w:rsidRPr="00ED0648">
        <w:rPr>
          <w:rFonts w:ascii="Book Antiqua" w:hAnsi="Book Antiqua"/>
          <w:b/>
          <w:sz w:val="24"/>
          <w:szCs w:val="24"/>
        </w:rPr>
        <w:t>104</w:t>
      </w:r>
      <w:r w:rsidRPr="00ED0648">
        <w:rPr>
          <w:rFonts w:ascii="Book Antiqua" w:hAnsi="Book Antiqua"/>
          <w:sz w:val="24"/>
          <w:szCs w:val="24"/>
        </w:rPr>
        <w:t>: 2161-2167 [PMID: 19568229 DOI: 10.1038/ajg.2009.312]</w:t>
      </w:r>
    </w:p>
    <w:p w14:paraId="4107AF9B" w14:textId="77777777" w:rsidR="00ED0648" w:rsidRPr="00ED0648" w:rsidRDefault="00ED0648" w:rsidP="00ED0648">
      <w:pPr>
        <w:adjustRightInd w:val="0"/>
        <w:snapToGrid w:val="0"/>
        <w:spacing w:after="0" w:line="360" w:lineRule="auto"/>
        <w:jc w:val="both"/>
        <w:rPr>
          <w:rFonts w:ascii="Book Antiqua" w:hAnsi="Book Antiqua"/>
          <w:sz w:val="24"/>
          <w:szCs w:val="24"/>
        </w:rPr>
      </w:pPr>
      <w:r w:rsidRPr="00ED0648">
        <w:rPr>
          <w:rFonts w:ascii="Book Antiqua" w:hAnsi="Book Antiqua"/>
          <w:sz w:val="24"/>
          <w:szCs w:val="24"/>
        </w:rPr>
        <w:t xml:space="preserve">63 </w:t>
      </w:r>
      <w:r w:rsidRPr="00ED0648">
        <w:rPr>
          <w:rFonts w:ascii="Book Antiqua" w:hAnsi="Book Antiqua"/>
          <w:b/>
          <w:sz w:val="24"/>
          <w:szCs w:val="24"/>
        </w:rPr>
        <w:t>Kleiman DA</w:t>
      </w:r>
      <w:r w:rsidRPr="00ED0648">
        <w:rPr>
          <w:rFonts w:ascii="Book Antiqua" w:hAnsi="Book Antiqua"/>
          <w:sz w:val="24"/>
          <w:szCs w:val="24"/>
        </w:rPr>
        <w:t xml:space="preserve">, Sporn MJ, Beninato T, Metz Y, Crawford C, Fahey TJ 3rd, Zarnegar R. Early referral for 24-h esophageal pH monitoring may prevent unnecessary treatment with acid-reducing medications. </w:t>
      </w:r>
      <w:r w:rsidRPr="00ED0648">
        <w:rPr>
          <w:rFonts w:ascii="Book Antiqua" w:hAnsi="Book Antiqua"/>
          <w:i/>
          <w:sz w:val="24"/>
          <w:szCs w:val="24"/>
        </w:rPr>
        <w:t>Surg Endosc</w:t>
      </w:r>
      <w:r w:rsidRPr="00ED0648">
        <w:rPr>
          <w:rFonts w:ascii="Book Antiqua" w:hAnsi="Book Antiqua"/>
          <w:sz w:val="24"/>
          <w:szCs w:val="24"/>
        </w:rPr>
        <w:t xml:space="preserve"> 2013; </w:t>
      </w:r>
      <w:r w:rsidRPr="00ED0648">
        <w:rPr>
          <w:rFonts w:ascii="Book Antiqua" w:hAnsi="Book Antiqua"/>
          <w:b/>
          <w:sz w:val="24"/>
          <w:szCs w:val="24"/>
        </w:rPr>
        <w:t>27</w:t>
      </w:r>
      <w:r w:rsidRPr="00ED0648">
        <w:rPr>
          <w:rFonts w:ascii="Book Antiqua" w:hAnsi="Book Antiqua"/>
          <w:sz w:val="24"/>
          <w:szCs w:val="24"/>
        </w:rPr>
        <w:t>: 1302-1309 [PMID: 23232999 DOI: 10.1007/s00464-012-2602-z]</w:t>
      </w:r>
    </w:p>
    <w:p w14:paraId="5EE89BFB" w14:textId="77777777" w:rsidR="00ED0648" w:rsidRPr="00ED0648" w:rsidRDefault="00ED0648" w:rsidP="00ED0648">
      <w:pPr>
        <w:adjustRightInd w:val="0"/>
        <w:snapToGrid w:val="0"/>
        <w:spacing w:after="0" w:line="360" w:lineRule="auto"/>
        <w:jc w:val="both"/>
        <w:rPr>
          <w:rFonts w:ascii="Book Antiqua" w:hAnsi="Book Antiqua"/>
          <w:sz w:val="24"/>
          <w:szCs w:val="24"/>
        </w:rPr>
      </w:pPr>
      <w:r w:rsidRPr="00ED0648">
        <w:rPr>
          <w:rFonts w:ascii="Book Antiqua" w:hAnsi="Book Antiqua"/>
          <w:sz w:val="24"/>
          <w:szCs w:val="24"/>
        </w:rPr>
        <w:t xml:space="preserve">64 </w:t>
      </w:r>
      <w:r w:rsidRPr="00ED0648">
        <w:rPr>
          <w:rFonts w:ascii="Book Antiqua" w:hAnsi="Book Antiqua"/>
          <w:b/>
          <w:sz w:val="24"/>
          <w:szCs w:val="24"/>
        </w:rPr>
        <w:t>Kandulski A</w:t>
      </w:r>
      <w:r w:rsidRPr="00ED0648">
        <w:rPr>
          <w:rFonts w:ascii="Book Antiqua" w:hAnsi="Book Antiqua"/>
          <w:sz w:val="24"/>
          <w:szCs w:val="24"/>
        </w:rPr>
        <w:t xml:space="preserve">, Peitz U, Mönkemüller K, Neumann H, Weigt J, Malfertheiner P. GERD assessment including pH metry predicts a high response rate to PPI standard therapy. </w:t>
      </w:r>
      <w:r w:rsidRPr="00ED0648">
        <w:rPr>
          <w:rFonts w:ascii="Book Antiqua" w:hAnsi="Book Antiqua"/>
          <w:i/>
          <w:sz w:val="24"/>
          <w:szCs w:val="24"/>
        </w:rPr>
        <w:t>BMC Gastroenterol</w:t>
      </w:r>
      <w:r w:rsidRPr="00ED0648">
        <w:rPr>
          <w:rFonts w:ascii="Book Antiqua" w:hAnsi="Book Antiqua"/>
          <w:sz w:val="24"/>
          <w:szCs w:val="24"/>
        </w:rPr>
        <w:t xml:space="preserve"> 2013; </w:t>
      </w:r>
      <w:r w:rsidRPr="00ED0648">
        <w:rPr>
          <w:rFonts w:ascii="Book Antiqua" w:hAnsi="Book Antiqua"/>
          <w:b/>
          <w:sz w:val="24"/>
          <w:szCs w:val="24"/>
        </w:rPr>
        <w:t>13</w:t>
      </w:r>
      <w:r w:rsidRPr="00ED0648">
        <w:rPr>
          <w:rFonts w:ascii="Book Antiqua" w:hAnsi="Book Antiqua"/>
          <w:sz w:val="24"/>
          <w:szCs w:val="24"/>
        </w:rPr>
        <w:t>: 12 [PMID: 23324360 DOI: 10.1186/1471-230x-13-12]</w:t>
      </w:r>
    </w:p>
    <w:p w14:paraId="1CB4E1C0" w14:textId="77777777" w:rsidR="00ED0648" w:rsidRPr="00ED0648" w:rsidRDefault="00ED0648" w:rsidP="00ED0648">
      <w:pPr>
        <w:adjustRightInd w:val="0"/>
        <w:snapToGrid w:val="0"/>
        <w:spacing w:after="0" w:line="360" w:lineRule="auto"/>
        <w:jc w:val="both"/>
        <w:rPr>
          <w:rFonts w:ascii="Book Antiqua" w:hAnsi="Book Antiqua"/>
          <w:sz w:val="24"/>
          <w:szCs w:val="24"/>
        </w:rPr>
      </w:pPr>
      <w:r w:rsidRPr="00ED0648">
        <w:rPr>
          <w:rFonts w:ascii="Book Antiqua" w:hAnsi="Book Antiqua"/>
          <w:sz w:val="24"/>
          <w:szCs w:val="24"/>
        </w:rPr>
        <w:t xml:space="preserve">65 </w:t>
      </w:r>
      <w:r w:rsidRPr="00ED0648">
        <w:rPr>
          <w:rFonts w:ascii="Book Antiqua" w:hAnsi="Book Antiqua"/>
          <w:b/>
          <w:sz w:val="24"/>
          <w:szCs w:val="24"/>
        </w:rPr>
        <w:t>Lacy BE</w:t>
      </w:r>
      <w:r w:rsidRPr="00ED0648">
        <w:rPr>
          <w:rFonts w:ascii="Book Antiqua" w:hAnsi="Book Antiqua"/>
          <w:sz w:val="24"/>
          <w:szCs w:val="24"/>
        </w:rPr>
        <w:t xml:space="preserve">, Chehade R, Crowell MD. A prospective study to compare a symptom-based reflux disease questionnaire to 48-h wireless pH monitoring for the identification of gastroesophageal reflux (revised 2-26-11). </w:t>
      </w:r>
      <w:r w:rsidRPr="00ED0648">
        <w:rPr>
          <w:rFonts w:ascii="Book Antiqua" w:hAnsi="Book Antiqua"/>
          <w:i/>
          <w:sz w:val="24"/>
          <w:szCs w:val="24"/>
        </w:rPr>
        <w:t>Am J Gastroenterol</w:t>
      </w:r>
      <w:r w:rsidRPr="00ED0648">
        <w:rPr>
          <w:rFonts w:ascii="Book Antiqua" w:hAnsi="Book Antiqua"/>
          <w:sz w:val="24"/>
          <w:szCs w:val="24"/>
        </w:rPr>
        <w:t xml:space="preserve"> 2011; </w:t>
      </w:r>
      <w:r w:rsidRPr="00ED0648">
        <w:rPr>
          <w:rFonts w:ascii="Book Antiqua" w:hAnsi="Book Antiqua"/>
          <w:b/>
          <w:sz w:val="24"/>
          <w:szCs w:val="24"/>
        </w:rPr>
        <w:t>106</w:t>
      </w:r>
      <w:r w:rsidRPr="00ED0648">
        <w:rPr>
          <w:rFonts w:ascii="Book Antiqua" w:hAnsi="Book Antiqua"/>
          <w:sz w:val="24"/>
          <w:szCs w:val="24"/>
        </w:rPr>
        <w:t>: 1604-1611 [PMID: 21691342 DOI: 10.1038/ajg.2011.180]</w:t>
      </w:r>
    </w:p>
    <w:p w14:paraId="62453600" w14:textId="77777777" w:rsidR="00ED0648" w:rsidRPr="00ED0648" w:rsidRDefault="00ED0648" w:rsidP="00ED0648">
      <w:pPr>
        <w:adjustRightInd w:val="0"/>
        <w:snapToGrid w:val="0"/>
        <w:spacing w:after="0" w:line="360" w:lineRule="auto"/>
        <w:jc w:val="both"/>
        <w:rPr>
          <w:rFonts w:ascii="Book Antiqua" w:hAnsi="Book Antiqua"/>
          <w:sz w:val="24"/>
          <w:szCs w:val="24"/>
        </w:rPr>
      </w:pPr>
      <w:r w:rsidRPr="00ED0648">
        <w:rPr>
          <w:rFonts w:ascii="Book Antiqua" w:hAnsi="Book Antiqua"/>
          <w:sz w:val="24"/>
          <w:szCs w:val="24"/>
        </w:rPr>
        <w:t xml:space="preserve">66 </w:t>
      </w:r>
      <w:r w:rsidRPr="00ED0648">
        <w:rPr>
          <w:rFonts w:ascii="Book Antiqua" w:hAnsi="Book Antiqua"/>
          <w:b/>
          <w:sz w:val="24"/>
          <w:szCs w:val="24"/>
        </w:rPr>
        <w:t>Kushnir VM</w:t>
      </w:r>
      <w:r w:rsidRPr="00ED0648">
        <w:rPr>
          <w:rFonts w:ascii="Book Antiqua" w:hAnsi="Book Antiqua"/>
          <w:sz w:val="24"/>
          <w:szCs w:val="24"/>
        </w:rPr>
        <w:t xml:space="preserve">, Sayuk GS, Gyawali CP. Abnormal GERD parameters on ambulatory pH monitoring predict therapeutic success in noncardiac chest pain. </w:t>
      </w:r>
      <w:r w:rsidRPr="00ED0648">
        <w:rPr>
          <w:rFonts w:ascii="Book Antiqua" w:hAnsi="Book Antiqua"/>
          <w:i/>
          <w:sz w:val="24"/>
          <w:szCs w:val="24"/>
        </w:rPr>
        <w:t>Am J Gastroenterol</w:t>
      </w:r>
      <w:r w:rsidRPr="00ED0648">
        <w:rPr>
          <w:rFonts w:ascii="Book Antiqua" w:hAnsi="Book Antiqua"/>
          <w:sz w:val="24"/>
          <w:szCs w:val="24"/>
        </w:rPr>
        <w:t xml:space="preserve"> 2010; </w:t>
      </w:r>
      <w:r w:rsidRPr="00ED0648">
        <w:rPr>
          <w:rFonts w:ascii="Book Antiqua" w:hAnsi="Book Antiqua"/>
          <w:b/>
          <w:sz w:val="24"/>
          <w:szCs w:val="24"/>
        </w:rPr>
        <w:t>105</w:t>
      </w:r>
      <w:r w:rsidRPr="00ED0648">
        <w:rPr>
          <w:rFonts w:ascii="Book Antiqua" w:hAnsi="Book Antiqua"/>
          <w:sz w:val="24"/>
          <w:szCs w:val="24"/>
        </w:rPr>
        <w:t>: 1032-1038 [PMID: 19920808 DOI: 10.1038/ajg.2009.646]</w:t>
      </w:r>
    </w:p>
    <w:p w14:paraId="14358122" w14:textId="77777777" w:rsidR="00ED0648" w:rsidRPr="00ED0648" w:rsidRDefault="00ED0648" w:rsidP="00ED0648">
      <w:pPr>
        <w:adjustRightInd w:val="0"/>
        <w:snapToGrid w:val="0"/>
        <w:spacing w:after="0" w:line="360" w:lineRule="auto"/>
        <w:jc w:val="both"/>
        <w:rPr>
          <w:rFonts w:ascii="Book Antiqua" w:hAnsi="Book Antiqua"/>
          <w:sz w:val="24"/>
          <w:szCs w:val="24"/>
        </w:rPr>
      </w:pPr>
      <w:r w:rsidRPr="00ED0648">
        <w:rPr>
          <w:rFonts w:ascii="Book Antiqua" w:hAnsi="Book Antiqua"/>
          <w:sz w:val="24"/>
          <w:szCs w:val="24"/>
        </w:rPr>
        <w:lastRenderedPageBreak/>
        <w:t xml:space="preserve">67 </w:t>
      </w:r>
      <w:r w:rsidRPr="00ED0648">
        <w:rPr>
          <w:rFonts w:ascii="Book Antiqua" w:hAnsi="Book Antiqua"/>
          <w:b/>
          <w:sz w:val="24"/>
          <w:szCs w:val="24"/>
        </w:rPr>
        <w:t>Patel A</w:t>
      </w:r>
      <w:r w:rsidRPr="00ED0648">
        <w:rPr>
          <w:rFonts w:ascii="Book Antiqua" w:hAnsi="Book Antiqua"/>
          <w:sz w:val="24"/>
          <w:szCs w:val="24"/>
        </w:rPr>
        <w:t xml:space="preserve">, Sayuk GS, Gyawali CP. Parameters on esophageal pH-impedance monitoring that predict outcomes of patients with gastroesophageal reflux disease. </w:t>
      </w:r>
      <w:r w:rsidRPr="00ED0648">
        <w:rPr>
          <w:rFonts w:ascii="Book Antiqua" w:hAnsi="Book Antiqua"/>
          <w:i/>
          <w:sz w:val="24"/>
          <w:szCs w:val="24"/>
        </w:rPr>
        <w:t>Clin Gastroenterol Hepatol</w:t>
      </w:r>
      <w:r w:rsidRPr="00ED0648">
        <w:rPr>
          <w:rFonts w:ascii="Book Antiqua" w:hAnsi="Book Antiqua"/>
          <w:sz w:val="24"/>
          <w:szCs w:val="24"/>
        </w:rPr>
        <w:t xml:space="preserve"> 2015; </w:t>
      </w:r>
      <w:r w:rsidRPr="00ED0648">
        <w:rPr>
          <w:rFonts w:ascii="Book Antiqua" w:hAnsi="Book Antiqua"/>
          <w:b/>
          <w:sz w:val="24"/>
          <w:szCs w:val="24"/>
        </w:rPr>
        <w:t>13</w:t>
      </w:r>
      <w:r w:rsidRPr="00ED0648">
        <w:rPr>
          <w:rFonts w:ascii="Book Antiqua" w:hAnsi="Book Antiqua"/>
          <w:sz w:val="24"/>
          <w:szCs w:val="24"/>
        </w:rPr>
        <w:t>: 884-891 [PMID: 25158924 DOI: 10.1016/j.cgh.2014.08.029]</w:t>
      </w:r>
    </w:p>
    <w:p w14:paraId="63A7B4BD" w14:textId="77777777" w:rsidR="00ED0648" w:rsidRPr="00ED0648" w:rsidRDefault="00ED0648" w:rsidP="00ED0648">
      <w:pPr>
        <w:adjustRightInd w:val="0"/>
        <w:snapToGrid w:val="0"/>
        <w:spacing w:after="0" w:line="360" w:lineRule="auto"/>
        <w:jc w:val="both"/>
        <w:rPr>
          <w:rFonts w:ascii="Book Antiqua" w:hAnsi="Book Antiqua"/>
          <w:sz w:val="24"/>
          <w:szCs w:val="24"/>
        </w:rPr>
      </w:pPr>
      <w:r w:rsidRPr="00ED0648">
        <w:rPr>
          <w:rFonts w:ascii="Book Antiqua" w:hAnsi="Book Antiqua"/>
          <w:sz w:val="24"/>
          <w:szCs w:val="24"/>
        </w:rPr>
        <w:t xml:space="preserve">68 </w:t>
      </w:r>
      <w:r w:rsidRPr="00ED0648">
        <w:rPr>
          <w:rFonts w:ascii="Book Antiqua" w:hAnsi="Book Antiqua"/>
          <w:b/>
          <w:sz w:val="24"/>
          <w:szCs w:val="24"/>
        </w:rPr>
        <w:t>Dalton CB</w:t>
      </w:r>
      <w:r w:rsidRPr="00ED0648">
        <w:rPr>
          <w:rFonts w:ascii="Book Antiqua" w:hAnsi="Book Antiqua"/>
          <w:sz w:val="24"/>
          <w:szCs w:val="24"/>
        </w:rPr>
        <w:t xml:space="preserve">, Castell DO, Hewson EG, Wu WC, Richter JE. Diffuse esophageal spasm. A rare motility disorder not characterized by high-amplitude contractions. </w:t>
      </w:r>
      <w:r w:rsidRPr="00ED0648">
        <w:rPr>
          <w:rFonts w:ascii="Book Antiqua" w:hAnsi="Book Antiqua"/>
          <w:i/>
          <w:sz w:val="24"/>
          <w:szCs w:val="24"/>
        </w:rPr>
        <w:t>Dig Dis Sci</w:t>
      </w:r>
      <w:r w:rsidRPr="00ED0648">
        <w:rPr>
          <w:rFonts w:ascii="Book Antiqua" w:hAnsi="Book Antiqua"/>
          <w:sz w:val="24"/>
          <w:szCs w:val="24"/>
        </w:rPr>
        <w:t xml:space="preserve"> 1991; </w:t>
      </w:r>
      <w:r w:rsidRPr="00ED0648">
        <w:rPr>
          <w:rFonts w:ascii="Book Antiqua" w:hAnsi="Book Antiqua"/>
          <w:b/>
          <w:sz w:val="24"/>
          <w:szCs w:val="24"/>
        </w:rPr>
        <w:t>36</w:t>
      </w:r>
      <w:r w:rsidRPr="00ED0648">
        <w:rPr>
          <w:rFonts w:ascii="Book Antiqua" w:hAnsi="Book Antiqua"/>
          <w:sz w:val="24"/>
          <w:szCs w:val="24"/>
        </w:rPr>
        <w:t>: 1025-1028 [PMID: 1864192]</w:t>
      </w:r>
    </w:p>
    <w:p w14:paraId="33CDAA20" w14:textId="77777777" w:rsidR="00ED0648" w:rsidRPr="00ED0648" w:rsidRDefault="00ED0648" w:rsidP="00ED0648">
      <w:pPr>
        <w:adjustRightInd w:val="0"/>
        <w:snapToGrid w:val="0"/>
        <w:spacing w:after="0" w:line="360" w:lineRule="auto"/>
        <w:jc w:val="both"/>
        <w:rPr>
          <w:rFonts w:ascii="Book Antiqua" w:hAnsi="Book Antiqua"/>
          <w:sz w:val="24"/>
          <w:szCs w:val="24"/>
        </w:rPr>
      </w:pPr>
      <w:r w:rsidRPr="00ED0648">
        <w:rPr>
          <w:rFonts w:ascii="Book Antiqua" w:hAnsi="Book Antiqua"/>
          <w:sz w:val="24"/>
          <w:szCs w:val="24"/>
        </w:rPr>
        <w:t xml:space="preserve">69 </w:t>
      </w:r>
      <w:r w:rsidRPr="00ED0648">
        <w:rPr>
          <w:rFonts w:ascii="Book Antiqua" w:hAnsi="Book Antiqua"/>
          <w:b/>
          <w:sz w:val="24"/>
          <w:szCs w:val="24"/>
        </w:rPr>
        <w:t>Katz PO</w:t>
      </w:r>
      <w:r w:rsidRPr="00ED0648">
        <w:rPr>
          <w:rFonts w:ascii="Book Antiqua" w:hAnsi="Book Antiqua"/>
          <w:sz w:val="24"/>
          <w:szCs w:val="24"/>
        </w:rPr>
        <w:t xml:space="preserve">, Dalton CB, Richter JE, Wu WC, Castell DO. Esophageal testing of patients with noncardiac chest pain or dysphagia. Results of three years' experience with 1161 patients. </w:t>
      </w:r>
      <w:r w:rsidRPr="00ED0648">
        <w:rPr>
          <w:rFonts w:ascii="Book Antiqua" w:hAnsi="Book Antiqua"/>
          <w:i/>
          <w:sz w:val="24"/>
          <w:szCs w:val="24"/>
        </w:rPr>
        <w:t>Ann Intern Med</w:t>
      </w:r>
      <w:r w:rsidRPr="00ED0648">
        <w:rPr>
          <w:rFonts w:ascii="Book Antiqua" w:hAnsi="Book Antiqua"/>
          <w:sz w:val="24"/>
          <w:szCs w:val="24"/>
        </w:rPr>
        <w:t xml:space="preserve"> 1987; </w:t>
      </w:r>
      <w:r w:rsidRPr="00ED0648">
        <w:rPr>
          <w:rFonts w:ascii="Book Antiqua" w:hAnsi="Book Antiqua"/>
          <w:b/>
          <w:sz w:val="24"/>
          <w:szCs w:val="24"/>
        </w:rPr>
        <w:t>106</w:t>
      </w:r>
      <w:r w:rsidRPr="00ED0648">
        <w:rPr>
          <w:rFonts w:ascii="Book Antiqua" w:hAnsi="Book Antiqua"/>
          <w:sz w:val="24"/>
          <w:szCs w:val="24"/>
        </w:rPr>
        <w:t>: 593-597 [PMID: 3826958]</w:t>
      </w:r>
    </w:p>
    <w:p w14:paraId="740463F1" w14:textId="332C8BD0" w:rsidR="00ED0648" w:rsidRPr="00ED0648" w:rsidRDefault="00ED0648" w:rsidP="00ED0648">
      <w:pPr>
        <w:adjustRightInd w:val="0"/>
        <w:snapToGrid w:val="0"/>
        <w:spacing w:after="0" w:line="360" w:lineRule="auto"/>
        <w:jc w:val="both"/>
        <w:rPr>
          <w:rFonts w:ascii="Book Antiqua" w:hAnsi="Book Antiqua"/>
          <w:sz w:val="24"/>
          <w:szCs w:val="24"/>
        </w:rPr>
      </w:pPr>
      <w:r w:rsidRPr="00ED0648">
        <w:rPr>
          <w:rFonts w:ascii="Book Antiqua" w:hAnsi="Book Antiqua"/>
          <w:sz w:val="24"/>
          <w:szCs w:val="24"/>
        </w:rPr>
        <w:t xml:space="preserve">70 </w:t>
      </w:r>
      <w:r w:rsidRPr="00C3644D">
        <w:rPr>
          <w:rFonts w:ascii="Book Antiqua" w:hAnsi="Book Antiqua"/>
          <w:b/>
          <w:bCs/>
          <w:sz w:val="24"/>
          <w:szCs w:val="24"/>
        </w:rPr>
        <w:t>Agency for Healthcare Research and Quality (AHRQ) Healthcare Utilization Project (HCUP)</w:t>
      </w:r>
      <w:r w:rsidRPr="00ED0648">
        <w:rPr>
          <w:rFonts w:ascii="Book Antiqua" w:hAnsi="Book Antiqua"/>
          <w:sz w:val="24"/>
          <w:szCs w:val="24"/>
        </w:rPr>
        <w:t>. Claims analysis - CPT code 43280; HCUP database analysis – ICD9 procedure code 44.67, 2014</w:t>
      </w:r>
    </w:p>
    <w:p w14:paraId="677AF7FB" w14:textId="77777777" w:rsidR="00ED0648" w:rsidRPr="00ED0648" w:rsidRDefault="00ED0648" w:rsidP="00ED0648">
      <w:pPr>
        <w:adjustRightInd w:val="0"/>
        <w:snapToGrid w:val="0"/>
        <w:spacing w:after="0" w:line="360" w:lineRule="auto"/>
        <w:jc w:val="both"/>
        <w:rPr>
          <w:rFonts w:ascii="Book Antiqua" w:hAnsi="Book Antiqua"/>
          <w:sz w:val="24"/>
          <w:szCs w:val="24"/>
        </w:rPr>
      </w:pPr>
      <w:r w:rsidRPr="00ED0648">
        <w:rPr>
          <w:rFonts w:ascii="Book Antiqua" w:hAnsi="Book Antiqua"/>
          <w:sz w:val="24"/>
          <w:szCs w:val="24"/>
        </w:rPr>
        <w:t xml:space="preserve">71 </w:t>
      </w:r>
      <w:r w:rsidRPr="00C3644D">
        <w:rPr>
          <w:rFonts w:ascii="Book Antiqua" w:hAnsi="Book Antiqua"/>
          <w:b/>
          <w:bCs/>
          <w:sz w:val="24"/>
          <w:szCs w:val="24"/>
        </w:rPr>
        <w:t>Society of American Gastrointestinal and Endoscopic Surgeons (SAGES)</w:t>
      </w:r>
      <w:r w:rsidRPr="00ED0648">
        <w:rPr>
          <w:rFonts w:ascii="Book Antiqua" w:hAnsi="Book Antiqua"/>
          <w:sz w:val="24"/>
          <w:szCs w:val="24"/>
        </w:rPr>
        <w:t>. LINX® Reflux Management System. In: Society of American Gastrointestinal and Endoscopic Surgeons (SAGES), editor Technology and Value Assessment Committee (TAVAC) 2017</w:t>
      </w:r>
    </w:p>
    <w:p w14:paraId="73883385" w14:textId="77777777" w:rsidR="00ED0648" w:rsidRPr="00ED0648" w:rsidRDefault="00ED0648" w:rsidP="00ED0648">
      <w:pPr>
        <w:adjustRightInd w:val="0"/>
        <w:snapToGrid w:val="0"/>
        <w:spacing w:after="0" w:line="360" w:lineRule="auto"/>
        <w:jc w:val="both"/>
        <w:rPr>
          <w:rFonts w:ascii="Book Antiqua" w:hAnsi="Book Antiqua"/>
          <w:sz w:val="24"/>
          <w:szCs w:val="24"/>
        </w:rPr>
      </w:pPr>
      <w:r w:rsidRPr="00ED0648">
        <w:rPr>
          <w:rFonts w:ascii="Book Antiqua" w:hAnsi="Book Antiqua"/>
          <w:sz w:val="24"/>
          <w:szCs w:val="24"/>
        </w:rPr>
        <w:t xml:space="preserve">72 </w:t>
      </w:r>
      <w:r w:rsidRPr="00ED0648">
        <w:rPr>
          <w:rFonts w:ascii="Book Antiqua" w:hAnsi="Book Antiqua"/>
          <w:b/>
          <w:sz w:val="24"/>
          <w:szCs w:val="24"/>
        </w:rPr>
        <w:t>Jobe BA</w:t>
      </w:r>
      <w:r w:rsidRPr="00ED0648">
        <w:rPr>
          <w:rFonts w:ascii="Book Antiqua" w:hAnsi="Book Antiqua"/>
          <w:sz w:val="24"/>
          <w:szCs w:val="24"/>
        </w:rPr>
        <w:t xml:space="preserve">, Richter JE, Hoppo T, Peters JH, Bell R, Dengler WC, DeVault K, Fass R, Gyawali CP, Kahrilas PJ, Lacy BE, Pandolfino JE, Patti MG, Swanstrom LL, Kurian AA, Vela MF, Vaezi M, DeMeester TR. Preoperative diagnostic workup before antireflux surgery: an evidence and experience-based consensus of the Esophageal Diagnostic Advisory Panel. </w:t>
      </w:r>
      <w:r w:rsidRPr="00ED0648">
        <w:rPr>
          <w:rFonts w:ascii="Book Antiqua" w:hAnsi="Book Antiqua"/>
          <w:i/>
          <w:sz w:val="24"/>
          <w:szCs w:val="24"/>
        </w:rPr>
        <w:t>J Am Coll Surg</w:t>
      </w:r>
      <w:r w:rsidRPr="00ED0648">
        <w:rPr>
          <w:rFonts w:ascii="Book Antiqua" w:hAnsi="Book Antiqua"/>
          <w:sz w:val="24"/>
          <w:szCs w:val="24"/>
        </w:rPr>
        <w:t xml:space="preserve"> 2013; </w:t>
      </w:r>
      <w:r w:rsidRPr="00ED0648">
        <w:rPr>
          <w:rFonts w:ascii="Book Antiqua" w:hAnsi="Book Antiqua"/>
          <w:b/>
          <w:sz w:val="24"/>
          <w:szCs w:val="24"/>
        </w:rPr>
        <w:t>217</w:t>
      </w:r>
      <w:r w:rsidRPr="00ED0648">
        <w:rPr>
          <w:rFonts w:ascii="Book Antiqua" w:hAnsi="Book Antiqua"/>
          <w:sz w:val="24"/>
          <w:szCs w:val="24"/>
        </w:rPr>
        <w:t>: 586-597 [PMID: 23973101 DOI: 10.1016/j.jamcollsurg.2013.05.023]</w:t>
      </w:r>
    </w:p>
    <w:p w14:paraId="4B2D5F44" w14:textId="4EFC8107" w:rsidR="00ED0648" w:rsidRPr="00ED0648" w:rsidRDefault="00ED0648" w:rsidP="00ED0648">
      <w:pPr>
        <w:adjustRightInd w:val="0"/>
        <w:snapToGrid w:val="0"/>
        <w:spacing w:after="0" w:line="360" w:lineRule="auto"/>
        <w:jc w:val="both"/>
        <w:rPr>
          <w:rFonts w:ascii="Book Antiqua" w:hAnsi="Book Antiqua"/>
          <w:sz w:val="24"/>
          <w:szCs w:val="24"/>
        </w:rPr>
      </w:pPr>
      <w:r w:rsidRPr="00ED0648">
        <w:rPr>
          <w:rFonts w:ascii="Book Antiqua" w:hAnsi="Book Antiqua"/>
          <w:sz w:val="24"/>
          <w:szCs w:val="24"/>
        </w:rPr>
        <w:t xml:space="preserve">73 </w:t>
      </w:r>
      <w:r w:rsidRPr="00ED0648">
        <w:rPr>
          <w:rFonts w:ascii="Book Antiqua" w:hAnsi="Book Antiqua"/>
          <w:b/>
          <w:sz w:val="24"/>
          <w:szCs w:val="24"/>
        </w:rPr>
        <w:t>ASGE Standards of Practice Committee</w:t>
      </w:r>
      <w:r w:rsidRPr="00ED0648">
        <w:rPr>
          <w:rFonts w:ascii="Book Antiqua" w:hAnsi="Book Antiqua"/>
          <w:sz w:val="24"/>
          <w:szCs w:val="24"/>
        </w:rPr>
        <w:t xml:space="preserve">, Muthusamy VR, Lightdale JR, Acosta RD, Chandrasekhara V, Chathadi KV, Eloubeidi MA, Fanelli RD, Fonkalsrud L, Faulx AL, Khashab MA, Saltzman JR, Shaukat A, Wang A, Cash B, DeWitt JM. The role of endoscopy in the management of GERD. </w:t>
      </w:r>
      <w:r w:rsidRPr="00ED0648">
        <w:rPr>
          <w:rFonts w:ascii="Book Antiqua" w:hAnsi="Book Antiqua"/>
          <w:i/>
          <w:sz w:val="24"/>
          <w:szCs w:val="24"/>
        </w:rPr>
        <w:t>Gastrointest Endosc</w:t>
      </w:r>
      <w:r w:rsidRPr="00ED0648">
        <w:rPr>
          <w:rFonts w:ascii="Book Antiqua" w:hAnsi="Book Antiqua"/>
          <w:sz w:val="24"/>
          <w:szCs w:val="24"/>
        </w:rPr>
        <w:t xml:space="preserve"> 2015; </w:t>
      </w:r>
      <w:r w:rsidRPr="00ED0648">
        <w:rPr>
          <w:rFonts w:ascii="Book Antiqua" w:hAnsi="Book Antiqua"/>
          <w:b/>
          <w:sz w:val="24"/>
          <w:szCs w:val="24"/>
        </w:rPr>
        <w:t>81</w:t>
      </w:r>
      <w:r w:rsidRPr="00ED0648">
        <w:rPr>
          <w:rFonts w:ascii="Book Antiqua" w:hAnsi="Book Antiqua"/>
          <w:sz w:val="24"/>
          <w:szCs w:val="24"/>
        </w:rPr>
        <w:t>: 1305-1310 [PMID: 25863867 DOI: 10.1016/j.gie.2015.02.021]</w:t>
      </w:r>
    </w:p>
    <w:p w14:paraId="26AC878D" w14:textId="77777777" w:rsidR="00ED0648" w:rsidRPr="00ED0648" w:rsidRDefault="00ED0648" w:rsidP="00ED0648">
      <w:pPr>
        <w:adjustRightInd w:val="0"/>
        <w:snapToGrid w:val="0"/>
        <w:spacing w:after="0" w:line="360" w:lineRule="auto"/>
        <w:jc w:val="both"/>
        <w:rPr>
          <w:rFonts w:ascii="Book Antiqua" w:hAnsi="Book Antiqua"/>
          <w:sz w:val="24"/>
          <w:szCs w:val="24"/>
        </w:rPr>
      </w:pPr>
      <w:r w:rsidRPr="00ED0648">
        <w:rPr>
          <w:rFonts w:ascii="Book Antiqua" w:hAnsi="Book Antiqua"/>
          <w:sz w:val="24"/>
          <w:szCs w:val="24"/>
        </w:rPr>
        <w:t xml:space="preserve">74 </w:t>
      </w:r>
      <w:r w:rsidRPr="00ED0648">
        <w:rPr>
          <w:rFonts w:ascii="Book Antiqua" w:hAnsi="Book Antiqua"/>
          <w:b/>
          <w:sz w:val="24"/>
          <w:szCs w:val="24"/>
        </w:rPr>
        <w:t>Naik RD</w:t>
      </w:r>
      <w:r w:rsidRPr="00ED0648">
        <w:rPr>
          <w:rFonts w:ascii="Book Antiqua" w:hAnsi="Book Antiqua"/>
          <w:sz w:val="24"/>
          <w:szCs w:val="24"/>
        </w:rPr>
        <w:t xml:space="preserve">, Vaezi MF. Recent advances in diagnostic testing for gastroesophageal reflux disease. </w:t>
      </w:r>
      <w:r w:rsidRPr="00ED0648">
        <w:rPr>
          <w:rFonts w:ascii="Book Antiqua" w:hAnsi="Book Antiqua"/>
          <w:i/>
          <w:sz w:val="24"/>
          <w:szCs w:val="24"/>
        </w:rPr>
        <w:t>Expert Rev Gastroenterol Hepatol</w:t>
      </w:r>
      <w:r w:rsidRPr="00ED0648">
        <w:rPr>
          <w:rFonts w:ascii="Book Antiqua" w:hAnsi="Book Antiqua"/>
          <w:sz w:val="24"/>
          <w:szCs w:val="24"/>
        </w:rPr>
        <w:t xml:space="preserve"> 2017; </w:t>
      </w:r>
      <w:r w:rsidRPr="00ED0648">
        <w:rPr>
          <w:rFonts w:ascii="Book Antiqua" w:hAnsi="Book Antiqua"/>
          <w:b/>
          <w:sz w:val="24"/>
          <w:szCs w:val="24"/>
        </w:rPr>
        <w:t>11</w:t>
      </w:r>
      <w:r w:rsidRPr="00ED0648">
        <w:rPr>
          <w:rFonts w:ascii="Book Antiqua" w:hAnsi="Book Antiqua"/>
          <w:sz w:val="24"/>
          <w:szCs w:val="24"/>
        </w:rPr>
        <w:t>: 531-537 [PMID: 28317452 DOI: 10.1080/17474124.2017.1309286]</w:t>
      </w:r>
    </w:p>
    <w:p w14:paraId="43D8E984" w14:textId="77777777" w:rsidR="00ED0648" w:rsidRPr="00ED0648" w:rsidRDefault="00ED0648" w:rsidP="00ED0648">
      <w:pPr>
        <w:adjustRightInd w:val="0"/>
        <w:snapToGrid w:val="0"/>
        <w:spacing w:after="0" w:line="360" w:lineRule="auto"/>
        <w:jc w:val="both"/>
        <w:rPr>
          <w:rFonts w:ascii="Book Antiqua" w:hAnsi="Book Antiqua"/>
          <w:sz w:val="24"/>
          <w:szCs w:val="24"/>
        </w:rPr>
      </w:pPr>
      <w:r w:rsidRPr="00ED0648">
        <w:rPr>
          <w:rFonts w:ascii="Book Antiqua" w:hAnsi="Book Antiqua"/>
          <w:sz w:val="24"/>
          <w:szCs w:val="24"/>
        </w:rPr>
        <w:lastRenderedPageBreak/>
        <w:t xml:space="preserve">75 </w:t>
      </w:r>
      <w:r w:rsidRPr="00ED0648">
        <w:rPr>
          <w:rFonts w:ascii="Book Antiqua" w:hAnsi="Book Antiqua"/>
          <w:b/>
          <w:sz w:val="24"/>
          <w:szCs w:val="24"/>
        </w:rPr>
        <w:t>Richter JE</w:t>
      </w:r>
      <w:r w:rsidRPr="00ED0648">
        <w:rPr>
          <w:rFonts w:ascii="Book Antiqua" w:hAnsi="Book Antiqua"/>
          <w:sz w:val="24"/>
          <w:szCs w:val="24"/>
        </w:rPr>
        <w:t xml:space="preserve">, Pandolfino JE, Vela MF, Kahrilas PJ, Lacy BE, Ganz R, Dengler W, Oelschlager BK, Peters J, DeVault KR, Fass R, Gyawali CP, Conklin J, DeMeester T; Esophageal Diagnostic Working Group. Utilization of wireless pH monitoring technologies: a summary of the proceedings from the esophageal diagnostic working group. </w:t>
      </w:r>
      <w:r w:rsidRPr="00ED0648">
        <w:rPr>
          <w:rFonts w:ascii="Book Antiqua" w:hAnsi="Book Antiqua"/>
          <w:i/>
          <w:sz w:val="24"/>
          <w:szCs w:val="24"/>
        </w:rPr>
        <w:t>Dis Esophagus</w:t>
      </w:r>
      <w:r w:rsidRPr="00ED0648">
        <w:rPr>
          <w:rFonts w:ascii="Book Antiqua" w:hAnsi="Book Antiqua"/>
          <w:sz w:val="24"/>
          <w:szCs w:val="24"/>
        </w:rPr>
        <w:t xml:space="preserve"> 2013; </w:t>
      </w:r>
      <w:r w:rsidRPr="00ED0648">
        <w:rPr>
          <w:rFonts w:ascii="Book Antiqua" w:hAnsi="Book Antiqua"/>
          <w:b/>
          <w:sz w:val="24"/>
          <w:szCs w:val="24"/>
        </w:rPr>
        <w:t>26</w:t>
      </w:r>
      <w:r w:rsidRPr="00ED0648">
        <w:rPr>
          <w:rFonts w:ascii="Book Antiqua" w:hAnsi="Book Antiqua"/>
          <w:sz w:val="24"/>
          <w:szCs w:val="24"/>
        </w:rPr>
        <w:t>: 755-765 [PMID: 22882487 DOI: 10.1111/j.1442-2050.2012.01384.x]</w:t>
      </w:r>
    </w:p>
    <w:p w14:paraId="738336C1" w14:textId="77777777" w:rsidR="00ED0648" w:rsidRPr="00ED0648" w:rsidRDefault="00ED0648" w:rsidP="00ED0648">
      <w:pPr>
        <w:adjustRightInd w:val="0"/>
        <w:snapToGrid w:val="0"/>
        <w:spacing w:after="0" w:line="360" w:lineRule="auto"/>
        <w:jc w:val="both"/>
        <w:rPr>
          <w:rFonts w:ascii="Book Antiqua" w:hAnsi="Book Antiqua"/>
          <w:sz w:val="24"/>
          <w:szCs w:val="24"/>
        </w:rPr>
      </w:pPr>
      <w:r w:rsidRPr="00ED0648">
        <w:rPr>
          <w:rFonts w:ascii="Book Antiqua" w:hAnsi="Book Antiqua"/>
          <w:sz w:val="24"/>
          <w:szCs w:val="24"/>
        </w:rPr>
        <w:t xml:space="preserve">76 </w:t>
      </w:r>
      <w:r w:rsidRPr="00ED0648">
        <w:rPr>
          <w:rFonts w:ascii="Book Antiqua" w:hAnsi="Book Antiqua"/>
          <w:b/>
          <w:sz w:val="24"/>
          <w:szCs w:val="24"/>
        </w:rPr>
        <w:t>Kahrilas PJ</w:t>
      </w:r>
      <w:r w:rsidRPr="00ED0648">
        <w:rPr>
          <w:rFonts w:ascii="Book Antiqua" w:hAnsi="Book Antiqua"/>
          <w:sz w:val="24"/>
          <w:szCs w:val="24"/>
        </w:rPr>
        <w:t xml:space="preserve">. Regurgitation in patients with gastroesophageal reflux disease. </w:t>
      </w:r>
      <w:r w:rsidRPr="00ED0648">
        <w:rPr>
          <w:rFonts w:ascii="Book Antiqua" w:hAnsi="Book Antiqua"/>
          <w:i/>
          <w:sz w:val="24"/>
          <w:szCs w:val="24"/>
        </w:rPr>
        <w:t>Gastroenterol Hepatol (N Y)</w:t>
      </w:r>
      <w:r w:rsidRPr="00ED0648">
        <w:rPr>
          <w:rFonts w:ascii="Book Antiqua" w:hAnsi="Book Antiqua"/>
          <w:sz w:val="24"/>
          <w:szCs w:val="24"/>
        </w:rPr>
        <w:t xml:space="preserve"> 2013; </w:t>
      </w:r>
      <w:r w:rsidRPr="00ED0648">
        <w:rPr>
          <w:rFonts w:ascii="Book Antiqua" w:hAnsi="Book Antiqua"/>
          <w:b/>
          <w:sz w:val="24"/>
          <w:szCs w:val="24"/>
        </w:rPr>
        <w:t>9</w:t>
      </w:r>
      <w:r w:rsidRPr="00ED0648">
        <w:rPr>
          <w:rFonts w:ascii="Book Antiqua" w:hAnsi="Book Antiqua"/>
          <w:sz w:val="24"/>
          <w:szCs w:val="24"/>
        </w:rPr>
        <w:t>: 37-39 [PMID: 24707233]</w:t>
      </w:r>
    </w:p>
    <w:p w14:paraId="0BD88719" w14:textId="77777777" w:rsidR="00ED0648" w:rsidRPr="00ED0648" w:rsidRDefault="00ED0648" w:rsidP="00ED0648">
      <w:pPr>
        <w:adjustRightInd w:val="0"/>
        <w:snapToGrid w:val="0"/>
        <w:spacing w:after="0" w:line="360" w:lineRule="auto"/>
        <w:jc w:val="both"/>
        <w:rPr>
          <w:rFonts w:ascii="Book Antiqua" w:hAnsi="Book Antiqua"/>
          <w:sz w:val="24"/>
          <w:szCs w:val="24"/>
        </w:rPr>
      </w:pPr>
      <w:r w:rsidRPr="00ED0648">
        <w:rPr>
          <w:rFonts w:ascii="Book Antiqua" w:hAnsi="Book Antiqua"/>
          <w:sz w:val="24"/>
          <w:szCs w:val="24"/>
        </w:rPr>
        <w:t xml:space="preserve">77 </w:t>
      </w:r>
      <w:r w:rsidRPr="00ED0648">
        <w:rPr>
          <w:rFonts w:ascii="Book Antiqua" w:hAnsi="Book Antiqua"/>
          <w:b/>
          <w:sz w:val="24"/>
          <w:szCs w:val="24"/>
        </w:rPr>
        <w:t>Vakil N</w:t>
      </w:r>
      <w:r w:rsidRPr="00ED0648">
        <w:rPr>
          <w:rFonts w:ascii="Book Antiqua" w:hAnsi="Book Antiqua"/>
          <w:sz w:val="24"/>
          <w:szCs w:val="24"/>
        </w:rPr>
        <w:t xml:space="preserve">, van Zanten SV, Kahrilas P, Dent J, Jones R; Global Consensus Group. The Montreal definition and classification of gastroesophageal reflux disease: a global evidence-based consensus. </w:t>
      </w:r>
      <w:r w:rsidRPr="00ED0648">
        <w:rPr>
          <w:rFonts w:ascii="Book Antiqua" w:hAnsi="Book Antiqua"/>
          <w:i/>
          <w:sz w:val="24"/>
          <w:szCs w:val="24"/>
        </w:rPr>
        <w:t>Am J Gastroenterol</w:t>
      </w:r>
      <w:r w:rsidRPr="00ED0648">
        <w:rPr>
          <w:rFonts w:ascii="Book Antiqua" w:hAnsi="Book Antiqua"/>
          <w:sz w:val="24"/>
          <w:szCs w:val="24"/>
        </w:rPr>
        <w:t xml:space="preserve"> 2006; </w:t>
      </w:r>
      <w:r w:rsidRPr="00ED0648">
        <w:rPr>
          <w:rFonts w:ascii="Book Antiqua" w:hAnsi="Book Antiqua"/>
          <w:b/>
          <w:sz w:val="24"/>
          <w:szCs w:val="24"/>
        </w:rPr>
        <w:t>101</w:t>
      </w:r>
      <w:r w:rsidRPr="00ED0648">
        <w:rPr>
          <w:rFonts w:ascii="Book Antiqua" w:hAnsi="Book Antiqua"/>
          <w:sz w:val="24"/>
          <w:szCs w:val="24"/>
        </w:rPr>
        <w:t>: 1900-20; quiz 1943 [PMID: 16928254 DOI: 10.1111/j.1572-0241.2006.00630.x]</w:t>
      </w:r>
    </w:p>
    <w:p w14:paraId="0CC37CA9" w14:textId="77777777" w:rsidR="00ED0648" w:rsidRPr="00ED0648" w:rsidRDefault="00ED0648" w:rsidP="00ED0648">
      <w:pPr>
        <w:adjustRightInd w:val="0"/>
        <w:snapToGrid w:val="0"/>
        <w:spacing w:after="0" w:line="360" w:lineRule="auto"/>
        <w:jc w:val="both"/>
        <w:rPr>
          <w:rFonts w:ascii="Book Antiqua" w:hAnsi="Book Antiqua"/>
          <w:sz w:val="24"/>
          <w:szCs w:val="24"/>
        </w:rPr>
      </w:pPr>
      <w:r w:rsidRPr="00ED0648">
        <w:rPr>
          <w:rFonts w:ascii="Book Antiqua" w:hAnsi="Book Antiqua"/>
          <w:sz w:val="24"/>
          <w:szCs w:val="24"/>
        </w:rPr>
        <w:t xml:space="preserve">78 </w:t>
      </w:r>
      <w:r w:rsidRPr="00ED0648">
        <w:rPr>
          <w:rFonts w:ascii="Book Antiqua" w:hAnsi="Book Antiqua"/>
          <w:b/>
          <w:sz w:val="24"/>
          <w:szCs w:val="24"/>
        </w:rPr>
        <w:t>Vakil NB</w:t>
      </w:r>
      <w:r w:rsidRPr="00ED0648">
        <w:rPr>
          <w:rFonts w:ascii="Book Antiqua" w:hAnsi="Book Antiqua"/>
          <w:sz w:val="24"/>
          <w:szCs w:val="24"/>
        </w:rPr>
        <w:t xml:space="preserve">, Traxler B, Levine D. Dysphagia in patients with erosive esophagitis: prevalence, severity, and response to proton pump inhibitor treatment. </w:t>
      </w:r>
      <w:r w:rsidRPr="00ED0648">
        <w:rPr>
          <w:rFonts w:ascii="Book Antiqua" w:hAnsi="Book Antiqua"/>
          <w:i/>
          <w:sz w:val="24"/>
          <w:szCs w:val="24"/>
        </w:rPr>
        <w:t>Clin Gastroenterol Hepatol</w:t>
      </w:r>
      <w:r w:rsidRPr="00ED0648">
        <w:rPr>
          <w:rFonts w:ascii="Book Antiqua" w:hAnsi="Book Antiqua"/>
          <w:sz w:val="24"/>
          <w:szCs w:val="24"/>
        </w:rPr>
        <w:t xml:space="preserve"> 2004; </w:t>
      </w:r>
      <w:r w:rsidRPr="00ED0648">
        <w:rPr>
          <w:rFonts w:ascii="Book Antiqua" w:hAnsi="Book Antiqua"/>
          <w:b/>
          <w:sz w:val="24"/>
          <w:szCs w:val="24"/>
        </w:rPr>
        <w:t>2</w:t>
      </w:r>
      <w:r w:rsidRPr="00ED0648">
        <w:rPr>
          <w:rFonts w:ascii="Book Antiqua" w:hAnsi="Book Antiqua"/>
          <w:sz w:val="24"/>
          <w:szCs w:val="24"/>
        </w:rPr>
        <w:t>: 665-668 [PMID: 15290658]</w:t>
      </w:r>
    </w:p>
    <w:p w14:paraId="42922A2C" w14:textId="292684A7" w:rsidR="00ED0648" w:rsidRPr="00ED0648" w:rsidRDefault="00ED0648" w:rsidP="00ED0648">
      <w:pPr>
        <w:adjustRightInd w:val="0"/>
        <w:snapToGrid w:val="0"/>
        <w:spacing w:after="0" w:line="360" w:lineRule="auto"/>
        <w:jc w:val="both"/>
        <w:rPr>
          <w:rFonts w:ascii="Book Antiqua" w:hAnsi="Book Antiqua"/>
          <w:sz w:val="24"/>
          <w:szCs w:val="24"/>
        </w:rPr>
      </w:pPr>
      <w:r w:rsidRPr="00ED0648">
        <w:rPr>
          <w:rFonts w:ascii="Book Antiqua" w:hAnsi="Book Antiqua"/>
          <w:sz w:val="24"/>
          <w:szCs w:val="24"/>
        </w:rPr>
        <w:t>79</w:t>
      </w:r>
      <w:r w:rsidRPr="00537775">
        <w:rPr>
          <w:rFonts w:ascii="Book Antiqua" w:hAnsi="Book Antiqua"/>
          <w:b/>
          <w:bCs/>
          <w:sz w:val="24"/>
          <w:szCs w:val="24"/>
        </w:rPr>
        <w:t xml:space="preserve"> Gaude GS</w:t>
      </w:r>
      <w:r w:rsidRPr="00ED0648">
        <w:rPr>
          <w:rFonts w:ascii="Book Antiqua" w:hAnsi="Book Antiqua"/>
          <w:sz w:val="24"/>
          <w:szCs w:val="24"/>
        </w:rPr>
        <w:t xml:space="preserve">. Pulmonary manifestations of gastroesophageal reflux disease. </w:t>
      </w:r>
      <w:r w:rsidR="00537775" w:rsidRPr="00537775">
        <w:rPr>
          <w:rFonts w:ascii="Book Antiqua" w:hAnsi="Book Antiqua"/>
          <w:i/>
          <w:iCs/>
          <w:sz w:val="24"/>
          <w:szCs w:val="24"/>
        </w:rPr>
        <w:t>Ann Thorac Med</w:t>
      </w:r>
      <w:r w:rsidRPr="00ED0648">
        <w:rPr>
          <w:rFonts w:ascii="Book Antiqua" w:hAnsi="Book Antiqua"/>
          <w:sz w:val="24"/>
          <w:szCs w:val="24"/>
        </w:rPr>
        <w:t xml:space="preserve"> 2009; </w:t>
      </w:r>
      <w:r w:rsidRPr="00537775">
        <w:rPr>
          <w:rFonts w:ascii="Book Antiqua" w:hAnsi="Book Antiqua"/>
          <w:b/>
          <w:bCs/>
          <w:sz w:val="24"/>
          <w:szCs w:val="24"/>
        </w:rPr>
        <w:t>4</w:t>
      </w:r>
      <w:r w:rsidRPr="00ED0648">
        <w:rPr>
          <w:rFonts w:ascii="Book Antiqua" w:hAnsi="Book Antiqua"/>
          <w:sz w:val="24"/>
          <w:szCs w:val="24"/>
        </w:rPr>
        <w:t>: 115-123 [</w:t>
      </w:r>
      <w:r w:rsidR="00537775" w:rsidRPr="00537775">
        <w:rPr>
          <w:rFonts w:ascii="Book Antiqua" w:hAnsi="Book Antiqua"/>
          <w:sz w:val="24"/>
          <w:szCs w:val="24"/>
        </w:rPr>
        <w:t>PMID: 19641641</w:t>
      </w:r>
      <w:r w:rsidR="00537775">
        <w:rPr>
          <w:rFonts w:ascii="Book Antiqua" w:hAnsi="Book Antiqua"/>
          <w:sz w:val="24"/>
          <w:szCs w:val="24"/>
        </w:rPr>
        <w:t xml:space="preserve"> </w:t>
      </w:r>
      <w:r w:rsidRPr="00ED0648">
        <w:rPr>
          <w:rFonts w:ascii="Book Antiqua" w:hAnsi="Book Antiqua"/>
          <w:sz w:val="24"/>
          <w:szCs w:val="24"/>
        </w:rPr>
        <w:t>DOI: 10.4103/1817-1737.53347]</w:t>
      </w:r>
    </w:p>
    <w:p w14:paraId="7C68BE76" w14:textId="5D328317" w:rsidR="00ED0648" w:rsidRPr="00ED0648" w:rsidRDefault="00ED0648" w:rsidP="00ED0648">
      <w:pPr>
        <w:adjustRightInd w:val="0"/>
        <w:snapToGrid w:val="0"/>
        <w:spacing w:after="0" w:line="360" w:lineRule="auto"/>
        <w:jc w:val="both"/>
        <w:rPr>
          <w:rFonts w:ascii="Book Antiqua" w:hAnsi="Book Antiqua"/>
          <w:sz w:val="24"/>
          <w:szCs w:val="24"/>
        </w:rPr>
      </w:pPr>
      <w:r w:rsidRPr="00ED0648">
        <w:rPr>
          <w:rFonts w:ascii="Book Antiqua" w:hAnsi="Book Antiqua"/>
          <w:sz w:val="24"/>
          <w:szCs w:val="24"/>
        </w:rPr>
        <w:t xml:space="preserve">80 </w:t>
      </w:r>
      <w:r w:rsidRPr="00B602ED">
        <w:rPr>
          <w:rFonts w:ascii="Book Antiqua" w:hAnsi="Book Antiqua"/>
          <w:b/>
          <w:bCs/>
          <w:sz w:val="24"/>
          <w:szCs w:val="24"/>
        </w:rPr>
        <w:t>Rao SS</w:t>
      </w:r>
      <w:r w:rsidRPr="00ED0648">
        <w:rPr>
          <w:rFonts w:ascii="Book Antiqua" w:hAnsi="Book Antiqua"/>
          <w:sz w:val="24"/>
          <w:szCs w:val="24"/>
        </w:rPr>
        <w:t xml:space="preserve">. Diagnosis and Management of Esophageal Chest Pain. </w:t>
      </w:r>
      <w:r w:rsidR="00B602ED" w:rsidRPr="00B602ED">
        <w:rPr>
          <w:rFonts w:ascii="Book Antiqua" w:hAnsi="Book Antiqua"/>
          <w:i/>
          <w:iCs/>
          <w:sz w:val="24"/>
          <w:szCs w:val="24"/>
        </w:rPr>
        <w:t xml:space="preserve">Gastroenterol Hepatol </w:t>
      </w:r>
      <w:r w:rsidR="00B602ED" w:rsidRPr="00B602ED">
        <w:rPr>
          <w:rFonts w:ascii="Book Antiqua" w:hAnsi="Book Antiqua"/>
          <w:sz w:val="24"/>
          <w:szCs w:val="24"/>
        </w:rPr>
        <w:t>(NY)</w:t>
      </w:r>
      <w:r w:rsidRPr="00ED0648">
        <w:rPr>
          <w:rFonts w:ascii="Book Antiqua" w:hAnsi="Book Antiqua"/>
          <w:sz w:val="24"/>
          <w:szCs w:val="24"/>
        </w:rPr>
        <w:t xml:space="preserve"> 2011; </w:t>
      </w:r>
      <w:r w:rsidRPr="00B602ED">
        <w:rPr>
          <w:rFonts w:ascii="Book Antiqua" w:hAnsi="Book Antiqua"/>
          <w:b/>
          <w:bCs/>
          <w:sz w:val="24"/>
          <w:szCs w:val="24"/>
        </w:rPr>
        <w:t>7</w:t>
      </w:r>
      <w:r w:rsidRPr="00ED0648">
        <w:rPr>
          <w:rFonts w:ascii="Book Antiqua" w:hAnsi="Book Antiqua"/>
          <w:sz w:val="24"/>
          <w:szCs w:val="24"/>
        </w:rPr>
        <w:t>: 50-52 [</w:t>
      </w:r>
      <w:r w:rsidR="00B602ED" w:rsidRPr="00B602ED">
        <w:rPr>
          <w:rFonts w:ascii="Book Antiqua" w:hAnsi="Book Antiqua"/>
          <w:sz w:val="24"/>
          <w:szCs w:val="24"/>
        </w:rPr>
        <w:t>PMID: 21346854</w:t>
      </w:r>
      <w:r w:rsidRPr="00ED0648">
        <w:rPr>
          <w:rFonts w:ascii="Book Antiqua" w:hAnsi="Book Antiqua"/>
          <w:sz w:val="24"/>
          <w:szCs w:val="24"/>
        </w:rPr>
        <w:t>]</w:t>
      </w:r>
    </w:p>
    <w:p w14:paraId="595FA4F5" w14:textId="77777777" w:rsidR="00ED0648" w:rsidRPr="00ED0648" w:rsidRDefault="00ED0648" w:rsidP="00ED0648">
      <w:pPr>
        <w:adjustRightInd w:val="0"/>
        <w:snapToGrid w:val="0"/>
        <w:spacing w:after="0" w:line="360" w:lineRule="auto"/>
        <w:jc w:val="both"/>
        <w:rPr>
          <w:rFonts w:ascii="Book Antiqua" w:hAnsi="Book Antiqua"/>
          <w:sz w:val="24"/>
          <w:szCs w:val="24"/>
        </w:rPr>
      </w:pPr>
      <w:r w:rsidRPr="00ED0648">
        <w:rPr>
          <w:rFonts w:ascii="Book Antiqua" w:hAnsi="Book Antiqua"/>
          <w:sz w:val="24"/>
          <w:szCs w:val="24"/>
        </w:rPr>
        <w:t xml:space="preserve">81 </w:t>
      </w:r>
      <w:r w:rsidRPr="00ED0648">
        <w:rPr>
          <w:rFonts w:ascii="Book Antiqua" w:hAnsi="Book Antiqua"/>
          <w:b/>
          <w:sz w:val="24"/>
          <w:szCs w:val="24"/>
        </w:rPr>
        <w:t>Player MS</w:t>
      </w:r>
      <w:r w:rsidRPr="00ED0648">
        <w:rPr>
          <w:rFonts w:ascii="Book Antiqua" w:hAnsi="Book Antiqua"/>
          <w:sz w:val="24"/>
          <w:szCs w:val="24"/>
        </w:rPr>
        <w:t xml:space="preserve">, Gill JM, Mainous AG 3rd, Everett CJ, Koopman RJ, Diamond JJ, Lieberman MI, Chen YX. An electronic medical record-based intervention to improve quality of care for gastro-esophageal reflux disease (GERD) and atypical presentations of GERD. </w:t>
      </w:r>
      <w:r w:rsidRPr="00ED0648">
        <w:rPr>
          <w:rFonts w:ascii="Book Antiqua" w:hAnsi="Book Antiqua"/>
          <w:i/>
          <w:sz w:val="24"/>
          <w:szCs w:val="24"/>
        </w:rPr>
        <w:t>Qual Prim Care</w:t>
      </w:r>
      <w:r w:rsidRPr="00ED0648">
        <w:rPr>
          <w:rFonts w:ascii="Book Antiqua" w:hAnsi="Book Antiqua"/>
          <w:sz w:val="24"/>
          <w:szCs w:val="24"/>
        </w:rPr>
        <w:t xml:space="preserve"> 2010; </w:t>
      </w:r>
      <w:r w:rsidRPr="00ED0648">
        <w:rPr>
          <w:rFonts w:ascii="Book Antiqua" w:hAnsi="Book Antiqua"/>
          <w:b/>
          <w:sz w:val="24"/>
          <w:szCs w:val="24"/>
        </w:rPr>
        <w:t>18</w:t>
      </w:r>
      <w:r w:rsidRPr="00ED0648">
        <w:rPr>
          <w:rFonts w:ascii="Book Antiqua" w:hAnsi="Book Antiqua"/>
          <w:sz w:val="24"/>
          <w:szCs w:val="24"/>
        </w:rPr>
        <w:t>: 223-229 [PMID: 20836938]</w:t>
      </w:r>
    </w:p>
    <w:p w14:paraId="45484104" w14:textId="47EEDAE9" w:rsidR="00ED0648" w:rsidRPr="00ED0648" w:rsidRDefault="00ED0648" w:rsidP="00ED0648">
      <w:pPr>
        <w:adjustRightInd w:val="0"/>
        <w:snapToGrid w:val="0"/>
        <w:spacing w:after="0" w:line="360" w:lineRule="auto"/>
        <w:jc w:val="both"/>
        <w:rPr>
          <w:rFonts w:ascii="Book Antiqua" w:hAnsi="Book Antiqua"/>
          <w:sz w:val="24"/>
          <w:szCs w:val="24"/>
        </w:rPr>
      </w:pPr>
      <w:r w:rsidRPr="00ED0648">
        <w:rPr>
          <w:rFonts w:ascii="Book Antiqua" w:hAnsi="Book Antiqua"/>
          <w:sz w:val="24"/>
          <w:szCs w:val="24"/>
        </w:rPr>
        <w:t xml:space="preserve">82 </w:t>
      </w:r>
      <w:r w:rsidRPr="00ED0648">
        <w:rPr>
          <w:rFonts w:ascii="Book Antiqua" w:hAnsi="Book Antiqua"/>
          <w:b/>
          <w:sz w:val="24"/>
          <w:szCs w:val="24"/>
        </w:rPr>
        <w:t>Yadlapati R</w:t>
      </w:r>
      <w:r w:rsidRPr="00ED0648">
        <w:rPr>
          <w:rFonts w:ascii="Book Antiqua" w:hAnsi="Book Antiqua"/>
          <w:sz w:val="24"/>
          <w:szCs w:val="24"/>
        </w:rPr>
        <w:t xml:space="preserve">, Gawron AJ, Bilimoria K, Keswani RN, Dunbar KB, Kahrilas PJ, Katz P, Richter J, Schnoll-Sussman F, Soper N, Vela MF, Pandolfino JE. Development of quality measures for the care of patients with gastroesophageal reflux disease. </w:t>
      </w:r>
      <w:r w:rsidRPr="00ED0648">
        <w:rPr>
          <w:rFonts w:ascii="Book Antiqua" w:hAnsi="Book Antiqua"/>
          <w:i/>
          <w:sz w:val="24"/>
          <w:szCs w:val="24"/>
        </w:rPr>
        <w:t>Clin Gastroenterol Hepatol</w:t>
      </w:r>
      <w:r w:rsidRPr="00ED0648">
        <w:rPr>
          <w:rFonts w:ascii="Book Antiqua" w:hAnsi="Book Antiqua"/>
          <w:sz w:val="24"/>
          <w:szCs w:val="24"/>
        </w:rPr>
        <w:t xml:space="preserve"> 2015; </w:t>
      </w:r>
      <w:r w:rsidRPr="00ED0648">
        <w:rPr>
          <w:rFonts w:ascii="Book Antiqua" w:hAnsi="Book Antiqua"/>
          <w:b/>
          <w:sz w:val="24"/>
          <w:szCs w:val="24"/>
        </w:rPr>
        <w:t>13</w:t>
      </w:r>
      <w:r w:rsidRPr="00ED0648">
        <w:rPr>
          <w:rFonts w:ascii="Book Antiqua" w:hAnsi="Book Antiqua"/>
          <w:sz w:val="24"/>
          <w:szCs w:val="24"/>
        </w:rPr>
        <w:t>: 874-</w:t>
      </w:r>
      <w:r w:rsidR="00C3644D">
        <w:rPr>
          <w:rFonts w:ascii="Book Antiqua" w:hAnsi="Book Antiqua"/>
          <w:sz w:val="24"/>
          <w:szCs w:val="24"/>
        </w:rPr>
        <w:t>8</w:t>
      </w:r>
      <w:r w:rsidRPr="00ED0648">
        <w:rPr>
          <w:rFonts w:ascii="Book Antiqua" w:hAnsi="Book Antiqua"/>
          <w:sz w:val="24"/>
          <w:szCs w:val="24"/>
        </w:rPr>
        <w:t>83.e2 [PMID: 25460560 DOI: 10.1016/j.cgh.2014.11.012]</w:t>
      </w:r>
    </w:p>
    <w:p w14:paraId="7FF31383" w14:textId="77777777" w:rsidR="00ED0648" w:rsidRPr="00ED0648" w:rsidRDefault="00ED0648" w:rsidP="00ED0648">
      <w:pPr>
        <w:adjustRightInd w:val="0"/>
        <w:snapToGrid w:val="0"/>
        <w:spacing w:after="0" w:line="360" w:lineRule="auto"/>
        <w:jc w:val="both"/>
        <w:rPr>
          <w:rFonts w:ascii="Book Antiqua" w:hAnsi="Book Antiqua"/>
          <w:sz w:val="24"/>
          <w:szCs w:val="24"/>
        </w:rPr>
      </w:pPr>
      <w:r w:rsidRPr="00ED0648">
        <w:rPr>
          <w:rFonts w:ascii="Book Antiqua" w:hAnsi="Book Antiqua"/>
          <w:sz w:val="24"/>
          <w:szCs w:val="24"/>
        </w:rPr>
        <w:lastRenderedPageBreak/>
        <w:t xml:space="preserve">83 </w:t>
      </w:r>
      <w:r w:rsidRPr="00ED0648">
        <w:rPr>
          <w:rFonts w:ascii="Book Antiqua" w:hAnsi="Book Antiqua"/>
          <w:b/>
          <w:sz w:val="24"/>
          <w:szCs w:val="24"/>
        </w:rPr>
        <w:t>Pandit S</w:t>
      </w:r>
      <w:r w:rsidRPr="00ED0648">
        <w:rPr>
          <w:rFonts w:ascii="Book Antiqua" w:hAnsi="Book Antiqua"/>
          <w:sz w:val="24"/>
          <w:szCs w:val="24"/>
        </w:rPr>
        <w:t xml:space="preserve">, Boktor M, Alexander JS, Becker F, Morris J. Gastroesophageal reflux disease: A clinical overview for primary care physicians. </w:t>
      </w:r>
      <w:r w:rsidRPr="00ED0648">
        <w:rPr>
          <w:rFonts w:ascii="Book Antiqua" w:hAnsi="Book Antiqua"/>
          <w:i/>
          <w:sz w:val="24"/>
          <w:szCs w:val="24"/>
        </w:rPr>
        <w:t>Pathophysiology</w:t>
      </w:r>
      <w:r w:rsidRPr="00ED0648">
        <w:rPr>
          <w:rFonts w:ascii="Book Antiqua" w:hAnsi="Book Antiqua"/>
          <w:sz w:val="24"/>
          <w:szCs w:val="24"/>
        </w:rPr>
        <w:t xml:space="preserve"> 2018; </w:t>
      </w:r>
      <w:r w:rsidRPr="00ED0648">
        <w:rPr>
          <w:rFonts w:ascii="Book Antiqua" w:hAnsi="Book Antiqua"/>
          <w:b/>
          <w:sz w:val="24"/>
          <w:szCs w:val="24"/>
        </w:rPr>
        <w:t>25</w:t>
      </w:r>
      <w:r w:rsidRPr="00ED0648">
        <w:rPr>
          <w:rFonts w:ascii="Book Antiqua" w:hAnsi="Book Antiqua"/>
          <w:sz w:val="24"/>
          <w:szCs w:val="24"/>
        </w:rPr>
        <w:t>: 1-11 [PMID: 28943113 DOI: 10.1016/j.pathophys.2017.09.001]</w:t>
      </w:r>
    </w:p>
    <w:p w14:paraId="2B40795C" w14:textId="77777777" w:rsidR="00ED0648" w:rsidRPr="00ED0648" w:rsidRDefault="00ED0648" w:rsidP="00ED0648">
      <w:pPr>
        <w:adjustRightInd w:val="0"/>
        <w:snapToGrid w:val="0"/>
        <w:spacing w:after="0" w:line="360" w:lineRule="auto"/>
        <w:jc w:val="both"/>
        <w:rPr>
          <w:rFonts w:ascii="Book Antiqua" w:hAnsi="Book Antiqua"/>
          <w:sz w:val="24"/>
          <w:szCs w:val="24"/>
        </w:rPr>
      </w:pPr>
      <w:r w:rsidRPr="00665DE1">
        <w:rPr>
          <w:rFonts w:ascii="Book Antiqua" w:hAnsi="Book Antiqua"/>
          <w:sz w:val="24"/>
          <w:szCs w:val="24"/>
          <w:highlight w:val="yellow"/>
        </w:rPr>
        <w:t>84</w:t>
      </w:r>
      <w:r w:rsidRPr="00665DE1">
        <w:rPr>
          <w:rFonts w:ascii="Book Antiqua" w:hAnsi="Book Antiqua"/>
          <w:b/>
          <w:bCs/>
          <w:sz w:val="24"/>
          <w:szCs w:val="24"/>
          <w:highlight w:val="yellow"/>
        </w:rPr>
        <w:t xml:space="preserve"> Zhao Y</w:t>
      </w:r>
      <w:r w:rsidRPr="00665DE1">
        <w:rPr>
          <w:rFonts w:ascii="Book Antiqua" w:hAnsi="Book Antiqua"/>
          <w:sz w:val="24"/>
          <w:szCs w:val="24"/>
          <w:highlight w:val="yellow"/>
        </w:rPr>
        <w:t>, Encinosa W. Gastroesophageal Reflux Disease (GERD) Hospitalizations in 1998 and 2005: Statistical Brief #44.  Healthcare Cost and Utilization Project (HCUP) Statistical Briefs. Rockville MD, 2006</w:t>
      </w:r>
    </w:p>
    <w:p w14:paraId="637C8022" w14:textId="77777777" w:rsidR="00ED0648" w:rsidRPr="00ED0648" w:rsidRDefault="00ED0648" w:rsidP="00ED0648">
      <w:pPr>
        <w:adjustRightInd w:val="0"/>
        <w:snapToGrid w:val="0"/>
        <w:spacing w:after="0" w:line="360" w:lineRule="auto"/>
        <w:jc w:val="both"/>
        <w:rPr>
          <w:rFonts w:ascii="Book Antiqua" w:hAnsi="Book Antiqua"/>
          <w:sz w:val="24"/>
          <w:szCs w:val="24"/>
        </w:rPr>
      </w:pPr>
      <w:r w:rsidRPr="00ED0648">
        <w:rPr>
          <w:rFonts w:ascii="Book Antiqua" w:hAnsi="Book Antiqua"/>
          <w:sz w:val="24"/>
          <w:szCs w:val="24"/>
        </w:rPr>
        <w:t xml:space="preserve">85 </w:t>
      </w:r>
      <w:r w:rsidRPr="00ED0648">
        <w:rPr>
          <w:rFonts w:ascii="Book Antiqua" w:hAnsi="Book Antiqua"/>
          <w:b/>
          <w:sz w:val="24"/>
          <w:szCs w:val="24"/>
        </w:rPr>
        <w:t>Nikaki K</w:t>
      </w:r>
      <w:r w:rsidRPr="00ED0648">
        <w:rPr>
          <w:rFonts w:ascii="Book Antiqua" w:hAnsi="Book Antiqua"/>
          <w:sz w:val="24"/>
          <w:szCs w:val="24"/>
        </w:rPr>
        <w:t xml:space="preserve">, Woodland P, Sifrim D. Adult and paediatric GERD: diagnosis, phenotypes and avoidance of excess treatments. </w:t>
      </w:r>
      <w:r w:rsidRPr="00ED0648">
        <w:rPr>
          <w:rFonts w:ascii="Book Antiqua" w:hAnsi="Book Antiqua"/>
          <w:i/>
          <w:sz w:val="24"/>
          <w:szCs w:val="24"/>
        </w:rPr>
        <w:t>Nat Rev Gastroenterol Hepatol</w:t>
      </w:r>
      <w:r w:rsidRPr="00ED0648">
        <w:rPr>
          <w:rFonts w:ascii="Book Antiqua" w:hAnsi="Book Antiqua"/>
          <w:sz w:val="24"/>
          <w:szCs w:val="24"/>
        </w:rPr>
        <w:t xml:space="preserve"> 2016; </w:t>
      </w:r>
      <w:r w:rsidRPr="00ED0648">
        <w:rPr>
          <w:rFonts w:ascii="Book Antiqua" w:hAnsi="Book Antiqua"/>
          <w:b/>
          <w:sz w:val="24"/>
          <w:szCs w:val="24"/>
        </w:rPr>
        <w:t>13</w:t>
      </w:r>
      <w:r w:rsidRPr="00ED0648">
        <w:rPr>
          <w:rFonts w:ascii="Book Antiqua" w:hAnsi="Book Antiqua"/>
          <w:sz w:val="24"/>
          <w:szCs w:val="24"/>
        </w:rPr>
        <w:t>: 529-542 [PMID: 27485786 DOI: 10.1038/nrgastro.2016.109]</w:t>
      </w:r>
    </w:p>
    <w:p w14:paraId="3A4C7DA8" w14:textId="7E168741" w:rsidR="00ED0648" w:rsidRPr="00ED0648" w:rsidRDefault="00ED0648" w:rsidP="00ED0648">
      <w:pPr>
        <w:adjustRightInd w:val="0"/>
        <w:snapToGrid w:val="0"/>
        <w:spacing w:after="0" w:line="360" w:lineRule="auto"/>
        <w:jc w:val="both"/>
        <w:rPr>
          <w:rFonts w:ascii="Book Antiqua" w:hAnsi="Book Antiqua"/>
          <w:sz w:val="24"/>
          <w:szCs w:val="24"/>
        </w:rPr>
      </w:pPr>
      <w:r w:rsidRPr="00ED0648">
        <w:rPr>
          <w:rFonts w:ascii="Book Antiqua" w:hAnsi="Book Antiqua"/>
          <w:sz w:val="24"/>
          <w:szCs w:val="24"/>
        </w:rPr>
        <w:t>86</w:t>
      </w:r>
      <w:r w:rsidRPr="00B602ED">
        <w:rPr>
          <w:rFonts w:ascii="Book Antiqua" w:hAnsi="Book Antiqua"/>
          <w:b/>
          <w:bCs/>
          <w:sz w:val="24"/>
          <w:szCs w:val="24"/>
        </w:rPr>
        <w:t xml:space="preserve"> Mehrotra A</w:t>
      </w:r>
      <w:r w:rsidRPr="00ED0648">
        <w:rPr>
          <w:rFonts w:ascii="Book Antiqua" w:hAnsi="Book Antiqua"/>
          <w:sz w:val="24"/>
          <w:szCs w:val="24"/>
        </w:rPr>
        <w:t xml:space="preserve">, Forrest CB, Lin CY. Dropping the Baton: Specialty Referrals in the United States. </w:t>
      </w:r>
      <w:r w:rsidR="00B602ED" w:rsidRPr="00B602ED">
        <w:rPr>
          <w:rFonts w:ascii="Book Antiqua" w:hAnsi="Book Antiqua"/>
          <w:i/>
          <w:iCs/>
          <w:sz w:val="24"/>
          <w:szCs w:val="24"/>
        </w:rPr>
        <w:t>Milbank Q</w:t>
      </w:r>
      <w:r w:rsidRPr="00ED0648">
        <w:rPr>
          <w:rFonts w:ascii="Book Antiqua" w:hAnsi="Book Antiqua"/>
          <w:sz w:val="24"/>
          <w:szCs w:val="24"/>
        </w:rPr>
        <w:t xml:space="preserve"> 2011; </w:t>
      </w:r>
      <w:r w:rsidRPr="00B602ED">
        <w:rPr>
          <w:rFonts w:ascii="Book Antiqua" w:hAnsi="Book Antiqua"/>
          <w:b/>
          <w:bCs/>
          <w:sz w:val="24"/>
          <w:szCs w:val="24"/>
        </w:rPr>
        <w:t>89</w:t>
      </w:r>
      <w:r w:rsidRPr="00ED0648">
        <w:rPr>
          <w:rFonts w:ascii="Book Antiqua" w:hAnsi="Book Antiqua"/>
          <w:sz w:val="24"/>
          <w:szCs w:val="24"/>
        </w:rPr>
        <w:t>: 39-68 [</w:t>
      </w:r>
      <w:r w:rsidR="00B602ED" w:rsidRPr="00B602ED">
        <w:rPr>
          <w:rFonts w:ascii="Book Antiqua" w:hAnsi="Book Antiqua"/>
          <w:sz w:val="24"/>
          <w:szCs w:val="24"/>
        </w:rPr>
        <w:t xml:space="preserve">PMID: 21418312 </w:t>
      </w:r>
      <w:r w:rsidRPr="00ED0648">
        <w:rPr>
          <w:rFonts w:ascii="Book Antiqua" w:hAnsi="Book Antiqua"/>
          <w:sz w:val="24"/>
          <w:szCs w:val="24"/>
        </w:rPr>
        <w:t>DOI: 10.1111/j.1468-0009.2011.00619.x]</w:t>
      </w:r>
    </w:p>
    <w:p w14:paraId="237D5FB0" w14:textId="77777777" w:rsidR="00ED0648" w:rsidRPr="00ED0648" w:rsidRDefault="00ED0648" w:rsidP="00ED0648">
      <w:pPr>
        <w:adjustRightInd w:val="0"/>
        <w:snapToGrid w:val="0"/>
        <w:spacing w:after="0" w:line="360" w:lineRule="auto"/>
        <w:jc w:val="both"/>
        <w:rPr>
          <w:rFonts w:ascii="Book Antiqua" w:hAnsi="Book Antiqua"/>
          <w:sz w:val="24"/>
          <w:szCs w:val="24"/>
        </w:rPr>
      </w:pPr>
      <w:r w:rsidRPr="00ED0648">
        <w:rPr>
          <w:rFonts w:ascii="Book Antiqua" w:hAnsi="Book Antiqua"/>
          <w:sz w:val="24"/>
          <w:szCs w:val="24"/>
        </w:rPr>
        <w:t xml:space="preserve">87 </w:t>
      </w:r>
      <w:r w:rsidRPr="00ED0648">
        <w:rPr>
          <w:rFonts w:ascii="Book Antiqua" w:hAnsi="Book Antiqua"/>
          <w:b/>
          <w:sz w:val="24"/>
          <w:szCs w:val="24"/>
        </w:rPr>
        <w:t>Rieder E</w:t>
      </w:r>
      <w:r w:rsidRPr="00ED0648">
        <w:rPr>
          <w:rFonts w:ascii="Book Antiqua" w:hAnsi="Book Antiqua"/>
          <w:sz w:val="24"/>
          <w:szCs w:val="24"/>
        </w:rPr>
        <w:t xml:space="preserve">, Riegler M, Simić AP, Skrobić OM, Bonavina L, Gurski R, Paireder M, Castell DO, Schoppmann SF. Alternative therapies for GERD: a way to personalized antireflux surgery. </w:t>
      </w:r>
      <w:r w:rsidRPr="00ED0648">
        <w:rPr>
          <w:rFonts w:ascii="Book Antiqua" w:hAnsi="Book Antiqua"/>
          <w:i/>
          <w:sz w:val="24"/>
          <w:szCs w:val="24"/>
        </w:rPr>
        <w:t>Ann N Y Acad Sci</w:t>
      </w:r>
      <w:r w:rsidRPr="00ED0648">
        <w:rPr>
          <w:rFonts w:ascii="Book Antiqua" w:hAnsi="Book Antiqua"/>
          <w:sz w:val="24"/>
          <w:szCs w:val="24"/>
        </w:rPr>
        <w:t xml:space="preserve"> 2018; </w:t>
      </w:r>
      <w:r w:rsidRPr="00ED0648">
        <w:rPr>
          <w:rFonts w:ascii="Book Antiqua" w:hAnsi="Book Antiqua"/>
          <w:b/>
          <w:sz w:val="24"/>
          <w:szCs w:val="24"/>
        </w:rPr>
        <w:t>1434</w:t>
      </w:r>
      <w:r w:rsidRPr="00ED0648">
        <w:rPr>
          <w:rFonts w:ascii="Book Antiqua" w:hAnsi="Book Antiqua"/>
          <w:sz w:val="24"/>
          <w:szCs w:val="24"/>
        </w:rPr>
        <w:t>: 360-369 [PMID: 29774563 DOI: 10.1111/nyas.13851]</w:t>
      </w:r>
    </w:p>
    <w:p w14:paraId="1BCCAB9F" w14:textId="2EEB5F8E" w:rsidR="00ED0648" w:rsidRPr="00ED0648" w:rsidRDefault="00ED0648" w:rsidP="00ED0648">
      <w:pPr>
        <w:adjustRightInd w:val="0"/>
        <w:snapToGrid w:val="0"/>
        <w:spacing w:after="0" w:line="360" w:lineRule="auto"/>
        <w:jc w:val="both"/>
        <w:rPr>
          <w:rFonts w:ascii="Book Antiqua" w:hAnsi="Book Antiqua"/>
          <w:sz w:val="24"/>
          <w:szCs w:val="24"/>
        </w:rPr>
      </w:pPr>
      <w:r w:rsidRPr="00ED0648">
        <w:rPr>
          <w:rFonts w:ascii="Book Antiqua" w:hAnsi="Book Antiqua"/>
          <w:sz w:val="24"/>
          <w:szCs w:val="24"/>
        </w:rPr>
        <w:t xml:space="preserve">88 </w:t>
      </w:r>
      <w:r w:rsidRPr="00B602ED">
        <w:rPr>
          <w:rFonts w:ascii="Book Antiqua" w:hAnsi="Book Antiqua"/>
          <w:b/>
          <w:bCs/>
          <w:sz w:val="24"/>
          <w:szCs w:val="24"/>
        </w:rPr>
        <w:t>Halpern R</w:t>
      </w:r>
      <w:r w:rsidRPr="00ED0648">
        <w:rPr>
          <w:rFonts w:ascii="Book Antiqua" w:hAnsi="Book Antiqua"/>
          <w:sz w:val="24"/>
          <w:szCs w:val="24"/>
        </w:rPr>
        <w:t>, Kothari S, Fuldeore M, Zarotsky V, Porter V, Dabbous O, Goldstein JL. GERD-Related Health Care Utilization, Therapy, and Reasons for Transfer of GERD Patients Between Primary Care Providers and Gastroenterologists in a US Managed Care Setting.</w:t>
      </w:r>
      <w:r w:rsidRPr="00B602ED">
        <w:rPr>
          <w:rFonts w:ascii="Book Antiqua" w:hAnsi="Book Antiqua"/>
          <w:i/>
          <w:iCs/>
          <w:sz w:val="24"/>
          <w:szCs w:val="24"/>
        </w:rPr>
        <w:t xml:space="preserve"> </w:t>
      </w:r>
      <w:r w:rsidR="00B602ED" w:rsidRPr="00B602ED">
        <w:rPr>
          <w:rFonts w:ascii="Book Antiqua" w:hAnsi="Book Antiqua"/>
          <w:i/>
          <w:iCs/>
          <w:sz w:val="24"/>
          <w:szCs w:val="24"/>
        </w:rPr>
        <w:t>Dig Dis Sci</w:t>
      </w:r>
      <w:r w:rsidRPr="00ED0648">
        <w:rPr>
          <w:rFonts w:ascii="Book Antiqua" w:hAnsi="Book Antiqua"/>
          <w:sz w:val="24"/>
          <w:szCs w:val="24"/>
        </w:rPr>
        <w:t xml:space="preserve"> 2010; </w:t>
      </w:r>
      <w:r w:rsidRPr="00B602ED">
        <w:rPr>
          <w:rFonts w:ascii="Book Antiqua" w:hAnsi="Book Antiqua"/>
          <w:b/>
          <w:bCs/>
          <w:sz w:val="24"/>
          <w:szCs w:val="24"/>
        </w:rPr>
        <w:t>55</w:t>
      </w:r>
      <w:r w:rsidRPr="00ED0648">
        <w:rPr>
          <w:rFonts w:ascii="Book Antiqua" w:hAnsi="Book Antiqua"/>
          <w:sz w:val="24"/>
          <w:szCs w:val="24"/>
        </w:rPr>
        <w:t>: 328-337 [</w:t>
      </w:r>
      <w:r w:rsidR="00B602ED" w:rsidRPr="00B602ED">
        <w:rPr>
          <w:rFonts w:ascii="Book Antiqua" w:hAnsi="Book Antiqua"/>
          <w:sz w:val="24"/>
          <w:szCs w:val="24"/>
        </w:rPr>
        <w:t>PMID: 19697131</w:t>
      </w:r>
      <w:r w:rsidR="00B602ED">
        <w:rPr>
          <w:rFonts w:ascii="Book Antiqua" w:hAnsi="Book Antiqua"/>
          <w:sz w:val="24"/>
          <w:szCs w:val="24"/>
        </w:rPr>
        <w:t xml:space="preserve"> </w:t>
      </w:r>
      <w:r w:rsidRPr="00ED0648">
        <w:rPr>
          <w:rFonts w:ascii="Book Antiqua" w:hAnsi="Book Antiqua"/>
          <w:sz w:val="24"/>
          <w:szCs w:val="24"/>
        </w:rPr>
        <w:t>DOI: 10.1007/s10620-009-0927-9]</w:t>
      </w:r>
    </w:p>
    <w:p w14:paraId="15E0AD95" w14:textId="77777777" w:rsidR="00ED0648" w:rsidRPr="00ED0648" w:rsidRDefault="00ED0648" w:rsidP="00ED0648">
      <w:pPr>
        <w:adjustRightInd w:val="0"/>
        <w:snapToGrid w:val="0"/>
        <w:spacing w:after="0" w:line="360" w:lineRule="auto"/>
        <w:jc w:val="both"/>
        <w:rPr>
          <w:rFonts w:ascii="Book Antiqua" w:hAnsi="Book Antiqua"/>
          <w:sz w:val="24"/>
          <w:szCs w:val="24"/>
        </w:rPr>
      </w:pPr>
      <w:r w:rsidRPr="00ED0648">
        <w:rPr>
          <w:rFonts w:ascii="Book Antiqua" w:hAnsi="Book Antiqua"/>
          <w:sz w:val="24"/>
          <w:szCs w:val="24"/>
        </w:rPr>
        <w:t xml:space="preserve">89 </w:t>
      </w:r>
      <w:r w:rsidRPr="00ED0648">
        <w:rPr>
          <w:rFonts w:ascii="Book Antiqua" w:hAnsi="Book Antiqua"/>
          <w:b/>
          <w:sz w:val="24"/>
          <w:szCs w:val="24"/>
        </w:rPr>
        <w:t>Karamanolis G</w:t>
      </w:r>
      <w:r w:rsidRPr="00ED0648">
        <w:rPr>
          <w:rFonts w:ascii="Book Antiqua" w:hAnsi="Book Antiqua"/>
          <w:sz w:val="24"/>
          <w:szCs w:val="24"/>
        </w:rPr>
        <w:t xml:space="preserve">, Vanuytsel T, Sifrim D, Bisschops R, Arts J, Caenepeel P, Dewulf D, Tack J. Yield of 24-hour esophageal pH and bilitec monitoring in patients with persisting symptoms on PPI therapy. </w:t>
      </w:r>
      <w:r w:rsidRPr="00ED0648">
        <w:rPr>
          <w:rFonts w:ascii="Book Antiqua" w:hAnsi="Book Antiqua"/>
          <w:i/>
          <w:sz w:val="24"/>
          <w:szCs w:val="24"/>
        </w:rPr>
        <w:t>Dig Dis Sci</w:t>
      </w:r>
      <w:r w:rsidRPr="00ED0648">
        <w:rPr>
          <w:rFonts w:ascii="Book Antiqua" w:hAnsi="Book Antiqua"/>
          <w:sz w:val="24"/>
          <w:szCs w:val="24"/>
        </w:rPr>
        <w:t xml:space="preserve"> 2008; </w:t>
      </w:r>
      <w:r w:rsidRPr="00ED0648">
        <w:rPr>
          <w:rFonts w:ascii="Book Antiqua" w:hAnsi="Book Antiqua"/>
          <w:b/>
          <w:sz w:val="24"/>
          <w:szCs w:val="24"/>
        </w:rPr>
        <w:t>53</w:t>
      </w:r>
      <w:r w:rsidRPr="00ED0648">
        <w:rPr>
          <w:rFonts w:ascii="Book Antiqua" w:hAnsi="Book Antiqua"/>
          <w:sz w:val="24"/>
          <w:szCs w:val="24"/>
        </w:rPr>
        <w:t>: 2387-2393 [PMID: 18322797 DOI: 10.1007/s10620-007-0186-6]</w:t>
      </w:r>
    </w:p>
    <w:p w14:paraId="676FF728" w14:textId="5E940D92" w:rsidR="00ED0648" w:rsidRDefault="00ED0648" w:rsidP="00ED0648">
      <w:pPr>
        <w:adjustRightInd w:val="0"/>
        <w:snapToGrid w:val="0"/>
        <w:spacing w:after="0" w:line="360" w:lineRule="auto"/>
        <w:jc w:val="both"/>
        <w:rPr>
          <w:rFonts w:ascii="Book Antiqua" w:hAnsi="Book Antiqua"/>
          <w:sz w:val="24"/>
          <w:szCs w:val="24"/>
        </w:rPr>
      </w:pPr>
      <w:r w:rsidRPr="00ED0648">
        <w:rPr>
          <w:rFonts w:ascii="Book Antiqua" w:hAnsi="Book Antiqua"/>
          <w:sz w:val="24"/>
          <w:szCs w:val="24"/>
        </w:rPr>
        <w:t xml:space="preserve">90 </w:t>
      </w:r>
      <w:r w:rsidRPr="00ED0648">
        <w:rPr>
          <w:rFonts w:ascii="Book Antiqua" w:hAnsi="Book Antiqua"/>
          <w:b/>
          <w:sz w:val="24"/>
          <w:szCs w:val="24"/>
        </w:rPr>
        <w:t>de Miranda Gomes PR Jr</w:t>
      </w:r>
      <w:r w:rsidRPr="00ED0648">
        <w:rPr>
          <w:rFonts w:ascii="Book Antiqua" w:hAnsi="Book Antiqua"/>
          <w:sz w:val="24"/>
          <w:szCs w:val="24"/>
        </w:rPr>
        <w:t xml:space="preserve">, Pereira da Rosa AR, Sakae T, Simic AP, Ricachenevsky Gurski R. Correlation between pathological distal esophageal acid exposure and ineffective esophageal motility. </w:t>
      </w:r>
      <w:r w:rsidRPr="00ED0648">
        <w:rPr>
          <w:rFonts w:ascii="Book Antiqua" w:hAnsi="Book Antiqua"/>
          <w:i/>
          <w:sz w:val="24"/>
          <w:szCs w:val="24"/>
        </w:rPr>
        <w:t>Acta Chir Iugosl</w:t>
      </w:r>
      <w:r w:rsidRPr="00ED0648">
        <w:rPr>
          <w:rFonts w:ascii="Book Antiqua" w:hAnsi="Book Antiqua"/>
          <w:sz w:val="24"/>
          <w:szCs w:val="24"/>
        </w:rPr>
        <w:t xml:space="preserve"> 2010; </w:t>
      </w:r>
      <w:r w:rsidRPr="00ED0648">
        <w:rPr>
          <w:rFonts w:ascii="Book Antiqua" w:hAnsi="Book Antiqua"/>
          <w:b/>
          <w:sz w:val="24"/>
          <w:szCs w:val="24"/>
        </w:rPr>
        <w:t>57</w:t>
      </w:r>
      <w:r w:rsidRPr="00ED0648">
        <w:rPr>
          <w:rFonts w:ascii="Book Antiqua" w:hAnsi="Book Antiqua"/>
          <w:sz w:val="24"/>
          <w:szCs w:val="24"/>
        </w:rPr>
        <w:t>: 37-43 [PMID: 20949704]</w:t>
      </w:r>
    </w:p>
    <w:p w14:paraId="70D9724D" w14:textId="6102F320" w:rsidR="00841AE5" w:rsidRDefault="00841AE5" w:rsidP="00ED0648">
      <w:pPr>
        <w:adjustRightInd w:val="0"/>
        <w:snapToGrid w:val="0"/>
        <w:spacing w:after="0" w:line="360" w:lineRule="auto"/>
        <w:jc w:val="both"/>
        <w:rPr>
          <w:rFonts w:ascii="Book Antiqua" w:hAnsi="Book Antiqua"/>
          <w:sz w:val="24"/>
          <w:szCs w:val="24"/>
        </w:rPr>
      </w:pPr>
    </w:p>
    <w:p w14:paraId="3627929C" w14:textId="6116854F" w:rsidR="00841AE5" w:rsidRPr="00C050D0" w:rsidRDefault="00841AE5" w:rsidP="00841AE5">
      <w:pPr>
        <w:suppressAutoHyphens/>
        <w:wordWrap w:val="0"/>
        <w:spacing w:after="0" w:line="360" w:lineRule="auto"/>
        <w:ind w:right="120"/>
        <w:jc w:val="right"/>
        <w:rPr>
          <w:rFonts w:ascii="Book Antiqua" w:eastAsia="宋体" w:hAnsi="Book Antiqua" w:cs="Mangal"/>
          <w:b/>
          <w:bCs/>
          <w:kern w:val="2"/>
          <w:sz w:val="24"/>
          <w:szCs w:val="24"/>
          <w:lang w:val="it-IT" w:eastAsia="zh-CN" w:bidi="hi-IN"/>
        </w:rPr>
      </w:pPr>
      <w:bookmarkStart w:id="203" w:name="OLE_LINK480"/>
      <w:bookmarkStart w:id="204" w:name="OLE_LINK502"/>
      <w:bookmarkStart w:id="205" w:name="OLE_LINK1021"/>
      <w:bookmarkStart w:id="206" w:name="OLE_LINK1022"/>
      <w:bookmarkStart w:id="207" w:name="OLE_LINK1023"/>
      <w:bookmarkStart w:id="208" w:name="OLE_LINK1064"/>
      <w:bookmarkStart w:id="209" w:name="OLE_LINK1065"/>
      <w:bookmarkStart w:id="210" w:name="OLE_LINK1156"/>
      <w:bookmarkStart w:id="211" w:name="OLE_LINK1157"/>
      <w:bookmarkStart w:id="212" w:name="OLE_LINK1158"/>
      <w:bookmarkStart w:id="213" w:name="OLE_LINK1159"/>
      <w:bookmarkStart w:id="214" w:name="OLE_LINK1185"/>
      <w:bookmarkStart w:id="215" w:name="OLE_LINK958"/>
      <w:bookmarkStart w:id="216" w:name="OLE_LINK959"/>
      <w:bookmarkStart w:id="217" w:name="OLE_LINK962"/>
      <w:bookmarkStart w:id="218" w:name="OLE_LINK1127"/>
      <w:bookmarkStart w:id="219" w:name="OLE_LINK945"/>
      <w:bookmarkStart w:id="220" w:name="OLE_LINK946"/>
      <w:bookmarkStart w:id="221" w:name="OLE_LINK947"/>
      <w:bookmarkStart w:id="222" w:name="OLE_LINK987"/>
      <w:bookmarkStart w:id="223" w:name="OLE_LINK1035"/>
      <w:bookmarkStart w:id="224" w:name="OLE_LINK1036"/>
      <w:bookmarkStart w:id="225" w:name="OLE_LINK1037"/>
      <w:bookmarkStart w:id="226" w:name="OLE_LINK1038"/>
      <w:bookmarkStart w:id="227" w:name="OLE_LINK1039"/>
      <w:bookmarkStart w:id="228" w:name="OLE_LINK1040"/>
      <w:bookmarkStart w:id="229" w:name="OLE_LINK1041"/>
      <w:bookmarkStart w:id="230" w:name="OLE_LINK1042"/>
      <w:bookmarkStart w:id="231" w:name="OLE_LINK1043"/>
      <w:bookmarkStart w:id="232" w:name="OLE_LINK1044"/>
      <w:bookmarkStart w:id="233" w:name="OLE_LINK1071"/>
      <w:bookmarkStart w:id="234" w:name="OLE_LINK1072"/>
      <w:bookmarkStart w:id="235" w:name="OLE_LINK968"/>
      <w:bookmarkStart w:id="236" w:name="OLE_LINK1260"/>
      <w:bookmarkStart w:id="237" w:name="OLE_LINK1261"/>
      <w:bookmarkStart w:id="238" w:name="OLE_LINK1264"/>
      <w:bookmarkStart w:id="239" w:name="OLE_LINK1265"/>
      <w:bookmarkStart w:id="240" w:name="OLE_LINK1266"/>
      <w:bookmarkStart w:id="241" w:name="OLE_LINK1282"/>
      <w:bookmarkStart w:id="242" w:name="OLE_LINK1800"/>
      <w:bookmarkStart w:id="243" w:name="OLE_LINK1801"/>
      <w:bookmarkStart w:id="244" w:name="OLE_LINK1802"/>
      <w:bookmarkStart w:id="245" w:name="OLE_LINK1803"/>
      <w:bookmarkStart w:id="246" w:name="OLE_LINK1843"/>
      <w:bookmarkStart w:id="247" w:name="OLE_LINK1844"/>
      <w:bookmarkStart w:id="248" w:name="OLE_LINK1845"/>
      <w:bookmarkStart w:id="249" w:name="OLE_LINK1636"/>
      <w:bookmarkStart w:id="250" w:name="OLE_LINK1755"/>
      <w:bookmarkStart w:id="251" w:name="OLE_LINK1806"/>
      <w:bookmarkStart w:id="252" w:name="OLE_LINK1807"/>
      <w:bookmarkStart w:id="253" w:name="OLE_LINK1811"/>
      <w:bookmarkStart w:id="254" w:name="OLE_LINK1812"/>
      <w:bookmarkStart w:id="255" w:name="OLE_LINK1813"/>
      <w:bookmarkStart w:id="256" w:name="OLE_LINK1962"/>
      <w:bookmarkStart w:id="257" w:name="OLE_LINK1963"/>
      <w:bookmarkStart w:id="258" w:name="OLE_LINK1964"/>
      <w:bookmarkStart w:id="259" w:name="OLE_LINK2162"/>
      <w:bookmarkStart w:id="260" w:name="OLE_LINK2198"/>
      <w:bookmarkStart w:id="261" w:name="OLE_LINK2199"/>
      <w:bookmarkStart w:id="262" w:name="OLE_LINK2200"/>
      <w:bookmarkStart w:id="263" w:name="OLE_LINK2090"/>
      <w:r w:rsidRPr="00C050D0">
        <w:rPr>
          <w:rFonts w:ascii="Book Antiqua" w:eastAsia="Lucida Sans Unicode" w:hAnsi="Book Antiqua" w:cs="Arial"/>
          <w:b/>
          <w:noProof/>
          <w:kern w:val="2"/>
          <w:sz w:val="24"/>
          <w:szCs w:val="24"/>
          <w:lang w:val="it-IT" w:eastAsia="hi-IN" w:bidi="hi-IN"/>
        </w:rPr>
        <w:t>P-Reviewer</w:t>
      </w:r>
      <w:r w:rsidRPr="00C050D0">
        <w:rPr>
          <w:rFonts w:ascii="Book Antiqua" w:eastAsia="宋体" w:hAnsi="Book Antiqua" w:cs="Arial"/>
          <w:b/>
          <w:noProof/>
          <w:kern w:val="2"/>
          <w:sz w:val="24"/>
          <w:szCs w:val="24"/>
          <w:lang w:val="it-IT" w:eastAsia="zh-CN" w:bidi="hi-IN"/>
        </w:rPr>
        <w:t>:</w:t>
      </w:r>
      <w:r w:rsidRPr="00C050D0">
        <w:rPr>
          <w:rFonts w:ascii="Book Antiqua" w:eastAsia="Lucida Sans Unicode" w:hAnsi="Book Antiqua" w:cs="Mangal"/>
          <w:bCs/>
          <w:kern w:val="2"/>
          <w:sz w:val="24"/>
          <w:szCs w:val="24"/>
          <w:lang w:val="it-IT" w:eastAsia="hi-IN" w:bidi="hi-IN"/>
        </w:rPr>
        <w:t xml:space="preserve"> </w:t>
      </w:r>
      <w:r w:rsidR="008C42C4" w:rsidRPr="008C42C4">
        <w:rPr>
          <w:rFonts w:ascii="Book Antiqua" w:eastAsia="Lucida Sans Unicode" w:hAnsi="Book Antiqua" w:cs="Mangal"/>
          <w:bCs/>
          <w:kern w:val="2"/>
          <w:sz w:val="24"/>
          <w:szCs w:val="24"/>
          <w:lang w:val="it-IT" w:eastAsia="hi-IN" w:bidi="hi-IN"/>
        </w:rPr>
        <w:t>Caboclo</w:t>
      </w:r>
      <w:r w:rsidR="008C42C4">
        <w:rPr>
          <w:rFonts w:ascii="Book Antiqua" w:eastAsia="Lucida Sans Unicode" w:hAnsi="Book Antiqua" w:cs="Mangal"/>
          <w:bCs/>
          <w:kern w:val="2"/>
          <w:sz w:val="24"/>
          <w:szCs w:val="24"/>
          <w:lang w:val="it-IT" w:eastAsia="hi-IN" w:bidi="hi-IN"/>
        </w:rPr>
        <w:t xml:space="preserve"> JF, </w:t>
      </w:r>
      <w:r w:rsidR="008C42C4" w:rsidRPr="008C42C4">
        <w:rPr>
          <w:rFonts w:ascii="Book Antiqua" w:eastAsia="Lucida Sans Unicode" w:hAnsi="Book Antiqua" w:cs="Mangal"/>
          <w:bCs/>
          <w:kern w:val="2"/>
          <w:sz w:val="24"/>
          <w:szCs w:val="24"/>
          <w:lang w:val="it-IT" w:eastAsia="hi-IN" w:bidi="hi-IN"/>
        </w:rPr>
        <w:t>Fiori</w:t>
      </w:r>
      <w:r w:rsidR="008C42C4">
        <w:rPr>
          <w:rFonts w:ascii="Book Antiqua" w:eastAsia="Lucida Sans Unicode" w:hAnsi="Book Antiqua" w:cs="Mangal"/>
          <w:bCs/>
          <w:kern w:val="2"/>
          <w:sz w:val="24"/>
          <w:szCs w:val="24"/>
          <w:lang w:val="it-IT" w:eastAsia="hi-IN" w:bidi="hi-IN"/>
        </w:rPr>
        <w:t xml:space="preserve"> E, </w:t>
      </w:r>
      <w:r w:rsidR="008C42C4" w:rsidRPr="008C42C4">
        <w:rPr>
          <w:rFonts w:ascii="Book Antiqua" w:eastAsia="Lucida Sans Unicode" w:hAnsi="Book Antiqua" w:cs="Mangal"/>
          <w:bCs/>
          <w:kern w:val="2"/>
          <w:sz w:val="24"/>
          <w:szCs w:val="24"/>
          <w:lang w:val="it-IT" w:eastAsia="hi-IN" w:bidi="hi-IN"/>
        </w:rPr>
        <w:t>Harada</w:t>
      </w:r>
      <w:r w:rsidR="008C42C4">
        <w:rPr>
          <w:rFonts w:ascii="Book Antiqua" w:eastAsia="Lucida Sans Unicode" w:hAnsi="Book Antiqua" w:cs="Mangal"/>
          <w:bCs/>
          <w:kern w:val="2"/>
          <w:sz w:val="24"/>
          <w:szCs w:val="24"/>
          <w:lang w:val="it-IT" w:eastAsia="hi-IN" w:bidi="hi-IN"/>
        </w:rPr>
        <w:t xml:space="preserve"> H, </w:t>
      </w:r>
      <w:r w:rsidR="008C42C4" w:rsidRPr="008C42C4">
        <w:rPr>
          <w:rFonts w:ascii="Book Antiqua" w:eastAsia="Lucida Sans Unicode" w:hAnsi="Book Antiqua" w:cs="Mangal"/>
          <w:bCs/>
          <w:kern w:val="2"/>
          <w:sz w:val="24"/>
          <w:szCs w:val="24"/>
          <w:lang w:val="it-IT" w:eastAsia="hi-IN" w:bidi="hi-IN"/>
        </w:rPr>
        <w:t>Rawat</w:t>
      </w:r>
      <w:r w:rsidR="008C42C4">
        <w:rPr>
          <w:rFonts w:ascii="Book Antiqua" w:eastAsia="Lucida Sans Unicode" w:hAnsi="Book Antiqua" w:cs="Mangal"/>
          <w:bCs/>
          <w:kern w:val="2"/>
          <w:sz w:val="24"/>
          <w:szCs w:val="24"/>
          <w:lang w:val="it-IT" w:eastAsia="hi-IN" w:bidi="hi-IN"/>
        </w:rPr>
        <w:t xml:space="preserve"> KS, </w:t>
      </w:r>
      <w:r w:rsidR="008C42C4" w:rsidRPr="008C42C4">
        <w:rPr>
          <w:rFonts w:ascii="Book Antiqua" w:eastAsia="Lucida Sans Unicode" w:hAnsi="Book Antiqua" w:cs="Mangal"/>
          <w:bCs/>
          <w:kern w:val="2"/>
          <w:sz w:val="24"/>
          <w:szCs w:val="24"/>
          <w:lang w:val="it-IT" w:eastAsia="hi-IN" w:bidi="hi-IN"/>
        </w:rPr>
        <w:t>Sandhu</w:t>
      </w:r>
      <w:r w:rsidR="008C42C4">
        <w:rPr>
          <w:rFonts w:ascii="Book Antiqua" w:eastAsia="Lucida Sans Unicode" w:hAnsi="Book Antiqua" w:cs="Mangal"/>
          <w:bCs/>
          <w:kern w:val="2"/>
          <w:sz w:val="24"/>
          <w:szCs w:val="24"/>
          <w:lang w:val="it-IT" w:eastAsia="hi-IN" w:bidi="hi-IN"/>
        </w:rPr>
        <w:t xml:space="preserve"> DS, </w:t>
      </w:r>
      <w:r w:rsidR="008C42C4" w:rsidRPr="008C42C4">
        <w:rPr>
          <w:rFonts w:ascii="Book Antiqua" w:eastAsia="Lucida Sans Unicode" w:hAnsi="Book Antiqua" w:cs="Mangal"/>
          <w:bCs/>
          <w:kern w:val="2"/>
          <w:sz w:val="24"/>
          <w:szCs w:val="24"/>
          <w:lang w:val="it-IT" w:eastAsia="hi-IN" w:bidi="hi-IN"/>
        </w:rPr>
        <w:t>Vorobjova</w:t>
      </w:r>
      <w:r w:rsidR="008C42C4">
        <w:rPr>
          <w:rFonts w:ascii="Book Antiqua" w:eastAsia="Lucida Sans Unicode" w:hAnsi="Book Antiqua" w:cs="Mangal"/>
          <w:bCs/>
          <w:kern w:val="2"/>
          <w:sz w:val="24"/>
          <w:szCs w:val="24"/>
          <w:lang w:val="it-IT" w:eastAsia="hi-IN" w:bidi="hi-IN"/>
        </w:rPr>
        <w:t xml:space="preserve"> T</w:t>
      </w:r>
      <w:r>
        <w:rPr>
          <w:rFonts w:ascii="Book Antiqua" w:eastAsia="Lucida Sans Unicode" w:hAnsi="Book Antiqua" w:cs="Mangal"/>
          <w:bCs/>
          <w:kern w:val="2"/>
          <w:sz w:val="24"/>
          <w:szCs w:val="24"/>
          <w:lang w:val="it-IT" w:eastAsia="hi-IN" w:bidi="hi-IN"/>
        </w:rPr>
        <w:t xml:space="preserve"> </w:t>
      </w:r>
      <w:r w:rsidRPr="00C050D0">
        <w:rPr>
          <w:rFonts w:ascii="Book Antiqua" w:eastAsia="Lucida Sans Unicode" w:hAnsi="Book Antiqua" w:cs="Mangal"/>
          <w:b/>
          <w:bCs/>
          <w:kern w:val="2"/>
          <w:sz w:val="24"/>
          <w:szCs w:val="24"/>
          <w:lang w:val="it-IT" w:eastAsia="hi-IN" w:bidi="hi-IN"/>
        </w:rPr>
        <w:t>S-Editor</w:t>
      </w:r>
      <w:r w:rsidRPr="00C050D0">
        <w:rPr>
          <w:rFonts w:ascii="Book Antiqua" w:eastAsia="宋体" w:hAnsi="Book Antiqua" w:cs="Mangal"/>
          <w:b/>
          <w:bCs/>
          <w:kern w:val="2"/>
          <w:sz w:val="24"/>
          <w:szCs w:val="24"/>
          <w:lang w:val="it-IT" w:eastAsia="zh-CN" w:bidi="hi-IN"/>
        </w:rPr>
        <w:t>:</w:t>
      </w:r>
      <w:r w:rsidRPr="00C050D0">
        <w:rPr>
          <w:rFonts w:ascii="Book Antiqua" w:eastAsia="Lucida Sans Unicode" w:hAnsi="Book Antiqua" w:cs="Mangal"/>
          <w:bCs/>
          <w:kern w:val="2"/>
          <w:sz w:val="24"/>
          <w:szCs w:val="24"/>
          <w:lang w:val="it-IT" w:eastAsia="hi-IN" w:bidi="hi-IN"/>
        </w:rPr>
        <w:t xml:space="preserve"> </w:t>
      </w:r>
      <w:bookmarkStart w:id="264" w:name="OLE_LINK1711"/>
      <w:bookmarkStart w:id="265" w:name="OLE_LINK1710"/>
      <w:bookmarkStart w:id="266" w:name="OLE_LINK1705"/>
      <w:r w:rsidRPr="00C050D0">
        <w:rPr>
          <w:rFonts w:ascii="Book Antiqua" w:eastAsia="宋体" w:hAnsi="Book Antiqua" w:cs="Mangal"/>
          <w:bCs/>
          <w:kern w:val="2"/>
          <w:sz w:val="24"/>
          <w:szCs w:val="24"/>
          <w:lang w:val="it-IT" w:eastAsia="zh-CN" w:bidi="hi-IN"/>
        </w:rPr>
        <w:t>Cui LJ</w:t>
      </w:r>
      <w:bookmarkEnd w:id="264"/>
      <w:bookmarkEnd w:id="265"/>
      <w:bookmarkEnd w:id="266"/>
      <w:r w:rsidRPr="00C050D0">
        <w:rPr>
          <w:rFonts w:ascii="Book Antiqua" w:eastAsia="Lucida Sans Unicode" w:hAnsi="Book Antiqua" w:cs="Mangal"/>
          <w:b/>
          <w:bCs/>
          <w:kern w:val="2"/>
          <w:sz w:val="24"/>
          <w:szCs w:val="24"/>
          <w:lang w:val="it-IT" w:eastAsia="hi-IN" w:bidi="hi-IN"/>
        </w:rPr>
        <w:t xml:space="preserve">   L-Editor</w:t>
      </w:r>
      <w:r w:rsidRPr="00C050D0">
        <w:rPr>
          <w:rFonts w:ascii="Book Antiqua" w:eastAsia="宋体" w:hAnsi="Book Antiqua" w:cs="Mangal"/>
          <w:b/>
          <w:bCs/>
          <w:kern w:val="2"/>
          <w:sz w:val="24"/>
          <w:szCs w:val="24"/>
          <w:lang w:val="it-IT" w:eastAsia="zh-CN" w:bidi="hi-IN"/>
        </w:rPr>
        <w:t>:</w:t>
      </w:r>
      <w:r w:rsidRPr="00C050D0">
        <w:rPr>
          <w:rFonts w:ascii="Book Antiqua" w:eastAsia="Lucida Sans Unicode" w:hAnsi="Book Antiqua" w:cs="Mangal"/>
          <w:b/>
          <w:bCs/>
          <w:kern w:val="2"/>
          <w:sz w:val="24"/>
          <w:szCs w:val="24"/>
          <w:lang w:val="it-IT" w:eastAsia="hi-IN" w:bidi="hi-IN"/>
        </w:rPr>
        <w:t xml:space="preserve">   E-Editor</w:t>
      </w:r>
      <w:r w:rsidRPr="00C050D0">
        <w:rPr>
          <w:rFonts w:ascii="Book Antiqua" w:eastAsia="宋体" w:hAnsi="Book Antiqua" w:cs="Mangal"/>
          <w:b/>
          <w:bCs/>
          <w:kern w:val="2"/>
          <w:sz w:val="24"/>
          <w:szCs w:val="24"/>
          <w:lang w:val="it-IT" w:eastAsia="zh-CN" w:bidi="hi-IN"/>
        </w:rPr>
        <w:t>:</w:t>
      </w:r>
    </w:p>
    <w:p w14:paraId="27302F88" w14:textId="77777777" w:rsidR="00841AE5" w:rsidRPr="00C050D0" w:rsidRDefault="00841AE5" w:rsidP="00841AE5">
      <w:pPr>
        <w:widowControl w:val="0"/>
        <w:shd w:val="clear" w:color="auto" w:fill="FFFFFF"/>
        <w:snapToGrid w:val="0"/>
        <w:spacing w:after="0" w:line="360" w:lineRule="auto"/>
        <w:jc w:val="both"/>
        <w:rPr>
          <w:rFonts w:ascii="Book Antiqua" w:eastAsia="宋体" w:hAnsi="Book Antiqua" w:cs="Helvetica"/>
          <w:b/>
          <w:kern w:val="2"/>
          <w:sz w:val="24"/>
          <w:szCs w:val="24"/>
          <w:lang w:eastAsia="zh-CN"/>
        </w:rPr>
      </w:pPr>
      <w:r w:rsidRPr="00C050D0">
        <w:rPr>
          <w:rFonts w:ascii="Book Antiqua" w:eastAsia="宋体" w:hAnsi="Book Antiqua" w:cs="Helvetica"/>
          <w:b/>
          <w:kern w:val="2"/>
          <w:sz w:val="24"/>
          <w:szCs w:val="24"/>
          <w:lang w:eastAsia="zh-CN"/>
        </w:rPr>
        <w:t xml:space="preserve">Specialty type: </w:t>
      </w:r>
      <w:r w:rsidRPr="00C050D0">
        <w:rPr>
          <w:rFonts w:ascii="Book Antiqua" w:eastAsia="宋体" w:hAnsi="Book Antiqua" w:cs="Helvetica"/>
          <w:kern w:val="2"/>
          <w:sz w:val="24"/>
          <w:szCs w:val="24"/>
          <w:lang w:eastAsia="zh-CN"/>
        </w:rPr>
        <w:t>Gastroenterology and hepatology</w:t>
      </w:r>
    </w:p>
    <w:p w14:paraId="7E9C4B78" w14:textId="77777777" w:rsidR="00841AE5" w:rsidRPr="00C050D0" w:rsidRDefault="00841AE5" w:rsidP="00841AE5">
      <w:pPr>
        <w:widowControl w:val="0"/>
        <w:shd w:val="clear" w:color="auto" w:fill="FFFFFF"/>
        <w:snapToGrid w:val="0"/>
        <w:spacing w:after="0" w:line="360" w:lineRule="auto"/>
        <w:jc w:val="both"/>
        <w:rPr>
          <w:rFonts w:ascii="Book Antiqua" w:eastAsia="宋体" w:hAnsi="Book Antiqua" w:cs="Helvetica"/>
          <w:b/>
          <w:kern w:val="2"/>
          <w:sz w:val="24"/>
          <w:szCs w:val="24"/>
          <w:lang w:eastAsia="zh-CN"/>
        </w:rPr>
      </w:pPr>
      <w:r w:rsidRPr="00C050D0">
        <w:rPr>
          <w:rFonts w:ascii="Book Antiqua" w:eastAsia="宋体" w:hAnsi="Book Antiqua" w:cs="Helvetica"/>
          <w:b/>
          <w:kern w:val="2"/>
          <w:sz w:val="24"/>
          <w:szCs w:val="24"/>
          <w:lang w:eastAsia="zh-CN"/>
        </w:rPr>
        <w:lastRenderedPageBreak/>
        <w:t xml:space="preserve">Country of origin: </w:t>
      </w:r>
      <w:r w:rsidRPr="00C050D0">
        <w:rPr>
          <w:rFonts w:ascii="Book Antiqua" w:eastAsia="宋体" w:hAnsi="Book Antiqua" w:cs="Helvetica"/>
          <w:bCs/>
          <w:kern w:val="2"/>
          <w:sz w:val="24"/>
          <w:szCs w:val="24"/>
          <w:lang w:eastAsia="zh-CN"/>
        </w:rPr>
        <w:t>United States</w:t>
      </w:r>
    </w:p>
    <w:p w14:paraId="4D083D58" w14:textId="77777777" w:rsidR="00841AE5" w:rsidRPr="00C050D0" w:rsidRDefault="00841AE5" w:rsidP="00841AE5">
      <w:pPr>
        <w:widowControl w:val="0"/>
        <w:shd w:val="clear" w:color="auto" w:fill="FFFFFF"/>
        <w:snapToGrid w:val="0"/>
        <w:spacing w:after="0" w:line="360" w:lineRule="auto"/>
        <w:jc w:val="both"/>
        <w:rPr>
          <w:rFonts w:ascii="Book Antiqua" w:eastAsia="宋体" w:hAnsi="Book Antiqua" w:cs="Helvetica"/>
          <w:b/>
          <w:kern w:val="2"/>
          <w:sz w:val="24"/>
          <w:szCs w:val="24"/>
          <w:lang w:eastAsia="zh-CN"/>
        </w:rPr>
      </w:pPr>
      <w:r w:rsidRPr="00C050D0">
        <w:rPr>
          <w:rFonts w:ascii="Book Antiqua" w:eastAsia="宋体" w:hAnsi="Book Antiqua" w:cs="Helvetica"/>
          <w:b/>
          <w:kern w:val="2"/>
          <w:sz w:val="24"/>
          <w:szCs w:val="24"/>
          <w:lang w:eastAsia="zh-CN"/>
        </w:rPr>
        <w:t>Peer-review report classification</w:t>
      </w:r>
    </w:p>
    <w:p w14:paraId="50263175" w14:textId="77777777" w:rsidR="00841AE5" w:rsidRPr="00C050D0" w:rsidRDefault="00841AE5" w:rsidP="00841AE5">
      <w:pPr>
        <w:widowControl w:val="0"/>
        <w:shd w:val="clear" w:color="auto" w:fill="FFFFFF"/>
        <w:snapToGrid w:val="0"/>
        <w:spacing w:after="0" w:line="360" w:lineRule="auto"/>
        <w:jc w:val="both"/>
        <w:rPr>
          <w:rFonts w:ascii="Book Antiqua" w:eastAsia="宋体" w:hAnsi="Book Antiqua" w:cs="Helvetica"/>
          <w:kern w:val="2"/>
          <w:sz w:val="24"/>
          <w:szCs w:val="24"/>
          <w:lang w:eastAsia="zh-CN"/>
        </w:rPr>
      </w:pPr>
      <w:r w:rsidRPr="00C050D0">
        <w:rPr>
          <w:rFonts w:ascii="Book Antiqua" w:eastAsia="宋体" w:hAnsi="Book Antiqua" w:cs="Helvetica"/>
          <w:kern w:val="2"/>
          <w:sz w:val="24"/>
          <w:szCs w:val="24"/>
          <w:lang w:eastAsia="zh-CN"/>
        </w:rPr>
        <w:t xml:space="preserve">Grade A (Excellent): </w:t>
      </w:r>
      <w:r>
        <w:rPr>
          <w:rFonts w:ascii="Book Antiqua" w:eastAsia="宋体" w:hAnsi="Book Antiqua" w:cs="Helvetica"/>
          <w:kern w:val="2"/>
          <w:sz w:val="24"/>
          <w:szCs w:val="24"/>
          <w:lang w:eastAsia="zh-CN"/>
        </w:rPr>
        <w:t>0</w:t>
      </w:r>
    </w:p>
    <w:p w14:paraId="64444332" w14:textId="0CFAAB72" w:rsidR="00841AE5" w:rsidRPr="00C050D0" w:rsidRDefault="00841AE5" w:rsidP="00841AE5">
      <w:pPr>
        <w:widowControl w:val="0"/>
        <w:shd w:val="clear" w:color="auto" w:fill="FFFFFF"/>
        <w:snapToGrid w:val="0"/>
        <w:spacing w:after="0" w:line="360" w:lineRule="auto"/>
        <w:jc w:val="both"/>
        <w:rPr>
          <w:rFonts w:ascii="Book Antiqua" w:eastAsia="宋体" w:hAnsi="Book Antiqua" w:cs="Helvetica"/>
          <w:kern w:val="2"/>
          <w:sz w:val="24"/>
          <w:szCs w:val="24"/>
          <w:lang w:eastAsia="zh-CN"/>
        </w:rPr>
      </w:pPr>
      <w:r w:rsidRPr="00C050D0">
        <w:rPr>
          <w:rFonts w:ascii="Book Antiqua" w:eastAsia="宋体" w:hAnsi="Book Antiqua" w:cs="Helvetica"/>
          <w:kern w:val="2"/>
          <w:sz w:val="24"/>
          <w:szCs w:val="24"/>
          <w:lang w:eastAsia="zh-CN"/>
        </w:rPr>
        <w:t>Grade B (Very good): B</w:t>
      </w:r>
      <w:r w:rsidR="008C42C4">
        <w:rPr>
          <w:rFonts w:ascii="Book Antiqua" w:eastAsia="宋体" w:hAnsi="Book Antiqua" w:cs="Helvetica"/>
          <w:kern w:val="2"/>
          <w:sz w:val="24"/>
          <w:szCs w:val="24"/>
          <w:lang w:eastAsia="zh-CN"/>
        </w:rPr>
        <w:t>, B</w:t>
      </w:r>
    </w:p>
    <w:p w14:paraId="29D2D25F" w14:textId="77777777" w:rsidR="00841AE5" w:rsidRPr="00C050D0" w:rsidRDefault="00841AE5" w:rsidP="00841AE5">
      <w:pPr>
        <w:widowControl w:val="0"/>
        <w:shd w:val="clear" w:color="auto" w:fill="FFFFFF"/>
        <w:snapToGrid w:val="0"/>
        <w:spacing w:after="0" w:line="360" w:lineRule="auto"/>
        <w:jc w:val="both"/>
        <w:rPr>
          <w:rFonts w:ascii="Book Antiqua" w:eastAsia="宋体" w:hAnsi="Book Antiqua" w:cs="Helvetica"/>
          <w:kern w:val="2"/>
          <w:sz w:val="24"/>
          <w:szCs w:val="24"/>
          <w:lang w:eastAsia="zh-CN"/>
        </w:rPr>
      </w:pPr>
      <w:r w:rsidRPr="00C050D0">
        <w:rPr>
          <w:rFonts w:ascii="Book Antiqua" w:eastAsia="宋体" w:hAnsi="Book Antiqua" w:cs="Helvetica"/>
          <w:kern w:val="2"/>
          <w:sz w:val="24"/>
          <w:szCs w:val="24"/>
          <w:lang w:eastAsia="zh-CN"/>
        </w:rPr>
        <w:t>Grade C (Good): C</w:t>
      </w:r>
      <w:r>
        <w:rPr>
          <w:rFonts w:ascii="Book Antiqua" w:eastAsia="宋体" w:hAnsi="Book Antiqua" w:cs="Helvetica"/>
          <w:kern w:val="2"/>
          <w:sz w:val="24"/>
          <w:szCs w:val="24"/>
          <w:lang w:eastAsia="zh-CN"/>
        </w:rPr>
        <w:t>, C</w:t>
      </w:r>
    </w:p>
    <w:p w14:paraId="17DD4DFF" w14:textId="356F96A2" w:rsidR="00841AE5" w:rsidRPr="00C050D0" w:rsidRDefault="00841AE5" w:rsidP="00841AE5">
      <w:pPr>
        <w:widowControl w:val="0"/>
        <w:shd w:val="clear" w:color="auto" w:fill="FFFFFF"/>
        <w:snapToGrid w:val="0"/>
        <w:spacing w:after="0" w:line="360" w:lineRule="auto"/>
        <w:jc w:val="both"/>
        <w:rPr>
          <w:rFonts w:ascii="Book Antiqua" w:eastAsia="宋体" w:hAnsi="Book Antiqua" w:cs="Helvetica"/>
          <w:kern w:val="2"/>
          <w:sz w:val="24"/>
          <w:szCs w:val="24"/>
          <w:lang w:eastAsia="zh-CN"/>
        </w:rPr>
      </w:pPr>
      <w:r w:rsidRPr="00C050D0">
        <w:rPr>
          <w:rFonts w:ascii="Book Antiqua" w:eastAsia="宋体" w:hAnsi="Book Antiqua" w:cs="Helvetica"/>
          <w:kern w:val="2"/>
          <w:sz w:val="24"/>
          <w:szCs w:val="24"/>
          <w:lang w:eastAsia="zh-CN"/>
        </w:rPr>
        <w:t xml:space="preserve">Grade D (Fair): </w:t>
      </w:r>
      <w:bookmarkEnd w:id="203"/>
      <w:bookmarkEnd w:id="204"/>
      <w:r w:rsidR="008C42C4">
        <w:rPr>
          <w:rFonts w:ascii="Book Antiqua" w:eastAsia="宋体" w:hAnsi="Book Antiqua" w:cs="Helvetica"/>
          <w:kern w:val="2"/>
          <w:sz w:val="24"/>
          <w:szCs w:val="24"/>
          <w:lang w:eastAsia="zh-CN"/>
        </w:rPr>
        <w:t>D</w:t>
      </w:r>
    </w:p>
    <w:p w14:paraId="2005EE0E" w14:textId="38323B55" w:rsidR="00841AE5" w:rsidRPr="00C050D0" w:rsidRDefault="00841AE5" w:rsidP="00841AE5">
      <w:pPr>
        <w:widowControl w:val="0"/>
        <w:shd w:val="clear" w:color="auto" w:fill="FFFFFF"/>
        <w:snapToGrid w:val="0"/>
        <w:spacing w:after="0" w:line="360" w:lineRule="auto"/>
        <w:jc w:val="both"/>
        <w:rPr>
          <w:rFonts w:ascii="Book Antiqua" w:eastAsia="宋体" w:hAnsi="Book Antiqua" w:cs="Helvetica"/>
          <w:kern w:val="2"/>
          <w:sz w:val="24"/>
          <w:szCs w:val="24"/>
          <w:lang w:eastAsia="zh-CN"/>
        </w:rPr>
      </w:pPr>
      <w:r w:rsidRPr="00C050D0">
        <w:rPr>
          <w:rFonts w:ascii="Book Antiqua" w:eastAsia="宋体" w:hAnsi="Book Antiqua" w:cs="Helvetica"/>
          <w:kern w:val="2"/>
          <w:sz w:val="24"/>
          <w:szCs w:val="24"/>
          <w:lang w:eastAsia="zh-CN"/>
        </w:rPr>
        <w:t xml:space="preserve">Grade E (Poor): </w:t>
      </w:r>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r w:rsidR="008C42C4">
        <w:rPr>
          <w:rFonts w:ascii="Book Antiqua" w:eastAsia="宋体" w:hAnsi="Book Antiqua" w:cs="Helvetica"/>
          <w:kern w:val="2"/>
          <w:sz w:val="24"/>
          <w:szCs w:val="24"/>
          <w:lang w:eastAsia="zh-CN"/>
        </w:rPr>
        <w:t>E</w:t>
      </w:r>
    </w:p>
    <w:p w14:paraId="4935F5E8" w14:textId="77777777" w:rsidR="00841AE5" w:rsidRPr="00ED0648" w:rsidRDefault="00841AE5" w:rsidP="00ED0648">
      <w:pPr>
        <w:adjustRightInd w:val="0"/>
        <w:snapToGrid w:val="0"/>
        <w:spacing w:after="0" w:line="360" w:lineRule="auto"/>
        <w:jc w:val="both"/>
        <w:rPr>
          <w:rFonts w:ascii="Book Antiqua" w:hAnsi="Book Antiqua"/>
          <w:sz w:val="24"/>
          <w:szCs w:val="24"/>
        </w:rPr>
      </w:pPr>
    </w:p>
    <w:p w14:paraId="3C0E84C8" w14:textId="4D69A50E" w:rsidR="008C5A21" w:rsidRPr="00ED0648" w:rsidRDefault="00ED0648" w:rsidP="00ED0648">
      <w:pPr>
        <w:pStyle w:val="EndNoteBibliography"/>
        <w:adjustRightInd w:val="0"/>
        <w:snapToGrid w:val="0"/>
        <w:spacing w:after="0" w:line="360" w:lineRule="auto"/>
        <w:jc w:val="both"/>
        <w:rPr>
          <w:rFonts w:ascii="Book Antiqua" w:hAnsi="Book Antiqua" w:cstheme="minorHAnsi"/>
          <w:sz w:val="24"/>
          <w:szCs w:val="24"/>
        </w:rPr>
      </w:pPr>
      <w:r w:rsidRPr="00ED0648">
        <w:rPr>
          <w:rFonts w:ascii="Book Antiqua" w:hAnsi="Book Antiqua" w:cstheme="minorHAnsi"/>
          <w:sz w:val="24"/>
          <w:szCs w:val="24"/>
        </w:rPr>
        <w:t xml:space="preserve"> </w:t>
      </w:r>
      <w:r w:rsidR="008C5A21" w:rsidRPr="00ED0648">
        <w:rPr>
          <w:rFonts w:ascii="Book Antiqua" w:hAnsi="Book Antiqua" w:cstheme="minorHAnsi"/>
          <w:sz w:val="24"/>
          <w:szCs w:val="24"/>
        </w:rPr>
        <w:br w:type="page"/>
      </w:r>
    </w:p>
    <w:p w14:paraId="228C8D32" w14:textId="77777777" w:rsidR="005A0E8D" w:rsidRPr="00ED0648" w:rsidRDefault="008C5A21" w:rsidP="00ED0648">
      <w:pPr>
        <w:adjustRightInd w:val="0"/>
        <w:snapToGrid w:val="0"/>
        <w:spacing w:after="0" w:line="360" w:lineRule="auto"/>
        <w:jc w:val="both"/>
        <w:rPr>
          <w:rFonts w:ascii="Book Antiqua" w:hAnsi="Book Antiqua" w:cstheme="minorHAnsi"/>
          <w:b/>
          <w:sz w:val="24"/>
          <w:szCs w:val="24"/>
        </w:rPr>
      </w:pPr>
      <w:r w:rsidRPr="00ED0648">
        <w:rPr>
          <w:rFonts w:ascii="Book Antiqua" w:hAnsi="Book Antiqua" w:cstheme="minorHAnsi"/>
          <w:noProof/>
          <w:sz w:val="24"/>
          <w:szCs w:val="24"/>
          <w:lang w:eastAsia="zh-CN"/>
        </w:rPr>
        <w:lastRenderedPageBreak/>
        <w:drawing>
          <wp:inline distT="0" distB="0" distL="0" distR="0" wp14:anchorId="6DE9073E" wp14:editId="1FC7CE3C">
            <wp:extent cx="5715000" cy="3289300"/>
            <wp:effectExtent l="0" t="0" r="0"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0" cy="3289300"/>
                    </a:xfrm>
                    <a:prstGeom prst="rect">
                      <a:avLst/>
                    </a:prstGeom>
                    <a:noFill/>
                    <a:ln>
                      <a:noFill/>
                    </a:ln>
                  </pic:spPr>
                </pic:pic>
              </a:graphicData>
            </a:graphic>
          </wp:inline>
        </w:drawing>
      </w:r>
    </w:p>
    <w:p w14:paraId="05118EC2" w14:textId="77777777" w:rsidR="005A0E8D" w:rsidRPr="00ED0648" w:rsidRDefault="005A0E8D" w:rsidP="00ED0648">
      <w:pPr>
        <w:adjustRightInd w:val="0"/>
        <w:snapToGrid w:val="0"/>
        <w:spacing w:after="0" w:line="360" w:lineRule="auto"/>
        <w:jc w:val="both"/>
        <w:rPr>
          <w:rFonts w:ascii="Book Antiqua" w:hAnsi="Book Antiqua" w:cstheme="minorHAnsi"/>
          <w:b/>
          <w:sz w:val="24"/>
          <w:szCs w:val="24"/>
        </w:rPr>
      </w:pPr>
      <w:r w:rsidRPr="00ED0648">
        <w:rPr>
          <w:rFonts w:ascii="Book Antiqua" w:hAnsi="Book Antiqua" w:cstheme="minorHAnsi"/>
          <w:b/>
          <w:sz w:val="24"/>
          <w:szCs w:val="24"/>
        </w:rPr>
        <w:t>Figure 1 LINX magnetic sphincter augmentation implantable device.</w:t>
      </w:r>
    </w:p>
    <w:p w14:paraId="694B83BB" w14:textId="77777777" w:rsidR="00485490" w:rsidRPr="00ED0648" w:rsidRDefault="008C5A21" w:rsidP="00ED0648">
      <w:pPr>
        <w:adjustRightInd w:val="0"/>
        <w:snapToGrid w:val="0"/>
        <w:spacing w:after="0" w:line="360" w:lineRule="auto"/>
        <w:jc w:val="both"/>
        <w:rPr>
          <w:rFonts w:ascii="Book Antiqua" w:hAnsi="Book Antiqua" w:cstheme="minorHAnsi"/>
          <w:b/>
          <w:sz w:val="24"/>
          <w:szCs w:val="24"/>
        </w:rPr>
      </w:pPr>
      <w:r w:rsidRPr="00ED0648">
        <w:rPr>
          <w:rFonts w:ascii="Book Antiqua" w:hAnsi="Book Antiqua" w:cstheme="minorHAnsi"/>
          <w:b/>
          <w:sz w:val="24"/>
          <w:szCs w:val="24"/>
        </w:rPr>
        <w:br w:type="page"/>
      </w:r>
    </w:p>
    <w:p w14:paraId="3682748C" w14:textId="45BDE751" w:rsidR="00485490" w:rsidRPr="00ED0648" w:rsidRDefault="00485490" w:rsidP="00ED0648">
      <w:pPr>
        <w:adjustRightInd w:val="0"/>
        <w:snapToGrid w:val="0"/>
        <w:spacing w:after="0" w:line="360" w:lineRule="auto"/>
        <w:jc w:val="both"/>
        <w:rPr>
          <w:rFonts w:ascii="Book Antiqua" w:hAnsi="Book Antiqua" w:cstheme="minorHAnsi"/>
          <w:b/>
          <w:sz w:val="24"/>
          <w:szCs w:val="24"/>
        </w:rPr>
      </w:pPr>
      <w:r w:rsidRPr="00ED0648">
        <w:rPr>
          <w:rFonts w:ascii="Book Antiqua" w:hAnsi="Book Antiqua" w:cstheme="minorHAnsi"/>
          <w:b/>
          <w:noProof/>
          <w:sz w:val="24"/>
          <w:szCs w:val="24"/>
          <w:lang w:eastAsia="zh-CN"/>
        </w:rPr>
        <w:lastRenderedPageBreak/>
        <w:drawing>
          <wp:inline distT="0" distB="0" distL="0" distR="0" wp14:anchorId="215FDAB4" wp14:editId="3C92C5E6">
            <wp:extent cx="6401273" cy="34766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6697" cy="3479571"/>
                    </a:xfrm>
                    <a:prstGeom prst="rect">
                      <a:avLst/>
                    </a:prstGeom>
                    <a:noFill/>
                  </pic:spPr>
                </pic:pic>
              </a:graphicData>
            </a:graphic>
          </wp:inline>
        </w:drawing>
      </w:r>
    </w:p>
    <w:p w14:paraId="3B1AFFC4" w14:textId="65BECF36" w:rsidR="008C5A21" w:rsidRPr="00ED0648" w:rsidRDefault="008C5A21" w:rsidP="00ED0648">
      <w:pPr>
        <w:adjustRightInd w:val="0"/>
        <w:snapToGrid w:val="0"/>
        <w:spacing w:after="0" w:line="360" w:lineRule="auto"/>
        <w:jc w:val="both"/>
        <w:rPr>
          <w:rFonts w:ascii="Book Antiqua" w:hAnsi="Book Antiqua" w:cstheme="minorHAnsi"/>
          <w:sz w:val="24"/>
          <w:szCs w:val="24"/>
        </w:rPr>
      </w:pPr>
      <w:r w:rsidRPr="00ED0648" w:rsidDel="00D529CC">
        <w:rPr>
          <w:rFonts w:ascii="Book Antiqua" w:hAnsi="Book Antiqua" w:cstheme="minorHAnsi"/>
          <w:b/>
          <w:sz w:val="24"/>
          <w:szCs w:val="24"/>
        </w:rPr>
        <w:t xml:space="preserve">Figure </w:t>
      </w:r>
      <w:r w:rsidRPr="00ED0648">
        <w:rPr>
          <w:rFonts w:ascii="Book Antiqua" w:hAnsi="Book Antiqua" w:cstheme="minorHAnsi"/>
          <w:b/>
          <w:sz w:val="24"/>
          <w:szCs w:val="24"/>
        </w:rPr>
        <w:t>2</w:t>
      </w:r>
      <w:r w:rsidR="00485490" w:rsidRPr="00ED0648">
        <w:rPr>
          <w:rFonts w:ascii="Book Antiqua" w:hAnsi="Book Antiqua" w:cstheme="minorHAnsi"/>
          <w:b/>
          <w:sz w:val="24"/>
          <w:szCs w:val="24"/>
        </w:rPr>
        <w:t xml:space="preserve"> </w:t>
      </w:r>
      <w:r w:rsidRPr="00ED0648">
        <w:rPr>
          <w:rFonts w:ascii="Book Antiqua" w:hAnsi="Book Antiqua" w:cstheme="minorHAnsi"/>
          <w:b/>
          <w:sz w:val="24"/>
          <w:szCs w:val="24"/>
        </w:rPr>
        <w:t>Typical eligibility criteria for anti-reflux surgery procedures as p</w:t>
      </w:r>
      <w:r w:rsidRPr="00ED0648" w:rsidDel="00D529CC">
        <w:rPr>
          <w:rFonts w:ascii="Book Antiqua" w:hAnsi="Book Antiqua" w:cstheme="minorHAnsi"/>
          <w:b/>
          <w:sz w:val="24"/>
          <w:szCs w:val="24"/>
        </w:rPr>
        <w:t>atient</w:t>
      </w:r>
      <w:r w:rsidRPr="00ED0648">
        <w:rPr>
          <w:rFonts w:ascii="Book Antiqua" w:hAnsi="Book Antiqua" w:cstheme="minorHAnsi"/>
          <w:b/>
          <w:sz w:val="24"/>
          <w:szCs w:val="24"/>
        </w:rPr>
        <w:t>s</w:t>
      </w:r>
      <w:r w:rsidRPr="00ED0648" w:rsidDel="00D529CC">
        <w:rPr>
          <w:rFonts w:ascii="Book Antiqua" w:hAnsi="Book Antiqua" w:cstheme="minorHAnsi"/>
          <w:b/>
          <w:sz w:val="24"/>
          <w:szCs w:val="24"/>
        </w:rPr>
        <w:t xml:space="preserve"> progress from medical management to surgery</w:t>
      </w:r>
      <w:r w:rsidR="002E5728" w:rsidRPr="00ED0648">
        <w:rPr>
          <w:rFonts w:ascii="Book Antiqua" w:hAnsi="Book Antiqua" w:cstheme="minorHAnsi"/>
          <w:b/>
          <w:sz w:val="24"/>
          <w:szCs w:val="24"/>
        </w:rPr>
        <w:t>.</w:t>
      </w:r>
    </w:p>
    <w:p w14:paraId="109FE1E8" w14:textId="77777777" w:rsidR="00485490" w:rsidRPr="00ED0648" w:rsidRDefault="008C5A21" w:rsidP="00ED0648">
      <w:pPr>
        <w:adjustRightInd w:val="0"/>
        <w:snapToGrid w:val="0"/>
        <w:spacing w:after="0" w:line="360" w:lineRule="auto"/>
        <w:jc w:val="both"/>
        <w:rPr>
          <w:rFonts w:ascii="Book Antiqua" w:hAnsi="Book Antiqua" w:cstheme="minorHAnsi"/>
          <w:b/>
          <w:sz w:val="24"/>
          <w:szCs w:val="24"/>
        </w:rPr>
      </w:pPr>
      <w:r w:rsidRPr="00ED0648">
        <w:rPr>
          <w:rFonts w:ascii="Book Antiqua" w:hAnsi="Book Antiqua" w:cstheme="minorHAnsi"/>
          <w:b/>
          <w:sz w:val="24"/>
          <w:szCs w:val="24"/>
        </w:rPr>
        <w:br w:type="page"/>
      </w:r>
    </w:p>
    <w:p w14:paraId="7CD94698" w14:textId="367629E2" w:rsidR="00485490" w:rsidRPr="00ED0648" w:rsidRDefault="00485490" w:rsidP="00ED0648">
      <w:pPr>
        <w:adjustRightInd w:val="0"/>
        <w:snapToGrid w:val="0"/>
        <w:spacing w:after="0" w:line="360" w:lineRule="auto"/>
        <w:jc w:val="both"/>
        <w:rPr>
          <w:rFonts w:ascii="Book Antiqua" w:hAnsi="Book Antiqua" w:cstheme="minorHAnsi"/>
          <w:b/>
          <w:sz w:val="24"/>
          <w:szCs w:val="24"/>
        </w:rPr>
      </w:pPr>
      <w:bookmarkStart w:id="267" w:name="_GoBack"/>
      <w:r w:rsidRPr="00ED0648">
        <w:rPr>
          <w:rFonts w:ascii="Book Antiqua" w:hAnsi="Book Antiqua" w:cstheme="minorHAnsi"/>
          <w:b/>
          <w:noProof/>
          <w:sz w:val="24"/>
          <w:szCs w:val="24"/>
          <w:lang w:eastAsia="zh-CN"/>
        </w:rPr>
        <w:lastRenderedPageBreak/>
        <w:drawing>
          <wp:inline distT="0" distB="0" distL="0" distR="0" wp14:anchorId="6E3195E5" wp14:editId="7F506760">
            <wp:extent cx="5933144" cy="33909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342" cy="3396728"/>
                    </a:xfrm>
                    <a:prstGeom prst="rect">
                      <a:avLst/>
                    </a:prstGeom>
                    <a:noFill/>
                  </pic:spPr>
                </pic:pic>
              </a:graphicData>
            </a:graphic>
          </wp:inline>
        </w:drawing>
      </w:r>
      <w:bookmarkEnd w:id="267"/>
    </w:p>
    <w:p w14:paraId="5553438A" w14:textId="0D9A2EDE" w:rsidR="008C5A21" w:rsidRPr="00ED0648" w:rsidRDefault="008C5A21" w:rsidP="00ED0648">
      <w:pPr>
        <w:adjustRightInd w:val="0"/>
        <w:snapToGrid w:val="0"/>
        <w:spacing w:after="0" w:line="360" w:lineRule="auto"/>
        <w:jc w:val="both"/>
        <w:rPr>
          <w:rFonts w:ascii="Book Antiqua" w:hAnsi="Book Antiqua" w:cstheme="minorHAnsi"/>
          <w:sz w:val="24"/>
          <w:szCs w:val="24"/>
        </w:rPr>
      </w:pPr>
      <w:r w:rsidRPr="00ED0648">
        <w:rPr>
          <w:rFonts w:ascii="Book Antiqua" w:hAnsi="Book Antiqua" w:cstheme="minorHAnsi"/>
          <w:b/>
          <w:sz w:val="24"/>
          <w:szCs w:val="24"/>
        </w:rPr>
        <w:t>Figure 3</w:t>
      </w:r>
      <w:r w:rsidR="002E5728" w:rsidRPr="00ED0648">
        <w:rPr>
          <w:rFonts w:ascii="Book Antiqua" w:hAnsi="Book Antiqua" w:cstheme="minorHAnsi"/>
          <w:b/>
          <w:sz w:val="24"/>
          <w:szCs w:val="24"/>
        </w:rPr>
        <w:t xml:space="preserve"> </w:t>
      </w:r>
      <w:r w:rsidRPr="00ED0648">
        <w:rPr>
          <w:rFonts w:ascii="Book Antiqua" w:hAnsi="Book Antiqua" w:cstheme="minorHAnsi"/>
          <w:b/>
          <w:sz w:val="24"/>
          <w:szCs w:val="24"/>
        </w:rPr>
        <w:t>Patient diagnostics used in the evaluation of</w:t>
      </w:r>
      <w:r w:rsidR="00485490" w:rsidRPr="00ED0648">
        <w:rPr>
          <w:rFonts w:ascii="Book Antiqua" w:hAnsi="Book Antiqua"/>
          <w:sz w:val="24"/>
          <w:szCs w:val="24"/>
        </w:rPr>
        <w:t xml:space="preserve"> </w:t>
      </w:r>
      <w:r w:rsidR="00485490" w:rsidRPr="00ED0648">
        <w:rPr>
          <w:rFonts w:ascii="Book Antiqua" w:hAnsi="Book Antiqua" w:cstheme="minorHAnsi"/>
          <w:b/>
          <w:sz w:val="24"/>
          <w:szCs w:val="24"/>
        </w:rPr>
        <w:t>gastroesophageal reflux disease</w:t>
      </w:r>
      <w:r w:rsidRPr="00ED0648">
        <w:rPr>
          <w:rFonts w:ascii="Book Antiqua" w:hAnsi="Book Antiqua" w:cstheme="minorHAnsi"/>
          <w:b/>
          <w:sz w:val="24"/>
          <w:szCs w:val="24"/>
        </w:rPr>
        <w:t xml:space="preserve"> symptoms</w:t>
      </w:r>
      <w:r w:rsidRPr="00ED0648">
        <w:rPr>
          <w:rFonts w:ascii="Book Antiqua" w:hAnsi="Book Antiqua" w:cstheme="minorHAnsi"/>
          <w:b/>
          <w:noProof/>
          <w:sz w:val="24"/>
          <w:szCs w:val="24"/>
          <w:vertAlign w:val="superscript"/>
        </w:rPr>
        <w:t>[23,</w:t>
      </w:r>
      <w:r w:rsidR="00753AAB" w:rsidRPr="00ED0648">
        <w:rPr>
          <w:rFonts w:ascii="Book Antiqua" w:hAnsi="Book Antiqua" w:cstheme="minorHAnsi"/>
          <w:b/>
          <w:noProof/>
          <w:sz w:val="24"/>
          <w:szCs w:val="24"/>
          <w:vertAlign w:val="superscript"/>
        </w:rPr>
        <w:t>6</w:t>
      </w:r>
      <w:r w:rsidR="006A7B29" w:rsidRPr="00ED0648">
        <w:rPr>
          <w:rFonts w:ascii="Book Antiqua" w:hAnsi="Book Antiqua" w:cstheme="minorHAnsi"/>
          <w:b/>
          <w:noProof/>
          <w:sz w:val="24"/>
          <w:szCs w:val="24"/>
          <w:vertAlign w:val="superscript"/>
        </w:rPr>
        <w:t>1</w:t>
      </w:r>
      <w:r w:rsidRPr="00ED0648">
        <w:rPr>
          <w:rFonts w:ascii="Book Antiqua" w:hAnsi="Book Antiqua" w:cstheme="minorHAnsi"/>
          <w:b/>
          <w:noProof/>
          <w:sz w:val="24"/>
          <w:szCs w:val="24"/>
          <w:vertAlign w:val="superscript"/>
        </w:rPr>
        <w:t>]</w:t>
      </w:r>
      <w:r w:rsidRPr="00ED0648">
        <w:rPr>
          <w:rFonts w:ascii="Book Antiqua" w:hAnsi="Book Antiqua" w:cstheme="minorHAnsi"/>
          <w:b/>
          <w:sz w:val="24"/>
          <w:szCs w:val="24"/>
        </w:rPr>
        <w:t>.</w:t>
      </w:r>
    </w:p>
    <w:p w14:paraId="749A420B" w14:textId="6E446DC1" w:rsidR="00ED244F" w:rsidRPr="00ED0648" w:rsidRDefault="00ED244F" w:rsidP="00ED0648">
      <w:pPr>
        <w:adjustRightInd w:val="0"/>
        <w:snapToGrid w:val="0"/>
        <w:spacing w:after="0" w:line="360" w:lineRule="auto"/>
        <w:jc w:val="both"/>
        <w:rPr>
          <w:rFonts w:ascii="Book Antiqua" w:hAnsi="Book Antiqua" w:cstheme="minorHAnsi"/>
          <w:b/>
          <w:sz w:val="24"/>
          <w:szCs w:val="24"/>
        </w:rPr>
      </w:pPr>
    </w:p>
    <w:p w14:paraId="7652DA66" w14:textId="5CB8D089" w:rsidR="008C5A21" w:rsidRPr="00ED0648" w:rsidRDefault="008C5A21" w:rsidP="00ED0648">
      <w:pPr>
        <w:adjustRightInd w:val="0"/>
        <w:snapToGrid w:val="0"/>
        <w:spacing w:after="0" w:line="360" w:lineRule="auto"/>
        <w:jc w:val="both"/>
        <w:rPr>
          <w:rFonts w:ascii="Book Antiqua" w:hAnsi="Book Antiqua" w:cstheme="minorHAnsi"/>
          <w:b/>
          <w:sz w:val="24"/>
          <w:szCs w:val="24"/>
        </w:rPr>
      </w:pPr>
      <w:r w:rsidRPr="00ED0648">
        <w:rPr>
          <w:rFonts w:ascii="Book Antiqua" w:hAnsi="Book Antiqua" w:cstheme="minorHAnsi"/>
          <w:b/>
          <w:sz w:val="24"/>
          <w:szCs w:val="24"/>
        </w:rPr>
        <w:br w:type="page"/>
      </w:r>
    </w:p>
    <w:p w14:paraId="63917004" w14:textId="19980EA1" w:rsidR="008C5A21" w:rsidRPr="00ED0648" w:rsidRDefault="00485490" w:rsidP="00ED0648">
      <w:pPr>
        <w:pStyle w:val="3"/>
        <w:keepNext w:val="0"/>
        <w:keepLines w:val="0"/>
        <w:widowControl w:val="0"/>
        <w:adjustRightInd w:val="0"/>
        <w:snapToGrid w:val="0"/>
        <w:spacing w:before="0" w:line="360" w:lineRule="auto"/>
        <w:jc w:val="both"/>
        <w:rPr>
          <w:rFonts w:ascii="Book Antiqua" w:hAnsi="Book Antiqua" w:cstheme="minorHAnsi"/>
          <w:b/>
          <w:color w:val="auto"/>
        </w:rPr>
      </w:pPr>
      <w:r w:rsidRPr="00ED0648">
        <w:rPr>
          <w:rFonts w:ascii="Book Antiqua" w:hAnsi="Book Antiqua" w:cstheme="minorHAnsi"/>
          <w:noProof/>
          <w:color w:val="auto"/>
          <w:lang w:eastAsia="zh-CN"/>
        </w:rPr>
        <w:lastRenderedPageBreak/>
        <w:drawing>
          <wp:inline distT="0" distB="0" distL="0" distR="0" wp14:anchorId="14F47470" wp14:editId="4EAE8E5B">
            <wp:extent cx="5943600" cy="2146930"/>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3600" cy="2146930"/>
                    </a:xfrm>
                    <a:prstGeom prst="rect">
                      <a:avLst/>
                    </a:prstGeom>
                    <a:noFill/>
                  </pic:spPr>
                </pic:pic>
              </a:graphicData>
            </a:graphic>
          </wp:inline>
        </w:drawing>
      </w:r>
      <w:r w:rsidR="008C5A21" w:rsidRPr="00ED0648">
        <w:rPr>
          <w:rFonts w:ascii="Book Antiqua" w:hAnsi="Book Antiqua" w:cstheme="minorHAnsi"/>
          <w:b/>
          <w:color w:val="auto"/>
        </w:rPr>
        <w:t>Figure 4</w:t>
      </w:r>
      <w:r w:rsidRPr="00ED0648">
        <w:rPr>
          <w:rFonts w:ascii="Book Antiqua" w:hAnsi="Book Antiqua" w:cstheme="minorHAnsi"/>
          <w:b/>
          <w:color w:val="auto"/>
        </w:rPr>
        <w:t xml:space="preserve"> </w:t>
      </w:r>
      <w:r w:rsidR="008C5A21" w:rsidRPr="00ED0648">
        <w:rPr>
          <w:rFonts w:ascii="Book Antiqua" w:hAnsi="Book Antiqua" w:cstheme="minorHAnsi"/>
          <w:b/>
          <w:color w:val="auto"/>
        </w:rPr>
        <w:t xml:space="preserve">Typical patient presentation in </w:t>
      </w:r>
      <w:r w:rsidRPr="00ED0648">
        <w:rPr>
          <w:rFonts w:ascii="Book Antiqua" w:hAnsi="Book Antiqua" w:cstheme="minorHAnsi"/>
          <w:b/>
          <w:color w:val="auto"/>
        </w:rPr>
        <w:t>gastroesophageal reflux disease</w:t>
      </w:r>
      <w:r w:rsidR="008C5A21" w:rsidRPr="00ED0648">
        <w:rPr>
          <w:rFonts w:ascii="Book Antiqua" w:hAnsi="Book Antiqua" w:cstheme="minorHAnsi"/>
          <w:b/>
          <w:noProof/>
          <w:color w:val="auto"/>
          <w:vertAlign w:val="superscript"/>
        </w:rPr>
        <w:t>[</w:t>
      </w:r>
      <w:r w:rsidR="006A7B29" w:rsidRPr="00ED0648">
        <w:rPr>
          <w:rFonts w:ascii="Book Antiqua" w:hAnsi="Book Antiqua" w:cstheme="minorHAnsi"/>
          <w:b/>
          <w:noProof/>
          <w:color w:val="auto"/>
          <w:vertAlign w:val="superscript"/>
        </w:rPr>
        <w:t>89</w:t>
      </w:r>
      <w:r w:rsidR="008C5A21" w:rsidRPr="00ED0648">
        <w:rPr>
          <w:rFonts w:ascii="Book Antiqua" w:hAnsi="Book Antiqua" w:cstheme="minorHAnsi"/>
          <w:b/>
          <w:noProof/>
          <w:color w:val="auto"/>
          <w:vertAlign w:val="superscript"/>
        </w:rPr>
        <w:t>,</w:t>
      </w:r>
      <w:r w:rsidR="00753AAB" w:rsidRPr="00ED0648">
        <w:rPr>
          <w:rFonts w:ascii="Book Antiqua" w:hAnsi="Book Antiqua" w:cstheme="minorHAnsi"/>
          <w:b/>
          <w:noProof/>
          <w:color w:val="auto"/>
          <w:vertAlign w:val="superscript"/>
        </w:rPr>
        <w:t>9</w:t>
      </w:r>
      <w:r w:rsidR="006A7B29" w:rsidRPr="00ED0648">
        <w:rPr>
          <w:rFonts w:ascii="Book Antiqua" w:hAnsi="Book Antiqua" w:cstheme="minorHAnsi"/>
          <w:b/>
          <w:noProof/>
          <w:color w:val="auto"/>
          <w:vertAlign w:val="superscript"/>
        </w:rPr>
        <w:t>0</w:t>
      </w:r>
      <w:r w:rsidR="008C5A21" w:rsidRPr="00ED0648">
        <w:rPr>
          <w:rFonts w:ascii="Book Antiqua" w:hAnsi="Book Antiqua" w:cstheme="minorHAnsi"/>
          <w:b/>
          <w:noProof/>
          <w:color w:val="auto"/>
          <w:vertAlign w:val="superscript"/>
        </w:rPr>
        <w:t>]</w:t>
      </w:r>
      <w:r w:rsidR="008C5A21" w:rsidRPr="00ED0648">
        <w:rPr>
          <w:rFonts w:ascii="Book Antiqua" w:hAnsi="Book Antiqua" w:cstheme="minorHAnsi"/>
          <w:b/>
          <w:color w:val="auto"/>
        </w:rPr>
        <w:t>.</w:t>
      </w:r>
    </w:p>
    <w:p w14:paraId="5D83381F" w14:textId="71134800" w:rsidR="008C5A21" w:rsidRPr="00ED0648" w:rsidRDefault="008C5A21" w:rsidP="00ED0648">
      <w:pPr>
        <w:widowControl w:val="0"/>
        <w:adjustRightInd w:val="0"/>
        <w:snapToGrid w:val="0"/>
        <w:spacing w:after="0" w:line="360" w:lineRule="auto"/>
        <w:jc w:val="both"/>
        <w:rPr>
          <w:rFonts w:ascii="Book Antiqua" w:hAnsi="Book Antiqua" w:cstheme="minorHAnsi"/>
          <w:sz w:val="24"/>
          <w:szCs w:val="24"/>
        </w:rPr>
      </w:pPr>
    </w:p>
    <w:p w14:paraId="00E671A5" w14:textId="77777777" w:rsidR="003E37F8" w:rsidRPr="00ED0648" w:rsidRDefault="003E37F8" w:rsidP="00ED0648">
      <w:pPr>
        <w:adjustRightInd w:val="0"/>
        <w:snapToGrid w:val="0"/>
        <w:spacing w:after="0" w:line="360" w:lineRule="auto"/>
        <w:jc w:val="both"/>
        <w:rPr>
          <w:rFonts w:ascii="Book Antiqua" w:hAnsi="Book Antiqua"/>
          <w:sz w:val="24"/>
          <w:szCs w:val="24"/>
        </w:rPr>
      </w:pPr>
    </w:p>
    <w:p w14:paraId="2A33D893" w14:textId="77777777" w:rsidR="003E37F8" w:rsidRPr="00ED0648" w:rsidRDefault="003E37F8" w:rsidP="00ED0648">
      <w:pPr>
        <w:adjustRightInd w:val="0"/>
        <w:snapToGrid w:val="0"/>
        <w:spacing w:after="0" w:line="360" w:lineRule="auto"/>
        <w:jc w:val="both"/>
        <w:rPr>
          <w:rFonts w:ascii="Book Antiqua" w:hAnsi="Book Antiqua"/>
          <w:sz w:val="24"/>
          <w:szCs w:val="24"/>
        </w:rPr>
      </w:pPr>
    </w:p>
    <w:p w14:paraId="0E0CE1F8" w14:textId="55924118" w:rsidR="00464DEE" w:rsidRPr="00ED0648" w:rsidRDefault="003E37F8" w:rsidP="00ED0648">
      <w:pPr>
        <w:adjustRightInd w:val="0"/>
        <w:snapToGrid w:val="0"/>
        <w:spacing w:after="0" w:line="360" w:lineRule="auto"/>
        <w:jc w:val="both"/>
        <w:rPr>
          <w:rFonts w:ascii="Book Antiqua" w:hAnsi="Book Antiqua"/>
          <w:sz w:val="24"/>
          <w:szCs w:val="24"/>
        </w:rPr>
      </w:pPr>
      <w:r w:rsidRPr="00ED0648">
        <w:rPr>
          <w:rFonts w:ascii="Book Antiqua" w:hAnsi="Book Antiqua"/>
          <w:sz w:val="24"/>
          <w:szCs w:val="24"/>
        </w:rPr>
        <w:fldChar w:fldCharType="begin"/>
      </w:r>
      <w:r w:rsidRPr="00ED0648">
        <w:rPr>
          <w:rFonts w:ascii="Book Antiqua" w:hAnsi="Book Antiqua"/>
          <w:sz w:val="24"/>
          <w:szCs w:val="24"/>
        </w:rPr>
        <w:instrText xml:space="preserve"> ADDIN EN.REFLIST </w:instrText>
      </w:r>
      <w:r w:rsidRPr="00ED0648">
        <w:rPr>
          <w:rFonts w:ascii="Book Antiqua" w:hAnsi="Book Antiqua"/>
          <w:sz w:val="24"/>
          <w:szCs w:val="24"/>
        </w:rPr>
        <w:fldChar w:fldCharType="end"/>
      </w:r>
    </w:p>
    <w:sectPr w:rsidR="00464DEE" w:rsidRPr="00ED0648" w:rsidSect="009C2E48">
      <w:head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6159D1" w14:textId="77777777" w:rsidR="008706F6" w:rsidRDefault="008706F6" w:rsidP="009C2E48">
      <w:pPr>
        <w:spacing w:after="0" w:line="240" w:lineRule="auto"/>
      </w:pPr>
      <w:r>
        <w:separator/>
      </w:r>
    </w:p>
  </w:endnote>
  <w:endnote w:type="continuationSeparator" w:id="0">
    <w:p w14:paraId="3790BE53" w14:textId="77777777" w:rsidR="008706F6" w:rsidRDefault="008706F6" w:rsidP="009C2E48">
      <w:pPr>
        <w:spacing w:after="0" w:line="240" w:lineRule="auto"/>
      </w:pPr>
      <w:r>
        <w:continuationSeparator/>
      </w:r>
    </w:p>
  </w:endnote>
  <w:endnote w:type="continuationNotice" w:id="1">
    <w:p w14:paraId="740F4A56" w14:textId="77777777" w:rsidR="008706F6" w:rsidRDefault="008706F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Unicode MS">
    <w:altName w:val="Arial"/>
    <w:panose1 w:val="020B0604020202020204"/>
    <w:charset w:val="00"/>
    <w:family w:val="auto"/>
    <w:pitch w:val="variable"/>
    <w:sig w:usb0="F7FFAFFF" w:usb1="E9DFFFFF" w:usb2="0000003F" w:usb3="00000000" w:csb0="003F01FF" w:csb1="00000000"/>
  </w:font>
  <w:font w:name="MS Mincho">
    <w:altName w:val="Yu Gothic UI"/>
    <w:panose1 w:val="02020609040205080304"/>
    <w:charset w:val="80"/>
    <w:family w:val="modern"/>
    <w:pitch w:val="fixed"/>
    <w:sig w:usb0="E00002FF" w:usb1="6AC7FDFB" w:usb2="08000012" w:usb3="00000000" w:csb0="0002009F"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Helvetica">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C1D26D" w14:textId="77777777" w:rsidR="008706F6" w:rsidRDefault="008706F6" w:rsidP="009C2E48">
      <w:pPr>
        <w:spacing w:after="0" w:line="240" w:lineRule="auto"/>
      </w:pPr>
      <w:r>
        <w:separator/>
      </w:r>
    </w:p>
  </w:footnote>
  <w:footnote w:type="continuationSeparator" w:id="0">
    <w:p w14:paraId="6506A516" w14:textId="77777777" w:rsidR="008706F6" w:rsidRDefault="008706F6" w:rsidP="009C2E48">
      <w:pPr>
        <w:spacing w:after="0" w:line="240" w:lineRule="auto"/>
      </w:pPr>
      <w:r>
        <w:continuationSeparator/>
      </w:r>
    </w:p>
  </w:footnote>
  <w:footnote w:type="continuationNotice" w:id="1">
    <w:p w14:paraId="2ACA3877" w14:textId="77777777" w:rsidR="008706F6" w:rsidRDefault="008706F6">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459F5E" w14:textId="58B26C63" w:rsidR="007C2E1D" w:rsidRDefault="007C2E1D">
    <w:pPr>
      <w:pStyle w:val="a6"/>
      <w:jc w:val="right"/>
    </w:pPr>
    <w:r>
      <w:fldChar w:fldCharType="begin"/>
    </w:r>
    <w:r>
      <w:instrText xml:space="preserve"> PAGE   \* MERGEFORMAT </w:instrText>
    </w:r>
    <w:r>
      <w:fldChar w:fldCharType="separate"/>
    </w:r>
    <w:r w:rsidR="003F1D6B">
      <w:rPr>
        <w:noProof/>
      </w:rPr>
      <w:t>31</w:t>
    </w:r>
    <w:r>
      <w:rPr>
        <w:noProof/>
      </w:rPr>
      <w:fldChar w:fldCharType="end"/>
    </w:r>
  </w:p>
  <w:p w14:paraId="4CFF9C6F" w14:textId="77777777" w:rsidR="007C2E1D" w:rsidRDefault="007C2E1D">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4686E"/>
    <w:multiLevelType w:val="hybridMultilevel"/>
    <w:tmpl w:val="01B4BC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4F088E"/>
    <w:multiLevelType w:val="hybridMultilevel"/>
    <w:tmpl w:val="E5941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431257"/>
    <w:multiLevelType w:val="hybridMultilevel"/>
    <w:tmpl w:val="7C66BFE0"/>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 w15:restartNumberingAfterBreak="0">
    <w:nsid w:val="195174DB"/>
    <w:multiLevelType w:val="multilevel"/>
    <w:tmpl w:val="6762961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15:restartNumberingAfterBreak="0">
    <w:nsid w:val="24A91076"/>
    <w:multiLevelType w:val="hybridMultilevel"/>
    <w:tmpl w:val="7EA4E236"/>
    <w:lvl w:ilvl="0" w:tplc="04090011">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15:restartNumberingAfterBreak="0">
    <w:nsid w:val="26ED1EFB"/>
    <w:multiLevelType w:val="multilevel"/>
    <w:tmpl w:val="95CC28F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15:restartNumberingAfterBreak="0">
    <w:nsid w:val="2F5E716A"/>
    <w:multiLevelType w:val="hybridMultilevel"/>
    <w:tmpl w:val="8B909092"/>
    <w:lvl w:ilvl="0" w:tplc="9CA4C5C4">
      <w:start w:val="1"/>
      <w:numFmt w:val="bullet"/>
      <w:lvlText w:val="•"/>
      <w:lvlJc w:val="left"/>
      <w:pPr>
        <w:tabs>
          <w:tab w:val="num" w:pos="720"/>
        </w:tabs>
        <w:ind w:left="720" w:hanging="360"/>
      </w:pPr>
      <w:rPr>
        <w:rFonts w:ascii="Arial" w:hAnsi="Arial" w:hint="default"/>
      </w:rPr>
    </w:lvl>
    <w:lvl w:ilvl="1" w:tplc="653C1FE8" w:tentative="1">
      <w:start w:val="1"/>
      <w:numFmt w:val="bullet"/>
      <w:lvlText w:val="•"/>
      <w:lvlJc w:val="left"/>
      <w:pPr>
        <w:tabs>
          <w:tab w:val="num" w:pos="1440"/>
        </w:tabs>
        <w:ind w:left="1440" w:hanging="360"/>
      </w:pPr>
      <w:rPr>
        <w:rFonts w:ascii="Arial" w:hAnsi="Arial" w:hint="default"/>
      </w:rPr>
    </w:lvl>
    <w:lvl w:ilvl="2" w:tplc="784EE598" w:tentative="1">
      <w:start w:val="1"/>
      <w:numFmt w:val="bullet"/>
      <w:lvlText w:val="•"/>
      <w:lvlJc w:val="left"/>
      <w:pPr>
        <w:tabs>
          <w:tab w:val="num" w:pos="2160"/>
        </w:tabs>
        <w:ind w:left="2160" w:hanging="360"/>
      </w:pPr>
      <w:rPr>
        <w:rFonts w:ascii="Arial" w:hAnsi="Arial" w:hint="default"/>
      </w:rPr>
    </w:lvl>
    <w:lvl w:ilvl="3" w:tplc="7802740C" w:tentative="1">
      <w:start w:val="1"/>
      <w:numFmt w:val="bullet"/>
      <w:lvlText w:val="•"/>
      <w:lvlJc w:val="left"/>
      <w:pPr>
        <w:tabs>
          <w:tab w:val="num" w:pos="2880"/>
        </w:tabs>
        <w:ind w:left="2880" w:hanging="360"/>
      </w:pPr>
      <w:rPr>
        <w:rFonts w:ascii="Arial" w:hAnsi="Arial" w:hint="default"/>
      </w:rPr>
    </w:lvl>
    <w:lvl w:ilvl="4" w:tplc="6AF6F1EE" w:tentative="1">
      <w:start w:val="1"/>
      <w:numFmt w:val="bullet"/>
      <w:lvlText w:val="•"/>
      <w:lvlJc w:val="left"/>
      <w:pPr>
        <w:tabs>
          <w:tab w:val="num" w:pos="3600"/>
        </w:tabs>
        <w:ind w:left="3600" w:hanging="360"/>
      </w:pPr>
      <w:rPr>
        <w:rFonts w:ascii="Arial" w:hAnsi="Arial" w:hint="default"/>
      </w:rPr>
    </w:lvl>
    <w:lvl w:ilvl="5" w:tplc="EAAC6984" w:tentative="1">
      <w:start w:val="1"/>
      <w:numFmt w:val="bullet"/>
      <w:lvlText w:val="•"/>
      <w:lvlJc w:val="left"/>
      <w:pPr>
        <w:tabs>
          <w:tab w:val="num" w:pos="4320"/>
        </w:tabs>
        <w:ind w:left="4320" w:hanging="360"/>
      </w:pPr>
      <w:rPr>
        <w:rFonts w:ascii="Arial" w:hAnsi="Arial" w:hint="default"/>
      </w:rPr>
    </w:lvl>
    <w:lvl w:ilvl="6" w:tplc="48E84DA0" w:tentative="1">
      <w:start w:val="1"/>
      <w:numFmt w:val="bullet"/>
      <w:lvlText w:val="•"/>
      <w:lvlJc w:val="left"/>
      <w:pPr>
        <w:tabs>
          <w:tab w:val="num" w:pos="5040"/>
        </w:tabs>
        <w:ind w:left="5040" w:hanging="360"/>
      </w:pPr>
      <w:rPr>
        <w:rFonts w:ascii="Arial" w:hAnsi="Arial" w:hint="default"/>
      </w:rPr>
    </w:lvl>
    <w:lvl w:ilvl="7" w:tplc="84BA46B0" w:tentative="1">
      <w:start w:val="1"/>
      <w:numFmt w:val="bullet"/>
      <w:lvlText w:val="•"/>
      <w:lvlJc w:val="left"/>
      <w:pPr>
        <w:tabs>
          <w:tab w:val="num" w:pos="5760"/>
        </w:tabs>
        <w:ind w:left="5760" w:hanging="360"/>
      </w:pPr>
      <w:rPr>
        <w:rFonts w:ascii="Arial" w:hAnsi="Arial" w:hint="default"/>
      </w:rPr>
    </w:lvl>
    <w:lvl w:ilvl="8" w:tplc="5AF612E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25760BF"/>
    <w:multiLevelType w:val="hybridMultilevel"/>
    <w:tmpl w:val="8BBE6D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3D513B9"/>
    <w:multiLevelType w:val="hybridMultilevel"/>
    <w:tmpl w:val="692C30FC"/>
    <w:lvl w:ilvl="0" w:tplc="7E888A2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8216292"/>
    <w:multiLevelType w:val="multilevel"/>
    <w:tmpl w:val="8D80F950"/>
    <w:lvl w:ilvl="0">
      <w:start w:val="1"/>
      <w:numFmt w:val="decimal"/>
      <w:lvlText w:val="%1."/>
      <w:lvlJc w:val="left"/>
      <w:pPr>
        <w:ind w:left="720" w:hanging="360"/>
      </w:pPr>
      <w:rPr>
        <w:rFonts w:cs="Times New Roman" w:hint="default"/>
      </w:rPr>
    </w:lvl>
    <w:lvl w:ilvl="1">
      <w:start w:val="1"/>
      <w:numFmt w:val="decimal"/>
      <w:isLgl/>
      <w:lvlText w:val="%1.%2"/>
      <w:lvlJc w:val="left"/>
      <w:pPr>
        <w:ind w:left="744" w:hanging="384"/>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0" w15:restartNumberingAfterBreak="0">
    <w:nsid w:val="493A0B42"/>
    <w:multiLevelType w:val="hybridMultilevel"/>
    <w:tmpl w:val="441EABDC"/>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4E123C84"/>
    <w:multiLevelType w:val="hybridMultilevel"/>
    <w:tmpl w:val="CA0CD26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7441F8F"/>
    <w:multiLevelType w:val="hybridMultilevel"/>
    <w:tmpl w:val="DE948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841A08"/>
    <w:multiLevelType w:val="hybridMultilevel"/>
    <w:tmpl w:val="9A6827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1887A44"/>
    <w:multiLevelType w:val="hybridMultilevel"/>
    <w:tmpl w:val="C6600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420326"/>
    <w:multiLevelType w:val="hybridMultilevel"/>
    <w:tmpl w:val="0DD64D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5AC0AA6"/>
    <w:multiLevelType w:val="hybridMultilevel"/>
    <w:tmpl w:val="6552769A"/>
    <w:lvl w:ilvl="0" w:tplc="04090001">
      <w:start w:val="1"/>
      <w:numFmt w:val="bullet"/>
      <w:lvlText w:val=""/>
      <w:lvlJc w:val="left"/>
      <w:pPr>
        <w:ind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7" w15:restartNumberingAfterBreak="0">
    <w:nsid w:val="7D7B1892"/>
    <w:multiLevelType w:val="hybridMultilevel"/>
    <w:tmpl w:val="3A5663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7"/>
  </w:num>
  <w:num w:numId="2">
    <w:abstractNumId w:val="7"/>
  </w:num>
  <w:num w:numId="3">
    <w:abstractNumId w:val="11"/>
  </w:num>
  <w:num w:numId="4">
    <w:abstractNumId w:val="15"/>
  </w:num>
  <w:num w:numId="5">
    <w:abstractNumId w:val="16"/>
  </w:num>
  <w:num w:numId="6">
    <w:abstractNumId w:val="0"/>
  </w:num>
  <w:num w:numId="7">
    <w:abstractNumId w:val="9"/>
  </w:num>
  <w:num w:numId="8">
    <w:abstractNumId w:val="8"/>
  </w:num>
  <w:num w:numId="9">
    <w:abstractNumId w:val="12"/>
  </w:num>
  <w:num w:numId="10">
    <w:abstractNumId w:val="13"/>
  </w:num>
  <w:num w:numId="11">
    <w:abstractNumId w:val="6"/>
  </w:num>
  <w:num w:numId="12">
    <w:abstractNumId w:val="14"/>
  </w:num>
  <w:num w:numId="13">
    <w:abstractNumId w:val="10"/>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5"/>
  </w:num>
  <w:num w:numId="17">
    <w:abstractNumId w:val="4"/>
  </w:num>
  <w:num w:numId="18">
    <w:abstractNumId w:val="1"/>
  </w:num>
  <w:num w:numId="1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AMA&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aae9f2aqtvxwhe5sxc5za0wtwx5wftfffe9&quot;&gt;Amy&amp;apos;s Citations&lt;record-ids&gt;&lt;item&gt;146&lt;/item&gt;&lt;/record-ids&gt;&lt;/item&gt;&lt;/Libraries&gt;"/>
  </w:docVars>
  <w:rsids>
    <w:rsidRoot w:val="008C5A21"/>
    <w:rsid w:val="000311F2"/>
    <w:rsid w:val="000330C2"/>
    <w:rsid w:val="00054968"/>
    <w:rsid w:val="00057ADE"/>
    <w:rsid w:val="00057B28"/>
    <w:rsid w:val="00060572"/>
    <w:rsid w:val="0007498D"/>
    <w:rsid w:val="00094BAF"/>
    <w:rsid w:val="000A6050"/>
    <w:rsid w:val="000C5176"/>
    <w:rsid w:val="000E2222"/>
    <w:rsid w:val="0010684F"/>
    <w:rsid w:val="00107251"/>
    <w:rsid w:val="00122873"/>
    <w:rsid w:val="00136E94"/>
    <w:rsid w:val="00190043"/>
    <w:rsid w:val="001D718B"/>
    <w:rsid w:val="001D7F78"/>
    <w:rsid w:val="001F33A4"/>
    <w:rsid w:val="001F4C5A"/>
    <w:rsid w:val="001F5ADE"/>
    <w:rsid w:val="0022616A"/>
    <w:rsid w:val="00227D5C"/>
    <w:rsid w:val="0029026B"/>
    <w:rsid w:val="002E5728"/>
    <w:rsid w:val="0033145D"/>
    <w:rsid w:val="003337F9"/>
    <w:rsid w:val="00341D95"/>
    <w:rsid w:val="00354188"/>
    <w:rsid w:val="00361AB9"/>
    <w:rsid w:val="003630E9"/>
    <w:rsid w:val="0038230C"/>
    <w:rsid w:val="003A3467"/>
    <w:rsid w:val="003A3A92"/>
    <w:rsid w:val="003B6FBE"/>
    <w:rsid w:val="003D6C34"/>
    <w:rsid w:val="003E37F8"/>
    <w:rsid w:val="003E615C"/>
    <w:rsid w:val="003F1D6B"/>
    <w:rsid w:val="004234EA"/>
    <w:rsid w:val="00435536"/>
    <w:rsid w:val="00464DEE"/>
    <w:rsid w:val="004669E6"/>
    <w:rsid w:val="00485490"/>
    <w:rsid w:val="004A1646"/>
    <w:rsid w:val="004B6384"/>
    <w:rsid w:val="004C5F01"/>
    <w:rsid w:val="004F0C2A"/>
    <w:rsid w:val="00506588"/>
    <w:rsid w:val="00511BD1"/>
    <w:rsid w:val="00523E84"/>
    <w:rsid w:val="00537775"/>
    <w:rsid w:val="0057607B"/>
    <w:rsid w:val="005A0E8D"/>
    <w:rsid w:val="005A3034"/>
    <w:rsid w:val="005A656D"/>
    <w:rsid w:val="0061334C"/>
    <w:rsid w:val="00615346"/>
    <w:rsid w:val="00615BC6"/>
    <w:rsid w:val="00632AA3"/>
    <w:rsid w:val="00665DE1"/>
    <w:rsid w:val="006828DF"/>
    <w:rsid w:val="006931F0"/>
    <w:rsid w:val="006A7B29"/>
    <w:rsid w:val="006B5659"/>
    <w:rsid w:val="006C706E"/>
    <w:rsid w:val="006F4B91"/>
    <w:rsid w:val="007018D2"/>
    <w:rsid w:val="00752F5A"/>
    <w:rsid w:val="00753AAB"/>
    <w:rsid w:val="00774064"/>
    <w:rsid w:val="00794922"/>
    <w:rsid w:val="007A7725"/>
    <w:rsid w:val="007B5F07"/>
    <w:rsid w:val="007B6344"/>
    <w:rsid w:val="007C2E1D"/>
    <w:rsid w:val="007C35B3"/>
    <w:rsid w:val="007C4A08"/>
    <w:rsid w:val="00841AE5"/>
    <w:rsid w:val="008631F4"/>
    <w:rsid w:val="008706F6"/>
    <w:rsid w:val="00885B74"/>
    <w:rsid w:val="008A47B4"/>
    <w:rsid w:val="008C2AA6"/>
    <w:rsid w:val="008C42C4"/>
    <w:rsid w:val="008C5A21"/>
    <w:rsid w:val="00941E7D"/>
    <w:rsid w:val="00977807"/>
    <w:rsid w:val="009937D5"/>
    <w:rsid w:val="009C2E48"/>
    <w:rsid w:val="009C610A"/>
    <w:rsid w:val="009C6877"/>
    <w:rsid w:val="009F4E2A"/>
    <w:rsid w:val="00A00613"/>
    <w:rsid w:val="00A129BF"/>
    <w:rsid w:val="00A13D6C"/>
    <w:rsid w:val="00A23C4A"/>
    <w:rsid w:val="00A520F5"/>
    <w:rsid w:val="00AC0E0A"/>
    <w:rsid w:val="00AC15D1"/>
    <w:rsid w:val="00B13295"/>
    <w:rsid w:val="00B50D80"/>
    <w:rsid w:val="00B602ED"/>
    <w:rsid w:val="00C23F56"/>
    <w:rsid w:val="00C3644D"/>
    <w:rsid w:val="00C50B42"/>
    <w:rsid w:val="00C83DC5"/>
    <w:rsid w:val="00C84758"/>
    <w:rsid w:val="00C855B3"/>
    <w:rsid w:val="00CE312D"/>
    <w:rsid w:val="00D45142"/>
    <w:rsid w:val="00D83962"/>
    <w:rsid w:val="00DA5F88"/>
    <w:rsid w:val="00DE020B"/>
    <w:rsid w:val="00E015FF"/>
    <w:rsid w:val="00E031EF"/>
    <w:rsid w:val="00E04E59"/>
    <w:rsid w:val="00E22B1C"/>
    <w:rsid w:val="00E24B53"/>
    <w:rsid w:val="00E55A60"/>
    <w:rsid w:val="00E644A2"/>
    <w:rsid w:val="00E94845"/>
    <w:rsid w:val="00EB4C8E"/>
    <w:rsid w:val="00ED0648"/>
    <w:rsid w:val="00ED244F"/>
    <w:rsid w:val="00F07187"/>
    <w:rsid w:val="00F12786"/>
    <w:rsid w:val="00F17E62"/>
    <w:rsid w:val="00F7585B"/>
    <w:rsid w:val="00F76349"/>
    <w:rsid w:val="00F8181A"/>
    <w:rsid w:val="00FB2135"/>
    <w:rsid w:val="00FC1E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3165ED"/>
  <w15:chartTrackingRefBased/>
  <w15:docId w15:val="{F5C06B43-E228-44FA-BE9D-293773CC8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5A21"/>
    <w:rPr>
      <w:rFonts w:ascii="Calibri" w:eastAsia="Calibri" w:hAnsi="Calibri" w:cs="Times New Roman"/>
    </w:rPr>
  </w:style>
  <w:style w:type="paragraph" w:styleId="1">
    <w:name w:val="heading 1"/>
    <w:basedOn w:val="a"/>
    <w:next w:val="a"/>
    <w:link w:val="10"/>
    <w:uiPriority w:val="99"/>
    <w:qFormat/>
    <w:rsid w:val="008C5A21"/>
    <w:pPr>
      <w:keepNext/>
      <w:keepLines/>
      <w:spacing w:before="240" w:after="0"/>
      <w:outlineLvl w:val="0"/>
    </w:pPr>
    <w:rPr>
      <w:rFonts w:ascii="Calibri Light" w:eastAsia="Times New Roman" w:hAnsi="Calibri Light"/>
      <w:color w:val="2F5496"/>
      <w:sz w:val="32"/>
      <w:szCs w:val="32"/>
    </w:rPr>
  </w:style>
  <w:style w:type="paragraph" w:styleId="2">
    <w:name w:val="heading 2"/>
    <w:basedOn w:val="a"/>
    <w:next w:val="a"/>
    <w:link w:val="20"/>
    <w:uiPriority w:val="99"/>
    <w:qFormat/>
    <w:rsid w:val="008C5A21"/>
    <w:pPr>
      <w:keepNext/>
      <w:keepLines/>
      <w:spacing w:before="40" w:after="0"/>
      <w:outlineLvl w:val="1"/>
    </w:pPr>
    <w:rPr>
      <w:rFonts w:ascii="Calibri Light" w:eastAsia="Times New Roman" w:hAnsi="Calibri Light"/>
      <w:color w:val="2F5496"/>
      <w:sz w:val="26"/>
      <w:szCs w:val="26"/>
    </w:rPr>
  </w:style>
  <w:style w:type="paragraph" w:styleId="3">
    <w:name w:val="heading 3"/>
    <w:basedOn w:val="a"/>
    <w:next w:val="a"/>
    <w:link w:val="30"/>
    <w:uiPriority w:val="99"/>
    <w:qFormat/>
    <w:rsid w:val="008C5A21"/>
    <w:pPr>
      <w:keepNext/>
      <w:keepLines/>
      <w:spacing w:before="40" w:after="0"/>
      <w:outlineLvl w:val="2"/>
    </w:pPr>
    <w:rPr>
      <w:rFonts w:ascii="Calibri Light" w:eastAsia="Times New Roman" w:hAnsi="Calibri Light"/>
      <w:color w:val="1F376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9"/>
    <w:rsid w:val="008C5A21"/>
    <w:rPr>
      <w:rFonts w:ascii="Calibri Light" w:eastAsia="Times New Roman" w:hAnsi="Calibri Light" w:cs="Times New Roman"/>
      <w:color w:val="2F5496"/>
      <w:sz w:val="32"/>
      <w:szCs w:val="32"/>
    </w:rPr>
  </w:style>
  <w:style w:type="character" w:customStyle="1" w:styleId="20">
    <w:name w:val="标题 2 字符"/>
    <w:basedOn w:val="a0"/>
    <w:link w:val="2"/>
    <w:uiPriority w:val="99"/>
    <w:rsid w:val="008C5A21"/>
    <w:rPr>
      <w:rFonts w:ascii="Calibri Light" w:eastAsia="Times New Roman" w:hAnsi="Calibri Light" w:cs="Times New Roman"/>
      <w:color w:val="2F5496"/>
      <w:sz w:val="26"/>
      <w:szCs w:val="26"/>
    </w:rPr>
  </w:style>
  <w:style w:type="character" w:customStyle="1" w:styleId="30">
    <w:name w:val="标题 3 字符"/>
    <w:basedOn w:val="a0"/>
    <w:link w:val="3"/>
    <w:uiPriority w:val="99"/>
    <w:rsid w:val="008C5A21"/>
    <w:rPr>
      <w:rFonts w:ascii="Calibri Light" w:eastAsia="Times New Roman" w:hAnsi="Calibri Light" w:cs="Times New Roman"/>
      <w:color w:val="1F3763"/>
      <w:sz w:val="24"/>
      <w:szCs w:val="24"/>
    </w:rPr>
  </w:style>
  <w:style w:type="table" w:styleId="a3">
    <w:name w:val="Table Grid"/>
    <w:basedOn w:val="a1"/>
    <w:uiPriority w:val="99"/>
    <w:rsid w:val="008C5A2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99"/>
    <w:qFormat/>
    <w:rsid w:val="008C5A21"/>
    <w:pPr>
      <w:ind w:left="720"/>
      <w:contextualSpacing/>
    </w:pPr>
  </w:style>
  <w:style w:type="paragraph" w:styleId="a6">
    <w:name w:val="header"/>
    <w:basedOn w:val="a"/>
    <w:link w:val="a7"/>
    <w:uiPriority w:val="99"/>
    <w:rsid w:val="008C5A21"/>
    <w:pPr>
      <w:tabs>
        <w:tab w:val="center" w:pos="4680"/>
        <w:tab w:val="right" w:pos="9360"/>
      </w:tabs>
      <w:spacing w:after="0" w:line="240" w:lineRule="auto"/>
    </w:pPr>
  </w:style>
  <w:style w:type="character" w:customStyle="1" w:styleId="a7">
    <w:name w:val="页眉 字符"/>
    <w:basedOn w:val="a0"/>
    <w:link w:val="a6"/>
    <w:uiPriority w:val="99"/>
    <w:rsid w:val="008C5A21"/>
    <w:rPr>
      <w:rFonts w:ascii="Calibri" w:eastAsia="Calibri" w:hAnsi="Calibri" w:cs="Times New Roman"/>
    </w:rPr>
  </w:style>
  <w:style w:type="paragraph" w:styleId="a8">
    <w:name w:val="footer"/>
    <w:basedOn w:val="a"/>
    <w:link w:val="a9"/>
    <w:uiPriority w:val="99"/>
    <w:rsid w:val="008C5A21"/>
    <w:pPr>
      <w:tabs>
        <w:tab w:val="center" w:pos="4680"/>
        <w:tab w:val="right" w:pos="9360"/>
      </w:tabs>
      <w:spacing w:after="0" w:line="240" w:lineRule="auto"/>
    </w:pPr>
  </w:style>
  <w:style w:type="character" w:customStyle="1" w:styleId="a9">
    <w:name w:val="页脚 字符"/>
    <w:basedOn w:val="a0"/>
    <w:link w:val="a8"/>
    <w:uiPriority w:val="99"/>
    <w:rsid w:val="008C5A21"/>
    <w:rPr>
      <w:rFonts w:ascii="Calibri" w:eastAsia="Calibri" w:hAnsi="Calibri" w:cs="Times New Roman"/>
    </w:rPr>
  </w:style>
  <w:style w:type="character" w:styleId="aa">
    <w:name w:val="annotation reference"/>
    <w:basedOn w:val="a0"/>
    <w:rsid w:val="008C5A21"/>
    <w:rPr>
      <w:rFonts w:cs="Times New Roman"/>
      <w:sz w:val="16"/>
      <w:szCs w:val="16"/>
    </w:rPr>
  </w:style>
  <w:style w:type="paragraph" w:styleId="ab">
    <w:name w:val="annotation text"/>
    <w:basedOn w:val="a"/>
    <w:link w:val="ac"/>
    <w:qFormat/>
    <w:rsid w:val="008C5A21"/>
    <w:pPr>
      <w:spacing w:line="240" w:lineRule="auto"/>
    </w:pPr>
    <w:rPr>
      <w:sz w:val="20"/>
      <w:szCs w:val="20"/>
    </w:rPr>
  </w:style>
  <w:style w:type="character" w:customStyle="1" w:styleId="ac">
    <w:name w:val="批注文字 字符"/>
    <w:basedOn w:val="a0"/>
    <w:link w:val="ab"/>
    <w:uiPriority w:val="99"/>
    <w:rsid w:val="008C5A21"/>
    <w:rPr>
      <w:rFonts w:ascii="Calibri" w:eastAsia="Calibri" w:hAnsi="Calibri" w:cs="Times New Roman"/>
      <w:sz w:val="20"/>
      <w:szCs w:val="20"/>
    </w:rPr>
  </w:style>
  <w:style w:type="paragraph" w:styleId="ad">
    <w:name w:val="annotation subject"/>
    <w:basedOn w:val="ab"/>
    <w:next w:val="ab"/>
    <w:link w:val="ae"/>
    <w:uiPriority w:val="99"/>
    <w:semiHidden/>
    <w:rsid w:val="008C5A21"/>
    <w:rPr>
      <w:b/>
      <w:bCs/>
    </w:rPr>
  </w:style>
  <w:style w:type="character" w:customStyle="1" w:styleId="ae">
    <w:name w:val="批注主题 字符"/>
    <w:basedOn w:val="ac"/>
    <w:link w:val="ad"/>
    <w:uiPriority w:val="99"/>
    <w:semiHidden/>
    <w:rsid w:val="008C5A21"/>
    <w:rPr>
      <w:rFonts w:ascii="Calibri" w:eastAsia="Calibri" w:hAnsi="Calibri" w:cs="Times New Roman"/>
      <w:b/>
      <w:bCs/>
      <w:sz w:val="20"/>
      <w:szCs w:val="20"/>
    </w:rPr>
  </w:style>
  <w:style w:type="paragraph" w:styleId="af">
    <w:name w:val="Balloon Text"/>
    <w:basedOn w:val="a"/>
    <w:link w:val="af0"/>
    <w:uiPriority w:val="99"/>
    <w:semiHidden/>
    <w:rsid w:val="008C5A21"/>
    <w:pPr>
      <w:spacing w:after="0" w:line="240" w:lineRule="auto"/>
    </w:pPr>
    <w:rPr>
      <w:rFonts w:ascii="Segoe UI" w:hAnsi="Segoe UI" w:cs="Segoe UI"/>
      <w:sz w:val="18"/>
      <w:szCs w:val="18"/>
    </w:rPr>
  </w:style>
  <w:style w:type="character" w:customStyle="1" w:styleId="af0">
    <w:name w:val="批注框文本 字符"/>
    <w:basedOn w:val="a0"/>
    <w:link w:val="af"/>
    <w:uiPriority w:val="99"/>
    <w:semiHidden/>
    <w:rsid w:val="008C5A21"/>
    <w:rPr>
      <w:rFonts w:ascii="Segoe UI" w:eastAsia="Calibri" w:hAnsi="Segoe UI" w:cs="Segoe UI"/>
      <w:sz w:val="18"/>
      <w:szCs w:val="18"/>
    </w:rPr>
  </w:style>
  <w:style w:type="paragraph" w:styleId="TOC">
    <w:name w:val="TOC Heading"/>
    <w:basedOn w:val="1"/>
    <w:next w:val="a"/>
    <w:uiPriority w:val="99"/>
    <w:qFormat/>
    <w:rsid w:val="008C5A21"/>
    <w:pPr>
      <w:outlineLvl w:val="9"/>
    </w:pPr>
  </w:style>
  <w:style w:type="paragraph" w:styleId="11">
    <w:name w:val="toc 1"/>
    <w:basedOn w:val="a"/>
    <w:next w:val="a"/>
    <w:autoRedefine/>
    <w:uiPriority w:val="99"/>
    <w:rsid w:val="008C5A21"/>
    <w:pPr>
      <w:spacing w:after="100"/>
    </w:pPr>
  </w:style>
  <w:style w:type="character" w:styleId="af1">
    <w:name w:val="Hyperlink"/>
    <w:basedOn w:val="a0"/>
    <w:uiPriority w:val="99"/>
    <w:rsid w:val="008C5A21"/>
    <w:rPr>
      <w:rFonts w:cs="Times New Roman"/>
      <w:color w:val="0563C1"/>
      <w:u w:val="single"/>
    </w:rPr>
  </w:style>
  <w:style w:type="paragraph" w:styleId="21">
    <w:name w:val="toc 2"/>
    <w:basedOn w:val="a"/>
    <w:next w:val="a"/>
    <w:autoRedefine/>
    <w:uiPriority w:val="99"/>
    <w:rsid w:val="008C5A21"/>
    <w:pPr>
      <w:spacing w:after="100"/>
      <w:ind w:left="220"/>
    </w:pPr>
  </w:style>
  <w:style w:type="paragraph" w:styleId="31">
    <w:name w:val="toc 3"/>
    <w:basedOn w:val="a"/>
    <w:next w:val="a"/>
    <w:autoRedefine/>
    <w:uiPriority w:val="99"/>
    <w:rsid w:val="008C5A21"/>
    <w:pPr>
      <w:spacing w:after="100"/>
      <w:ind w:left="440"/>
    </w:pPr>
  </w:style>
  <w:style w:type="character" w:styleId="af2">
    <w:name w:val="Emphasis"/>
    <w:basedOn w:val="a0"/>
    <w:uiPriority w:val="99"/>
    <w:qFormat/>
    <w:rsid w:val="008C5A21"/>
    <w:rPr>
      <w:rFonts w:cs="Times New Roman"/>
      <w:i/>
      <w:iCs/>
    </w:rPr>
  </w:style>
  <w:style w:type="character" w:customStyle="1" w:styleId="UnresolvedMention1">
    <w:name w:val="Unresolved Mention1"/>
    <w:basedOn w:val="a0"/>
    <w:uiPriority w:val="99"/>
    <w:semiHidden/>
    <w:rsid w:val="008C5A21"/>
    <w:rPr>
      <w:rFonts w:cs="Times New Roman"/>
      <w:color w:val="808080"/>
      <w:shd w:val="clear" w:color="auto" w:fill="E6E6E6"/>
    </w:rPr>
  </w:style>
  <w:style w:type="character" w:styleId="af3">
    <w:name w:val="FollowedHyperlink"/>
    <w:basedOn w:val="a0"/>
    <w:uiPriority w:val="99"/>
    <w:semiHidden/>
    <w:rsid w:val="008C5A21"/>
    <w:rPr>
      <w:rFonts w:cs="Times New Roman"/>
      <w:color w:val="954F72"/>
      <w:u w:val="single"/>
    </w:rPr>
  </w:style>
  <w:style w:type="paragraph" w:customStyle="1" w:styleId="EndNoteBibliographyTitle">
    <w:name w:val="EndNote Bibliography Title"/>
    <w:basedOn w:val="a"/>
    <w:link w:val="EndNoteBibliographyTitleChar"/>
    <w:uiPriority w:val="99"/>
    <w:rsid w:val="008C5A21"/>
    <w:pPr>
      <w:spacing w:after="0"/>
      <w:jc w:val="center"/>
    </w:pPr>
    <w:rPr>
      <w:rFonts w:cs="Calibri"/>
      <w:noProof/>
    </w:rPr>
  </w:style>
  <w:style w:type="character" w:customStyle="1" w:styleId="a5">
    <w:name w:val="列出段落 字符"/>
    <w:basedOn w:val="a0"/>
    <w:link w:val="a4"/>
    <w:uiPriority w:val="99"/>
    <w:locked/>
    <w:rsid w:val="008C5A21"/>
    <w:rPr>
      <w:rFonts w:ascii="Calibri" w:eastAsia="Calibri" w:hAnsi="Calibri" w:cs="Times New Roman"/>
    </w:rPr>
  </w:style>
  <w:style w:type="character" w:customStyle="1" w:styleId="EndNoteBibliographyTitleChar">
    <w:name w:val="EndNote Bibliography Title Char"/>
    <w:basedOn w:val="a5"/>
    <w:link w:val="EndNoteBibliographyTitle"/>
    <w:uiPriority w:val="99"/>
    <w:locked/>
    <w:rsid w:val="008C5A21"/>
    <w:rPr>
      <w:rFonts w:ascii="Calibri" w:eastAsia="Calibri" w:hAnsi="Calibri" w:cs="Calibri"/>
      <w:noProof/>
    </w:rPr>
  </w:style>
  <w:style w:type="paragraph" w:customStyle="1" w:styleId="EndNoteBibliography">
    <w:name w:val="EndNote Bibliography"/>
    <w:basedOn w:val="a"/>
    <w:link w:val="EndNoteBibliographyChar"/>
    <w:uiPriority w:val="99"/>
    <w:rsid w:val="008C5A21"/>
    <w:pPr>
      <w:spacing w:line="240" w:lineRule="auto"/>
    </w:pPr>
    <w:rPr>
      <w:rFonts w:cs="Calibri"/>
      <w:noProof/>
    </w:rPr>
  </w:style>
  <w:style w:type="character" w:customStyle="1" w:styleId="EndNoteBibliographyChar">
    <w:name w:val="EndNote Bibliography Char"/>
    <w:basedOn w:val="a5"/>
    <w:link w:val="EndNoteBibliography"/>
    <w:uiPriority w:val="99"/>
    <w:locked/>
    <w:rsid w:val="008C5A21"/>
    <w:rPr>
      <w:rFonts w:ascii="Calibri" w:eastAsia="Calibri" w:hAnsi="Calibri" w:cs="Calibri"/>
      <w:noProof/>
    </w:rPr>
  </w:style>
  <w:style w:type="paragraph" w:customStyle="1" w:styleId="p">
    <w:name w:val="p"/>
    <w:basedOn w:val="a"/>
    <w:uiPriority w:val="99"/>
    <w:rsid w:val="008C5A21"/>
    <w:pPr>
      <w:spacing w:before="100" w:beforeAutospacing="1" w:after="100" w:afterAutospacing="1" w:line="240" w:lineRule="auto"/>
    </w:pPr>
    <w:rPr>
      <w:rFonts w:ascii="Times New Roman" w:eastAsia="Times New Roman" w:hAnsi="Times New Roman"/>
      <w:sz w:val="24"/>
      <w:szCs w:val="24"/>
    </w:rPr>
  </w:style>
  <w:style w:type="paragraph" w:styleId="af4">
    <w:name w:val="endnote text"/>
    <w:basedOn w:val="a"/>
    <w:link w:val="af5"/>
    <w:uiPriority w:val="99"/>
    <w:semiHidden/>
    <w:rsid w:val="008C5A21"/>
    <w:pPr>
      <w:spacing w:after="0" w:line="240" w:lineRule="auto"/>
    </w:pPr>
    <w:rPr>
      <w:sz w:val="20"/>
      <w:szCs w:val="20"/>
    </w:rPr>
  </w:style>
  <w:style w:type="character" w:customStyle="1" w:styleId="af5">
    <w:name w:val="尾注文本 字符"/>
    <w:basedOn w:val="a0"/>
    <w:link w:val="af4"/>
    <w:uiPriority w:val="99"/>
    <w:semiHidden/>
    <w:rsid w:val="008C5A21"/>
    <w:rPr>
      <w:rFonts w:ascii="Calibri" w:eastAsia="Calibri" w:hAnsi="Calibri" w:cs="Times New Roman"/>
      <w:sz w:val="20"/>
      <w:szCs w:val="20"/>
    </w:rPr>
  </w:style>
  <w:style w:type="character" w:styleId="af6">
    <w:name w:val="endnote reference"/>
    <w:basedOn w:val="a0"/>
    <w:uiPriority w:val="99"/>
    <w:semiHidden/>
    <w:rsid w:val="008C5A21"/>
    <w:rPr>
      <w:rFonts w:cs="Times New Roman"/>
      <w:vertAlign w:val="superscript"/>
    </w:rPr>
  </w:style>
  <w:style w:type="character" w:customStyle="1" w:styleId="UnresolvedMention2">
    <w:name w:val="Unresolved Mention2"/>
    <w:basedOn w:val="a0"/>
    <w:uiPriority w:val="99"/>
    <w:semiHidden/>
    <w:rsid w:val="008C5A21"/>
    <w:rPr>
      <w:rFonts w:cs="Times New Roman"/>
      <w:color w:val="808080"/>
      <w:shd w:val="clear" w:color="auto" w:fill="E6E6E6"/>
    </w:rPr>
  </w:style>
  <w:style w:type="paragraph" w:styleId="af7">
    <w:name w:val="Normal (Web)"/>
    <w:basedOn w:val="a"/>
    <w:uiPriority w:val="99"/>
    <w:semiHidden/>
    <w:rsid w:val="008C5A21"/>
    <w:pPr>
      <w:spacing w:before="100" w:beforeAutospacing="1" w:after="100" w:afterAutospacing="1" w:line="240" w:lineRule="auto"/>
    </w:pPr>
    <w:rPr>
      <w:rFonts w:ascii="Times New Roman" w:eastAsia="Times New Roman" w:hAnsi="Times New Roman"/>
      <w:sz w:val="24"/>
      <w:szCs w:val="24"/>
    </w:rPr>
  </w:style>
  <w:style w:type="character" w:customStyle="1" w:styleId="UnresolvedMention3">
    <w:name w:val="Unresolved Mention3"/>
    <w:basedOn w:val="a0"/>
    <w:uiPriority w:val="99"/>
    <w:semiHidden/>
    <w:rsid w:val="008C5A21"/>
    <w:rPr>
      <w:rFonts w:cs="Times New Roman"/>
      <w:color w:val="808080"/>
      <w:shd w:val="clear" w:color="auto" w:fill="E6E6E6"/>
    </w:rPr>
  </w:style>
  <w:style w:type="character" w:customStyle="1" w:styleId="UnresolvedMention4">
    <w:name w:val="Unresolved Mention4"/>
    <w:basedOn w:val="a0"/>
    <w:uiPriority w:val="99"/>
    <w:semiHidden/>
    <w:rsid w:val="008C5A21"/>
    <w:rPr>
      <w:rFonts w:cs="Times New Roman"/>
      <w:color w:val="808080"/>
      <w:shd w:val="clear" w:color="auto" w:fill="E6E6E6"/>
    </w:rPr>
  </w:style>
  <w:style w:type="character" w:customStyle="1" w:styleId="text">
    <w:name w:val="text"/>
    <w:basedOn w:val="a0"/>
    <w:uiPriority w:val="99"/>
    <w:rsid w:val="008C5A21"/>
    <w:rPr>
      <w:rFonts w:cs="Times New Roman"/>
    </w:rPr>
  </w:style>
  <w:style w:type="character" w:customStyle="1" w:styleId="name">
    <w:name w:val="name"/>
    <w:basedOn w:val="a0"/>
    <w:uiPriority w:val="99"/>
    <w:rsid w:val="008C5A21"/>
    <w:rPr>
      <w:rFonts w:cs="Times New Roman"/>
    </w:rPr>
  </w:style>
  <w:style w:type="character" w:customStyle="1" w:styleId="em-addr">
    <w:name w:val="em-addr"/>
    <w:basedOn w:val="a0"/>
    <w:uiPriority w:val="99"/>
    <w:rsid w:val="008C5A21"/>
    <w:rPr>
      <w:rFonts w:cs="Times New Roman"/>
    </w:rPr>
  </w:style>
  <w:style w:type="paragraph" w:styleId="HTML">
    <w:name w:val="HTML Address"/>
    <w:basedOn w:val="a"/>
    <w:link w:val="HTML0"/>
    <w:uiPriority w:val="99"/>
    <w:semiHidden/>
    <w:rsid w:val="008C5A21"/>
    <w:pPr>
      <w:spacing w:after="0" w:line="240" w:lineRule="auto"/>
    </w:pPr>
    <w:rPr>
      <w:rFonts w:ascii="Times New Roman" w:eastAsia="Times New Roman" w:hAnsi="Times New Roman"/>
      <w:i/>
      <w:iCs/>
      <w:sz w:val="24"/>
      <w:szCs w:val="24"/>
    </w:rPr>
  </w:style>
  <w:style w:type="character" w:customStyle="1" w:styleId="HTML0">
    <w:name w:val="HTML 地址 字符"/>
    <w:basedOn w:val="a0"/>
    <w:link w:val="HTML"/>
    <w:uiPriority w:val="99"/>
    <w:semiHidden/>
    <w:rsid w:val="008C5A21"/>
    <w:rPr>
      <w:rFonts w:ascii="Times New Roman" w:eastAsia="Times New Roman" w:hAnsi="Times New Roman" w:cs="Times New Roman"/>
      <w:i/>
      <w:iCs/>
      <w:sz w:val="24"/>
      <w:szCs w:val="24"/>
    </w:rPr>
  </w:style>
  <w:style w:type="character" w:customStyle="1" w:styleId="UnresolvedMention5">
    <w:name w:val="Unresolved Mention5"/>
    <w:basedOn w:val="a0"/>
    <w:uiPriority w:val="99"/>
    <w:semiHidden/>
    <w:unhideWhenUsed/>
    <w:rsid w:val="008C5A21"/>
    <w:rPr>
      <w:color w:val="605E5C"/>
      <w:shd w:val="clear" w:color="auto" w:fill="E1DFDD"/>
    </w:rPr>
  </w:style>
  <w:style w:type="paragraph" w:styleId="af8">
    <w:name w:val="Body Text"/>
    <w:basedOn w:val="a"/>
    <w:link w:val="af9"/>
    <w:semiHidden/>
    <w:rsid w:val="008C5A21"/>
    <w:pPr>
      <w:tabs>
        <w:tab w:val="left" w:pos="0"/>
      </w:tabs>
      <w:suppressAutoHyphens/>
      <w:spacing w:after="0" w:line="240" w:lineRule="auto"/>
      <w:jc w:val="both"/>
    </w:pPr>
    <w:rPr>
      <w:rFonts w:ascii="Times New Roman" w:eastAsia="Times New Roman" w:hAnsi="Times New Roman"/>
      <w:spacing w:val="-3"/>
      <w:sz w:val="24"/>
      <w:szCs w:val="20"/>
    </w:rPr>
  </w:style>
  <w:style w:type="character" w:customStyle="1" w:styleId="af9">
    <w:name w:val="正文文本 字符"/>
    <w:basedOn w:val="a0"/>
    <w:link w:val="af8"/>
    <w:semiHidden/>
    <w:rsid w:val="008C5A21"/>
    <w:rPr>
      <w:rFonts w:ascii="Times New Roman" w:eastAsia="Times New Roman" w:hAnsi="Times New Roman" w:cs="Times New Roman"/>
      <w:spacing w:val="-3"/>
      <w:sz w:val="24"/>
      <w:szCs w:val="20"/>
    </w:rPr>
  </w:style>
  <w:style w:type="paragraph" w:styleId="afa">
    <w:name w:val="Revision"/>
    <w:hidden/>
    <w:uiPriority w:val="99"/>
    <w:semiHidden/>
    <w:rsid w:val="008C5A21"/>
    <w:pPr>
      <w:spacing w:after="0" w:line="240" w:lineRule="auto"/>
    </w:pPr>
    <w:rPr>
      <w:rFonts w:ascii="Calibri" w:eastAsia="Calibri" w:hAnsi="Calibri" w:cs="Times New Roman"/>
    </w:rPr>
  </w:style>
  <w:style w:type="character" w:customStyle="1" w:styleId="UnresolvedMention">
    <w:name w:val="Unresolved Mention"/>
    <w:basedOn w:val="a0"/>
    <w:uiPriority w:val="99"/>
    <w:rsid w:val="008C5A21"/>
    <w:rPr>
      <w:color w:val="605E5C"/>
      <w:shd w:val="clear" w:color="auto" w:fill="E1DFDD"/>
    </w:rPr>
  </w:style>
  <w:style w:type="character" w:styleId="afb">
    <w:name w:val="line number"/>
    <w:basedOn w:val="a0"/>
    <w:uiPriority w:val="99"/>
    <w:semiHidden/>
    <w:unhideWhenUsed/>
    <w:rsid w:val="008C5A21"/>
  </w:style>
  <w:style w:type="paragraph" w:styleId="HTML1">
    <w:name w:val="HTML Preformatted"/>
    <w:basedOn w:val="a"/>
    <w:link w:val="HTML2"/>
    <w:uiPriority w:val="99"/>
    <w:unhideWhenUsed/>
    <w:rsid w:val="008C5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2">
    <w:name w:val="HTML 预设格式 字符"/>
    <w:basedOn w:val="a0"/>
    <w:link w:val="HTML1"/>
    <w:uiPriority w:val="99"/>
    <w:rsid w:val="008C5A21"/>
    <w:rPr>
      <w:rFonts w:ascii="Courier New" w:eastAsia="Times New Roman" w:hAnsi="Courier New" w:cs="Courier New"/>
      <w:sz w:val="20"/>
      <w:szCs w:val="20"/>
    </w:rPr>
  </w:style>
  <w:style w:type="character" w:customStyle="1" w:styleId="Char">
    <w:name w:val="批注文字 Char"/>
    <w:locked/>
    <w:rsid w:val="005A3034"/>
    <w:rPr>
      <w:rFonts w:eastAsia="宋体"/>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65062">
      <w:bodyDiv w:val="1"/>
      <w:marLeft w:val="0"/>
      <w:marRight w:val="0"/>
      <w:marTop w:val="0"/>
      <w:marBottom w:val="0"/>
      <w:divBdr>
        <w:top w:val="none" w:sz="0" w:space="0" w:color="auto"/>
        <w:left w:val="none" w:sz="0" w:space="0" w:color="auto"/>
        <w:bottom w:val="none" w:sz="0" w:space="0" w:color="auto"/>
        <w:right w:val="none" w:sz="0" w:space="0" w:color="auto"/>
      </w:divBdr>
    </w:div>
    <w:div w:id="6299830">
      <w:bodyDiv w:val="1"/>
      <w:marLeft w:val="0"/>
      <w:marRight w:val="0"/>
      <w:marTop w:val="0"/>
      <w:marBottom w:val="0"/>
      <w:divBdr>
        <w:top w:val="none" w:sz="0" w:space="0" w:color="auto"/>
        <w:left w:val="none" w:sz="0" w:space="0" w:color="auto"/>
        <w:bottom w:val="none" w:sz="0" w:space="0" w:color="auto"/>
        <w:right w:val="none" w:sz="0" w:space="0" w:color="auto"/>
      </w:divBdr>
    </w:div>
    <w:div w:id="371736466">
      <w:bodyDiv w:val="1"/>
      <w:marLeft w:val="0"/>
      <w:marRight w:val="0"/>
      <w:marTop w:val="0"/>
      <w:marBottom w:val="0"/>
      <w:divBdr>
        <w:top w:val="none" w:sz="0" w:space="0" w:color="auto"/>
        <w:left w:val="none" w:sz="0" w:space="0" w:color="auto"/>
        <w:bottom w:val="none" w:sz="0" w:space="0" w:color="auto"/>
        <w:right w:val="none" w:sz="0" w:space="0" w:color="auto"/>
      </w:divBdr>
    </w:div>
    <w:div w:id="379671979">
      <w:bodyDiv w:val="1"/>
      <w:marLeft w:val="0"/>
      <w:marRight w:val="0"/>
      <w:marTop w:val="0"/>
      <w:marBottom w:val="0"/>
      <w:divBdr>
        <w:top w:val="none" w:sz="0" w:space="0" w:color="auto"/>
        <w:left w:val="none" w:sz="0" w:space="0" w:color="auto"/>
        <w:bottom w:val="none" w:sz="0" w:space="0" w:color="auto"/>
        <w:right w:val="none" w:sz="0" w:space="0" w:color="auto"/>
      </w:divBdr>
    </w:div>
    <w:div w:id="444538240">
      <w:bodyDiv w:val="1"/>
      <w:marLeft w:val="0"/>
      <w:marRight w:val="0"/>
      <w:marTop w:val="0"/>
      <w:marBottom w:val="0"/>
      <w:divBdr>
        <w:top w:val="none" w:sz="0" w:space="0" w:color="auto"/>
        <w:left w:val="none" w:sz="0" w:space="0" w:color="auto"/>
        <w:bottom w:val="none" w:sz="0" w:space="0" w:color="auto"/>
        <w:right w:val="none" w:sz="0" w:space="0" w:color="auto"/>
      </w:divBdr>
    </w:div>
    <w:div w:id="481122991">
      <w:bodyDiv w:val="1"/>
      <w:marLeft w:val="0"/>
      <w:marRight w:val="0"/>
      <w:marTop w:val="0"/>
      <w:marBottom w:val="0"/>
      <w:divBdr>
        <w:top w:val="none" w:sz="0" w:space="0" w:color="auto"/>
        <w:left w:val="none" w:sz="0" w:space="0" w:color="auto"/>
        <w:bottom w:val="none" w:sz="0" w:space="0" w:color="auto"/>
        <w:right w:val="none" w:sz="0" w:space="0" w:color="auto"/>
      </w:divBdr>
    </w:div>
    <w:div w:id="528759549">
      <w:bodyDiv w:val="1"/>
      <w:marLeft w:val="0"/>
      <w:marRight w:val="0"/>
      <w:marTop w:val="0"/>
      <w:marBottom w:val="0"/>
      <w:divBdr>
        <w:top w:val="none" w:sz="0" w:space="0" w:color="auto"/>
        <w:left w:val="none" w:sz="0" w:space="0" w:color="auto"/>
        <w:bottom w:val="none" w:sz="0" w:space="0" w:color="auto"/>
        <w:right w:val="none" w:sz="0" w:space="0" w:color="auto"/>
      </w:divBdr>
    </w:div>
    <w:div w:id="1102578378">
      <w:bodyDiv w:val="1"/>
      <w:marLeft w:val="0"/>
      <w:marRight w:val="0"/>
      <w:marTop w:val="0"/>
      <w:marBottom w:val="0"/>
      <w:divBdr>
        <w:top w:val="none" w:sz="0" w:space="0" w:color="auto"/>
        <w:left w:val="none" w:sz="0" w:space="0" w:color="auto"/>
        <w:bottom w:val="none" w:sz="0" w:space="0" w:color="auto"/>
        <w:right w:val="none" w:sz="0" w:space="0" w:color="auto"/>
      </w:divBdr>
    </w:div>
    <w:div w:id="1321543675">
      <w:bodyDiv w:val="1"/>
      <w:marLeft w:val="0"/>
      <w:marRight w:val="0"/>
      <w:marTop w:val="0"/>
      <w:marBottom w:val="0"/>
      <w:divBdr>
        <w:top w:val="none" w:sz="0" w:space="0" w:color="auto"/>
        <w:left w:val="none" w:sz="0" w:space="0" w:color="auto"/>
        <w:bottom w:val="none" w:sz="0" w:space="0" w:color="auto"/>
        <w:right w:val="none" w:sz="0" w:space="0" w:color="auto"/>
      </w:divBdr>
    </w:div>
    <w:div w:id="1895970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31</Pages>
  <Words>7558</Words>
  <Characters>43087</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HP</cp:lastModifiedBy>
  <cp:revision>2</cp:revision>
  <dcterms:created xsi:type="dcterms:W3CDTF">2019-07-20T02:43:00Z</dcterms:created>
  <dcterms:modified xsi:type="dcterms:W3CDTF">2019-07-20T02:43:00Z</dcterms:modified>
</cp:coreProperties>
</file>