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56A40" w14:textId="07E71D85" w:rsidR="00310852" w:rsidRPr="00462B94" w:rsidRDefault="00310852" w:rsidP="00462B94">
      <w:pPr>
        <w:spacing w:line="360" w:lineRule="auto"/>
        <w:jc w:val="both"/>
        <w:rPr>
          <w:rFonts w:ascii="Book Antiqua" w:hAnsi="Book Antiqua"/>
          <w:b/>
        </w:rPr>
      </w:pPr>
      <w:r w:rsidRPr="00462B94">
        <w:rPr>
          <w:rFonts w:ascii="Book Antiqua" w:hAnsi="Book Antiqua"/>
          <w:b/>
        </w:rPr>
        <w:t xml:space="preserve">Name of Journal: </w:t>
      </w:r>
      <w:r w:rsidRPr="00462B94">
        <w:rPr>
          <w:rFonts w:ascii="Book Antiqua" w:hAnsi="Book Antiqua"/>
          <w:i/>
        </w:rPr>
        <w:t>World Journal of Cardiology</w:t>
      </w:r>
    </w:p>
    <w:p w14:paraId="05A9E468" w14:textId="0C8DABA4" w:rsidR="00310852" w:rsidRPr="00462B94" w:rsidRDefault="00310852" w:rsidP="00462B94">
      <w:pPr>
        <w:spacing w:line="360" w:lineRule="auto"/>
        <w:jc w:val="both"/>
        <w:rPr>
          <w:rFonts w:ascii="Book Antiqua" w:hAnsi="Book Antiqua"/>
          <w:b/>
          <w:lang w:eastAsia="zh-CN"/>
        </w:rPr>
      </w:pPr>
      <w:r w:rsidRPr="00462B94">
        <w:rPr>
          <w:rFonts w:ascii="Book Antiqua" w:hAnsi="Book Antiqua"/>
          <w:b/>
        </w:rPr>
        <w:t xml:space="preserve">Manuscript NO: </w:t>
      </w:r>
      <w:r w:rsidRPr="00462B94">
        <w:rPr>
          <w:rFonts w:ascii="Book Antiqua" w:hAnsi="Book Antiqua"/>
          <w:lang w:eastAsia="zh-CN"/>
        </w:rPr>
        <w:t>46644</w:t>
      </w:r>
    </w:p>
    <w:p w14:paraId="23FC525D" w14:textId="77777777" w:rsidR="00310852" w:rsidRPr="00462B94" w:rsidRDefault="00310852" w:rsidP="00462B94">
      <w:pPr>
        <w:spacing w:line="360" w:lineRule="auto"/>
        <w:jc w:val="both"/>
        <w:rPr>
          <w:rFonts w:ascii="Book Antiqua" w:hAnsi="Book Antiqua"/>
          <w:lang w:eastAsia="zh-CN"/>
        </w:rPr>
      </w:pPr>
      <w:r w:rsidRPr="00462B94">
        <w:rPr>
          <w:rFonts w:ascii="Book Antiqua" w:hAnsi="Book Antiqua"/>
          <w:b/>
        </w:rPr>
        <w:t xml:space="preserve">Manuscript Type: </w:t>
      </w:r>
      <w:r w:rsidRPr="00462B94">
        <w:rPr>
          <w:rFonts w:ascii="Book Antiqua" w:hAnsi="Book Antiqua"/>
        </w:rPr>
        <w:t>ORIGINAL ARTICLE</w:t>
      </w:r>
      <w:bookmarkStart w:id="0" w:name="_GoBack"/>
      <w:bookmarkEnd w:id="0"/>
    </w:p>
    <w:p w14:paraId="241D2127" w14:textId="77777777" w:rsidR="00310852" w:rsidRPr="00462B94" w:rsidRDefault="00310852" w:rsidP="00462B94">
      <w:pPr>
        <w:spacing w:line="360" w:lineRule="auto"/>
        <w:jc w:val="both"/>
        <w:rPr>
          <w:rFonts w:ascii="Book Antiqua" w:hAnsi="Book Antiqua"/>
          <w:lang w:eastAsia="zh-CN"/>
        </w:rPr>
      </w:pPr>
    </w:p>
    <w:p w14:paraId="486421BA" w14:textId="3BCFC108" w:rsidR="00310852" w:rsidRPr="00462B94" w:rsidRDefault="00310852" w:rsidP="00462B94">
      <w:pPr>
        <w:spacing w:line="360" w:lineRule="auto"/>
        <w:jc w:val="both"/>
        <w:rPr>
          <w:rFonts w:ascii="Book Antiqua" w:hAnsi="Book Antiqua"/>
          <w:b/>
          <w:i/>
          <w:lang w:eastAsia="zh-CN"/>
        </w:rPr>
      </w:pPr>
      <w:r w:rsidRPr="00462B94">
        <w:rPr>
          <w:rFonts w:ascii="Book Antiqua" w:hAnsi="Book Antiqua"/>
          <w:b/>
          <w:i/>
          <w:lang w:eastAsia="zh-CN"/>
        </w:rPr>
        <w:t>Retrospective Study</w:t>
      </w:r>
    </w:p>
    <w:p w14:paraId="35E7AB0D" w14:textId="43ABB464" w:rsidR="006B1997" w:rsidRPr="00462B94" w:rsidRDefault="006B1997" w:rsidP="00462B94">
      <w:pPr>
        <w:spacing w:line="360" w:lineRule="auto"/>
        <w:jc w:val="both"/>
        <w:rPr>
          <w:rFonts w:ascii="Book Antiqua" w:hAnsi="Book Antiqua" w:cs="Times New Roman"/>
          <w:b/>
          <w:lang w:eastAsia="zh-CN"/>
        </w:rPr>
      </w:pPr>
      <w:r w:rsidRPr="00462B94">
        <w:rPr>
          <w:rFonts w:ascii="Book Antiqua" w:hAnsi="Book Antiqua" w:cs="Times New Roman"/>
          <w:b/>
        </w:rPr>
        <w:t xml:space="preserve">Impact of </w:t>
      </w:r>
      <w:r w:rsidR="00310852" w:rsidRPr="00462B94">
        <w:rPr>
          <w:rFonts w:ascii="Book Antiqua" w:hAnsi="Book Antiqua" w:cs="Times New Roman"/>
          <w:b/>
        </w:rPr>
        <w:t>gout on in-hospital outcomes of acute coronary syndrome-related hospitalizations and revascul</w:t>
      </w:r>
      <w:r w:rsidRPr="00462B94">
        <w:rPr>
          <w:rFonts w:ascii="Book Antiqua" w:hAnsi="Book Antiqua" w:cs="Times New Roman"/>
          <w:b/>
        </w:rPr>
        <w:t>arization</w:t>
      </w:r>
      <w:r w:rsidR="007E5464" w:rsidRPr="00462B94">
        <w:rPr>
          <w:rFonts w:ascii="Book Antiqua" w:hAnsi="Book Antiqua" w:cs="Times New Roman"/>
          <w:b/>
        </w:rPr>
        <w:t>s</w:t>
      </w:r>
      <w:r w:rsidRPr="00462B94">
        <w:rPr>
          <w:rFonts w:ascii="Book Antiqua" w:hAnsi="Book Antiqua" w:cs="Times New Roman"/>
          <w:b/>
        </w:rPr>
        <w:t xml:space="preserve">: Insights </w:t>
      </w:r>
      <w:r w:rsidR="00310852" w:rsidRPr="00462B94">
        <w:rPr>
          <w:rFonts w:ascii="Book Antiqua" w:hAnsi="Book Antiqua" w:cs="Times New Roman"/>
          <w:b/>
        </w:rPr>
        <w:t>from the national inpatient sample</w:t>
      </w:r>
    </w:p>
    <w:p w14:paraId="6433C43E" w14:textId="77777777" w:rsidR="00310852" w:rsidRPr="00462B94" w:rsidRDefault="00310852" w:rsidP="00462B94">
      <w:pPr>
        <w:spacing w:line="360" w:lineRule="auto"/>
        <w:jc w:val="both"/>
        <w:rPr>
          <w:rFonts w:ascii="Book Antiqua" w:hAnsi="Book Antiqua" w:cs="Times New Roman"/>
          <w:lang w:eastAsia="zh-CN"/>
        </w:rPr>
      </w:pPr>
    </w:p>
    <w:p w14:paraId="77D1D9FB" w14:textId="0FF5984C" w:rsidR="001E124A" w:rsidRPr="00462B94" w:rsidRDefault="001E124A" w:rsidP="00462B94">
      <w:pPr>
        <w:spacing w:line="360" w:lineRule="auto"/>
        <w:jc w:val="both"/>
        <w:rPr>
          <w:rFonts w:ascii="Book Antiqua" w:hAnsi="Book Antiqua" w:cs="Times New Roman"/>
          <w:lang w:eastAsia="zh-CN"/>
        </w:rPr>
      </w:pPr>
      <w:r w:rsidRPr="00462B94">
        <w:rPr>
          <w:rFonts w:ascii="Book Antiqua" w:hAnsi="Book Antiqua" w:cs="Times New Roman"/>
          <w:bCs/>
        </w:rPr>
        <w:t>Desai</w:t>
      </w:r>
      <w:r w:rsidRPr="00462B94">
        <w:rPr>
          <w:rFonts w:ascii="Book Antiqua" w:hAnsi="Book Antiqua" w:cs="Times New Roman"/>
        </w:rPr>
        <w:t xml:space="preserve"> </w:t>
      </w:r>
      <w:r w:rsidRPr="00462B94">
        <w:rPr>
          <w:rFonts w:ascii="Book Antiqua" w:hAnsi="Book Antiqua" w:cs="Times New Roman"/>
          <w:lang w:eastAsia="zh-CN"/>
        </w:rPr>
        <w:t xml:space="preserve">R </w:t>
      </w:r>
      <w:r w:rsidRPr="00462B94">
        <w:rPr>
          <w:rFonts w:ascii="Book Antiqua" w:hAnsi="Book Antiqua" w:cs="Times New Roman"/>
          <w:i/>
          <w:lang w:eastAsia="zh-CN"/>
        </w:rPr>
        <w:t xml:space="preserve">et al. </w:t>
      </w:r>
      <w:r w:rsidRPr="00462B94">
        <w:rPr>
          <w:rFonts w:ascii="Book Antiqua" w:hAnsi="Book Antiqua" w:cs="Times New Roman"/>
        </w:rPr>
        <w:t>ACS hospitalizations and outcomes with gout</w:t>
      </w:r>
    </w:p>
    <w:p w14:paraId="48A4619A" w14:textId="77777777" w:rsidR="001E124A" w:rsidRPr="00462B94" w:rsidRDefault="001E124A" w:rsidP="00462B94">
      <w:pPr>
        <w:spacing w:line="360" w:lineRule="auto"/>
        <w:jc w:val="both"/>
        <w:rPr>
          <w:rFonts w:ascii="Book Antiqua" w:hAnsi="Book Antiqua" w:cs="Times New Roman"/>
          <w:lang w:eastAsia="zh-CN"/>
        </w:rPr>
      </w:pPr>
    </w:p>
    <w:p w14:paraId="3856C70C" w14:textId="648C4DFA" w:rsidR="00310852" w:rsidRPr="00462B94" w:rsidRDefault="00310852" w:rsidP="00462B94">
      <w:pPr>
        <w:spacing w:line="360" w:lineRule="auto"/>
        <w:jc w:val="both"/>
        <w:rPr>
          <w:rFonts w:ascii="Book Antiqua" w:hAnsi="Book Antiqua" w:cs="Times New Roman"/>
          <w:bCs/>
          <w:vertAlign w:val="superscript"/>
        </w:rPr>
      </w:pPr>
      <w:r w:rsidRPr="00462B94">
        <w:rPr>
          <w:rFonts w:ascii="Book Antiqua" w:hAnsi="Book Antiqua" w:cs="Times New Roman"/>
          <w:bCs/>
        </w:rPr>
        <w:t>Rupak Desai, Tarang Parekh, Hemant Goyal, Hee Kong Fong, Dipen Zalavadia, Nanush Damarlapally, Rajkumar Doshi, Sejal Savani, Gautam Kumar, Rajesh Sachdeva</w:t>
      </w:r>
    </w:p>
    <w:p w14:paraId="10932025" w14:textId="77777777" w:rsidR="000610E7" w:rsidRPr="00462B94" w:rsidRDefault="000610E7" w:rsidP="00462B94">
      <w:pPr>
        <w:spacing w:line="360" w:lineRule="auto"/>
        <w:jc w:val="both"/>
        <w:rPr>
          <w:rFonts w:ascii="Book Antiqua" w:hAnsi="Book Antiqua" w:cs="Times New Roman"/>
          <w:bCs/>
          <w:vertAlign w:val="superscript"/>
          <w:lang w:eastAsia="zh-CN"/>
        </w:rPr>
      </w:pPr>
    </w:p>
    <w:p w14:paraId="7744F3E5" w14:textId="568262C1" w:rsidR="006B1997" w:rsidRPr="00462B94" w:rsidRDefault="00FC6385" w:rsidP="00462B94">
      <w:pPr>
        <w:spacing w:line="360" w:lineRule="auto"/>
        <w:jc w:val="both"/>
        <w:rPr>
          <w:rFonts w:ascii="Book Antiqua" w:hAnsi="Book Antiqua" w:cs="Times New Roman"/>
          <w:b/>
          <w:bCs/>
          <w:vertAlign w:val="superscript"/>
          <w:lang w:eastAsia="zh-CN"/>
        </w:rPr>
      </w:pPr>
      <w:r w:rsidRPr="00462B94">
        <w:rPr>
          <w:rFonts w:ascii="Book Antiqua" w:hAnsi="Book Antiqua" w:cs="Times New Roman"/>
          <w:b/>
          <w:bCs/>
        </w:rPr>
        <w:t>Rupak Desai,</w:t>
      </w:r>
      <w:r w:rsidRPr="00462B94">
        <w:rPr>
          <w:rFonts w:ascii="Book Antiqua" w:hAnsi="Book Antiqua" w:cs="Times New Roman"/>
          <w:b/>
          <w:bCs/>
          <w:lang w:eastAsia="zh-CN"/>
        </w:rPr>
        <w:t xml:space="preserve"> </w:t>
      </w:r>
      <w:r w:rsidRPr="00462B94">
        <w:rPr>
          <w:rFonts w:ascii="Book Antiqua" w:hAnsi="Book Antiqua" w:cs="Times New Roman"/>
          <w:b/>
          <w:bCs/>
        </w:rPr>
        <w:t>Gautam Kumar, Rajesh Sachdeva</w:t>
      </w:r>
      <w:r w:rsidRPr="00462B94">
        <w:rPr>
          <w:rFonts w:ascii="Book Antiqua" w:hAnsi="Book Antiqua" w:cs="Times New Roman"/>
          <w:b/>
          <w:bCs/>
          <w:lang w:eastAsia="zh-CN"/>
        </w:rPr>
        <w:t>,</w:t>
      </w:r>
      <w:r w:rsidRPr="00462B94">
        <w:rPr>
          <w:rFonts w:ascii="Book Antiqua" w:hAnsi="Book Antiqua" w:cs="Times New Roman"/>
          <w:b/>
          <w:bCs/>
        </w:rPr>
        <w:t xml:space="preserve"> </w:t>
      </w:r>
      <w:r w:rsidR="006B1997" w:rsidRPr="00462B94">
        <w:rPr>
          <w:rFonts w:ascii="Book Antiqua" w:hAnsi="Book Antiqua" w:cs="Times New Roman"/>
        </w:rPr>
        <w:t>Division of Cardiology, Atlanta VA Medical Center, Decatur, GA</w:t>
      </w:r>
      <w:r w:rsidR="00314B4B" w:rsidRPr="00462B94">
        <w:rPr>
          <w:rFonts w:ascii="Book Antiqua" w:hAnsi="Book Antiqua" w:cs="Times New Roman"/>
        </w:rPr>
        <w:t xml:space="preserve"> 30033</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7A129CC6"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2B4D8AD5" w14:textId="631364E5" w:rsidR="006B1997" w:rsidRPr="00462B94" w:rsidRDefault="00FC6385" w:rsidP="00462B94">
      <w:pPr>
        <w:spacing w:line="360" w:lineRule="auto"/>
        <w:jc w:val="both"/>
        <w:rPr>
          <w:rFonts w:ascii="Book Antiqua" w:hAnsi="Book Antiqua" w:cs="Times New Roman"/>
          <w:lang w:eastAsia="zh-CN"/>
        </w:rPr>
      </w:pPr>
      <w:r w:rsidRPr="00462B94">
        <w:rPr>
          <w:rFonts w:ascii="Book Antiqua" w:hAnsi="Book Antiqua" w:cs="Times New Roman"/>
          <w:b/>
          <w:bCs/>
        </w:rPr>
        <w:t>Tarang Parekh,</w:t>
      </w:r>
      <w:r w:rsidRPr="00462B94">
        <w:rPr>
          <w:rFonts w:ascii="Book Antiqua" w:hAnsi="Book Antiqua" w:cs="Times New Roman"/>
          <w:b/>
          <w:bCs/>
          <w:lang w:eastAsia="zh-CN"/>
        </w:rPr>
        <w:t xml:space="preserve"> </w:t>
      </w:r>
      <w:r w:rsidR="006B1997" w:rsidRPr="00462B94">
        <w:rPr>
          <w:rFonts w:ascii="Book Antiqua" w:hAnsi="Book Antiqua" w:cs="Times New Roman"/>
        </w:rPr>
        <w:t>Department of Health Administration and Policy, George Mason University, Fairfax, VA</w:t>
      </w:r>
      <w:r w:rsidR="009B5E4C" w:rsidRPr="00462B94">
        <w:rPr>
          <w:rFonts w:ascii="Book Antiqua" w:hAnsi="Book Antiqua" w:cs="Times New Roman"/>
        </w:rPr>
        <w:t xml:space="preserve"> 22030</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484D68D3"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58D3E3EB" w14:textId="3715543D" w:rsidR="006B1997" w:rsidRPr="00462B94" w:rsidRDefault="00FC6385" w:rsidP="00462B94">
      <w:pPr>
        <w:spacing w:line="360" w:lineRule="auto"/>
        <w:jc w:val="both"/>
        <w:rPr>
          <w:rFonts w:ascii="Book Antiqua" w:hAnsi="Book Antiqua" w:cs="Times New Roman"/>
          <w:lang w:eastAsia="zh-CN"/>
        </w:rPr>
      </w:pPr>
      <w:r w:rsidRPr="00462B94">
        <w:rPr>
          <w:rFonts w:ascii="Book Antiqua" w:hAnsi="Book Antiqua" w:cs="Times New Roman"/>
          <w:b/>
          <w:bCs/>
        </w:rPr>
        <w:t>Hemant Goyal,</w:t>
      </w:r>
      <w:r w:rsidRPr="00462B94">
        <w:rPr>
          <w:rFonts w:ascii="Book Antiqua" w:hAnsi="Book Antiqua" w:cs="Times New Roman"/>
          <w:b/>
          <w:bCs/>
          <w:lang w:eastAsia="zh-CN"/>
        </w:rPr>
        <w:t xml:space="preserve"> </w:t>
      </w:r>
      <w:r w:rsidR="006B1997" w:rsidRPr="00462B94">
        <w:rPr>
          <w:rFonts w:ascii="Book Antiqua" w:hAnsi="Book Antiqua" w:cs="Times New Roman"/>
        </w:rPr>
        <w:t>Department of Internal Medicine, Macon University School of Medicine, Macon, GA</w:t>
      </w:r>
      <w:r w:rsidR="00080376" w:rsidRPr="00462B94">
        <w:rPr>
          <w:rFonts w:ascii="Book Antiqua" w:hAnsi="Book Antiqua" w:cs="Times New Roman"/>
        </w:rPr>
        <w:t xml:space="preserve"> 31207</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153EA39D"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53DBA6B4" w14:textId="1F178179" w:rsidR="006B1997" w:rsidRPr="00462B94" w:rsidRDefault="00FC6385" w:rsidP="00462B94">
      <w:pPr>
        <w:spacing w:line="360" w:lineRule="auto"/>
        <w:jc w:val="both"/>
        <w:rPr>
          <w:rFonts w:ascii="Book Antiqua" w:hAnsi="Book Antiqua" w:cs="Times New Roman"/>
          <w:lang w:eastAsia="zh-CN"/>
        </w:rPr>
      </w:pPr>
      <w:r w:rsidRPr="00462B94">
        <w:rPr>
          <w:rFonts w:ascii="Book Antiqua" w:hAnsi="Book Antiqua" w:cs="Times New Roman"/>
          <w:b/>
          <w:bCs/>
        </w:rPr>
        <w:t>Hee Kong Fong,</w:t>
      </w:r>
      <w:r w:rsidRPr="00462B94">
        <w:rPr>
          <w:rFonts w:ascii="Book Antiqua" w:hAnsi="Book Antiqua" w:cs="Times New Roman"/>
          <w:b/>
          <w:bCs/>
          <w:lang w:eastAsia="zh-CN"/>
        </w:rPr>
        <w:t xml:space="preserve"> </w:t>
      </w:r>
      <w:r w:rsidR="006B1997" w:rsidRPr="00462B94">
        <w:rPr>
          <w:rFonts w:ascii="Book Antiqua" w:hAnsi="Book Antiqua" w:cs="Times New Roman"/>
        </w:rPr>
        <w:t>Department of Internal Medicine, University of Missouri-Columbia, Columbia, MO</w:t>
      </w:r>
      <w:r w:rsidR="00B67FEC" w:rsidRPr="00462B94">
        <w:rPr>
          <w:rFonts w:ascii="Book Antiqua" w:hAnsi="Book Antiqua" w:cs="Times New Roman"/>
        </w:rPr>
        <w:t xml:space="preserve"> 65212</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0E5D7E72"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40FEB6C6" w14:textId="63CEC4B7" w:rsidR="006B1997" w:rsidRPr="00462B94" w:rsidRDefault="00FC6385" w:rsidP="00462B94">
      <w:pPr>
        <w:spacing w:line="360" w:lineRule="auto"/>
        <w:jc w:val="both"/>
        <w:rPr>
          <w:rFonts w:ascii="Book Antiqua" w:hAnsi="Book Antiqua" w:cs="Times New Roman"/>
        </w:rPr>
      </w:pPr>
      <w:r w:rsidRPr="00462B94">
        <w:rPr>
          <w:rFonts w:ascii="Book Antiqua" w:hAnsi="Book Antiqua" w:cs="Times New Roman"/>
          <w:b/>
          <w:bCs/>
        </w:rPr>
        <w:t xml:space="preserve">Dipen Zalavadia, </w:t>
      </w:r>
      <w:r w:rsidR="006B1997" w:rsidRPr="00462B94">
        <w:rPr>
          <w:rFonts w:ascii="Book Antiqua" w:hAnsi="Book Antiqua" w:cs="Times New Roman"/>
        </w:rPr>
        <w:t>Department of Internal Medicine, The Wright Center for Graduate Medical Education,</w:t>
      </w:r>
      <w:r w:rsidRPr="00462B94">
        <w:rPr>
          <w:rFonts w:ascii="Book Antiqua" w:hAnsi="Book Antiqua" w:cs="Times New Roman"/>
          <w:lang w:eastAsia="zh-CN"/>
        </w:rPr>
        <w:t xml:space="preserve"> </w:t>
      </w:r>
      <w:r w:rsidR="006B1997" w:rsidRPr="00462B94">
        <w:rPr>
          <w:rFonts w:ascii="Book Antiqua" w:hAnsi="Book Antiqua" w:cs="Times New Roman"/>
        </w:rPr>
        <w:t>Scranton, PA</w:t>
      </w:r>
      <w:r w:rsidR="00BE3AF6" w:rsidRPr="00462B94">
        <w:rPr>
          <w:rFonts w:ascii="Book Antiqua" w:hAnsi="Book Antiqua"/>
        </w:rPr>
        <w:t xml:space="preserve"> </w:t>
      </w:r>
      <w:r w:rsidR="00BE3AF6" w:rsidRPr="00462B94">
        <w:rPr>
          <w:rFonts w:ascii="Book Antiqua" w:hAnsi="Book Antiqua" w:cs="Times New Roman"/>
        </w:rPr>
        <w:t>18503</w:t>
      </w:r>
      <w:r w:rsidR="001E124A" w:rsidRPr="00462B94">
        <w:rPr>
          <w:rFonts w:ascii="Book Antiqua" w:hAnsi="Book Antiqua" w:cs="Times New Roman"/>
          <w:lang w:eastAsia="zh-CN"/>
        </w:rPr>
        <w:t xml:space="preserve">, </w:t>
      </w:r>
      <w:r w:rsidR="001E124A" w:rsidRPr="00462B94">
        <w:rPr>
          <w:rFonts w:ascii="Book Antiqua" w:hAnsi="Book Antiqua"/>
        </w:rPr>
        <w:t>United States</w:t>
      </w:r>
      <w:r w:rsidR="00BE3AF6" w:rsidRPr="00462B94">
        <w:rPr>
          <w:rFonts w:ascii="Book Antiqua" w:hAnsi="Book Antiqua" w:cs="Times New Roman"/>
        </w:rPr>
        <w:t xml:space="preserve"> </w:t>
      </w:r>
    </w:p>
    <w:p w14:paraId="2ED6E13F"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06B6972F" w14:textId="33C88659" w:rsidR="008F1D7C" w:rsidRPr="00462B94" w:rsidRDefault="00FC6385" w:rsidP="00462B94">
      <w:pPr>
        <w:spacing w:line="360" w:lineRule="auto"/>
        <w:jc w:val="both"/>
        <w:rPr>
          <w:rFonts w:ascii="Book Antiqua" w:hAnsi="Book Antiqua" w:cs="Times New Roman"/>
          <w:vertAlign w:val="superscript"/>
          <w:lang w:eastAsia="zh-CN"/>
        </w:rPr>
      </w:pPr>
      <w:r w:rsidRPr="00462B94">
        <w:rPr>
          <w:rFonts w:ascii="Book Antiqua" w:hAnsi="Book Antiqua" w:cs="Times New Roman"/>
          <w:b/>
          <w:bCs/>
        </w:rPr>
        <w:t>Nanush Damarlapally,</w:t>
      </w:r>
      <w:r w:rsidRPr="00462B94">
        <w:rPr>
          <w:rFonts w:ascii="Book Antiqua" w:hAnsi="Book Antiqua" w:cs="Times New Roman"/>
          <w:b/>
          <w:bCs/>
          <w:lang w:eastAsia="zh-CN"/>
        </w:rPr>
        <w:t xml:space="preserve"> </w:t>
      </w:r>
      <w:r w:rsidR="00586A9A" w:rsidRPr="00462B94">
        <w:rPr>
          <w:rFonts w:ascii="Book Antiqua" w:hAnsi="Book Antiqua" w:cs="Times New Roman"/>
        </w:rPr>
        <w:t>Department of Health Sciences, Coleman College of Health Sciences, Houston, TX</w:t>
      </w:r>
      <w:r w:rsidR="009133A1" w:rsidRPr="00462B94">
        <w:rPr>
          <w:rFonts w:ascii="Book Antiqua" w:hAnsi="Book Antiqua" w:cs="Times New Roman"/>
        </w:rPr>
        <w:t xml:space="preserve"> 77030</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06AA6EF1"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25D2A3F8" w14:textId="048BEA5C" w:rsidR="006B1997" w:rsidRPr="00462B94" w:rsidRDefault="00FC6385" w:rsidP="00462B94">
      <w:pPr>
        <w:spacing w:line="360" w:lineRule="auto"/>
        <w:jc w:val="both"/>
        <w:rPr>
          <w:rFonts w:ascii="Book Antiqua" w:hAnsi="Book Antiqua" w:cs="Times New Roman"/>
          <w:lang w:eastAsia="zh-CN"/>
        </w:rPr>
      </w:pPr>
      <w:r w:rsidRPr="00462B94">
        <w:rPr>
          <w:rFonts w:ascii="Book Antiqua" w:hAnsi="Book Antiqua" w:cs="Times New Roman"/>
          <w:b/>
          <w:bCs/>
        </w:rPr>
        <w:t xml:space="preserve">Rajkumar Doshi, </w:t>
      </w:r>
      <w:r w:rsidR="006B1997" w:rsidRPr="00462B94">
        <w:rPr>
          <w:rFonts w:ascii="Book Antiqua" w:hAnsi="Book Antiqua" w:cs="Times New Roman"/>
        </w:rPr>
        <w:t>Department of Internal Medicine, University of Nevada School of Medicine, Reno, NV</w:t>
      </w:r>
      <w:r w:rsidR="00D81992" w:rsidRPr="00462B94">
        <w:rPr>
          <w:rFonts w:ascii="Book Antiqua" w:hAnsi="Book Antiqua" w:cs="Times New Roman"/>
        </w:rPr>
        <w:t xml:space="preserve"> 89557</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5C65E2BF"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1CE915EC" w14:textId="5442D750" w:rsidR="006B1997" w:rsidRPr="00462B94" w:rsidRDefault="00FC6385" w:rsidP="00462B94">
      <w:pPr>
        <w:spacing w:line="360" w:lineRule="auto"/>
        <w:jc w:val="both"/>
        <w:rPr>
          <w:rFonts w:ascii="Book Antiqua" w:hAnsi="Book Antiqua" w:cs="Times New Roman"/>
          <w:lang w:eastAsia="zh-CN"/>
        </w:rPr>
      </w:pPr>
      <w:r w:rsidRPr="00462B94">
        <w:rPr>
          <w:rFonts w:ascii="Book Antiqua" w:hAnsi="Book Antiqua" w:cs="Times New Roman"/>
          <w:b/>
          <w:bCs/>
        </w:rPr>
        <w:t xml:space="preserve">Sejal Savani, </w:t>
      </w:r>
      <w:r w:rsidR="006B1997" w:rsidRPr="00462B94">
        <w:rPr>
          <w:rFonts w:ascii="Book Antiqua" w:hAnsi="Book Antiqua" w:cs="Times New Roman"/>
        </w:rPr>
        <w:t>Public</w:t>
      </w:r>
      <w:r w:rsidR="006B1997" w:rsidRPr="00462B94">
        <w:rPr>
          <w:rFonts w:ascii="Book Antiqua" w:hAnsi="Book Antiqua" w:cs="Times New Roman"/>
          <w:vertAlign w:val="superscript"/>
        </w:rPr>
        <w:t xml:space="preserve"> </w:t>
      </w:r>
      <w:r w:rsidR="006B1997" w:rsidRPr="00462B94">
        <w:rPr>
          <w:rFonts w:ascii="Book Antiqua" w:hAnsi="Book Antiqua" w:cs="Times New Roman"/>
        </w:rPr>
        <w:t>Health, New York University, New York, NY</w:t>
      </w:r>
      <w:r w:rsidR="009A45B9" w:rsidRPr="00462B94">
        <w:rPr>
          <w:rFonts w:ascii="Book Antiqua" w:hAnsi="Book Antiqua" w:cs="Times New Roman"/>
        </w:rPr>
        <w:t xml:space="preserve"> 10010</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068140E1"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34FAB462" w14:textId="4BB8AAE7" w:rsidR="006B1997" w:rsidRPr="00462B94" w:rsidRDefault="00FC6385" w:rsidP="00462B94">
      <w:pPr>
        <w:spacing w:line="360" w:lineRule="auto"/>
        <w:jc w:val="both"/>
        <w:rPr>
          <w:rFonts w:ascii="Book Antiqua" w:hAnsi="Book Antiqua" w:cs="Times New Roman"/>
          <w:lang w:eastAsia="zh-CN"/>
        </w:rPr>
      </w:pPr>
      <w:r w:rsidRPr="00462B94">
        <w:rPr>
          <w:rFonts w:ascii="Book Antiqua" w:hAnsi="Book Antiqua" w:cs="Times New Roman"/>
          <w:b/>
          <w:bCs/>
        </w:rPr>
        <w:t>Gautam Kumar, Rajesh Sachdeva</w:t>
      </w:r>
      <w:r w:rsidRPr="00462B94">
        <w:rPr>
          <w:rFonts w:ascii="Book Antiqua" w:hAnsi="Book Antiqua" w:cs="Times New Roman"/>
          <w:b/>
          <w:bCs/>
          <w:lang w:eastAsia="zh-CN"/>
        </w:rPr>
        <w:t xml:space="preserve">, </w:t>
      </w:r>
      <w:r w:rsidR="006B1997" w:rsidRPr="00462B94">
        <w:rPr>
          <w:rFonts w:ascii="Book Antiqua" w:hAnsi="Book Antiqua" w:cs="Times New Roman"/>
        </w:rPr>
        <w:t xml:space="preserve">Division of Cardiology, Emory University </w:t>
      </w:r>
      <w:r w:rsidR="001E124A" w:rsidRPr="00462B94">
        <w:rPr>
          <w:rFonts w:ascii="Book Antiqua" w:hAnsi="Book Antiqua" w:cs="Times New Roman"/>
        </w:rPr>
        <w:t>School of Medicine, Atlanta, GA</w:t>
      </w:r>
      <w:r w:rsidR="00DB7BEC" w:rsidRPr="00462B94">
        <w:rPr>
          <w:rFonts w:ascii="Book Antiqua" w:hAnsi="Book Antiqua" w:cs="Times New Roman"/>
        </w:rPr>
        <w:t xml:space="preserve"> 30322</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26CE6BCF" w14:textId="77777777" w:rsidR="00FC6385" w:rsidRPr="00462B94" w:rsidRDefault="00FC6385" w:rsidP="00462B94">
      <w:pPr>
        <w:spacing w:line="360" w:lineRule="auto"/>
        <w:jc w:val="both"/>
        <w:rPr>
          <w:rFonts w:ascii="Book Antiqua" w:hAnsi="Book Antiqua" w:cs="Times New Roman"/>
          <w:vertAlign w:val="superscript"/>
          <w:lang w:eastAsia="zh-CN"/>
        </w:rPr>
      </w:pPr>
    </w:p>
    <w:p w14:paraId="10E6EF8B" w14:textId="27A2ACDD" w:rsidR="006B1997" w:rsidRPr="00462B94" w:rsidRDefault="00FC6385" w:rsidP="00462B94">
      <w:pPr>
        <w:spacing w:line="360" w:lineRule="auto"/>
        <w:jc w:val="both"/>
        <w:rPr>
          <w:rFonts w:ascii="Book Antiqua" w:hAnsi="Book Antiqua"/>
          <w:lang w:eastAsia="zh-CN"/>
        </w:rPr>
      </w:pPr>
      <w:r w:rsidRPr="00462B94">
        <w:rPr>
          <w:rFonts w:ascii="Book Antiqua" w:hAnsi="Book Antiqua" w:cs="Times New Roman"/>
          <w:b/>
          <w:bCs/>
        </w:rPr>
        <w:t>Rajesh Sachdeva</w:t>
      </w:r>
      <w:r w:rsidRPr="00462B94">
        <w:rPr>
          <w:rFonts w:ascii="Book Antiqua" w:hAnsi="Book Antiqua" w:cs="Times New Roman"/>
          <w:b/>
          <w:bCs/>
          <w:lang w:eastAsia="zh-CN"/>
        </w:rPr>
        <w:t xml:space="preserve">, </w:t>
      </w:r>
      <w:r w:rsidR="006B1997" w:rsidRPr="00462B94">
        <w:rPr>
          <w:rFonts w:ascii="Book Antiqua" w:hAnsi="Book Antiqua" w:cs="Times New Roman"/>
        </w:rPr>
        <w:t>Division of Cardiology, Morehouse School of Medicine, Atlanta, GA</w:t>
      </w:r>
      <w:r w:rsidR="00426E6F" w:rsidRPr="00462B94">
        <w:rPr>
          <w:rFonts w:ascii="Book Antiqua" w:hAnsi="Book Antiqua" w:cs="Times New Roman"/>
        </w:rPr>
        <w:t xml:space="preserve"> 30310</w:t>
      </w:r>
      <w:r w:rsidR="001E124A" w:rsidRPr="00462B94">
        <w:rPr>
          <w:rFonts w:ascii="Book Antiqua" w:hAnsi="Book Antiqua" w:cs="Times New Roman"/>
          <w:lang w:eastAsia="zh-CN"/>
        </w:rPr>
        <w:t xml:space="preserve">, </w:t>
      </w:r>
      <w:r w:rsidR="001E124A" w:rsidRPr="00462B94">
        <w:rPr>
          <w:rFonts w:ascii="Book Antiqua" w:hAnsi="Book Antiqua"/>
        </w:rPr>
        <w:t>United States</w:t>
      </w:r>
    </w:p>
    <w:p w14:paraId="40DBF9C2" w14:textId="77777777" w:rsidR="00FC6385" w:rsidRPr="00462B94" w:rsidRDefault="00FC6385" w:rsidP="00462B94">
      <w:pPr>
        <w:spacing w:line="360" w:lineRule="auto"/>
        <w:jc w:val="both"/>
        <w:rPr>
          <w:rFonts w:ascii="Book Antiqua" w:hAnsi="Book Antiqua" w:cs="Times New Roman"/>
          <w:lang w:eastAsia="zh-CN"/>
        </w:rPr>
      </w:pPr>
    </w:p>
    <w:p w14:paraId="5EF25F87" w14:textId="6F8855E4" w:rsidR="00FC6385" w:rsidRPr="00462B94" w:rsidRDefault="00FC6385" w:rsidP="00462B94">
      <w:pPr>
        <w:spacing w:line="360" w:lineRule="auto"/>
        <w:jc w:val="both"/>
        <w:rPr>
          <w:rFonts w:ascii="Book Antiqua" w:hAnsi="Book Antiqua" w:cs="Times New Roman"/>
          <w:lang w:eastAsia="zh-CN"/>
        </w:rPr>
      </w:pPr>
      <w:r w:rsidRPr="00462B94">
        <w:rPr>
          <w:rFonts w:ascii="Book Antiqua" w:hAnsi="Book Antiqua"/>
          <w:b/>
        </w:rPr>
        <w:t>ORCID number:</w:t>
      </w:r>
      <w:r w:rsidRPr="00462B94">
        <w:rPr>
          <w:rFonts w:ascii="Book Antiqua" w:hAnsi="Book Antiqua"/>
        </w:rPr>
        <w:t> </w:t>
      </w:r>
      <w:r w:rsidRPr="00462B94">
        <w:rPr>
          <w:rFonts w:ascii="Book Antiqua" w:hAnsi="Book Antiqua" w:cs="Times New Roman"/>
        </w:rPr>
        <w:t>Rupak Desai (0000-0002-5315-6426)</w:t>
      </w:r>
      <w:r w:rsidRPr="00462B94">
        <w:rPr>
          <w:rFonts w:ascii="Book Antiqua" w:hAnsi="Book Antiqua" w:cs="Times New Roman"/>
          <w:lang w:eastAsia="zh-CN"/>
        </w:rPr>
        <w:t>;</w:t>
      </w:r>
      <w:r w:rsidRPr="00462B94">
        <w:rPr>
          <w:rFonts w:ascii="Book Antiqua" w:hAnsi="Book Antiqua" w:cs="Times New Roman"/>
        </w:rPr>
        <w:t xml:space="preserve"> Tarang Parekh (0000-0002-3494-0020)</w:t>
      </w:r>
      <w:r w:rsidRPr="00462B94">
        <w:rPr>
          <w:rFonts w:ascii="Book Antiqua" w:hAnsi="Book Antiqua" w:cs="Times New Roman"/>
          <w:lang w:eastAsia="zh-CN"/>
        </w:rPr>
        <w:t>;</w:t>
      </w:r>
      <w:r w:rsidRPr="00462B94">
        <w:rPr>
          <w:rFonts w:ascii="Book Antiqua" w:hAnsi="Book Antiqua" w:cs="Times New Roman"/>
        </w:rPr>
        <w:t xml:space="preserve"> Hemant Goyal (0000-0002-9433-9042)</w:t>
      </w:r>
      <w:r w:rsidRPr="00462B94">
        <w:rPr>
          <w:rFonts w:ascii="Book Antiqua" w:hAnsi="Book Antiqua" w:cs="Times New Roman"/>
          <w:lang w:eastAsia="zh-CN"/>
        </w:rPr>
        <w:t>;</w:t>
      </w:r>
      <w:r w:rsidRPr="00462B94">
        <w:rPr>
          <w:rFonts w:ascii="Book Antiqua" w:hAnsi="Book Antiqua" w:cs="Times New Roman"/>
        </w:rPr>
        <w:t xml:space="preserve"> Hee Kong Fong (0000-0001-5499-2533)</w:t>
      </w:r>
      <w:r w:rsidRPr="00462B94">
        <w:rPr>
          <w:rFonts w:ascii="Book Antiqua" w:hAnsi="Book Antiqua" w:cs="Times New Roman"/>
          <w:lang w:eastAsia="zh-CN"/>
        </w:rPr>
        <w:t>;</w:t>
      </w:r>
      <w:r w:rsidRPr="00462B94">
        <w:rPr>
          <w:rFonts w:ascii="Book Antiqua" w:hAnsi="Book Antiqua" w:cs="Times New Roman"/>
        </w:rPr>
        <w:t xml:space="preserve"> Dipen Zalavadia (0000-0001-7913-5191)</w:t>
      </w:r>
      <w:r w:rsidRPr="00462B94">
        <w:rPr>
          <w:rFonts w:ascii="Book Antiqua" w:hAnsi="Book Antiqua" w:cs="Times New Roman"/>
          <w:lang w:eastAsia="zh-CN"/>
        </w:rPr>
        <w:t>;</w:t>
      </w:r>
      <w:r w:rsidRPr="00462B94">
        <w:rPr>
          <w:rFonts w:ascii="Book Antiqua" w:hAnsi="Book Antiqua" w:cs="Times New Roman"/>
        </w:rPr>
        <w:t xml:space="preserve"> Nanush Damarlapally (0000-0002-0688-659X); Rajkumar Doshi (0000-0002-5618-2750)</w:t>
      </w:r>
      <w:r w:rsidRPr="00462B94">
        <w:rPr>
          <w:rFonts w:ascii="Book Antiqua" w:hAnsi="Book Antiqua" w:cs="Times New Roman"/>
          <w:lang w:eastAsia="zh-CN"/>
        </w:rPr>
        <w:t>;</w:t>
      </w:r>
      <w:r w:rsidRPr="00462B94">
        <w:rPr>
          <w:rFonts w:ascii="Book Antiqua" w:hAnsi="Book Antiqua" w:cs="Times New Roman"/>
        </w:rPr>
        <w:t xml:space="preserve"> Sejal Savani (0000-0002-3677-2251)</w:t>
      </w:r>
      <w:r w:rsidRPr="00462B94">
        <w:rPr>
          <w:rFonts w:ascii="Book Antiqua" w:hAnsi="Book Antiqua" w:cs="Times New Roman"/>
          <w:lang w:eastAsia="zh-CN"/>
        </w:rPr>
        <w:t>;</w:t>
      </w:r>
      <w:r w:rsidRPr="00462B94">
        <w:rPr>
          <w:rFonts w:ascii="Book Antiqua" w:hAnsi="Book Antiqua" w:cs="Times New Roman"/>
        </w:rPr>
        <w:t xml:space="preserve"> Gautam Kumar (0000-0002-4284-846X)</w:t>
      </w:r>
      <w:r w:rsidRPr="00462B94">
        <w:rPr>
          <w:rFonts w:ascii="Book Antiqua" w:hAnsi="Book Antiqua" w:cs="Times New Roman"/>
          <w:lang w:eastAsia="zh-CN"/>
        </w:rPr>
        <w:t>;</w:t>
      </w:r>
      <w:r w:rsidRPr="00462B94">
        <w:rPr>
          <w:rFonts w:ascii="Book Antiqua" w:hAnsi="Book Antiqua" w:cs="Times New Roman"/>
        </w:rPr>
        <w:t xml:space="preserve"> Rajesh Sachdeva (0000-0002-7729-6247)</w:t>
      </w:r>
      <w:r w:rsidRPr="00462B94">
        <w:rPr>
          <w:rFonts w:ascii="Book Antiqua" w:hAnsi="Book Antiqua" w:cs="Times New Roman"/>
          <w:lang w:eastAsia="zh-CN"/>
        </w:rPr>
        <w:t>.</w:t>
      </w:r>
    </w:p>
    <w:p w14:paraId="0F3156A7" w14:textId="77777777" w:rsidR="00FC6385" w:rsidRPr="00462B94" w:rsidRDefault="00FC6385" w:rsidP="00462B94">
      <w:pPr>
        <w:spacing w:line="360" w:lineRule="auto"/>
        <w:jc w:val="both"/>
        <w:rPr>
          <w:rFonts w:ascii="Book Antiqua" w:hAnsi="Book Antiqua" w:cs="Times New Roman"/>
          <w:bCs/>
          <w:vertAlign w:val="superscript"/>
          <w:lang w:eastAsia="zh-CN"/>
        </w:rPr>
      </w:pPr>
    </w:p>
    <w:p w14:paraId="5E3D1F86" w14:textId="0CD5E09A" w:rsidR="00FC6385" w:rsidRPr="00462B94" w:rsidRDefault="00FC6385" w:rsidP="00462B94">
      <w:pPr>
        <w:spacing w:line="360" w:lineRule="auto"/>
        <w:jc w:val="both"/>
        <w:rPr>
          <w:rFonts w:ascii="Book Antiqua" w:hAnsi="Book Antiqua" w:cs="Times New Roman"/>
          <w:b/>
          <w:bCs/>
          <w:lang w:eastAsia="zh-CN"/>
        </w:rPr>
      </w:pPr>
      <w:r w:rsidRPr="00462B94">
        <w:rPr>
          <w:rFonts w:ascii="Book Antiqua" w:hAnsi="Book Antiqua"/>
          <w:b/>
        </w:rPr>
        <w:t>Author contributions:</w:t>
      </w:r>
      <w:r w:rsidRPr="00462B94">
        <w:rPr>
          <w:rFonts w:ascii="Book Antiqua" w:hAnsi="Book Antiqua" w:cs="Times New Roman"/>
          <w:bCs/>
        </w:rPr>
        <w:t xml:space="preserve"> Desai</w:t>
      </w:r>
      <w:r w:rsidRPr="00462B94">
        <w:rPr>
          <w:rFonts w:ascii="Book Antiqua" w:hAnsi="Book Antiqua" w:cs="Times New Roman"/>
        </w:rPr>
        <w:t xml:space="preserve"> </w:t>
      </w:r>
      <w:r w:rsidRPr="00462B94">
        <w:rPr>
          <w:rFonts w:ascii="Book Antiqua" w:hAnsi="Book Antiqua" w:cs="Times New Roman"/>
          <w:lang w:eastAsia="zh-CN"/>
        </w:rPr>
        <w:t xml:space="preserve">R and </w:t>
      </w:r>
      <w:r w:rsidRPr="00462B94">
        <w:rPr>
          <w:rFonts w:ascii="Book Antiqua" w:hAnsi="Book Antiqua" w:cs="Times New Roman"/>
          <w:bCs/>
        </w:rPr>
        <w:t>Parekh</w:t>
      </w:r>
      <w:r w:rsidRPr="00462B94">
        <w:rPr>
          <w:rFonts w:ascii="Book Antiqua" w:hAnsi="Book Antiqua" w:cs="Times New Roman"/>
        </w:rPr>
        <w:t xml:space="preserve"> </w:t>
      </w:r>
      <w:r w:rsidRPr="00462B94">
        <w:rPr>
          <w:rFonts w:ascii="Book Antiqua" w:hAnsi="Book Antiqua" w:cs="Times New Roman"/>
          <w:lang w:eastAsia="zh-CN"/>
        </w:rPr>
        <w:t>T</w:t>
      </w:r>
      <w:r w:rsidRPr="00462B94">
        <w:rPr>
          <w:rFonts w:ascii="Book Antiqua" w:hAnsi="Book Antiqua" w:cs="Times New Roman"/>
        </w:rPr>
        <w:t xml:space="preserve"> equal contribution to the manuscript</w:t>
      </w:r>
      <w:r w:rsidRPr="00462B94">
        <w:rPr>
          <w:rFonts w:ascii="Book Antiqua" w:hAnsi="Book Antiqua" w:cs="Times New Roman"/>
          <w:lang w:eastAsia="zh-CN"/>
        </w:rPr>
        <w:t xml:space="preserve">; </w:t>
      </w:r>
      <w:r w:rsidRPr="00462B94">
        <w:rPr>
          <w:rFonts w:ascii="Book Antiqua" w:hAnsi="Book Antiqua" w:cs="Times New Roman"/>
        </w:rPr>
        <w:t>Desai</w:t>
      </w:r>
      <w:r w:rsidRPr="00462B94">
        <w:rPr>
          <w:rFonts w:ascii="Book Antiqua" w:hAnsi="Book Antiqua" w:cs="Times New Roman"/>
          <w:lang w:eastAsia="zh-CN"/>
        </w:rPr>
        <w:t xml:space="preserve"> R</w:t>
      </w:r>
      <w:r w:rsidRPr="00462B94">
        <w:rPr>
          <w:rFonts w:ascii="Book Antiqua" w:hAnsi="Book Antiqua" w:cs="Times New Roman"/>
        </w:rPr>
        <w:t>, Sachdeva</w:t>
      </w:r>
      <w:r w:rsidRPr="00462B94">
        <w:rPr>
          <w:rFonts w:ascii="Book Antiqua" w:hAnsi="Book Antiqua" w:cs="Times New Roman"/>
          <w:lang w:eastAsia="zh-CN"/>
        </w:rPr>
        <w:t xml:space="preserve"> R and</w:t>
      </w:r>
      <w:r w:rsidRPr="00462B94">
        <w:rPr>
          <w:rFonts w:ascii="Book Antiqua" w:hAnsi="Book Antiqua" w:cs="Times New Roman"/>
        </w:rPr>
        <w:t xml:space="preserve"> Kumar</w:t>
      </w:r>
      <w:r w:rsidRPr="00462B94">
        <w:rPr>
          <w:rFonts w:ascii="Book Antiqua" w:hAnsi="Book Antiqua" w:cs="Times New Roman"/>
          <w:lang w:eastAsia="zh-CN"/>
        </w:rPr>
        <w:t xml:space="preserve"> G contributed to</w:t>
      </w:r>
      <w:r w:rsidRPr="00462B94">
        <w:rPr>
          <w:rFonts w:ascii="Book Antiqua" w:hAnsi="Book Antiqua" w:cs="Times New Roman"/>
        </w:rPr>
        <w:t xml:space="preserve"> conception and design</w:t>
      </w:r>
      <w:r w:rsidRPr="00462B94">
        <w:rPr>
          <w:rFonts w:ascii="Book Antiqua" w:hAnsi="Book Antiqua" w:cs="Times New Roman"/>
          <w:lang w:eastAsia="zh-CN"/>
        </w:rPr>
        <w:t xml:space="preserve">; </w:t>
      </w:r>
      <w:r w:rsidRPr="00462B94">
        <w:rPr>
          <w:rFonts w:ascii="Book Antiqua" w:hAnsi="Book Antiqua" w:cs="Times New Roman"/>
        </w:rPr>
        <w:t>Desai</w:t>
      </w:r>
      <w:r w:rsidRPr="00462B94">
        <w:rPr>
          <w:rFonts w:ascii="Book Antiqua" w:hAnsi="Book Antiqua" w:cs="Times New Roman"/>
          <w:lang w:eastAsia="zh-CN"/>
        </w:rPr>
        <w:t xml:space="preserve"> R and</w:t>
      </w:r>
      <w:r w:rsidRPr="00462B94">
        <w:rPr>
          <w:rFonts w:ascii="Book Antiqua" w:hAnsi="Book Antiqua"/>
        </w:rPr>
        <w:t xml:space="preserve"> </w:t>
      </w:r>
      <w:r w:rsidRPr="00462B94">
        <w:rPr>
          <w:rFonts w:ascii="Book Antiqua" w:hAnsi="Book Antiqua" w:cs="Times New Roman"/>
        </w:rPr>
        <w:t>Doshi</w:t>
      </w:r>
      <w:r w:rsidRPr="00462B94">
        <w:rPr>
          <w:rFonts w:ascii="Book Antiqua" w:hAnsi="Book Antiqua" w:cs="Times New Roman"/>
          <w:lang w:eastAsia="zh-CN"/>
        </w:rPr>
        <w:t xml:space="preserve"> R contributed to</w:t>
      </w:r>
      <w:r w:rsidRPr="00462B94">
        <w:rPr>
          <w:rFonts w:ascii="Book Antiqua" w:hAnsi="Book Antiqua" w:cs="Times New Roman"/>
        </w:rPr>
        <w:t xml:space="preserve"> provision of study material or patients</w:t>
      </w:r>
      <w:r w:rsidRPr="00462B94">
        <w:rPr>
          <w:rFonts w:ascii="Book Antiqua" w:hAnsi="Book Antiqua" w:cs="Times New Roman"/>
          <w:lang w:eastAsia="zh-CN"/>
        </w:rPr>
        <w:t xml:space="preserve">; </w:t>
      </w:r>
      <w:r w:rsidR="00062EC4" w:rsidRPr="00462B94">
        <w:rPr>
          <w:rFonts w:ascii="Book Antiqua" w:hAnsi="Book Antiqua" w:cs="Times New Roman"/>
        </w:rPr>
        <w:t>a</w:t>
      </w:r>
      <w:r w:rsidRPr="00462B94">
        <w:rPr>
          <w:rFonts w:ascii="Book Antiqua" w:hAnsi="Book Antiqua" w:cs="Times New Roman"/>
        </w:rPr>
        <w:t>ll authors</w:t>
      </w:r>
      <w:r w:rsidRPr="00462B94">
        <w:rPr>
          <w:rFonts w:ascii="Book Antiqua" w:hAnsi="Book Antiqua" w:cs="Times New Roman"/>
          <w:lang w:eastAsia="zh-CN"/>
        </w:rPr>
        <w:t xml:space="preserve"> contributed to</w:t>
      </w:r>
      <w:r w:rsidRPr="00462B94">
        <w:rPr>
          <w:rFonts w:ascii="Book Antiqua" w:hAnsi="Book Antiqua" w:cs="Times New Roman"/>
        </w:rPr>
        <w:t xml:space="preserve"> collection and assembly of data</w:t>
      </w:r>
      <w:r w:rsidRPr="00462B94">
        <w:rPr>
          <w:rFonts w:ascii="Book Antiqua" w:hAnsi="Book Antiqua" w:cs="Times New Roman"/>
          <w:lang w:eastAsia="zh-CN"/>
        </w:rPr>
        <w:t>,</w:t>
      </w:r>
      <w:r w:rsidRPr="00462B94">
        <w:rPr>
          <w:rFonts w:ascii="Book Antiqua" w:hAnsi="Book Antiqua" w:cs="Times New Roman"/>
        </w:rPr>
        <w:t xml:space="preserve"> data analysis and interpretation</w:t>
      </w:r>
      <w:r w:rsidRPr="00462B94">
        <w:rPr>
          <w:rFonts w:ascii="Book Antiqua" w:hAnsi="Book Antiqua" w:cs="Times New Roman"/>
          <w:lang w:eastAsia="zh-CN"/>
        </w:rPr>
        <w:t>,</w:t>
      </w:r>
      <w:r w:rsidRPr="00462B94">
        <w:rPr>
          <w:rFonts w:ascii="Book Antiqua" w:hAnsi="Book Antiqua" w:cs="Times New Roman"/>
        </w:rPr>
        <w:t xml:space="preserve"> manuscript writing</w:t>
      </w:r>
      <w:r w:rsidRPr="00462B94">
        <w:rPr>
          <w:rFonts w:ascii="Book Antiqua" w:hAnsi="Book Antiqua" w:cs="Times New Roman"/>
          <w:lang w:eastAsia="zh-CN"/>
        </w:rPr>
        <w:t xml:space="preserve"> and</w:t>
      </w:r>
      <w:r w:rsidRPr="00462B94">
        <w:rPr>
          <w:rFonts w:ascii="Book Antiqua" w:hAnsi="Book Antiqua" w:cs="Times New Roman"/>
        </w:rPr>
        <w:t xml:space="preserve"> final approval of manuscript</w:t>
      </w:r>
      <w:r w:rsidRPr="00462B94">
        <w:rPr>
          <w:rFonts w:ascii="Book Antiqua" w:hAnsi="Book Antiqua" w:cs="Times New Roman"/>
          <w:lang w:eastAsia="zh-CN"/>
        </w:rPr>
        <w:t>.</w:t>
      </w:r>
      <w:r w:rsidRPr="00462B94">
        <w:rPr>
          <w:rFonts w:ascii="Book Antiqua" w:hAnsi="Book Antiqua" w:cs="Times New Roman"/>
          <w:b/>
          <w:bCs/>
          <w:lang w:eastAsia="zh-CN"/>
        </w:rPr>
        <w:t xml:space="preserve"> </w:t>
      </w:r>
    </w:p>
    <w:p w14:paraId="7C399C0E" w14:textId="77777777" w:rsidR="007E1AB4" w:rsidRPr="00462B94" w:rsidRDefault="007E1AB4" w:rsidP="00462B94">
      <w:pPr>
        <w:spacing w:line="360" w:lineRule="auto"/>
        <w:jc w:val="both"/>
        <w:rPr>
          <w:rFonts w:ascii="Book Antiqua" w:hAnsi="Book Antiqua" w:cs="Times New Roman"/>
          <w:lang w:eastAsia="zh-CN"/>
        </w:rPr>
      </w:pPr>
    </w:p>
    <w:p w14:paraId="4924AF8F" w14:textId="1F43F4BE" w:rsidR="007E1AB4" w:rsidRPr="00462B94" w:rsidRDefault="007E1AB4" w:rsidP="00462B94">
      <w:pPr>
        <w:spacing w:line="360" w:lineRule="auto"/>
        <w:jc w:val="both"/>
        <w:rPr>
          <w:rFonts w:ascii="Book Antiqua" w:hAnsi="Book Antiqua" w:cs="Times New Roman"/>
          <w:lang w:eastAsia="zh-CN"/>
        </w:rPr>
      </w:pPr>
      <w:r w:rsidRPr="00462B94">
        <w:rPr>
          <w:rFonts w:ascii="Book Antiqua" w:hAnsi="Book Antiqua"/>
          <w:b/>
        </w:rPr>
        <w:t>Institutional review board statement</w:t>
      </w:r>
      <w:r w:rsidRPr="00462B94">
        <w:rPr>
          <w:rFonts w:ascii="Book Antiqua" w:hAnsi="Book Antiqua"/>
          <w:b/>
          <w:iCs/>
        </w:rPr>
        <w:t xml:space="preserve">: </w:t>
      </w:r>
      <w:r w:rsidRPr="00462B94">
        <w:rPr>
          <w:rFonts w:ascii="Book Antiqua" w:hAnsi="Book Antiqua" w:cs="Times New Roman"/>
        </w:rPr>
        <w:t>This study was exempt from an IRB review.</w:t>
      </w:r>
    </w:p>
    <w:p w14:paraId="09989665" w14:textId="77777777" w:rsidR="007E1AB4" w:rsidRPr="00462B94" w:rsidRDefault="007E1AB4" w:rsidP="00462B94">
      <w:pPr>
        <w:spacing w:line="360" w:lineRule="auto"/>
        <w:jc w:val="both"/>
        <w:rPr>
          <w:rFonts w:ascii="Book Antiqua" w:hAnsi="Book Antiqua"/>
          <w:b/>
          <w:lang w:eastAsia="zh-CN"/>
        </w:rPr>
      </w:pPr>
    </w:p>
    <w:p w14:paraId="1F6FDF23" w14:textId="222BC611" w:rsidR="007E1AB4" w:rsidRPr="00462B94" w:rsidRDefault="007E1AB4" w:rsidP="00462B94">
      <w:pPr>
        <w:spacing w:line="360" w:lineRule="auto"/>
        <w:jc w:val="both"/>
        <w:rPr>
          <w:rFonts w:ascii="Book Antiqua" w:hAnsi="Book Antiqua" w:cs="Times New Roman"/>
          <w:lang w:eastAsia="zh-CN"/>
        </w:rPr>
      </w:pPr>
      <w:r w:rsidRPr="00462B94">
        <w:rPr>
          <w:rFonts w:ascii="Book Antiqua" w:hAnsi="Book Antiqua"/>
          <w:b/>
        </w:rPr>
        <w:t>Informed consent statement</w:t>
      </w:r>
      <w:r w:rsidRPr="00462B94">
        <w:rPr>
          <w:rFonts w:ascii="Book Antiqua" w:hAnsi="Book Antiqua"/>
          <w:b/>
          <w:iCs/>
        </w:rPr>
        <w:t xml:space="preserve">: </w:t>
      </w:r>
      <w:r w:rsidRPr="00462B94">
        <w:rPr>
          <w:rFonts w:ascii="Book Antiqua" w:hAnsi="Book Antiqua" w:cs="Times New Roman"/>
        </w:rPr>
        <w:t>Patients were not required to give informed consent to the study because the analysis used anonymous clinical data from a publically accessible dataset.</w:t>
      </w:r>
    </w:p>
    <w:p w14:paraId="1631A521" w14:textId="77777777" w:rsidR="007E1AB4" w:rsidRPr="00462B94" w:rsidRDefault="007E1AB4" w:rsidP="00462B94">
      <w:pPr>
        <w:spacing w:line="360" w:lineRule="auto"/>
        <w:jc w:val="both"/>
        <w:rPr>
          <w:rFonts w:ascii="Book Antiqua" w:hAnsi="Book Antiqua"/>
          <w:b/>
          <w:lang w:eastAsia="zh-CN"/>
        </w:rPr>
      </w:pPr>
    </w:p>
    <w:p w14:paraId="21D0018E" w14:textId="498F36AF" w:rsidR="007E1AB4" w:rsidRPr="00462B94" w:rsidRDefault="007E1AB4" w:rsidP="00462B94">
      <w:pPr>
        <w:spacing w:line="360" w:lineRule="auto"/>
        <w:jc w:val="both"/>
        <w:rPr>
          <w:rFonts w:ascii="Book Antiqua" w:hAnsi="Book Antiqua"/>
          <w:b/>
        </w:rPr>
      </w:pPr>
      <w:r w:rsidRPr="00462B94">
        <w:rPr>
          <w:rFonts w:ascii="Book Antiqua" w:hAnsi="Book Antiqua"/>
          <w:b/>
        </w:rPr>
        <w:lastRenderedPageBreak/>
        <w:t>Conflict-of-interest statement</w:t>
      </w:r>
      <w:r w:rsidRPr="00462B94">
        <w:rPr>
          <w:rFonts w:ascii="Book Antiqua" w:hAnsi="Book Antiqua" w:cs="TimesNewRomanPS-BoldItalicMT"/>
          <w:b/>
          <w:iCs/>
        </w:rPr>
        <w:t xml:space="preserve">: </w:t>
      </w:r>
      <w:r w:rsidRPr="00462B94">
        <w:rPr>
          <w:rFonts w:ascii="Book Antiqua" w:hAnsi="Book Antiqua" w:cs="Times New Roman"/>
        </w:rPr>
        <w:t>All authors declare no conflicts-of-interest related to this article.</w:t>
      </w:r>
    </w:p>
    <w:p w14:paraId="7A5DFF03" w14:textId="77777777" w:rsidR="007E1AB4" w:rsidRPr="00462B94" w:rsidRDefault="007E1AB4" w:rsidP="00462B94">
      <w:pPr>
        <w:adjustRightInd w:val="0"/>
        <w:snapToGrid w:val="0"/>
        <w:spacing w:line="360" w:lineRule="auto"/>
        <w:jc w:val="both"/>
        <w:rPr>
          <w:rFonts w:ascii="Book Antiqua" w:hAnsi="Book Antiqua"/>
          <w:lang w:eastAsia="zh-CN"/>
        </w:rPr>
      </w:pPr>
    </w:p>
    <w:p w14:paraId="030D0297" w14:textId="77777777" w:rsidR="007E1AB4" w:rsidRPr="00462B94" w:rsidRDefault="007E1AB4" w:rsidP="00462B94">
      <w:pPr>
        <w:adjustRightInd w:val="0"/>
        <w:snapToGrid w:val="0"/>
        <w:spacing w:line="360" w:lineRule="auto"/>
        <w:jc w:val="both"/>
        <w:rPr>
          <w:rFonts w:ascii="Book Antiqua" w:hAnsi="Book Antiqua"/>
        </w:rPr>
      </w:pPr>
      <w:r w:rsidRPr="00462B94">
        <w:rPr>
          <w:rFonts w:ascii="Book Antiqua" w:hAnsi="Book Antiqua"/>
          <w:b/>
        </w:rPr>
        <w:t xml:space="preserve">Open-Access: </w:t>
      </w:r>
      <w:r w:rsidRPr="00462B9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462B94">
          <w:rPr>
            <w:rStyle w:val="Hyperlink"/>
            <w:rFonts w:ascii="Book Antiqua" w:hAnsi="Book Antiqua"/>
            <w:color w:val="auto"/>
            <w:u w:val="none"/>
          </w:rPr>
          <w:t>http://creativecommons.org/licenses/by-nc/4.0/</w:t>
        </w:r>
      </w:hyperlink>
    </w:p>
    <w:p w14:paraId="06302F7C" w14:textId="77777777" w:rsidR="007E1AB4" w:rsidRPr="00462B94" w:rsidRDefault="007E1AB4" w:rsidP="00462B94">
      <w:pPr>
        <w:spacing w:line="360" w:lineRule="auto"/>
        <w:jc w:val="both"/>
        <w:rPr>
          <w:rFonts w:ascii="Book Antiqua" w:hAnsi="Book Antiqua" w:cs="Times New Roman"/>
          <w:lang w:eastAsia="zh-CN"/>
        </w:rPr>
      </w:pPr>
    </w:p>
    <w:p w14:paraId="019A6245" w14:textId="02B7ABED" w:rsidR="007E1AB4" w:rsidRPr="00462B94" w:rsidRDefault="007E1AB4" w:rsidP="00462B94">
      <w:pPr>
        <w:spacing w:line="360" w:lineRule="auto"/>
        <w:jc w:val="both"/>
        <w:rPr>
          <w:rFonts w:ascii="Book Antiqua" w:hAnsi="Book Antiqua" w:cs="Times New Roman"/>
          <w:lang w:eastAsia="zh-CN"/>
        </w:rPr>
      </w:pPr>
      <w:r w:rsidRPr="00462B94">
        <w:rPr>
          <w:rFonts w:ascii="Book Antiqua" w:eastAsia="SimSun" w:hAnsi="Book Antiqua" w:cs="SimSun"/>
          <w:b/>
        </w:rPr>
        <w:t>Manuscript source:</w:t>
      </w:r>
      <w:r w:rsidRPr="00462B94">
        <w:rPr>
          <w:rFonts w:ascii="Book Antiqua" w:eastAsia="SimSun" w:hAnsi="Book Antiqua" w:cs="SimSun"/>
        </w:rPr>
        <w:t> Unsolicited manuscript</w:t>
      </w:r>
    </w:p>
    <w:p w14:paraId="1AB8A9B7" w14:textId="77777777" w:rsidR="007E1AB4" w:rsidRPr="00462B94" w:rsidRDefault="007E1AB4" w:rsidP="00462B94">
      <w:pPr>
        <w:spacing w:line="360" w:lineRule="auto"/>
        <w:jc w:val="both"/>
        <w:rPr>
          <w:rFonts w:ascii="Book Antiqua" w:hAnsi="Book Antiqua" w:cs="Times New Roman"/>
          <w:lang w:eastAsia="zh-CN"/>
        </w:rPr>
      </w:pPr>
    </w:p>
    <w:p w14:paraId="3953913F" w14:textId="77777777" w:rsidR="007E1AB4" w:rsidRPr="00462B94" w:rsidRDefault="007E1AB4" w:rsidP="00462B94">
      <w:pPr>
        <w:spacing w:line="360" w:lineRule="auto"/>
        <w:jc w:val="both"/>
        <w:rPr>
          <w:rFonts w:ascii="Book Antiqua" w:hAnsi="Book Antiqua"/>
          <w:b/>
          <w:lang w:eastAsia="zh-CN"/>
        </w:rPr>
      </w:pPr>
      <w:r w:rsidRPr="00462B94">
        <w:rPr>
          <w:rFonts w:ascii="Book Antiqua" w:hAnsi="Book Antiqua"/>
          <w:b/>
        </w:rPr>
        <w:t>Corresponding author:</w:t>
      </w:r>
      <w:r w:rsidRPr="00462B94">
        <w:rPr>
          <w:rFonts w:ascii="Book Antiqua" w:hAnsi="Book Antiqua"/>
          <w:b/>
          <w:lang w:eastAsia="zh-CN"/>
        </w:rPr>
        <w:t xml:space="preserve"> Hemant Goyal, FACP, MBBS, MD, Assistant Professor, </w:t>
      </w:r>
      <w:r w:rsidRPr="00462B94">
        <w:rPr>
          <w:rFonts w:ascii="Book Antiqua" w:hAnsi="Book Antiqua"/>
          <w:lang w:eastAsia="zh-CN"/>
        </w:rPr>
        <w:t>Department of Internal Medicine, Macon University School of Medicine, 707 Pine St., Macon, GA31207, United States. doc.hemant@yahoo.com</w:t>
      </w:r>
    </w:p>
    <w:p w14:paraId="55F7F2F7" w14:textId="77777777" w:rsidR="007E1AB4" w:rsidRPr="00462B94" w:rsidRDefault="007E1AB4" w:rsidP="00462B94">
      <w:pPr>
        <w:spacing w:line="360" w:lineRule="auto"/>
        <w:jc w:val="both"/>
        <w:rPr>
          <w:rFonts w:ascii="Book Antiqua" w:hAnsi="Book Antiqua"/>
          <w:b/>
        </w:rPr>
      </w:pPr>
      <w:r w:rsidRPr="00462B94">
        <w:rPr>
          <w:rFonts w:ascii="Book Antiqua" w:hAnsi="Book Antiqua"/>
          <w:b/>
        </w:rPr>
        <w:t xml:space="preserve">Telephone: </w:t>
      </w:r>
      <w:r w:rsidRPr="00462B94">
        <w:rPr>
          <w:rFonts w:ascii="Book Antiqua" w:hAnsi="Book Antiqua" w:cs="Times New Roman"/>
          <w:bCs/>
          <w:lang w:eastAsia="zh-CN"/>
        </w:rPr>
        <w:t>+1-478-3015862</w:t>
      </w:r>
    </w:p>
    <w:p w14:paraId="5B4B4869" w14:textId="77777777" w:rsidR="007E1AB4" w:rsidRPr="00462B94" w:rsidRDefault="007E1AB4" w:rsidP="00462B94">
      <w:pPr>
        <w:spacing w:line="360" w:lineRule="auto"/>
        <w:jc w:val="both"/>
        <w:rPr>
          <w:rFonts w:ascii="Book Antiqua" w:hAnsi="Book Antiqua" w:cs="Times New Roman"/>
          <w:lang w:eastAsia="zh-CN"/>
        </w:rPr>
      </w:pPr>
    </w:p>
    <w:p w14:paraId="647B2326" w14:textId="0026AAAF" w:rsidR="007E1AB4" w:rsidRPr="00462B94" w:rsidRDefault="007E1AB4" w:rsidP="00462B94">
      <w:pPr>
        <w:spacing w:line="360" w:lineRule="auto"/>
        <w:jc w:val="both"/>
        <w:rPr>
          <w:rFonts w:ascii="Book Antiqua" w:hAnsi="Book Antiqua"/>
          <w:b/>
        </w:rPr>
      </w:pPr>
      <w:r w:rsidRPr="00462B94">
        <w:rPr>
          <w:rFonts w:ascii="Book Antiqua" w:hAnsi="Book Antiqua"/>
          <w:b/>
        </w:rPr>
        <w:t xml:space="preserve">Received: </w:t>
      </w:r>
      <w:r w:rsidR="00742FE4" w:rsidRPr="00462B94">
        <w:rPr>
          <w:rFonts w:ascii="Book Antiqua" w:hAnsi="Book Antiqua"/>
          <w:lang w:eastAsia="zh-CN"/>
        </w:rPr>
        <w:t>February 20, 2019</w:t>
      </w:r>
      <w:r w:rsidRPr="00462B94">
        <w:rPr>
          <w:rFonts w:ascii="Book Antiqua" w:hAnsi="Book Antiqua"/>
        </w:rPr>
        <w:t xml:space="preserve"> </w:t>
      </w:r>
    </w:p>
    <w:p w14:paraId="6300591F" w14:textId="666EAE39" w:rsidR="007E1AB4" w:rsidRPr="00462B94" w:rsidRDefault="007E1AB4" w:rsidP="00462B94">
      <w:pPr>
        <w:spacing w:line="360" w:lineRule="auto"/>
        <w:jc w:val="both"/>
        <w:rPr>
          <w:rFonts w:ascii="Book Antiqua" w:hAnsi="Book Antiqua"/>
          <w:b/>
        </w:rPr>
      </w:pPr>
      <w:r w:rsidRPr="00462B94">
        <w:rPr>
          <w:rFonts w:ascii="Book Antiqua" w:hAnsi="Book Antiqua"/>
          <w:b/>
        </w:rPr>
        <w:t>Peer-review started:</w:t>
      </w:r>
      <w:r w:rsidR="00742FE4" w:rsidRPr="00462B94">
        <w:rPr>
          <w:rFonts w:ascii="Book Antiqua" w:hAnsi="Book Antiqua"/>
          <w:lang w:eastAsia="zh-CN"/>
        </w:rPr>
        <w:t xml:space="preserve"> February 22, 2019</w:t>
      </w:r>
      <w:r w:rsidR="00742FE4" w:rsidRPr="00462B94">
        <w:rPr>
          <w:rFonts w:ascii="Book Antiqua" w:hAnsi="Book Antiqua"/>
        </w:rPr>
        <w:t xml:space="preserve"> </w:t>
      </w:r>
    </w:p>
    <w:p w14:paraId="1F67DED1" w14:textId="28D4C5EE" w:rsidR="007E1AB4" w:rsidRPr="00462B94" w:rsidRDefault="007E1AB4" w:rsidP="00462B94">
      <w:pPr>
        <w:spacing w:line="360" w:lineRule="auto"/>
        <w:jc w:val="both"/>
        <w:rPr>
          <w:rFonts w:ascii="Book Antiqua" w:hAnsi="Book Antiqua"/>
          <w:b/>
          <w:lang w:eastAsia="zh-CN"/>
        </w:rPr>
      </w:pPr>
      <w:r w:rsidRPr="00462B94">
        <w:rPr>
          <w:rFonts w:ascii="Book Antiqua" w:hAnsi="Book Antiqua"/>
          <w:b/>
        </w:rPr>
        <w:t>First decision:</w:t>
      </w:r>
      <w:r w:rsidR="00742FE4" w:rsidRPr="00462B94">
        <w:rPr>
          <w:rFonts w:ascii="Book Antiqua" w:hAnsi="Book Antiqua"/>
          <w:b/>
          <w:lang w:eastAsia="zh-CN"/>
        </w:rPr>
        <w:t xml:space="preserve"> </w:t>
      </w:r>
      <w:r w:rsidR="00742FE4" w:rsidRPr="00462B94">
        <w:rPr>
          <w:rFonts w:ascii="Book Antiqua" w:hAnsi="Book Antiqua"/>
          <w:lang w:eastAsia="zh-CN"/>
        </w:rPr>
        <w:t>March 15, 2019</w:t>
      </w:r>
    </w:p>
    <w:p w14:paraId="6EDBC89F" w14:textId="3F1EB8D2" w:rsidR="007E1AB4" w:rsidRPr="00462B94" w:rsidRDefault="007E1AB4" w:rsidP="00462B94">
      <w:pPr>
        <w:spacing w:line="360" w:lineRule="auto"/>
        <w:jc w:val="both"/>
        <w:rPr>
          <w:rFonts w:ascii="Book Antiqua" w:hAnsi="Book Antiqua"/>
          <w:b/>
        </w:rPr>
      </w:pPr>
      <w:r w:rsidRPr="00462B94">
        <w:rPr>
          <w:rFonts w:ascii="Book Antiqua" w:hAnsi="Book Antiqua"/>
          <w:b/>
        </w:rPr>
        <w:t xml:space="preserve">Revised: </w:t>
      </w:r>
      <w:r w:rsidR="00742FE4" w:rsidRPr="00462B94">
        <w:rPr>
          <w:rFonts w:ascii="Book Antiqua" w:hAnsi="Book Antiqua"/>
          <w:lang w:eastAsia="zh-CN"/>
        </w:rPr>
        <w:t>April 2, 2019</w:t>
      </w:r>
      <w:r w:rsidRPr="00462B94">
        <w:rPr>
          <w:rFonts w:ascii="Book Antiqua" w:hAnsi="Book Antiqua"/>
          <w:b/>
        </w:rPr>
        <w:t xml:space="preserve"> </w:t>
      </w:r>
    </w:p>
    <w:p w14:paraId="00AC6DA8" w14:textId="28F7F400" w:rsidR="007E1AB4" w:rsidRPr="00462B94" w:rsidRDefault="007E1AB4" w:rsidP="00462B94">
      <w:pPr>
        <w:spacing w:line="360" w:lineRule="auto"/>
        <w:jc w:val="both"/>
        <w:rPr>
          <w:rFonts w:ascii="Book Antiqua" w:hAnsi="Book Antiqua"/>
          <w:b/>
        </w:rPr>
      </w:pPr>
      <w:r w:rsidRPr="00462B94">
        <w:rPr>
          <w:rFonts w:ascii="Book Antiqua" w:hAnsi="Book Antiqua"/>
          <w:b/>
        </w:rPr>
        <w:t xml:space="preserve">Accepted: </w:t>
      </w:r>
      <w:r w:rsidR="00DA0D4F" w:rsidRPr="00DA0D4F">
        <w:rPr>
          <w:rFonts w:ascii="Book Antiqua" w:hAnsi="Book Antiqua"/>
          <w:bCs/>
        </w:rPr>
        <w:t>May 21, 2019</w:t>
      </w:r>
    </w:p>
    <w:p w14:paraId="71F77D1A" w14:textId="55259D42" w:rsidR="007E1AB4" w:rsidRPr="00462B94" w:rsidRDefault="007E1AB4" w:rsidP="00462B94">
      <w:pPr>
        <w:spacing w:line="360" w:lineRule="auto"/>
        <w:jc w:val="both"/>
        <w:rPr>
          <w:rFonts w:ascii="Book Antiqua" w:hAnsi="Book Antiqua"/>
        </w:rPr>
      </w:pPr>
      <w:r w:rsidRPr="00462B94">
        <w:rPr>
          <w:rFonts w:ascii="Book Antiqua" w:hAnsi="Book Antiqua"/>
          <w:b/>
        </w:rPr>
        <w:t>Article in press:</w:t>
      </w:r>
      <w:r w:rsidRPr="00462B94">
        <w:rPr>
          <w:rFonts w:ascii="Book Antiqua" w:hAnsi="Book Antiqua"/>
        </w:rPr>
        <w:t xml:space="preserve"> </w:t>
      </w:r>
    </w:p>
    <w:p w14:paraId="3E873BB1" w14:textId="77777777" w:rsidR="007E1AB4" w:rsidRPr="00462B94" w:rsidRDefault="007E1AB4" w:rsidP="00462B94">
      <w:pPr>
        <w:spacing w:line="360" w:lineRule="auto"/>
        <w:jc w:val="both"/>
        <w:rPr>
          <w:rFonts w:ascii="Book Antiqua" w:hAnsi="Book Antiqua"/>
          <w:b/>
        </w:rPr>
      </w:pPr>
      <w:r w:rsidRPr="00462B94">
        <w:rPr>
          <w:rFonts w:ascii="Book Antiqua" w:hAnsi="Book Antiqua"/>
          <w:b/>
        </w:rPr>
        <w:t xml:space="preserve">Published online: </w:t>
      </w:r>
    </w:p>
    <w:p w14:paraId="385D906B" w14:textId="30397C10" w:rsidR="006B1997" w:rsidRDefault="006B1997" w:rsidP="00462B94">
      <w:pPr>
        <w:spacing w:line="360" w:lineRule="auto"/>
        <w:jc w:val="both"/>
        <w:rPr>
          <w:rFonts w:ascii="Book Antiqua" w:hAnsi="Book Antiqua" w:cs="Times New Roman"/>
          <w:b/>
          <w:noProof/>
        </w:rPr>
      </w:pPr>
      <w:r w:rsidRPr="00462B94">
        <w:rPr>
          <w:rFonts w:ascii="Book Antiqua" w:hAnsi="Book Antiqua" w:cs="Times New Roman"/>
          <w:b/>
          <w:noProof/>
        </w:rPr>
        <w:t>A</w:t>
      </w:r>
      <w:r w:rsidR="00310852" w:rsidRPr="00462B94">
        <w:rPr>
          <w:rFonts w:ascii="Book Antiqua" w:hAnsi="Book Antiqua" w:cs="Times New Roman"/>
          <w:b/>
          <w:noProof/>
        </w:rPr>
        <w:t>bstract</w:t>
      </w:r>
    </w:p>
    <w:p w14:paraId="28593F84" w14:textId="02E66C4B" w:rsidR="00DA0D4F" w:rsidRDefault="00DA0D4F" w:rsidP="00462B94">
      <w:pPr>
        <w:spacing w:line="360" w:lineRule="auto"/>
        <w:jc w:val="both"/>
        <w:rPr>
          <w:rFonts w:ascii="Book Antiqua" w:hAnsi="Book Antiqua" w:cs="Times New Roman"/>
          <w:b/>
          <w:noProof/>
        </w:rPr>
      </w:pPr>
    </w:p>
    <w:p w14:paraId="5CD53BB5" w14:textId="7B606D03" w:rsidR="00DA0D4F" w:rsidRDefault="00DA0D4F" w:rsidP="00462B94">
      <w:pPr>
        <w:spacing w:line="360" w:lineRule="auto"/>
        <w:jc w:val="both"/>
        <w:rPr>
          <w:rFonts w:ascii="Book Antiqua" w:hAnsi="Book Antiqua" w:cs="Times New Roman"/>
          <w:b/>
          <w:noProof/>
        </w:rPr>
      </w:pPr>
    </w:p>
    <w:p w14:paraId="3D431044" w14:textId="50D3C410" w:rsidR="00DA0D4F" w:rsidRDefault="00DA0D4F" w:rsidP="00462B94">
      <w:pPr>
        <w:spacing w:line="360" w:lineRule="auto"/>
        <w:jc w:val="both"/>
        <w:rPr>
          <w:rFonts w:ascii="Book Antiqua" w:hAnsi="Book Antiqua" w:cs="Times New Roman"/>
          <w:b/>
          <w:noProof/>
        </w:rPr>
      </w:pPr>
    </w:p>
    <w:p w14:paraId="67157EF7" w14:textId="3EB4ABD0" w:rsidR="00DA0D4F" w:rsidRDefault="00DA0D4F" w:rsidP="00462B94">
      <w:pPr>
        <w:spacing w:line="360" w:lineRule="auto"/>
        <w:jc w:val="both"/>
        <w:rPr>
          <w:rFonts w:ascii="Book Antiqua" w:hAnsi="Book Antiqua" w:cs="Times New Roman"/>
          <w:b/>
          <w:noProof/>
        </w:rPr>
      </w:pPr>
    </w:p>
    <w:p w14:paraId="34301B7C" w14:textId="77777777" w:rsidR="00DA0D4F" w:rsidRPr="00462B94" w:rsidRDefault="00DA0D4F" w:rsidP="00462B94">
      <w:pPr>
        <w:spacing w:line="360" w:lineRule="auto"/>
        <w:jc w:val="both"/>
        <w:rPr>
          <w:rFonts w:ascii="Book Antiqua" w:hAnsi="Book Antiqua" w:cs="Times New Roman"/>
          <w:b/>
          <w:noProof/>
        </w:rPr>
      </w:pPr>
    </w:p>
    <w:p w14:paraId="750423F8" w14:textId="77777777" w:rsidR="00742FE4" w:rsidRPr="00462B94" w:rsidRDefault="00742FE4"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BACKGROUND</w:t>
      </w:r>
    </w:p>
    <w:p w14:paraId="787A20CD" w14:textId="3AE4CAF8" w:rsidR="009868D8" w:rsidRPr="00462B94" w:rsidRDefault="009868D8" w:rsidP="00462B94">
      <w:pPr>
        <w:spacing w:line="360" w:lineRule="auto"/>
        <w:jc w:val="both"/>
        <w:rPr>
          <w:rFonts w:ascii="Book Antiqua" w:hAnsi="Book Antiqua" w:cs="Times New Roman"/>
          <w:bCs/>
          <w:noProof/>
          <w:lang w:eastAsia="zh-CN"/>
        </w:rPr>
      </w:pPr>
      <w:r w:rsidRPr="00462B94">
        <w:rPr>
          <w:rFonts w:ascii="Book Antiqua" w:hAnsi="Book Antiqua" w:cs="Times New Roman"/>
          <w:bCs/>
          <w:noProof/>
        </w:rPr>
        <w:t xml:space="preserve">Previous studies have established a role of gout in predicting risk and prognosis of cardiovascular diseases. However, large-scale data on the impact of gout on inpatient outcomes of acute coronary syndrome (ACS)-related hospitalizations and post-revascularization is inadequate. </w:t>
      </w:r>
    </w:p>
    <w:p w14:paraId="764B58E4" w14:textId="77777777" w:rsidR="00742FE4" w:rsidRPr="00462B94" w:rsidRDefault="00742FE4" w:rsidP="00462B94">
      <w:pPr>
        <w:spacing w:line="360" w:lineRule="auto"/>
        <w:jc w:val="both"/>
        <w:rPr>
          <w:rFonts w:ascii="Book Antiqua" w:hAnsi="Book Antiqua" w:cs="Times New Roman"/>
          <w:bCs/>
          <w:noProof/>
          <w:lang w:eastAsia="zh-CN"/>
        </w:rPr>
      </w:pPr>
    </w:p>
    <w:p w14:paraId="07676DFE" w14:textId="77777777" w:rsidR="00742FE4" w:rsidRPr="00462B94" w:rsidRDefault="00B2294D"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AIM</w:t>
      </w:r>
    </w:p>
    <w:p w14:paraId="6AABC4F0" w14:textId="77777777" w:rsidR="00742FE4" w:rsidRPr="00462B94" w:rsidRDefault="00742FE4" w:rsidP="00462B94">
      <w:pPr>
        <w:spacing w:line="360" w:lineRule="auto"/>
        <w:jc w:val="both"/>
        <w:rPr>
          <w:rFonts w:ascii="Book Antiqua" w:hAnsi="Book Antiqua" w:cs="Times New Roman"/>
          <w:lang w:eastAsia="zh-CN"/>
        </w:rPr>
      </w:pPr>
      <w:r w:rsidRPr="00462B94">
        <w:rPr>
          <w:rFonts w:ascii="Book Antiqua" w:hAnsi="Book Antiqua" w:cs="Times New Roman"/>
          <w:iCs/>
          <w:noProof/>
          <w:lang w:eastAsia="zh-CN"/>
        </w:rPr>
        <w:t xml:space="preserve">To </w:t>
      </w:r>
      <w:r w:rsidRPr="00462B94">
        <w:rPr>
          <w:rFonts w:ascii="Book Antiqua" w:hAnsi="Book Antiqua" w:cs="Times New Roman"/>
        </w:rPr>
        <w:t>e</w:t>
      </w:r>
      <w:r w:rsidR="009868D8" w:rsidRPr="00462B94">
        <w:rPr>
          <w:rFonts w:ascii="Book Antiqua" w:hAnsi="Book Antiqua" w:cs="Times New Roman"/>
        </w:rPr>
        <w:t>valuate the impact of gout on in-hospital outcomes of ACS hospitalizations, subsequent healthcare burden and predictors of post-revascularization inpatient mortality</w:t>
      </w:r>
      <w:r w:rsidRPr="00462B94">
        <w:rPr>
          <w:rFonts w:ascii="Book Antiqua" w:hAnsi="Book Antiqua" w:cs="Times New Roman"/>
          <w:lang w:eastAsia="zh-CN"/>
        </w:rPr>
        <w:t>.</w:t>
      </w:r>
    </w:p>
    <w:p w14:paraId="004940B4" w14:textId="5AAF0C5E" w:rsidR="009868D8" w:rsidRPr="00462B94" w:rsidRDefault="009868D8" w:rsidP="00462B94">
      <w:pPr>
        <w:spacing w:line="360" w:lineRule="auto"/>
        <w:jc w:val="both"/>
        <w:rPr>
          <w:rFonts w:ascii="Book Antiqua" w:hAnsi="Book Antiqua" w:cs="Times New Roman"/>
          <w:bCs/>
          <w:noProof/>
        </w:rPr>
      </w:pPr>
      <w:r w:rsidRPr="00462B94">
        <w:rPr>
          <w:rFonts w:ascii="Book Antiqua" w:hAnsi="Book Antiqua" w:cs="Times New Roman"/>
          <w:bCs/>
          <w:noProof/>
        </w:rPr>
        <w:t xml:space="preserve"> </w:t>
      </w:r>
    </w:p>
    <w:p w14:paraId="1381809C" w14:textId="77777777" w:rsidR="00742FE4" w:rsidRPr="00462B94" w:rsidRDefault="00B2294D"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METHODS</w:t>
      </w:r>
    </w:p>
    <w:p w14:paraId="1543DFFB" w14:textId="64F5493F" w:rsidR="006B1997" w:rsidRPr="00462B94" w:rsidRDefault="006B1997" w:rsidP="00462B94">
      <w:pPr>
        <w:spacing w:line="360" w:lineRule="auto"/>
        <w:jc w:val="both"/>
        <w:rPr>
          <w:rFonts w:ascii="Book Antiqua" w:hAnsi="Book Antiqua" w:cs="Times New Roman"/>
          <w:bCs/>
          <w:noProof/>
          <w:lang w:eastAsia="zh-CN"/>
        </w:rPr>
      </w:pPr>
      <w:r w:rsidRPr="00462B94">
        <w:rPr>
          <w:rFonts w:ascii="Book Antiqua" w:hAnsi="Book Antiqua" w:cs="Times New Roman"/>
          <w:bCs/>
          <w:noProof/>
        </w:rPr>
        <w:t xml:space="preserve">We used the </w:t>
      </w:r>
      <w:r w:rsidR="00687586" w:rsidRPr="00462B94">
        <w:rPr>
          <w:rFonts w:ascii="Book Antiqua" w:hAnsi="Book Antiqua" w:cs="Times New Roman"/>
          <w:bCs/>
          <w:noProof/>
        </w:rPr>
        <w:t>national inpatient sample</w:t>
      </w:r>
      <w:r w:rsidRPr="00462B94">
        <w:rPr>
          <w:rFonts w:ascii="Book Antiqua" w:hAnsi="Book Antiqua" w:cs="Times New Roman"/>
          <w:bCs/>
          <w:noProof/>
        </w:rPr>
        <w:t xml:space="preserve"> (2010-2014) to identify the ACS and gout-related hospitalizations, relevant comorbidities, revascularization and post-revascularization outcomes using the ICD-9 CM codes. A multivaria</w:t>
      </w:r>
      <w:r w:rsidR="00B2294D" w:rsidRPr="00462B94">
        <w:rPr>
          <w:rFonts w:ascii="Book Antiqua" w:hAnsi="Book Antiqua" w:cs="Times New Roman"/>
          <w:bCs/>
          <w:noProof/>
        </w:rPr>
        <w:t>ble</w:t>
      </w:r>
      <w:r w:rsidRPr="00462B94">
        <w:rPr>
          <w:rFonts w:ascii="Book Antiqua" w:hAnsi="Book Antiqua" w:cs="Times New Roman"/>
          <w:bCs/>
          <w:noProof/>
        </w:rPr>
        <w:t xml:space="preserve"> analysis was performed to evaluate the predictors of post-revascularization in-hospital mortality. </w:t>
      </w:r>
    </w:p>
    <w:p w14:paraId="41FC5D51" w14:textId="77777777" w:rsidR="00742FE4" w:rsidRPr="00462B94" w:rsidRDefault="00742FE4" w:rsidP="00462B94">
      <w:pPr>
        <w:spacing w:line="360" w:lineRule="auto"/>
        <w:jc w:val="both"/>
        <w:rPr>
          <w:rFonts w:ascii="Book Antiqua" w:hAnsi="Book Antiqua" w:cs="Times New Roman"/>
          <w:bCs/>
          <w:noProof/>
          <w:lang w:eastAsia="zh-CN"/>
        </w:rPr>
      </w:pPr>
    </w:p>
    <w:p w14:paraId="0E59CE04" w14:textId="77777777" w:rsidR="00742FE4" w:rsidRPr="00462B94" w:rsidRDefault="00B2294D"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RESULTS</w:t>
      </w:r>
    </w:p>
    <w:p w14:paraId="67F46890" w14:textId="7391DB1F" w:rsidR="006B1997" w:rsidRPr="00462B94" w:rsidRDefault="00742FE4" w:rsidP="00462B94">
      <w:pPr>
        <w:spacing w:line="360" w:lineRule="auto"/>
        <w:jc w:val="both"/>
        <w:rPr>
          <w:rFonts w:ascii="Book Antiqua" w:hAnsi="Book Antiqua" w:cs="Times New Roman"/>
          <w:bCs/>
          <w:noProof/>
          <w:lang w:eastAsia="zh-CN"/>
        </w:rPr>
      </w:pPr>
      <w:r w:rsidRPr="00462B94">
        <w:rPr>
          <w:rFonts w:ascii="Book Antiqua" w:hAnsi="Book Antiqua" w:cs="Times New Roman"/>
          <w:bCs/>
          <w:noProof/>
        </w:rPr>
        <w:t>We identified 3144</w:t>
      </w:r>
      <w:r w:rsidR="006B1997" w:rsidRPr="00462B94">
        <w:rPr>
          <w:rFonts w:ascii="Book Antiqua" w:hAnsi="Book Antiqua" w:cs="Times New Roman"/>
          <w:bCs/>
          <w:noProof/>
        </w:rPr>
        <w:t>744 ACS-related</w:t>
      </w:r>
      <w:r w:rsidRPr="00462B94">
        <w:rPr>
          <w:rFonts w:ascii="Book Antiqua" w:hAnsi="Book Antiqua" w:cs="Times New Roman"/>
          <w:bCs/>
          <w:noProof/>
        </w:rPr>
        <w:t xml:space="preserve"> hospitalizations, of which 105</w:t>
      </w:r>
      <w:r w:rsidR="006B1997" w:rsidRPr="00462B94">
        <w:rPr>
          <w:rFonts w:ascii="Book Antiqua" w:hAnsi="Book Antiqua" w:cs="Times New Roman"/>
          <w:bCs/>
          <w:noProof/>
        </w:rPr>
        <w:t xml:space="preserve">198 (3.35%) also had gout. The ACS-gout cohort were more often older white males with a higher prevalence of comorbidities. Coronary artery bypass grafting was required more often in the ACS-gout cohort. Post-revascularization complications including cardiac (3.2% </w:t>
      </w:r>
      <w:r w:rsidRPr="00462B94">
        <w:rPr>
          <w:rFonts w:ascii="Book Antiqua" w:hAnsi="Book Antiqua" w:cs="Times New Roman"/>
          <w:bCs/>
          <w:i/>
          <w:noProof/>
        </w:rPr>
        <w:t>vs</w:t>
      </w:r>
      <w:r w:rsidR="006B1997" w:rsidRPr="00462B94">
        <w:rPr>
          <w:rFonts w:ascii="Book Antiqua" w:hAnsi="Book Antiqua" w:cs="Times New Roman"/>
          <w:bCs/>
          <w:noProof/>
        </w:rPr>
        <w:t xml:space="preserve"> 2.9%), respiratory (3.5% </w:t>
      </w:r>
      <w:r w:rsidRPr="00462B94">
        <w:rPr>
          <w:rFonts w:ascii="Book Antiqua" w:hAnsi="Book Antiqua" w:cs="Times New Roman"/>
          <w:bCs/>
          <w:i/>
          <w:noProof/>
        </w:rPr>
        <w:t>vs</w:t>
      </w:r>
      <w:r w:rsidR="006B1997" w:rsidRPr="00462B94">
        <w:rPr>
          <w:rFonts w:ascii="Book Antiqua" w:hAnsi="Book Antiqua" w:cs="Times New Roman"/>
          <w:bCs/>
          <w:noProof/>
        </w:rPr>
        <w:t xml:space="preserve"> 2.9%), and hemorrhage (3.1% </w:t>
      </w:r>
      <w:r w:rsidRPr="00462B94">
        <w:rPr>
          <w:rFonts w:ascii="Book Antiqua" w:hAnsi="Book Antiqua" w:cs="Times New Roman"/>
          <w:bCs/>
          <w:i/>
          <w:noProof/>
        </w:rPr>
        <w:t>vs</w:t>
      </w:r>
      <w:r w:rsidR="006B1997" w:rsidRPr="00462B94">
        <w:rPr>
          <w:rFonts w:ascii="Book Antiqua" w:hAnsi="Book Antiqua" w:cs="Times New Roman"/>
          <w:bCs/>
          <w:noProof/>
        </w:rPr>
        <w:t xml:space="preserve"> 2.7%) were higher whereas all-cause mortality was lower (2.2% </w:t>
      </w:r>
      <w:r w:rsidRPr="00462B94">
        <w:rPr>
          <w:rFonts w:ascii="Book Antiqua" w:hAnsi="Book Antiqua" w:cs="Times New Roman"/>
          <w:bCs/>
          <w:i/>
          <w:noProof/>
        </w:rPr>
        <w:t>vs</w:t>
      </w:r>
      <w:r w:rsidR="006B1997" w:rsidRPr="00462B94">
        <w:rPr>
          <w:rFonts w:ascii="Book Antiqua" w:hAnsi="Book Antiqua" w:cs="Times New Roman"/>
          <w:bCs/>
          <w:noProof/>
        </w:rPr>
        <w:t xml:space="preserve"> 3.0%) in the ACS-gout cohort (</w:t>
      </w:r>
      <w:r w:rsidRPr="00462B94">
        <w:rPr>
          <w:rFonts w:ascii="Book Antiqua" w:hAnsi="Book Antiqua" w:cs="Times New Roman"/>
          <w:bCs/>
          <w:i/>
          <w:noProof/>
        </w:rPr>
        <w:t>P</w:t>
      </w:r>
      <w:r w:rsidRPr="00462B94">
        <w:rPr>
          <w:rFonts w:ascii="Book Antiqua" w:hAnsi="Book Antiqua" w:cs="Times New Roman"/>
          <w:bCs/>
          <w:noProof/>
          <w:lang w:eastAsia="zh-CN"/>
        </w:rPr>
        <w:t xml:space="preserve"> </w:t>
      </w:r>
      <w:r w:rsidR="006B1997" w:rsidRPr="00462B94">
        <w:rPr>
          <w:rFonts w:ascii="Book Antiqua" w:hAnsi="Book Antiqua" w:cs="Times New Roman"/>
          <w:bCs/>
          <w:noProof/>
        </w:rPr>
        <w:t>&lt;</w:t>
      </w:r>
      <w:r w:rsidRPr="00462B94">
        <w:rPr>
          <w:rFonts w:ascii="Book Antiqua" w:hAnsi="Book Antiqua" w:cs="Times New Roman"/>
          <w:bCs/>
          <w:noProof/>
          <w:lang w:eastAsia="zh-CN"/>
        </w:rPr>
        <w:t xml:space="preserve"> </w:t>
      </w:r>
      <w:r w:rsidR="006B1997" w:rsidRPr="00462B94">
        <w:rPr>
          <w:rFonts w:ascii="Book Antiqua" w:hAnsi="Book Antiqua" w:cs="Times New Roman"/>
          <w:bCs/>
          <w:noProof/>
        </w:rPr>
        <w:t>0.001). An older age (OR 15.63, CI</w:t>
      </w:r>
      <w:r w:rsidRPr="00462B94">
        <w:rPr>
          <w:rFonts w:ascii="Book Antiqua" w:hAnsi="Book Antiqua" w:cs="Times New Roman"/>
          <w:bCs/>
          <w:noProof/>
          <w:lang w:eastAsia="zh-CN"/>
        </w:rPr>
        <w:t>:</w:t>
      </w:r>
      <w:r w:rsidR="006B1997" w:rsidRPr="00462B94">
        <w:rPr>
          <w:rFonts w:ascii="Book Antiqua" w:hAnsi="Book Antiqua" w:cs="Times New Roman"/>
          <w:bCs/>
          <w:noProof/>
        </w:rPr>
        <w:t xml:space="preserve"> 5.51-44.39), non-elective admissions (OR 2.00, CI</w:t>
      </w:r>
      <w:r w:rsidRPr="00462B94">
        <w:rPr>
          <w:rFonts w:ascii="Book Antiqua" w:hAnsi="Book Antiqua" w:cs="Times New Roman"/>
          <w:bCs/>
          <w:noProof/>
          <w:lang w:eastAsia="zh-CN"/>
        </w:rPr>
        <w:t>:</w:t>
      </w:r>
      <w:r w:rsidR="006B1997" w:rsidRPr="00462B94">
        <w:rPr>
          <w:rFonts w:ascii="Book Antiqua" w:hAnsi="Book Antiqua" w:cs="Times New Roman"/>
          <w:bCs/>
          <w:noProof/>
        </w:rPr>
        <w:t xml:space="preserve"> 1.44-2.79), lower household income (OR 1.44</w:t>
      </w:r>
      <w:r w:rsidR="003C5F54" w:rsidRPr="00462B94">
        <w:rPr>
          <w:rFonts w:ascii="Book Antiqua" w:hAnsi="Book Antiqua" w:cs="Times New Roman" w:hint="eastAsia"/>
          <w:bCs/>
          <w:noProof/>
          <w:lang w:eastAsia="zh-CN"/>
        </w:rPr>
        <w:t>,</w:t>
      </w:r>
      <w:r w:rsidR="006B1997" w:rsidRPr="00462B94">
        <w:rPr>
          <w:rFonts w:ascii="Book Antiqua" w:hAnsi="Book Antiqua" w:cs="Times New Roman"/>
          <w:bCs/>
          <w:noProof/>
        </w:rPr>
        <w:t xml:space="preserve"> CI</w:t>
      </w:r>
      <w:r w:rsidRPr="00462B94">
        <w:rPr>
          <w:rFonts w:ascii="Book Antiqua" w:hAnsi="Book Antiqua" w:cs="Times New Roman"/>
          <w:bCs/>
          <w:noProof/>
          <w:lang w:eastAsia="zh-CN"/>
        </w:rPr>
        <w:t>:</w:t>
      </w:r>
      <w:r w:rsidR="006B1997" w:rsidRPr="00462B94">
        <w:rPr>
          <w:rFonts w:ascii="Book Antiqua" w:hAnsi="Book Antiqua" w:cs="Times New Roman"/>
          <w:bCs/>
          <w:noProof/>
        </w:rPr>
        <w:t xml:space="preserve"> 1.17-1.78), and comorbid conditions predicted higher mortality in ACS-gout cohort undergoing revascularization (</w:t>
      </w:r>
      <w:r w:rsidRPr="00462B94">
        <w:rPr>
          <w:rFonts w:ascii="Book Antiqua" w:hAnsi="Book Antiqua" w:cs="Times New Roman"/>
          <w:bCs/>
          <w:i/>
          <w:noProof/>
        </w:rPr>
        <w:t xml:space="preserve">P &lt; </w:t>
      </w:r>
      <w:r w:rsidR="006B1997" w:rsidRPr="00462B94">
        <w:rPr>
          <w:rFonts w:ascii="Book Antiqua" w:hAnsi="Book Antiqua" w:cs="Times New Roman"/>
          <w:bCs/>
          <w:noProof/>
        </w:rPr>
        <w:t>0.001). Odds of post-revascularization in-hospital mortality were lower in Hispanics (OR 0.45, CI</w:t>
      </w:r>
      <w:r w:rsidRPr="00462B94">
        <w:rPr>
          <w:rFonts w:ascii="Book Antiqua" w:hAnsi="Book Antiqua" w:cs="Times New Roman"/>
          <w:bCs/>
          <w:noProof/>
          <w:lang w:eastAsia="zh-CN"/>
        </w:rPr>
        <w:t>:</w:t>
      </w:r>
      <w:r w:rsidR="006B1997" w:rsidRPr="00462B94">
        <w:rPr>
          <w:rFonts w:ascii="Book Antiqua" w:hAnsi="Book Antiqua" w:cs="Times New Roman"/>
          <w:bCs/>
          <w:noProof/>
        </w:rPr>
        <w:t xml:space="preserve"> 0.31-0.67) and Asians (OR 0.65, CI</w:t>
      </w:r>
      <w:r w:rsidRPr="00462B94">
        <w:rPr>
          <w:rFonts w:ascii="Book Antiqua" w:hAnsi="Book Antiqua" w:cs="Times New Roman"/>
          <w:bCs/>
          <w:noProof/>
          <w:lang w:eastAsia="zh-CN"/>
        </w:rPr>
        <w:t>:</w:t>
      </w:r>
      <w:r w:rsidR="006B1997" w:rsidRPr="00462B94">
        <w:rPr>
          <w:rFonts w:ascii="Book Antiqua" w:hAnsi="Book Antiqua" w:cs="Times New Roman"/>
          <w:bCs/>
          <w:noProof/>
        </w:rPr>
        <w:t xml:space="preserve"> 0.45-0.94) as compared to white (</w:t>
      </w:r>
      <w:r w:rsidRPr="00462B94">
        <w:rPr>
          <w:rFonts w:ascii="Book Antiqua" w:hAnsi="Book Antiqua" w:cs="Times New Roman"/>
          <w:bCs/>
          <w:i/>
          <w:noProof/>
        </w:rPr>
        <w:t xml:space="preserve">P &lt; </w:t>
      </w:r>
      <w:r w:rsidR="006B1997" w:rsidRPr="00462B94">
        <w:rPr>
          <w:rFonts w:ascii="Book Antiqua" w:hAnsi="Book Antiqua" w:cs="Times New Roman"/>
          <w:bCs/>
          <w:noProof/>
        </w:rPr>
        <w:t>0.001). However, post-</w:t>
      </w:r>
      <w:r w:rsidR="006B1997" w:rsidRPr="00462B94">
        <w:rPr>
          <w:rFonts w:ascii="Book Antiqua" w:hAnsi="Book Antiqua" w:cs="Times New Roman"/>
          <w:bCs/>
          <w:noProof/>
        </w:rPr>
        <w:lastRenderedPageBreak/>
        <w:t xml:space="preserve">operative complications significantly raised mortality odds. Mean length of stay, transfer to other facilities, and hospital charges were higher in the ACS-gout cohort. </w:t>
      </w:r>
    </w:p>
    <w:p w14:paraId="2F021250" w14:textId="77777777" w:rsidR="00742FE4" w:rsidRPr="00462B94" w:rsidRDefault="00742FE4" w:rsidP="00462B94">
      <w:pPr>
        <w:spacing w:line="360" w:lineRule="auto"/>
        <w:jc w:val="both"/>
        <w:rPr>
          <w:rFonts w:ascii="Book Antiqua" w:hAnsi="Book Antiqua" w:cs="Times New Roman"/>
          <w:bCs/>
          <w:noProof/>
          <w:lang w:eastAsia="zh-CN"/>
        </w:rPr>
      </w:pPr>
    </w:p>
    <w:p w14:paraId="3DF40609" w14:textId="77777777" w:rsidR="00742FE4" w:rsidRPr="00462B94" w:rsidRDefault="00742FE4"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CONCLUSION</w:t>
      </w:r>
    </w:p>
    <w:p w14:paraId="265C565B" w14:textId="559852B9" w:rsidR="006B1997" w:rsidRPr="00462B94" w:rsidRDefault="006B1997" w:rsidP="00462B94">
      <w:pPr>
        <w:spacing w:line="360" w:lineRule="auto"/>
        <w:jc w:val="both"/>
        <w:rPr>
          <w:rFonts w:ascii="Book Antiqua" w:hAnsi="Book Antiqua" w:cs="Times New Roman"/>
          <w:bCs/>
          <w:noProof/>
        </w:rPr>
      </w:pPr>
      <w:r w:rsidRPr="00462B94">
        <w:rPr>
          <w:rFonts w:ascii="Book Antiqua" w:hAnsi="Book Antiqua" w:cs="Times New Roman"/>
          <w:bCs/>
          <w:noProof/>
        </w:rPr>
        <w:t>Although gout was not independently associated with an increased risk of post-revascularization in-hospital mortality in ACS, it did increase post-revascularization complications.</w:t>
      </w:r>
    </w:p>
    <w:p w14:paraId="3F699848" w14:textId="77777777" w:rsidR="006B1997" w:rsidRPr="00462B94" w:rsidRDefault="006B1997" w:rsidP="00462B94">
      <w:pPr>
        <w:spacing w:line="360" w:lineRule="auto"/>
        <w:jc w:val="both"/>
        <w:rPr>
          <w:rFonts w:ascii="Book Antiqua" w:hAnsi="Book Antiqua" w:cs="Times New Roman"/>
          <w:b/>
          <w:noProof/>
        </w:rPr>
      </w:pPr>
    </w:p>
    <w:p w14:paraId="5103D6F9" w14:textId="79077BD2" w:rsidR="006B1997" w:rsidRPr="00462B94" w:rsidRDefault="006B1997" w:rsidP="00462B94">
      <w:pPr>
        <w:spacing w:line="360" w:lineRule="auto"/>
        <w:jc w:val="both"/>
        <w:rPr>
          <w:rFonts w:ascii="Book Antiqua" w:hAnsi="Book Antiqua" w:cs="Times New Roman"/>
          <w:bCs/>
          <w:noProof/>
        </w:rPr>
      </w:pPr>
      <w:r w:rsidRPr="00462B94">
        <w:rPr>
          <w:rFonts w:ascii="Book Antiqua" w:hAnsi="Book Antiqua" w:cs="Times New Roman"/>
          <w:b/>
          <w:iCs/>
          <w:noProof/>
        </w:rPr>
        <w:t>Key</w:t>
      </w:r>
      <w:r w:rsidR="00742FE4" w:rsidRPr="00462B94">
        <w:rPr>
          <w:rFonts w:ascii="Book Antiqua" w:hAnsi="Book Antiqua" w:cs="Times New Roman"/>
          <w:b/>
          <w:iCs/>
          <w:noProof/>
          <w:lang w:eastAsia="zh-CN"/>
        </w:rPr>
        <w:t xml:space="preserve"> </w:t>
      </w:r>
      <w:r w:rsidRPr="00462B94">
        <w:rPr>
          <w:rFonts w:ascii="Book Antiqua" w:hAnsi="Book Antiqua" w:cs="Times New Roman"/>
          <w:b/>
          <w:iCs/>
          <w:noProof/>
        </w:rPr>
        <w:t>words:</w:t>
      </w:r>
      <w:r w:rsidRPr="00462B94">
        <w:rPr>
          <w:rFonts w:ascii="Book Antiqua" w:hAnsi="Book Antiqua" w:cs="Times New Roman"/>
          <w:b/>
          <w:noProof/>
        </w:rPr>
        <w:t xml:space="preserve"> </w:t>
      </w:r>
      <w:r w:rsidRPr="00462B94">
        <w:rPr>
          <w:rFonts w:ascii="Book Antiqua" w:hAnsi="Book Antiqua" w:cs="Times New Roman"/>
          <w:bCs/>
          <w:noProof/>
        </w:rPr>
        <w:t xml:space="preserve">Gout; </w:t>
      </w:r>
      <w:r w:rsidR="00742FE4" w:rsidRPr="00462B94">
        <w:rPr>
          <w:rFonts w:ascii="Book Antiqua" w:hAnsi="Book Antiqua" w:cs="Times New Roman"/>
          <w:bCs/>
          <w:noProof/>
        </w:rPr>
        <w:t xml:space="preserve">Serum </w:t>
      </w:r>
      <w:r w:rsidRPr="00462B94">
        <w:rPr>
          <w:rFonts w:ascii="Book Antiqua" w:hAnsi="Book Antiqua" w:cs="Times New Roman"/>
          <w:bCs/>
          <w:noProof/>
        </w:rPr>
        <w:t xml:space="preserve">uric acid; </w:t>
      </w:r>
      <w:r w:rsidR="00742FE4" w:rsidRPr="00462B94">
        <w:rPr>
          <w:rFonts w:ascii="Book Antiqua" w:hAnsi="Book Antiqua" w:cs="Times New Roman"/>
          <w:bCs/>
          <w:noProof/>
        </w:rPr>
        <w:t xml:space="preserve">Acute </w:t>
      </w:r>
      <w:r w:rsidR="00311F25" w:rsidRPr="00462B94">
        <w:rPr>
          <w:rFonts w:ascii="Book Antiqua" w:hAnsi="Book Antiqua" w:cs="Times New Roman"/>
          <w:bCs/>
          <w:noProof/>
        </w:rPr>
        <w:t xml:space="preserve">coronary syndrome; </w:t>
      </w:r>
      <w:r w:rsidR="00742FE4" w:rsidRPr="00462B94">
        <w:rPr>
          <w:rFonts w:ascii="Book Antiqua" w:hAnsi="Book Antiqua" w:cs="Times New Roman"/>
          <w:bCs/>
          <w:noProof/>
        </w:rPr>
        <w:t xml:space="preserve">Unstable </w:t>
      </w:r>
      <w:r w:rsidR="00311F25" w:rsidRPr="00462B94">
        <w:rPr>
          <w:rFonts w:ascii="Book Antiqua" w:hAnsi="Book Antiqua" w:cs="Times New Roman"/>
          <w:bCs/>
          <w:noProof/>
        </w:rPr>
        <w:t xml:space="preserve">angina; </w:t>
      </w:r>
      <w:r w:rsidR="00742FE4" w:rsidRPr="00462B94">
        <w:rPr>
          <w:rFonts w:ascii="Book Antiqua" w:hAnsi="Book Antiqua" w:cs="Times New Roman"/>
          <w:bCs/>
          <w:noProof/>
        </w:rPr>
        <w:t xml:space="preserve">Myocardial </w:t>
      </w:r>
      <w:r w:rsidR="00311F25" w:rsidRPr="00462B94">
        <w:rPr>
          <w:rFonts w:ascii="Book Antiqua" w:hAnsi="Book Antiqua" w:cs="Times New Roman"/>
          <w:bCs/>
          <w:noProof/>
        </w:rPr>
        <w:t xml:space="preserve">infarction; </w:t>
      </w:r>
      <w:r w:rsidR="00742FE4" w:rsidRPr="00462B94">
        <w:rPr>
          <w:rFonts w:ascii="Book Antiqua" w:hAnsi="Book Antiqua" w:cs="Times New Roman"/>
          <w:bCs/>
          <w:noProof/>
        </w:rPr>
        <w:t>Revascularization</w:t>
      </w:r>
      <w:r w:rsidRPr="00462B94">
        <w:rPr>
          <w:rFonts w:ascii="Book Antiqua" w:hAnsi="Book Antiqua" w:cs="Times New Roman"/>
          <w:bCs/>
          <w:noProof/>
        </w:rPr>
        <w:t xml:space="preserve">; </w:t>
      </w:r>
      <w:r w:rsidR="00742FE4" w:rsidRPr="00462B94">
        <w:rPr>
          <w:rFonts w:ascii="Book Antiqua" w:hAnsi="Book Antiqua" w:cs="Times New Roman"/>
          <w:bCs/>
          <w:noProof/>
        </w:rPr>
        <w:t xml:space="preserve">Percutaneous </w:t>
      </w:r>
      <w:r w:rsidRPr="00462B94">
        <w:rPr>
          <w:rFonts w:ascii="Book Antiqua" w:hAnsi="Book Antiqua" w:cs="Times New Roman"/>
          <w:bCs/>
          <w:noProof/>
        </w:rPr>
        <w:t xml:space="preserve">coronary intervention; </w:t>
      </w:r>
      <w:r w:rsidR="00742FE4" w:rsidRPr="00462B94">
        <w:rPr>
          <w:rFonts w:ascii="Book Antiqua" w:hAnsi="Book Antiqua" w:cs="Times New Roman"/>
          <w:bCs/>
          <w:noProof/>
        </w:rPr>
        <w:t xml:space="preserve">Coronary </w:t>
      </w:r>
      <w:r w:rsidRPr="00462B94">
        <w:rPr>
          <w:rFonts w:ascii="Book Antiqua" w:hAnsi="Book Antiqua" w:cs="Times New Roman"/>
          <w:bCs/>
          <w:noProof/>
        </w:rPr>
        <w:t>artery bypass grafting</w:t>
      </w:r>
      <w:r w:rsidR="00311F25" w:rsidRPr="00462B94">
        <w:rPr>
          <w:rFonts w:ascii="Book Antiqua" w:hAnsi="Book Antiqua" w:cs="Times New Roman"/>
          <w:bCs/>
          <w:noProof/>
        </w:rPr>
        <w:t xml:space="preserve">; </w:t>
      </w:r>
      <w:r w:rsidR="00742FE4" w:rsidRPr="00462B94">
        <w:rPr>
          <w:rFonts w:ascii="Book Antiqua" w:hAnsi="Book Antiqua" w:cs="Times New Roman"/>
          <w:bCs/>
          <w:noProof/>
        </w:rPr>
        <w:t>In</w:t>
      </w:r>
      <w:r w:rsidR="00311F25" w:rsidRPr="00462B94">
        <w:rPr>
          <w:rFonts w:ascii="Book Antiqua" w:hAnsi="Book Antiqua" w:cs="Times New Roman"/>
          <w:bCs/>
          <w:noProof/>
        </w:rPr>
        <w:t>-hospital outcomes</w:t>
      </w:r>
    </w:p>
    <w:p w14:paraId="2C6DEF16" w14:textId="77777777" w:rsidR="00723459" w:rsidRPr="00462B94" w:rsidRDefault="00723459" w:rsidP="00462B94">
      <w:pPr>
        <w:spacing w:line="360" w:lineRule="auto"/>
        <w:jc w:val="both"/>
        <w:rPr>
          <w:rFonts w:ascii="Book Antiqua" w:hAnsi="Book Antiqua" w:cs="Times New Roman"/>
          <w:lang w:eastAsia="zh-CN"/>
        </w:rPr>
      </w:pPr>
    </w:p>
    <w:p w14:paraId="1CE645DE" w14:textId="77777777" w:rsidR="00742FE4" w:rsidRPr="00462B94" w:rsidRDefault="00742FE4" w:rsidP="00462B94">
      <w:pPr>
        <w:spacing w:line="360" w:lineRule="auto"/>
        <w:jc w:val="both"/>
        <w:rPr>
          <w:rFonts w:ascii="Book Antiqua" w:hAnsi="Book Antiqua" w:cs="Arial"/>
        </w:rPr>
      </w:pPr>
      <w:r w:rsidRPr="00462B94">
        <w:rPr>
          <w:rFonts w:ascii="Book Antiqua" w:hAnsi="Book Antiqua"/>
          <w:b/>
        </w:rPr>
        <w:t xml:space="preserve">© </w:t>
      </w:r>
      <w:r w:rsidRPr="00462B94">
        <w:rPr>
          <w:rFonts w:ascii="Book Antiqua" w:hAnsi="Book Antiqua" w:cs="Arial"/>
          <w:b/>
        </w:rPr>
        <w:t>The Author(s) 2019.</w:t>
      </w:r>
      <w:r w:rsidRPr="00462B94">
        <w:rPr>
          <w:rFonts w:ascii="Book Antiqua" w:hAnsi="Book Antiqua" w:cs="Arial"/>
        </w:rPr>
        <w:t xml:space="preserve"> Published by </w:t>
      </w:r>
      <w:proofErr w:type="spellStart"/>
      <w:r w:rsidRPr="00462B94">
        <w:rPr>
          <w:rFonts w:ascii="Book Antiqua" w:hAnsi="Book Antiqua" w:cs="Arial"/>
        </w:rPr>
        <w:t>Baishideng</w:t>
      </w:r>
      <w:proofErr w:type="spellEnd"/>
      <w:r w:rsidRPr="00462B94">
        <w:rPr>
          <w:rFonts w:ascii="Book Antiqua" w:hAnsi="Book Antiqua" w:cs="Arial"/>
        </w:rPr>
        <w:t xml:space="preserve"> Publishing Group Inc. All rights reserved.</w:t>
      </w:r>
    </w:p>
    <w:p w14:paraId="2F261FB3" w14:textId="77777777" w:rsidR="00742FE4" w:rsidRPr="00462B94" w:rsidRDefault="00742FE4" w:rsidP="00462B94">
      <w:pPr>
        <w:spacing w:line="360" w:lineRule="auto"/>
        <w:jc w:val="both"/>
        <w:rPr>
          <w:rFonts w:ascii="Book Antiqua" w:hAnsi="Book Antiqua" w:cs="Times New Roman"/>
          <w:lang w:eastAsia="zh-CN"/>
        </w:rPr>
      </w:pPr>
    </w:p>
    <w:p w14:paraId="5953C1FE" w14:textId="12285045" w:rsidR="00FD1370" w:rsidRPr="00462B94" w:rsidRDefault="00FD1370" w:rsidP="00462B94">
      <w:pPr>
        <w:spacing w:line="360" w:lineRule="auto"/>
        <w:jc w:val="both"/>
        <w:rPr>
          <w:rFonts w:ascii="Book Antiqua" w:hAnsi="Book Antiqua" w:cs="Times New Roman"/>
          <w:lang w:eastAsia="zh-CN"/>
        </w:rPr>
      </w:pPr>
      <w:r w:rsidRPr="00462B94">
        <w:rPr>
          <w:rFonts w:ascii="Book Antiqua" w:hAnsi="Book Antiqua" w:cs="Times New Roman"/>
          <w:b/>
          <w:bCs/>
        </w:rPr>
        <w:t>C</w:t>
      </w:r>
      <w:r w:rsidR="00742FE4" w:rsidRPr="00462B94">
        <w:rPr>
          <w:rFonts w:ascii="Book Antiqua" w:hAnsi="Book Antiqua" w:cs="Times New Roman"/>
          <w:b/>
          <w:bCs/>
        </w:rPr>
        <w:t>ore tip</w:t>
      </w:r>
      <w:r w:rsidR="00742FE4" w:rsidRPr="00462B94">
        <w:rPr>
          <w:rFonts w:ascii="Book Antiqua" w:hAnsi="Book Antiqua" w:cs="Times New Roman"/>
          <w:b/>
          <w:bCs/>
          <w:lang w:eastAsia="zh-CN"/>
        </w:rPr>
        <w:t>:</w:t>
      </w:r>
      <w:r w:rsidR="00742FE4" w:rsidRPr="00462B94">
        <w:rPr>
          <w:rFonts w:ascii="Book Antiqua" w:hAnsi="Book Antiqua" w:cs="Times New Roman"/>
          <w:lang w:eastAsia="zh-CN"/>
        </w:rPr>
        <w:t xml:space="preserve"> </w:t>
      </w:r>
      <w:r w:rsidR="009E04C8" w:rsidRPr="00462B94">
        <w:rPr>
          <w:rFonts w:ascii="Book Antiqua" w:hAnsi="Book Antiqua" w:cs="Times New Roman"/>
        </w:rPr>
        <w:t xml:space="preserve">Previous studies have established </w:t>
      </w:r>
      <w:r w:rsidR="009E04C8" w:rsidRPr="00462B94">
        <w:rPr>
          <w:rFonts w:ascii="Book Antiqua" w:hAnsi="Book Antiqua" w:cs="Times New Roman"/>
          <w:noProof/>
        </w:rPr>
        <w:t>a role</w:t>
      </w:r>
      <w:r w:rsidR="009E04C8" w:rsidRPr="00462B94">
        <w:rPr>
          <w:rFonts w:ascii="Book Antiqua" w:hAnsi="Book Antiqua" w:cs="Times New Roman"/>
        </w:rPr>
        <w:t xml:space="preserve"> of gout in predicting risk and prognosis of cardiovascular diseases. However, large-scale data on the impact of gout on inpatient outcomes of acute coronary syndrome (ACS)-related hospitalizations and post-revascularization is inadequate. </w:t>
      </w:r>
      <w:r w:rsidRPr="00462B94">
        <w:rPr>
          <w:rFonts w:ascii="Book Antiqua" w:hAnsi="Book Antiqua" w:cs="Times New Roman"/>
        </w:rPr>
        <w:t>In this largest nat</w:t>
      </w:r>
      <w:r w:rsidR="00670D64" w:rsidRPr="00462B94">
        <w:rPr>
          <w:rFonts w:ascii="Book Antiqua" w:hAnsi="Book Antiqua" w:cs="Times New Roman"/>
        </w:rPr>
        <w:t>ionwide cohort, we identified 3144</w:t>
      </w:r>
      <w:r w:rsidRPr="00462B94">
        <w:rPr>
          <w:rFonts w:ascii="Book Antiqua" w:hAnsi="Book Antiqua" w:cs="Times New Roman"/>
        </w:rPr>
        <w:t xml:space="preserve">744 </w:t>
      </w:r>
      <w:r w:rsidR="007948EA" w:rsidRPr="00462B94">
        <w:rPr>
          <w:rFonts w:ascii="Book Antiqua" w:hAnsi="Book Antiqua" w:cs="Times New Roman"/>
        </w:rPr>
        <w:t>ACS</w:t>
      </w:r>
      <w:r w:rsidRPr="00462B94">
        <w:rPr>
          <w:rFonts w:ascii="Book Antiqua" w:hAnsi="Book Antiqua" w:cs="Times New Roman"/>
        </w:rPr>
        <w:t>-related</w:t>
      </w:r>
      <w:r w:rsidR="00670D64" w:rsidRPr="00462B94">
        <w:rPr>
          <w:rFonts w:ascii="Book Antiqua" w:hAnsi="Book Antiqua" w:cs="Times New Roman"/>
        </w:rPr>
        <w:t xml:space="preserve"> hospitalizations, of which 105</w:t>
      </w:r>
      <w:r w:rsidRPr="00462B94">
        <w:rPr>
          <w:rFonts w:ascii="Book Antiqua" w:hAnsi="Book Antiqua" w:cs="Times New Roman"/>
        </w:rPr>
        <w:t>198 (3.35%) also had gout. Coronary artery bypass grafting was required more often in the ACS-gout coh</w:t>
      </w:r>
      <w:r w:rsidR="007948EA" w:rsidRPr="00462B94">
        <w:rPr>
          <w:rFonts w:ascii="Book Antiqua" w:hAnsi="Book Antiqua" w:cs="Times New Roman"/>
        </w:rPr>
        <w:t>ort. Post-revascularization (percutaneous coronary intervention/coronary artery bypass grafting</w:t>
      </w:r>
      <w:r w:rsidRPr="00462B94">
        <w:rPr>
          <w:rFonts w:ascii="Book Antiqua" w:hAnsi="Book Antiqua" w:cs="Times New Roman"/>
        </w:rPr>
        <w:t xml:space="preserve">) complications including cardiovascular (3.2% </w:t>
      </w:r>
      <w:r w:rsidR="00742FE4" w:rsidRPr="00462B94">
        <w:rPr>
          <w:rFonts w:ascii="Book Antiqua" w:hAnsi="Book Antiqua" w:cs="Times New Roman"/>
          <w:bCs/>
          <w:i/>
          <w:noProof/>
        </w:rPr>
        <w:t>vs</w:t>
      </w:r>
      <w:r w:rsidRPr="00462B94">
        <w:rPr>
          <w:rFonts w:ascii="Book Antiqua" w:hAnsi="Book Antiqua" w:cs="Times New Roman"/>
        </w:rPr>
        <w:t xml:space="preserve"> 2.9%), respiratory (3.5% </w:t>
      </w:r>
      <w:r w:rsidR="00742FE4" w:rsidRPr="00462B94">
        <w:rPr>
          <w:rFonts w:ascii="Book Antiqua" w:hAnsi="Book Antiqua" w:cs="Times New Roman"/>
          <w:bCs/>
          <w:i/>
          <w:noProof/>
        </w:rPr>
        <w:t>vs</w:t>
      </w:r>
      <w:r w:rsidRPr="00462B94">
        <w:rPr>
          <w:rFonts w:ascii="Book Antiqua" w:hAnsi="Book Antiqua" w:cs="Times New Roman"/>
        </w:rPr>
        <w:t xml:space="preserve"> 2.9%), and hemorrhage (3.1% </w:t>
      </w:r>
      <w:r w:rsidR="00742FE4" w:rsidRPr="00462B94">
        <w:rPr>
          <w:rFonts w:ascii="Book Antiqua" w:hAnsi="Book Antiqua" w:cs="Times New Roman"/>
          <w:bCs/>
          <w:i/>
          <w:noProof/>
        </w:rPr>
        <w:t>vs</w:t>
      </w:r>
      <w:r w:rsidRPr="00462B94">
        <w:rPr>
          <w:rFonts w:ascii="Book Antiqua" w:hAnsi="Book Antiqua" w:cs="Times New Roman"/>
        </w:rPr>
        <w:t xml:space="preserve"> 2.7%) were higher and raised the mortality odds whereas all-cause mortality was lower (2.2% </w:t>
      </w:r>
      <w:r w:rsidR="00742FE4" w:rsidRPr="00462B94">
        <w:rPr>
          <w:rFonts w:ascii="Book Antiqua" w:hAnsi="Book Antiqua" w:cs="Times New Roman"/>
          <w:bCs/>
          <w:i/>
          <w:noProof/>
        </w:rPr>
        <w:t>vs</w:t>
      </w:r>
      <w:r w:rsidR="004D5247" w:rsidRPr="00462B94">
        <w:rPr>
          <w:rFonts w:ascii="Book Antiqua" w:hAnsi="Book Antiqua" w:cs="Times New Roman"/>
        </w:rPr>
        <w:t xml:space="preserve"> 3.0%) in the ACS-gout cohort. </w:t>
      </w:r>
      <w:r w:rsidR="00670D64" w:rsidRPr="00462B94">
        <w:rPr>
          <w:rFonts w:ascii="Book Antiqua" w:hAnsi="Book Antiqua" w:cs="Times New Roman"/>
        </w:rPr>
        <w:t>Mean length of stay, transfers</w:t>
      </w:r>
      <w:r w:rsidRPr="00462B94">
        <w:rPr>
          <w:rFonts w:ascii="Book Antiqua" w:hAnsi="Book Antiqua" w:cs="Times New Roman"/>
        </w:rPr>
        <w:t xml:space="preserve"> and hospital charges were higher in the ACS-gout cohort.</w:t>
      </w:r>
    </w:p>
    <w:p w14:paraId="48E98685" w14:textId="77777777" w:rsidR="00670D64" w:rsidRPr="00462B94" w:rsidRDefault="00670D64" w:rsidP="00462B94">
      <w:pPr>
        <w:spacing w:line="360" w:lineRule="auto"/>
        <w:jc w:val="both"/>
        <w:rPr>
          <w:rFonts w:ascii="Book Antiqua" w:hAnsi="Book Antiqua" w:cs="Times New Roman"/>
          <w:lang w:eastAsia="zh-CN"/>
        </w:rPr>
      </w:pPr>
    </w:p>
    <w:p w14:paraId="3E79728D" w14:textId="3C16B325" w:rsidR="00AB738D" w:rsidRPr="00462B94" w:rsidRDefault="00670D64" w:rsidP="00462B94">
      <w:pPr>
        <w:spacing w:line="360" w:lineRule="auto"/>
        <w:jc w:val="both"/>
        <w:rPr>
          <w:rFonts w:ascii="Book Antiqua" w:hAnsi="Book Antiqua" w:cs="Times New Roman"/>
          <w:lang w:eastAsia="zh-CN"/>
        </w:rPr>
      </w:pPr>
      <w:r w:rsidRPr="00462B94">
        <w:rPr>
          <w:rFonts w:ascii="Book Antiqua" w:hAnsi="Book Antiqua" w:cs="Times New Roman"/>
          <w:bCs/>
        </w:rPr>
        <w:t>Desai</w:t>
      </w:r>
      <w:r w:rsidR="00AB738D" w:rsidRPr="00462B94">
        <w:rPr>
          <w:rFonts w:ascii="Book Antiqua" w:hAnsi="Book Antiqua" w:cs="Times New Roman"/>
          <w:bCs/>
          <w:lang w:eastAsia="zh-CN"/>
        </w:rPr>
        <w:t xml:space="preserve"> R</w:t>
      </w:r>
      <w:r w:rsidRPr="00462B94">
        <w:rPr>
          <w:rFonts w:ascii="Book Antiqua" w:hAnsi="Book Antiqua" w:cs="Times New Roman"/>
          <w:bCs/>
        </w:rPr>
        <w:t>, Parekh</w:t>
      </w:r>
      <w:r w:rsidR="00AB738D" w:rsidRPr="00462B94">
        <w:rPr>
          <w:rFonts w:ascii="Book Antiqua" w:hAnsi="Book Antiqua" w:cs="Times New Roman"/>
          <w:bCs/>
          <w:lang w:eastAsia="zh-CN"/>
        </w:rPr>
        <w:t xml:space="preserve"> T</w:t>
      </w:r>
      <w:r w:rsidRPr="00462B94">
        <w:rPr>
          <w:rFonts w:ascii="Book Antiqua" w:hAnsi="Book Antiqua" w:cs="Times New Roman"/>
          <w:bCs/>
        </w:rPr>
        <w:t>, Goyal</w:t>
      </w:r>
      <w:r w:rsidR="00AB738D" w:rsidRPr="00462B94">
        <w:rPr>
          <w:rFonts w:ascii="Book Antiqua" w:hAnsi="Book Antiqua" w:cs="Times New Roman"/>
          <w:bCs/>
          <w:lang w:eastAsia="zh-CN"/>
        </w:rPr>
        <w:t xml:space="preserve"> H</w:t>
      </w:r>
      <w:r w:rsidRPr="00462B94">
        <w:rPr>
          <w:rFonts w:ascii="Book Antiqua" w:hAnsi="Book Antiqua" w:cs="Times New Roman"/>
          <w:bCs/>
        </w:rPr>
        <w:t>, Fong</w:t>
      </w:r>
      <w:r w:rsidR="00AB738D" w:rsidRPr="00462B94">
        <w:rPr>
          <w:rFonts w:ascii="Book Antiqua" w:hAnsi="Book Antiqua" w:cs="Times New Roman"/>
          <w:bCs/>
          <w:lang w:eastAsia="zh-CN"/>
        </w:rPr>
        <w:t xml:space="preserve"> HK</w:t>
      </w:r>
      <w:r w:rsidRPr="00462B94">
        <w:rPr>
          <w:rFonts w:ascii="Book Antiqua" w:hAnsi="Book Antiqua" w:cs="Times New Roman"/>
          <w:bCs/>
        </w:rPr>
        <w:t>, Zalavadia</w:t>
      </w:r>
      <w:r w:rsidR="00AB738D" w:rsidRPr="00462B94">
        <w:rPr>
          <w:rFonts w:ascii="Book Antiqua" w:hAnsi="Book Antiqua" w:cs="Times New Roman"/>
          <w:bCs/>
          <w:lang w:eastAsia="zh-CN"/>
        </w:rPr>
        <w:t xml:space="preserve"> D</w:t>
      </w:r>
      <w:r w:rsidRPr="00462B94">
        <w:rPr>
          <w:rFonts w:ascii="Book Antiqua" w:hAnsi="Book Antiqua" w:cs="Times New Roman"/>
          <w:bCs/>
        </w:rPr>
        <w:t>, Damarlapally</w:t>
      </w:r>
      <w:r w:rsidR="00AB738D" w:rsidRPr="00462B94">
        <w:rPr>
          <w:rFonts w:ascii="Book Antiqua" w:hAnsi="Book Antiqua" w:cs="Times New Roman"/>
          <w:bCs/>
          <w:lang w:eastAsia="zh-CN"/>
        </w:rPr>
        <w:t xml:space="preserve"> N</w:t>
      </w:r>
      <w:r w:rsidRPr="00462B94">
        <w:rPr>
          <w:rFonts w:ascii="Book Antiqua" w:hAnsi="Book Antiqua" w:cs="Times New Roman"/>
          <w:bCs/>
        </w:rPr>
        <w:t>, Doshi</w:t>
      </w:r>
      <w:r w:rsidR="00AB738D" w:rsidRPr="00462B94">
        <w:rPr>
          <w:rFonts w:ascii="Book Antiqua" w:hAnsi="Book Antiqua" w:cs="Times New Roman"/>
          <w:bCs/>
          <w:lang w:eastAsia="zh-CN"/>
        </w:rPr>
        <w:t xml:space="preserve"> R</w:t>
      </w:r>
      <w:r w:rsidRPr="00462B94">
        <w:rPr>
          <w:rFonts w:ascii="Book Antiqua" w:hAnsi="Book Antiqua" w:cs="Times New Roman"/>
          <w:bCs/>
        </w:rPr>
        <w:t>, Savani</w:t>
      </w:r>
      <w:r w:rsidR="00AB738D" w:rsidRPr="00462B94">
        <w:rPr>
          <w:rFonts w:ascii="Book Antiqua" w:hAnsi="Book Antiqua" w:cs="Times New Roman"/>
          <w:bCs/>
          <w:lang w:eastAsia="zh-CN"/>
        </w:rPr>
        <w:t xml:space="preserve"> S</w:t>
      </w:r>
      <w:r w:rsidRPr="00462B94">
        <w:rPr>
          <w:rFonts w:ascii="Book Antiqua" w:hAnsi="Book Antiqua" w:cs="Times New Roman"/>
          <w:bCs/>
        </w:rPr>
        <w:t>, Kumar</w:t>
      </w:r>
      <w:r w:rsidR="00AB738D" w:rsidRPr="00462B94">
        <w:rPr>
          <w:rFonts w:ascii="Book Antiqua" w:hAnsi="Book Antiqua" w:cs="Times New Roman"/>
          <w:bCs/>
          <w:lang w:eastAsia="zh-CN"/>
        </w:rPr>
        <w:t xml:space="preserve"> G</w:t>
      </w:r>
      <w:r w:rsidRPr="00462B94">
        <w:rPr>
          <w:rFonts w:ascii="Book Antiqua" w:hAnsi="Book Antiqua" w:cs="Times New Roman"/>
          <w:bCs/>
        </w:rPr>
        <w:t>, Sachdeva</w:t>
      </w:r>
      <w:r w:rsidR="00AB738D" w:rsidRPr="00462B94">
        <w:rPr>
          <w:rFonts w:ascii="Book Antiqua" w:hAnsi="Book Antiqua" w:cs="Times New Roman"/>
          <w:bCs/>
          <w:lang w:eastAsia="zh-CN"/>
        </w:rPr>
        <w:t xml:space="preserve"> R.</w:t>
      </w:r>
      <w:r w:rsidR="00AB738D" w:rsidRPr="00462B94">
        <w:rPr>
          <w:rFonts w:ascii="Book Antiqua" w:hAnsi="Book Antiqua" w:cs="Times New Roman"/>
        </w:rPr>
        <w:t xml:space="preserve"> Impact of gout on in-hospital outcomes of acute coronary </w:t>
      </w:r>
      <w:r w:rsidR="00AB738D" w:rsidRPr="00462B94">
        <w:rPr>
          <w:rFonts w:ascii="Book Antiqua" w:hAnsi="Book Antiqua" w:cs="Times New Roman"/>
        </w:rPr>
        <w:lastRenderedPageBreak/>
        <w:t>syndrome-related hospitalizations and revascularizations: Insights from the national inpatient sample</w:t>
      </w:r>
      <w:r w:rsidR="00AB738D" w:rsidRPr="00462B94">
        <w:rPr>
          <w:rFonts w:ascii="Book Antiqua" w:hAnsi="Book Antiqua" w:cs="Times New Roman"/>
          <w:lang w:eastAsia="zh-CN"/>
        </w:rPr>
        <w:t xml:space="preserve">. </w:t>
      </w:r>
      <w:r w:rsidR="00AB738D" w:rsidRPr="00462B94">
        <w:rPr>
          <w:rFonts w:ascii="Book Antiqua" w:hAnsi="Book Antiqua"/>
          <w:i/>
          <w:iCs/>
        </w:rPr>
        <w:t>World J Cardiol</w:t>
      </w:r>
      <w:r w:rsidR="00AB738D" w:rsidRPr="00462B94">
        <w:rPr>
          <w:rFonts w:ascii="Book Antiqua" w:hAnsi="Book Antiqua"/>
          <w:i/>
          <w:iCs/>
          <w:lang w:eastAsia="zh-CN"/>
        </w:rPr>
        <w:t xml:space="preserve"> </w:t>
      </w:r>
      <w:r w:rsidR="00AB738D" w:rsidRPr="00462B94">
        <w:rPr>
          <w:rFonts w:ascii="Book Antiqua" w:hAnsi="Book Antiqua"/>
          <w:iCs/>
          <w:lang w:eastAsia="zh-CN"/>
        </w:rPr>
        <w:t>2019; In press</w:t>
      </w:r>
    </w:p>
    <w:p w14:paraId="28845A6B" w14:textId="77777777" w:rsidR="00AB738D" w:rsidRPr="00462B94" w:rsidRDefault="00AB738D" w:rsidP="00462B94">
      <w:pPr>
        <w:spacing w:line="360" w:lineRule="auto"/>
        <w:jc w:val="both"/>
        <w:rPr>
          <w:rFonts w:ascii="Book Antiqua" w:hAnsi="Book Antiqua" w:cs="Times New Roman"/>
          <w:bCs/>
          <w:vertAlign w:val="superscript"/>
          <w:lang w:eastAsia="zh-CN"/>
        </w:rPr>
      </w:pPr>
      <w:r w:rsidRPr="00462B94">
        <w:rPr>
          <w:rFonts w:ascii="Book Antiqua" w:hAnsi="Book Antiqua" w:cs="Times New Roman"/>
          <w:bCs/>
          <w:vertAlign w:val="superscript"/>
          <w:lang w:eastAsia="zh-CN"/>
        </w:rPr>
        <w:br w:type="page"/>
      </w:r>
    </w:p>
    <w:p w14:paraId="6362289D" w14:textId="4DE36AC8"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b/>
        </w:rPr>
        <w:lastRenderedPageBreak/>
        <w:t>INTRODUCTION</w:t>
      </w:r>
    </w:p>
    <w:p w14:paraId="47BCFB15" w14:textId="1F0ED701"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 xml:space="preserve">Acute </w:t>
      </w:r>
      <w:r w:rsidR="00742FE4" w:rsidRPr="00462B94">
        <w:rPr>
          <w:rFonts w:ascii="Book Antiqua" w:hAnsi="Book Antiqua" w:cs="Times New Roman"/>
        </w:rPr>
        <w:t>coronary syndrome</w:t>
      </w:r>
      <w:r w:rsidRPr="00462B94">
        <w:rPr>
          <w:rFonts w:ascii="Book Antiqua" w:hAnsi="Book Antiqua" w:cs="Times New Roman"/>
        </w:rPr>
        <w:t xml:space="preserve"> (ACS) comprises a range of diseases including unstable angina (UA), non-ST segment elevation myocardial infarction, and acute ST-elevation myocardial infarction (STEMI)</w:t>
      </w:r>
      <w:r w:rsidR="00522264" w:rsidRPr="00462B94">
        <w:rPr>
          <w:rFonts w:ascii="Book Antiqua" w:hAnsi="Book Antiqua" w:cs="Times New Roman"/>
          <w:vertAlign w:val="superscript"/>
        </w:rPr>
        <w:fldChar w:fldCharType="begin"/>
      </w:r>
      <w:r w:rsidR="00773206" w:rsidRPr="00462B94">
        <w:rPr>
          <w:rFonts w:ascii="Book Antiqua" w:hAnsi="Book Antiqua" w:cs="Times New Roman"/>
          <w:vertAlign w:val="superscript"/>
        </w:rPr>
        <w:instrText xml:space="preserve"> ADDIN ZOTERO_ITEM CSL_CITATION {"citationID":"96PgT9al","properties":{"formattedCitation":"\\super [1]\\nosupersub{}","plainCitation":"[1]","noteIndex":0},"citationItems":[{"id":207,"uris":["http://zotero.org/users/5068664/items/N2NAJ62V"],"uri":["http://zotero.org/users/5068664/items/N2NAJ62V"],"itemData":{"id":207,"type":"article-journal","title":"Acute Coronary Syndromes: Diagnosis and Management, Part I","container-title":"Mayo Clinic Proceedings","page":"917-938","volume":"84","issue":"10","source":"PubMed Central","abstract":"The term acute coronary syndrome (ACS) refers to any group of clinical symptoms compatible with acute myocardial ischemia and includes unstable angina (UA), non—ST-segment elevation myocardial infarction (NSTEMI), and ST-segment elevation myocardial infarction (STEMI). These high-risk manifestations of coronary atherosclerosis are important causes of the use of emergency medical care and hospitalization in the United States. A quick but thorough assessment of the patient's history and findings on physical examination, electrocardiography, radiologic studies, and cardiac biomarker tests permit accurate diagnosis and aid in early risk stratification, which is essential for guiding treatment. High-risk patients with UA/NSTEMI are often treated with an early invasive strategy involving cardiac catheterization and prompt revascularization of viable myocardium at risk. Clinical outcomes can be optimized by revascularization coupled with aggressive medical therapy that includes anti-ischemic, antiplatelet, anticoagulant, and lipid-lowering drugs. Evidence-based guidelines provide recommendations for the management of ACS; however, therapeutic approaches to the management of ACS continue to evolve at a rapid pace driven by a multitude of large-scale randomized controlled trials. Thus, clinicians are frequently faced with the problem of determining which drug or therapeutic strategy will achieve the best results. This article summarizes the evidence and provides the clinician with the latest information about the pathophysiology, clinical presentation, and risk stratification of ACS and the management of UA/NSTEMI.","ISSN":"0025-6196","note":"PMID: 19797781\nPMCID: PMC2755812","shortTitle":"Acute Coronary Syndromes","journalAbbreviation":"Mayo Clin Proc","author":[{"family":"Kumar","given":"Amit"},{"family":"Cannon","given":"Christopher P."}],"issued":{"date-parts":[["2009",10]]}}}],"schema":"https://github.com/citation-style-language/schema/raw/master/csl-citation.json"} </w:instrText>
      </w:r>
      <w:r w:rsidR="00522264" w:rsidRPr="00462B94">
        <w:rPr>
          <w:rFonts w:ascii="Book Antiqua" w:hAnsi="Book Antiqua" w:cs="Times New Roman"/>
          <w:vertAlign w:val="superscript"/>
        </w:rPr>
        <w:fldChar w:fldCharType="separate"/>
      </w:r>
      <w:r w:rsidR="00773206" w:rsidRPr="00462B94">
        <w:rPr>
          <w:rFonts w:ascii="Book Antiqua" w:hAnsi="Book Antiqua" w:cs="Times New Roman"/>
          <w:vertAlign w:val="superscript"/>
        </w:rPr>
        <w:t>[1]</w:t>
      </w:r>
      <w:r w:rsidR="00522264" w:rsidRPr="00462B94">
        <w:rPr>
          <w:rFonts w:ascii="Book Antiqua" w:hAnsi="Book Antiqua" w:cs="Times New Roman"/>
          <w:vertAlign w:val="superscript"/>
        </w:rPr>
        <w:fldChar w:fldCharType="end"/>
      </w:r>
      <w:r w:rsidRPr="00462B94">
        <w:rPr>
          <w:rFonts w:ascii="Book Antiqua" w:hAnsi="Book Antiqua" w:cs="Times New Roman"/>
        </w:rPr>
        <w:t>. It is one of the major causes of mortality around the world. Several independent predictors including advanced age, gender, history of diabetes or hypertension, obesity, and socioeconomic status have been determined for the unfavorable outcomes and rise in the overall mortality in ACS patients</w:t>
      </w:r>
      <w:r w:rsidR="00522264" w:rsidRPr="00462B94">
        <w:rPr>
          <w:rFonts w:ascii="Book Antiqua" w:hAnsi="Book Antiqua" w:cs="Times New Roman"/>
          <w:vertAlign w:val="superscript"/>
        </w:rPr>
        <w:fldChar w:fldCharType="begin"/>
      </w:r>
      <w:r w:rsidR="00773206" w:rsidRPr="00462B94">
        <w:rPr>
          <w:rFonts w:ascii="Book Antiqua" w:hAnsi="Book Antiqua" w:cs="Times New Roman"/>
          <w:vertAlign w:val="superscript"/>
        </w:rPr>
        <w:instrText xml:space="preserve"> ADDIN ZOTERO_ITEM CSL_CITATION {"citationID":"Sd0QzHos","properties":{"formattedCitation":"\\super [2,3]\\nosupersub{}","plainCitation":"[2,3]","noteIndex":0},"citationItems":[{"id":215,"uris":["http://zotero.org/users/5068664/items/ST2Y7958"],"uri":["http://zotero.org/users/5068664/items/ST2Y7958"],"itemData":{"id":215,"type":"article-journal","title":"Predictors of Hospital Mortality in the Global Registry of Acute Coronary Events","container-title":"Archives of Internal Medicine","page":"2345-2353","volume":"163","issue":"19","source":"jamanetwork.com","abstract":"&lt;h3&gt;Background&lt;/h3&gt;&lt;p&gt;Management of acute coronary syndromes (ACS) should be guided by an estimate of patient risk.&lt;/p&gt;&lt;h3&gt;Objective&lt;/h3&gt;&lt;p&gt;To develop a simple model to assess the risk for in-hospital mortality for the entire spectrum of ACS treated in general clinical practice.&lt;/p&gt;&lt;h3&gt;Methods&lt;/h3&gt;&lt;p&gt;A multivariable logistic regression model was developed using 11 389 patients (including 509 in-hospital deaths) with ACS with and without ST-segment elevation enrolled in the Global Registry of Acute Coronary Events (GRACE) from April 1, 1999, through March 31, 2001. Validation data sets included a subsequent cohort of 3972 patients enrolled in GRACE and 12 142 in the Global Use of Strategies to Open Occluded Coronary Arteries IIb (GUSTO-IIb) trial.&lt;/p&gt;&lt;h3&gt;Results&lt;/h3&gt;&lt;p&gt;The following 8 independent risk factors accounted for 89.9% of the prognostic information: age (odds ratio [OR], 1.7 per 10 years), Killip class (OR, 2.0 per class), systolic blood pressure (OR, 1.4 per 20-mm Hg decrease), ST-segment deviation (OR, 2.4), cardiac arrest during presentation (OR, 4.3), serum creatinine level (OR, 1.2 per 1-mg/dL [88.4-µmol/L] increase), positive initial cardiac enzyme findings (OR, 1.6), and heart rate (OR, 1.3 per 30-beat/min increase). The discrimination ability of the simplified model was excellent with c statistics of 0.83 in the derived database, 0.84 in the confirmation GRACE data set, and 0.79 in the GUSTO-IIb database.&lt;/p&gt;&lt;h3&gt;Conclusions&lt;/h3&gt;&lt;p&gt;Across the entire spectrum of ACS and in general clinical practice, this model provides excellent ability to assess the risk for death and can be used as a simple nomogram to estimate risk in individual patients.&lt;/p&gt;","DOI":"10.1001/archinte.163.19.2345","ISSN":"0003-9926","journalAbbreviation":"Arch Intern Med","language":"en","author":[{"family":"Granger","given":"Christopher B."},{"family":"Goldberg","given":"Robert J."},{"family":"Dabbous","given":"Omar"},{"family":"Pieper","given":"Karen S."},{"family":"Eagle","given":"Kim A."},{"family":"Cannon","given":"Christopher P."},{"family":"Werf","given":"Frans Van","dropping-particle":"de"},{"family":"Avezum","given":"Álvaro"},{"family":"Goodman","given":"Shaun G."},{"family":"Flather","given":"Marcus D."},{"family":"Fox","given":"Keith A. A."}],"issued":{"date-parts":[["2003",10,27]]}}},{"id":226,"uris":["http://zotero.org/users/5068664/items/E2DMRSR7"],"uri":["http://zotero.org/users/5068664/items/E2DMRSR7"],"itemData":{"id":226,"type":"article-journal","title":"From guidelines to clinical practice: the impact of hospital and geographical characteristics on temporal trends in the management of acute coronary syndromes. The Global Registry of Acute Coronary Events (GRACE)","container-title":"European Heart Journal","page":"1414-1424","volume":"24","issue":"15","source":"PubMed","abstract":"AIMS: The extent to which hospital and geographic characteristics influence the time course of uptake of evidence from key clinical trials and practice guidelines is unknown. The gap between evidence and practice is well recognized but the factors influencing this disjunction, and the extent to which such factors are modifiable, remain uncertain.\nMETHODS AND RESULTS: Using chronological data from the GRACE registry (n=12666, July 1999 to December 2001), we test the hypothesis that hospital and geographic characteristics influence the time course of uptake of evidence-based guideline recommendations for acute coronary syndromes (ACS) with and without ST elevation. Certain therapies were widely adopted in both ST-segment elevation myocardial infarction (STEMI) and non-ST-segment elevation myocardial infarction (NSTEMI) patients (aspirin &gt;94% of all patients; beta-blockers 85-95%) and changed only modestly over time. Significant increases in the use of low-molecular-weight heparins and glycoprotein IIb/IIIa inhibitors occurred in STEMI and NSTEMI patients in advance of published practice guidelines (September/November 2000) with marked geographical differences. The highest use of LMWH was in Europe in NSTEMI (86.8%) and the lowest in the USA (24.0%). Contrasting geographical variations were seen in the use of percutaneous coronary intervention (PCI) in NSTEMI: 39.5% USA, 34.6% Europe, 33.5% Argentina/Brazil, 25.0% Australia/New Zealand/Canada (July-December 2001). Theuse of PCI was more than five times greater in hospitals with an on-site catheterization laboratory compared to centres without these facilities, and geographic differences remained after correction for available facilities.\nCONCLUSIONS: Hospital and geographical factors appear to have a marked influence on the uptake of evidence-based therapies in ACS management. The presentation and publication of major international guidelines was not associated with a measurable change in the temporal pattern of practice. In contrast, antithrombotic and interventional therapies changed markedly over time and were profoundly influenced by hospital and geographic characteristics.","ISSN":"0195-668X","note":"PMID: 12909070","shortTitle":"From guidelines to clinical practice","journalAbbreviation":"Eur. Heart J.","language":"eng","author":[{"family":"Fox","given":"Keith A. A."},{"family":"Goodman","given":"Shaun G."},{"family":"Anderson","given":"Frederick A."},{"family":"Granger","given":"Christopher B."},{"family":"Moscucci","given":"Mauro"},{"family":"Flather","given":"Marcus D."},{"family":"Spencer","given":"Frederick"},{"family":"Budaj","given":"Andrzej"},{"family":"Dabbous","given":"Omar H."},{"family":"Gore","given":"Joel M."},{"literal":"GRACE Investigators"}],"issued":{"date-parts":[["2003",8]]}}}],"schema":"https://github.com/citation-style-language/schema/raw/master/csl-citation.json"} </w:instrText>
      </w:r>
      <w:r w:rsidR="00522264" w:rsidRPr="00462B94">
        <w:rPr>
          <w:rFonts w:ascii="Book Antiqua" w:hAnsi="Book Antiqua" w:cs="Times New Roman"/>
          <w:vertAlign w:val="superscript"/>
        </w:rPr>
        <w:fldChar w:fldCharType="separate"/>
      </w:r>
      <w:r w:rsidR="00773206" w:rsidRPr="00462B94">
        <w:rPr>
          <w:rFonts w:ascii="Book Antiqua" w:hAnsi="Book Antiqua" w:cs="Times New Roman"/>
          <w:vertAlign w:val="superscript"/>
        </w:rPr>
        <w:t>[2,3]</w:t>
      </w:r>
      <w:r w:rsidR="00522264" w:rsidRPr="00462B94">
        <w:rPr>
          <w:rFonts w:ascii="Book Antiqua" w:hAnsi="Book Antiqua" w:cs="Times New Roman"/>
          <w:vertAlign w:val="superscript"/>
        </w:rPr>
        <w:fldChar w:fldCharType="end"/>
      </w:r>
      <w:r w:rsidRPr="00462B94">
        <w:rPr>
          <w:rFonts w:ascii="Book Antiqua" w:hAnsi="Book Antiqua" w:cs="Times New Roman"/>
        </w:rPr>
        <w:t>. Gout is a common inflammatory disease associated with hyperuricemia and has shown to be associated with almost 410% increase in the hospitalizations in the last two d</w:t>
      </w:r>
      <w:r w:rsidR="00DF78D3" w:rsidRPr="00462B94">
        <w:rPr>
          <w:rFonts w:ascii="Book Antiqua" w:hAnsi="Book Antiqua" w:cs="Times New Roman"/>
        </w:rPr>
        <w:t>ecades in the United States</w:t>
      </w:r>
      <w:r w:rsidR="00522264" w:rsidRPr="00462B94">
        <w:rPr>
          <w:rFonts w:ascii="Book Antiqua" w:hAnsi="Book Antiqua" w:cs="Times New Roman"/>
          <w:vertAlign w:val="superscript"/>
        </w:rPr>
        <w:fldChar w:fldCharType="begin"/>
      </w:r>
      <w:r w:rsidR="00773206" w:rsidRPr="00462B94">
        <w:rPr>
          <w:rFonts w:ascii="Book Antiqua" w:hAnsi="Book Antiqua" w:cs="Times New Roman"/>
          <w:vertAlign w:val="superscript"/>
        </w:rPr>
        <w:instrText xml:space="preserve"> ADDIN ZOTERO_ITEM CSL_CITATION {"citationID":"WlJzitjO","properties":{"formattedCitation":"\\super [4]\\nosupersub{}","plainCitation":"[4]","noteIndex":0},"citationItems":[{"id":1306,"uris":["http://zotero.org/users/5068664/items/9GZU9LQU"],"uri":["http://zotero.org/users/5068664/items/9GZU9LQU"],"itemData":{"id":1306,"type":"article-journal","title":"THU0409</w:instrText>
      </w:r>
      <w:r w:rsidR="00773206" w:rsidRPr="00462B94">
        <w:rPr>
          <w:rFonts w:ascii="Times New Roman" w:hAnsi="Times New Roman" w:cs="Times New Roman"/>
          <w:vertAlign w:val="superscript"/>
        </w:rPr>
        <w:instrText> </w:instrText>
      </w:r>
      <w:r w:rsidR="00773206" w:rsidRPr="00462B94">
        <w:rPr>
          <w:rFonts w:ascii="Book Antiqua" w:hAnsi="Book Antiqua" w:cs="Times New Roman"/>
          <w:vertAlign w:val="superscript"/>
        </w:rPr>
        <w:instrText>Not just a swollen big toe: increasing all-cause hospitalizations in patients with gout in the united states: 1993</w:instrText>
      </w:r>
      <w:r w:rsidR="00773206" w:rsidRPr="00462B94">
        <w:rPr>
          <w:rFonts w:ascii="Book Antiqua" w:hAnsi="Book Antiqua" w:cs="Book Antiqua"/>
          <w:vertAlign w:val="superscript"/>
        </w:rPr>
        <w:instrText>–</w:instrText>
      </w:r>
      <w:r w:rsidR="00773206" w:rsidRPr="00462B94">
        <w:rPr>
          <w:rFonts w:ascii="Book Antiqua" w:hAnsi="Book Antiqua" w:cs="Times New Roman"/>
          <w:vertAlign w:val="superscript"/>
        </w:rPr>
        <w:instrText xml:space="preserve">2014","container-title":"Annals of the Rheumatic Diseases","page":"362","volume":"76","issue":"Suppl 2","abstract":"Background Gout is a disorder of uric acid metabolism and often presents as acute severe joint pain. However, several recent studies have highlighted systemic complications of associated hyperuricemia in patients with gout, including possible increased risk of renal and cardiovascular comorbidities.Objectives To study all-cause hospitalizations in patients with gout in the United States (US) from 1993 to 2014.Methods The Nationwide Inpatient Sample (NIS) is a stratified random sample of all US community hospitals. It is the only US national hospital database with information on all patients, regardless of payer, including persons covered by Medicare, Medicaid, private insurance, and the uninsured. We examined all inpatient hospitalizations in NIS from 1993 to 2014 with a primary or secondary diagnosis of gout, and compared them to total all-cause US hospitalizations during the same period. US population estimates and projections for the resident US population were obtained from the US Census Bureau.Results There were 789.8 million all-cause hospitalizations in 6.4 billion person-years of observation from 1993 to 2014 (123.4 hospitalizations per 1,000 person-years). During this time-period, 9,741,598 hospitalizations occurred in patients with gout (152.2 per 100,000 person-years). All-cause US hospitalizations increased from 33.7 million in 1993 to 35.4 million in 2014, an increase of 4.8% over 22 years (Figure, dotted blue line). All-cause hospitalizations in gout patients have increased from 167,441 in 1993 (64.2 per 100,000 person-year) to 854,475 in 2014 (267.9 per 100,000 person-years, a dramatic increase of over 410% (p&amp;lt;0.0001, Figure solid red line). In 2014, hospitalizations in gout patients accounted for over 4.6 million hospital days at a total national cost of over US $42.6 billion.Conclusions All-cause hospitalizations in patients with gout in the US have significantly increased by 410% in the last 22 years, almost hundred-fold of the 4.8% increase in US population all-cause hospitalization rate in the same time-period. This calls for an increase need for identification and management of serious co-morbid conditions in patients with gout.Disclosure of Interest G. Singh Grant/research support from: Horizon Pharmaceuticals, A. Mithal: None declared, A. Mithal: None declared","DOI":"10.1136/annrheumdis-2017-eular.5458","journalAbbreviation":"Ann Rheum Dis","author":[{"family":"Singh","given":"G"},{"family":"Mithal","given":"A"},{"family":"Mithal","given":"A"}],"issued":{"date-parts":[["2017",6,1]]}}}],"schema":"https://github.com/citation-style-language/schema/raw/master/csl-citation.json"} </w:instrText>
      </w:r>
      <w:r w:rsidR="00522264" w:rsidRPr="00462B94">
        <w:rPr>
          <w:rFonts w:ascii="Book Antiqua" w:hAnsi="Book Antiqua" w:cs="Times New Roman"/>
          <w:vertAlign w:val="superscript"/>
        </w:rPr>
        <w:fldChar w:fldCharType="separate"/>
      </w:r>
      <w:r w:rsidR="00773206" w:rsidRPr="00462B94">
        <w:rPr>
          <w:rFonts w:ascii="Book Antiqua" w:hAnsi="Book Antiqua" w:cs="Times New Roman"/>
          <w:vertAlign w:val="superscript"/>
        </w:rPr>
        <w:t>[4]</w:t>
      </w:r>
      <w:r w:rsidR="00522264" w:rsidRPr="00462B94">
        <w:rPr>
          <w:rFonts w:ascii="Book Antiqua" w:hAnsi="Book Antiqua" w:cs="Times New Roman"/>
          <w:vertAlign w:val="superscript"/>
        </w:rPr>
        <w:fldChar w:fldCharType="end"/>
      </w:r>
      <w:r w:rsidRPr="00462B94">
        <w:rPr>
          <w:rFonts w:ascii="Book Antiqua" w:hAnsi="Book Antiqua" w:cs="Times New Roman"/>
        </w:rPr>
        <w:t>. The clinical evidence has shown that uric acid (UA) may have a pro-inflammatory effect on the vascular cells contributing to the negative effects of hyperuricemia in cardiovascular diseases (CVD) including ACS</w:t>
      </w:r>
      <w:r w:rsidR="00522264" w:rsidRPr="00462B94">
        <w:rPr>
          <w:rFonts w:ascii="Book Antiqua" w:hAnsi="Book Antiqua" w:cs="Times New Roman"/>
          <w:vertAlign w:val="superscript"/>
        </w:rPr>
        <w:fldChar w:fldCharType="begin"/>
      </w:r>
      <w:r w:rsidR="00773206" w:rsidRPr="00462B94">
        <w:rPr>
          <w:rFonts w:ascii="Book Antiqua" w:hAnsi="Book Antiqua" w:cs="Times New Roman"/>
          <w:vertAlign w:val="superscript"/>
        </w:rPr>
        <w:instrText xml:space="preserve"> ADDIN ZOTERO_ITEM CSL_CITATION {"citationID":"pi4tFW4r","properties":{"formattedCitation":"\\super [5,6]\\nosupersub{}","plainCitation":"[5,6]","noteIndex":0},"citationItems":[{"id":251,"uris":["http://zotero.org/users/5068664/items/LPQEQA5E"],"uri":["http://zotero.org/users/5068664/items/LPQEQA5E"],"itemData":{"id":251,"type":"article-journal","title":"Endothelial activation in monosodium urate monohydrate crystal-induced inflammation: in vitro and in vivo studies on the roles of tumor necrosis factor alpha and interleukin-1","container-title":"Arthritis and Rheumatism","page":"955-965","volume":"40","issue":"5","source":"PubMed","abstract":"OBJECTIVE: There is relatively little direct evidence for the roles of interleukin-1 (IL-1) and tumor necrosis factor alpha (TNF alpha) in activating endothelium in vivo. The aim of this study was to use in vitro and in vivo models to investigate the contribution of these cytokines to both E-selectin expression and the recruitment of polymorphonuclear cells (PMN) in monosodium urate monohydrate (MSU) crystal-induced inflammation.\nMETHODS: MSU crystals were incubated with freshly isolated mononuclear cells, after which the harvested supernatants were tested for their ability to induce E-selectin expression during coculture with human umbilical vein endothelial cells. Subsequent experiments were performed with the addition of neutralizing anticytokine antibodies/antisera. The role of TNF alpha was then studied in an MSU crystal-induced monarthritis model, in the presence or absence of anti-TNF alpha (5 mg/kg intravenously). 99mtechnetium (99mTc)-labeled PMN cells and (111)indium (111In)-labeled anti-E-selectin monoclonal antibody (MAb) 1.2B6 were intravenously administered 4 hours after intraarticular injection to quantify PMN recruitment and E-selectin expression in inflamed joints.\nRESULTS: MSU crystals were a potent stimulus for IL-1 and TNF alpha production by monocytes in vitro, and these cytokines fully accounted for MSU crystal-stimulated, monocyte-mediated endothelial activation. In the MSU crystal-induced monarthritis model, TNF alpha blockade was very effective in suppressing both E-selectin expression and PMN emigration into the inflamed joints, as judged by gamma-camera image analysis and postmortem tissue counting following the intravenous injection of 99mTc-PMN and 111In-anti-E-selectin MAb.\nCONCLUSION: IL-1 and TNF alpha appear to be the only factors released by monocytes following incubation with MSU crystals, which induce E-selectin expression in vitro. Anti-TNF alpha is effective in suppressing endothelial activation and PMN recruitment in vivo E-selectin imaging can be used to assess the endothelial response to therapy and may prove useful for clinical studies.","DOI":"10.1002/1529-0131(199705)40:5&amp;lt;955::AID-ART24&amp;gt;3.0.CO;2-F","ISSN":"0004-3591","note":"PMID: 9153559","shortTitle":"Endothelial activation in monosodium urate monohydrate crystal-induced inflammation","journalAbbreviation":"Arthritis Rheum.","language":"eng","author":[{"family":"Chapman","given":"P. T."},{"family":"Yarwood","given":"H."},{"family":"Harrison","given":"A. A."},{"family":"Stocker","given":"C. J."},{"family":"Jamar","given":"F."},{"family":"Gundel","given":"R. H."},{"family":"Peters","given":"A. M."},{"family":"Haskard","given":"D. O."}],"issued":{"date-parts":[["1997",5]]}}},{"id":95,"uris":["http://zotero.org/users/5068664/items/XKNE7G6N"],"uri":["http://zotero.org/users/5068664/items/XKNE7G6N"],"itemData":{"id":95,"type":"article-journal","title":"Serum uric acid and acute coronary syndrome: Is there a role for functional markers of residual cardiovascular risk?","container-title":"International Journal of Cardiology","page":"62-63","volume":"250","source":"ScienceDirect","DOI":"10.1016/j.ijcard.2017.06.053","ISSN":"0167-5273","shortTitle":"Serum uric acid and acute coronary syndrome","journalAbbreviation":"International Journal of Cardiology","author":[{"family":"Borghi","given":"C."},{"family":"Cicero","given":"A. F. G."}],"issued":{"date-parts":[["2018",1,1]]}}}],"schema":"https://github.com/citation-style-language/schema/raw/master/csl-citation.json"} </w:instrText>
      </w:r>
      <w:r w:rsidR="00522264" w:rsidRPr="00462B94">
        <w:rPr>
          <w:rFonts w:ascii="Book Antiqua" w:hAnsi="Book Antiqua" w:cs="Times New Roman"/>
          <w:vertAlign w:val="superscript"/>
        </w:rPr>
        <w:fldChar w:fldCharType="separate"/>
      </w:r>
      <w:r w:rsidR="00773206" w:rsidRPr="00462B94">
        <w:rPr>
          <w:rFonts w:ascii="Book Antiqua" w:hAnsi="Book Antiqua" w:cs="Times New Roman"/>
          <w:vertAlign w:val="superscript"/>
        </w:rPr>
        <w:t>[5,6]</w:t>
      </w:r>
      <w:r w:rsidR="00522264" w:rsidRPr="00462B94">
        <w:rPr>
          <w:rFonts w:ascii="Book Antiqua" w:hAnsi="Book Antiqua" w:cs="Times New Roman"/>
          <w:vertAlign w:val="superscript"/>
        </w:rPr>
        <w:fldChar w:fldCharType="end"/>
      </w:r>
      <w:r w:rsidRPr="00462B94">
        <w:rPr>
          <w:rFonts w:ascii="Book Antiqua" w:hAnsi="Book Antiqua" w:cs="Times New Roman"/>
        </w:rPr>
        <w:t>. Previous studies have also suggested that gout patients have two to five-fold higher mortality risk in patients with CVD</w:t>
      </w:r>
      <w:r w:rsidR="00522264" w:rsidRPr="00462B94">
        <w:rPr>
          <w:rFonts w:ascii="Book Antiqua" w:hAnsi="Book Antiqua" w:cs="Times New Roman"/>
          <w:vertAlign w:val="superscript"/>
        </w:rPr>
        <w:fldChar w:fldCharType="begin"/>
      </w:r>
      <w:r w:rsidR="00773206" w:rsidRPr="00462B94">
        <w:rPr>
          <w:rFonts w:ascii="Book Antiqua" w:hAnsi="Book Antiqua" w:cs="Times New Roman"/>
          <w:vertAlign w:val="superscript"/>
        </w:rPr>
        <w:instrText xml:space="preserve"> ADDIN ZOTERO_ITEM CSL_CITATION {"citationID":"cYYJDUIS","properties":{"formattedCitation":"\\super [7,8]\\nosupersub{}","plainCitation":"[7,8]","noteIndex":0},"citationItems":[{"id":218,"uris":["http://zotero.org/users/5068664/items/D2LXIJVF"],"uri":["http://zotero.org/users/5068664/items/D2LXIJVF"],"itemData":{"id":218,"type":"article-journal","title":"Association Between Gout and All-Cause as well as Cardiovascular Mortality: A Systematic Review","container-title":"Current Rheumatology Reports","page":"195-203","volume":"14","issue":"2","source":"PubMed Central","abstract":"Gout affects 1% to 2% of the population, and the prevalence is increasing due to changes in diet and the ageing of the population. Its development and risk factors have been explored frequently, and recommendations for the diagnosis and management of gout implemented. Nevertheless, there is a lack of knowledge regarding the long-term impact on gouty patients. This systematic review therefore evaluates the association between gout and all-cause as well as cardiovascular mortality. A systematic literature search was performed, and seven long-term studies were ultimately analyzed. Six of them used multivariate regressions to assess the adjusted mortality ratio in gouty patients with reference to patients without the disorder. Despite differences in study designs, study populations, and definitions of gout, the results were consistent: There was an independent association between gout and all-cause as well as cardiovascular mortality. Knowing that patients with gout are at risk emphasizes the need for adequate care.","DOI":"10.1007/s11926-011-0234-2","ISSN":"1523-3774","note":"PMID: 22350606\nPMCID: PMC3297741","shortTitle":"Association Between Gout and All-Cause as well as Cardiovascular Mortality","journalAbbreviation":"Curr Rheumatol Rep","author":[{"family":"Lottmann","given":"Kathrin"},{"family":"Chen","given":"Xiaoyu"},{"family":"Schädlich","given":"Peter K."}],"issued":{"date-parts":[["2012",4]]}}},{"id":84,"uris":["http://zotero.org/users/5068664/items/WN77C5T4"],"uri":["http://zotero.org/users/5068664/items/WN77C5T4"],"itemData":{"id":84,"type":"article-journal","title":"Serum uric acid as an independent predictor of mortality in patients with angiographically proven coronary artery disease","container-title":"The American Journal of Cardiology","page":"12-17","volume":"89","issue":"1","source":"ScienceDirect","abstract":"It is a matter of controversy as to whether uric acid is an independent predictor of mortality in patients with coronary artery disease (CAD) or whether it represents only an indirect marker of adverse outcome by reflecting the association between uric acid and other cardiovascular risk factors. Therefore, we studied the influence of uric acid levels on mortality in patients with CAD. In 1,017 patients with angiographically proven CAD, classic risk factors and uric acid levels were determined at enrollment. A follow-up over a median of 2.2 years (maximum 3.1) was performed. Death from all causes was defined as an end point of the study. In CAD patients with uric acid levels &lt;303 μmol/L (5.1 mg/dl) (lowest quartile) compared with those with uric acid levels &gt;433 μmol/L (7.1 mg/dl) (highest quartile), the mortality rate increased from 3.4% to 17.1% (fivefold increase). After adjustment for age, both sexes demonstrated an increased risk for death with increasing uric acid levels (female patients: hazard ratio [HR] 1.30, 95% confidence intervals [CI] 1.14 to 1.49, p ≤0.001; male patients: HR 1.39 [95% CI 1.21 to 1.59], p ≤0.001). In multivariate Cox regression analysis performed with 12 variables that influence overall mortality—including diuretic use—elevated levels of uric acid demonstrated an independent, significant positive relation to overall mortality (HR 1.23 [95% CI 1.11 to 1.36], p &lt;0.001) in patients with CAD. Thus, uric acid is an independent predictor of mortality in patients with CAD.","DOI":"10.1016/S0002-9149(01)02155-5","ISSN":"0002-9149","journalAbbreviation":"The American Journal of Cardiology","author":[{"family":"Bickel","given":"Christoph"},{"family":"Rupprecht","given":"Hans J"},{"family":"Blankenberg","given":"Stefan"},{"family":"Rippin","given":"Gerd"},{"family":"Hafner","given":"Gerd"},{"family":"Daunhauer","given":"Alexander"},{"family":"Hofmann","given":"Klaus-Peter"},{"family":"Meyer","given":"Jürgen"}],"issued":{"date-parts":[["2002",1,1]]}}}],"schema":"https://github.com/citation-style-language/schema/raw/master/csl-citation.json"} </w:instrText>
      </w:r>
      <w:r w:rsidR="00522264" w:rsidRPr="00462B94">
        <w:rPr>
          <w:rFonts w:ascii="Book Antiqua" w:hAnsi="Book Antiqua" w:cs="Times New Roman"/>
          <w:vertAlign w:val="superscript"/>
        </w:rPr>
        <w:fldChar w:fldCharType="separate"/>
      </w:r>
      <w:r w:rsidR="00773206" w:rsidRPr="00462B94">
        <w:rPr>
          <w:rFonts w:ascii="Book Antiqua" w:hAnsi="Book Antiqua" w:cs="Times New Roman"/>
          <w:vertAlign w:val="superscript"/>
        </w:rPr>
        <w:t>[7,8]</w:t>
      </w:r>
      <w:r w:rsidR="00522264" w:rsidRPr="00462B94">
        <w:rPr>
          <w:rFonts w:ascii="Book Antiqua" w:hAnsi="Book Antiqua" w:cs="Times New Roman"/>
          <w:vertAlign w:val="superscript"/>
        </w:rPr>
        <w:fldChar w:fldCharType="end"/>
      </w:r>
      <w:r w:rsidRPr="00462B94">
        <w:rPr>
          <w:rFonts w:ascii="Book Antiqua" w:hAnsi="Book Antiqua" w:cs="Times New Roman"/>
        </w:rPr>
        <w:t>. Recent studies have also established the crucial role of high UA levels in predicting the higher odds of MI and subsequent in-hospital mortality in ACS and STEMI hospitalizations</w:t>
      </w:r>
      <w:r w:rsidR="00522264" w:rsidRPr="00462B94">
        <w:rPr>
          <w:rFonts w:ascii="Book Antiqua" w:hAnsi="Book Antiqua" w:cs="Times New Roman"/>
          <w:vertAlign w:val="superscript"/>
        </w:rPr>
        <w:fldChar w:fldCharType="begin"/>
      </w:r>
      <w:r w:rsidR="00773206" w:rsidRPr="00462B94">
        <w:rPr>
          <w:rFonts w:ascii="Book Antiqua" w:hAnsi="Book Antiqua" w:cs="Times New Roman"/>
          <w:vertAlign w:val="superscript"/>
        </w:rPr>
        <w:instrText xml:space="preserve"> ADDIN ZOTERO_ITEM CSL_CITATION {"citationID":"tfz7r407","properties":{"formattedCitation":"\\super [9,10]\\nosupersub{}","plainCitation":"[9,10]","noteIndex":0},"citationItems":[{"id":279,"uris":["http://zotero.org/users/5068664/items/GVI5SBW2"],"uri":["http://zotero.org/users/5068664/items/GVI5SBW2"],"itemData":{"id":279,"type":"article-journal","title":"Serum uric acid on admission predicts in-hospital mortality in patients with acute coronary syndrome","container-title":"International Journal of Cardiology","page":"25-29","volume":"240","source":"ScienceDirect","abstract":"Background\nDespite the association between uric acid and cardiovascular disease has been known for decades, the prognostic value of serum uric acid (UA) in all clinical manifestations of acute coronary syndrome (ACS), namely ST-elevation myocardial infarction (STEMI), NSTEMI and unstable angina, has not been definitively assessed.\nMethods\nThis retrospective analysis included patients from previous SPAI and FAMI studies with the aim to investigate the association between serum uric acid and major adverse cardiovascular events at 180days from hospital admission.\nResults\n1548 patients were considered and divided in four groups, according UA concentration. Uricemia was significantly associated with gender, BMI, arterial hypertension, HDL-cholesterol, triglycerides, metabolic syndrome and glomerular filtration rate in univariate analysis. Multivariate logistic regression indicated that UA &gt;6.0mg/dL on admission increased the risk of in-hospital mortality in overall population (OR 2.9, 95%CI 1.4–6.1; p=0.0057) and in patients with de novo ACS (OR 3.2, 95%CI 1.5–6.8; p=0.0033). Comparable results were also obtained after adjusting the model for age, gender, body mass index, glomerular filtration rate, metabolic syndrome, acute revascularization and ethnicity. A positive correlation was observed between UA and C reactive protein concentrations in in-hospital deaths only (rho 0.41, p=0.027).\nConclusion\nIn patients with acute coronary syndrome, uricemia levels above the current international reference limit (6.0mg/dl) were associated with in-hospital mortality, independently from ethnicity and renal function.","DOI":"10.1016/j.ijcard.2017.04.027","ISSN":"0167-5273","journalAbbreviation":"International Journal of Cardiology","author":[{"family":"Magnoni","given":"Marco"},{"family":"Berteotti","given":"Martina"},{"family":"Ceriotti","given":"Ferruccio"},{"family":"Mallia","given":"Vincenzo"},{"family":"Vergani","given":"Vittoria"},{"family":"Peretto","given":"Giovanni"},{"family":"Angeloni","given":"Giulia"},{"family":"Cristell","given":"Nicole"},{"family":"Maseri","given":"Attilio"},{"family":"Cianflone","given":"Domenico"}],"issued":{"date-parts":[["2017",8,1]]}}},{"id":236,"uris":["http://zotero.org/users/5068664/items/TJENEF9J"],"uri":["http://zotero.org/users/5068664/items/TJENEF9J"],"itemData":{"id":236,"type":"article-journal","title":"Uric acid in the acute phase of ST elevation myocardial infarction submitted to primary PCI: Its prognostic role and relation with inflammatory markers: A single center experience","container-title":"International Journal of Cardiology","page":"206-209","volume":"138","issue":"2","source":"ScienceDirect","abstract":"Background and methods\nScarce data are available on the prognostic role of uric acid (UA ) in patients with ST elevation myocardial infarction (STEMI). We aimed at assessing the relation between uric acid, measured on Intensive Cardiac Care Unit (ICCU) admission, and mortality at short term follow-up in 466 consecutive STEMI patients submitted to percutaneous coronary intervention (PCI), as well as its relation with inflammatory markers (C-reactive protein, CRP–fibrinogen, erythrocyte sedimentation rate ESR).\nResults\nHigher UA were detectable in the 21.5%.. In-hospital mortality was higher in patients with elevated UA (p&lt;0.01 O.R. (95% C.I.): 3.9 (1.5–10.2)). At backward stepwise regression analysis UA resulted an independent predictor for in-hospital mortality (OR 1.82, 95%CI 1.15–2.86; p=0.01).\nConclusion\nOur data strongly suggest that in the acute phase of STEMI patients submitted to PCI, uric acid holds a prognostic role for in-hospital mortality.","DOI":"10.1016/j.ijcard.2008.06.024","ISSN":"0167-5273","shortTitle":"Uric acid in the acute phase of ST elevation myocardial infarction submitted to primary PCI","journalAbbreviation":"International Journal of Cardiology","author":[{"family":"Lazzeri","given":"Chiara"},{"family":"Valente","given":"Serafina"},{"family":"Chiostri","given":"Marco"},{"family":"Sori","given":"Andrea"},{"family":"Bernardo","given":"Pasquale"},{"family":"Gensini","given":"Gian Franco"}],"issued":{"date-parts":[["2010",1,21]]}}}],"schema":"https://github.com/citation-style-language/schema/raw/master/csl-citation.json"} </w:instrText>
      </w:r>
      <w:r w:rsidR="00522264" w:rsidRPr="00462B94">
        <w:rPr>
          <w:rFonts w:ascii="Book Antiqua" w:hAnsi="Book Antiqua" w:cs="Times New Roman"/>
          <w:vertAlign w:val="superscript"/>
        </w:rPr>
        <w:fldChar w:fldCharType="separate"/>
      </w:r>
      <w:r w:rsidR="00773206" w:rsidRPr="00462B94">
        <w:rPr>
          <w:rFonts w:ascii="Book Antiqua" w:hAnsi="Book Antiqua" w:cs="Times New Roman"/>
          <w:vertAlign w:val="superscript"/>
        </w:rPr>
        <w:t>[9,10]</w:t>
      </w:r>
      <w:r w:rsidR="00522264" w:rsidRPr="00462B94">
        <w:rPr>
          <w:rFonts w:ascii="Book Antiqua" w:hAnsi="Book Antiqua" w:cs="Times New Roman"/>
          <w:vertAlign w:val="superscript"/>
        </w:rPr>
        <w:fldChar w:fldCharType="end"/>
      </w:r>
      <w:r w:rsidRPr="00462B94">
        <w:rPr>
          <w:rFonts w:ascii="Book Antiqua" w:hAnsi="Book Antiqua" w:cs="Times New Roman"/>
        </w:rPr>
        <w:t xml:space="preserve">. </w:t>
      </w:r>
      <w:r w:rsidR="004C5BB6" w:rsidRPr="00462B94">
        <w:rPr>
          <w:rFonts w:ascii="Book Antiqua" w:hAnsi="Book Antiqua" w:cs="Times New Roman"/>
        </w:rPr>
        <w:t xml:space="preserve">Furthermore, </w:t>
      </w:r>
      <w:r w:rsidR="00854FFD" w:rsidRPr="00462B94">
        <w:rPr>
          <w:rFonts w:ascii="Book Antiqua" w:hAnsi="Book Antiqua" w:cs="Times New Roman"/>
        </w:rPr>
        <w:t xml:space="preserve">microvasculature is becoming a key prognostic factor in patients undergoing percutaneous coronary intervention (PCI) since </w:t>
      </w:r>
      <w:r w:rsidR="006411AA" w:rsidRPr="00462B94">
        <w:rPr>
          <w:rFonts w:ascii="Book Antiqua" w:hAnsi="Book Antiqua" w:cs="Times New Roman"/>
        </w:rPr>
        <w:t>UA has been found to induce microvascular lesions, accounting for vascular dementia and allograft vasculopathy post-cardiac transplantation</w:t>
      </w:r>
      <w:r w:rsidR="00DF78D3" w:rsidRPr="00462B94">
        <w:rPr>
          <w:rFonts w:ascii="Book Antiqua" w:hAnsi="Book Antiqua" w:cs="Times New Roman"/>
        </w:rPr>
        <w:fldChar w:fldCharType="begin"/>
      </w:r>
      <w:r w:rsidR="00DF78D3" w:rsidRPr="00462B94">
        <w:rPr>
          <w:rFonts w:ascii="Book Antiqua" w:hAnsi="Book Antiqua" w:cs="Times New Roman"/>
        </w:rPr>
        <w:instrText xml:space="preserve"> ADDIN ZOTERO_ITEM CSL_CITATION {"citationID":"oQsey52z","properties":{"formattedCitation":"\\super [11]\\nosupersub{}","plainCitation":"[11]","noteIndex":0},"citationItems":[{"id":1926,"uris":["http://zotero.org/users/5068664/items/EPFBEW4Z"],"uri":["http://zotero.org/users/5068664/items/EPFBEW4Z"],"itemData":{"id":1926,"type":"article-journal","title":"Elevated uric acid levels predict allograft vasculopathy in cardiac transplant recipients","container-title":"The Journal of Heart and Lung Transplantation: The Official Publication of the International Society for Heart Transplantation","page":"498-503","volume":"26","issue":"5","source":"PubMed","abstract":"BACKGROUND: Cardiac allograft vasculopathy (CAV) poses the greatest threat to the long-term survival of cardiac transplant recipients, and these individuals often exhibit elevated levels of uric acid (UA), a stimulator of T cells. We hypothesized that hyperuricemia is associated with CAV in cardiac transplant recipients.\nMETHODS: UA levels were measured in cardiac transplant recipients between January 2003 and January 2005. Surveillance cardiac catheterizations performed 3 months to 1 year after UA measurement were reviewed. The relationship between UA and CAV was adjusted for possible confounders with propensity scores and confirmed with goodness-of-fit tests.\nRESULTS: The 105 patients included in this study were a median 63.3 months post-transplant and their left heart catheterizations were performed a median 5.6 months after UA measurement. Focal stenosis was evident in 25 angiograms and 31 showed distal pruning of the coronary arteries. Compared with the lowest quartile of UA, the highest quartile had an increased risk of CAV: odds ratio (OR) 6.11 (95% CI 1.47 to 25.5; p = 0.013) for focal stenosis and OR 4.60 (95% CI 1.34 to 15.8; p = 0.015) for distal pruning. After adjustment, this relationship persisted for both focal stenosis (OR 5.53, 95% confidence interval [CI] 1.29 to 23.7; p = 0.021) and distal pruning (OR 4.21, 95% CI 1.15 to 15.4; p = 0.029).\nCONCLUSIONS: Elevated UA confers an increased risk of CAV. This association may be causal, with pathophysiologic implications for the role of hyperuricemia in allograft failure and, if substantiated, could have clinical implications for the use of xanthine oxidase inhibitors in cardiac transplant recipients.","DOI":"10.1016/j.healun.2007.01.039","ISSN":"1557-3117","note":"PMID: 17449420","journalAbbreviation":"J. Heart Lung Transplant.","language":"eng","author":[{"family":"Kittleson","given":"Michelle M."},{"family":"Bead","given":"Valeriani"},{"family":"Fradley","given":"Michael"},{"family":"St John","given":"Marcus E."},{"family":"Champion","given":"Hunter C."},{"family":"Kasper","given":"Edward K."},{"family":"Russell","given":"Stuart D."},{"family":"Wittstein","given":"Ilan S."},{"family":"Hare","given":"Joshua M."}],"issued":{"date-parts":[["2007",5]]}}}],"schema":"https://github.com/citation-style-language/schema/raw/master/csl-citation.json"} </w:instrText>
      </w:r>
      <w:r w:rsidR="00DF78D3" w:rsidRPr="00462B94">
        <w:rPr>
          <w:rFonts w:ascii="Book Antiqua" w:hAnsi="Book Antiqua" w:cs="Times New Roman"/>
        </w:rPr>
        <w:fldChar w:fldCharType="separate"/>
      </w:r>
      <w:r w:rsidR="00DF78D3" w:rsidRPr="00462B94">
        <w:rPr>
          <w:rFonts w:ascii="Book Antiqua" w:hAnsi="Book Antiqua" w:cs="Times New Roman"/>
          <w:vertAlign w:val="superscript"/>
        </w:rPr>
        <w:t>[11]</w:t>
      </w:r>
      <w:r w:rsidR="00DF78D3" w:rsidRPr="00462B94">
        <w:rPr>
          <w:rFonts w:ascii="Book Antiqua" w:hAnsi="Book Antiqua" w:cs="Times New Roman"/>
        </w:rPr>
        <w:fldChar w:fldCharType="end"/>
      </w:r>
      <w:r w:rsidR="006411AA" w:rsidRPr="00462B94">
        <w:rPr>
          <w:rFonts w:ascii="Book Antiqua" w:hAnsi="Book Antiqua" w:cs="Times New Roman"/>
        </w:rPr>
        <w:t>.</w:t>
      </w:r>
      <w:r w:rsidR="00164A92" w:rsidRPr="00462B94">
        <w:rPr>
          <w:rFonts w:ascii="Book Antiqua" w:hAnsi="Book Antiqua" w:cs="Times New Roman"/>
        </w:rPr>
        <w:t xml:space="preserve"> </w:t>
      </w:r>
      <w:r w:rsidR="00854FFD" w:rsidRPr="00462B94">
        <w:rPr>
          <w:rFonts w:ascii="Book Antiqua" w:hAnsi="Book Antiqua" w:cs="Times New Roman"/>
        </w:rPr>
        <w:t xml:space="preserve">While quick restoration of blood flow through </w:t>
      </w:r>
      <w:r w:rsidR="008D4BB4" w:rsidRPr="00462B94">
        <w:rPr>
          <w:rFonts w:ascii="Book Antiqua" w:hAnsi="Book Antiqua" w:cs="Times New Roman"/>
        </w:rPr>
        <w:t xml:space="preserve">an </w:t>
      </w:r>
      <w:r w:rsidR="00854FFD" w:rsidRPr="00462B94">
        <w:rPr>
          <w:rFonts w:ascii="Book Antiqua" w:hAnsi="Book Antiqua" w:cs="Times New Roman"/>
          <w:noProof/>
        </w:rPr>
        <w:t>infarct-related</w:t>
      </w:r>
      <w:r w:rsidR="00854FFD" w:rsidRPr="00462B94">
        <w:rPr>
          <w:rFonts w:ascii="Book Antiqua" w:hAnsi="Book Antiqua" w:cs="Times New Roman"/>
        </w:rPr>
        <w:t xml:space="preserve"> artery is important, </w:t>
      </w:r>
      <w:r w:rsidR="008D4BB4" w:rsidRPr="00462B94">
        <w:rPr>
          <w:rFonts w:ascii="Book Antiqua" w:hAnsi="Book Antiqua" w:cs="Times New Roman"/>
        </w:rPr>
        <w:t xml:space="preserve">the </w:t>
      </w:r>
      <w:r w:rsidR="00854FFD" w:rsidRPr="00462B94">
        <w:rPr>
          <w:rFonts w:ascii="Book Antiqua" w:hAnsi="Book Antiqua" w:cs="Times New Roman"/>
          <w:noProof/>
        </w:rPr>
        <w:t>presence</w:t>
      </w:r>
      <w:r w:rsidR="00854FFD" w:rsidRPr="00462B94">
        <w:rPr>
          <w:rFonts w:ascii="Book Antiqua" w:hAnsi="Book Antiqua" w:cs="Times New Roman"/>
        </w:rPr>
        <w:t xml:space="preserve"> of distal microvascular disease can result in impaired myocardial flow </w:t>
      </w:r>
      <w:r w:rsidR="008D4BB4" w:rsidRPr="00462B94">
        <w:rPr>
          <w:rFonts w:ascii="Book Antiqua" w:hAnsi="Book Antiqua" w:cs="Times New Roman"/>
        </w:rPr>
        <w:t xml:space="preserve">leading to an </w:t>
      </w:r>
      <w:r w:rsidR="00854FFD" w:rsidRPr="00462B94">
        <w:rPr>
          <w:rFonts w:ascii="Book Antiqua" w:hAnsi="Book Antiqua" w:cs="Times New Roman"/>
        </w:rPr>
        <w:t>increas</w:t>
      </w:r>
      <w:r w:rsidR="008D4BB4" w:rsidRPr="00462B94">
        <w:rPr>
          <w:rFonts w:ascii="Book Antiqua" w:hAnsi="Book Antiqua" w:cs="Times New Roman"/>
        </w:rPr>
        <w:t>ed</w:t>
      </w:r>
      <w:r w:rsidR="00854FFD" w:rsidRPr="00462B94">
        <w:rPr>
          <w:rFonts w:ascii="Book Antiqua" w:hAnsi="Book Antiqua" w:cs="Times New Roman"/>
        </w:rPr>
        <w:t xml:space="preserve"> </w:t>
      </w:r>
      <w:r w:rsidR="00854FFD" w:rsidRPr="00462B94">
        <w:rPr>
          <w:rFonts w:ascii="Book Antiqua" w:hAnsi="Book Antiqua" w:cs="Times New Roman"/>
          <w:noProof/>
        </w:rPr>
        <w:t>risk</w:t>
      </w:r>
      <w:r w:rsidR="00854FFD" w:rsidRPr="00462B94">
        <w:rPr>
          <w:rFonts w:ascii="Book Antiqua" w:hAnsi="Book Antiqua" w:cs="Times New Roman"/>
        </w:rPr>
        <w:t xml:space="preserve"> </w:t>
      </w:r>
      <w:r w:rsidR="008D4BB4" w:rsidRPr="00462B94">
        <w:rPr>
          <w:rFonts w:ascii="Book Antiqua" w:hAnsi="Book Antiqua" w:cs="Times New Roman"/>
        </w:rPr>
        <w:t>of</w:t>
      </w:r>
      <w:r w:rsidR="00854FFD" w:rsidRPr="00462B94">
        <w:rPr>
          <w:rFonts w:ascii="Book Antiqua" w:hAnsi="Book Antiqua" w:cs="Times New Roman"/>
        </w:rPr>
        <w:t xml:space="preserve"> major adverse cardiac events after acute MI</w:t>
      </w:r>
      <w:r w:rsidR="00DF78D3" w:rsidRPr="00462B94">
        <w:rPr>
          <w:rFonts w:ascii="Book Antiqua" w:hAnsi="Book Antiqua" w:cs="Times New Roman"/>
        </w:rPr>
        <w:fldChar w:fldCharType="begin"/>
      </w:r>
      <w:r w:rsidR="00DF78D3" w:rsidRPr="00462B94">
        <w:rPr>
          <w:rFonts w:ascii="Book Antiqua" w:hAnsi="Book Antiqua" w:cs="Times New Roman"/>
        </w:rPr>
        <w:instrText xml:space="preserve"> ADDIN ZOTERO_ITEM CSL_CITATION {"citationID":"m1PZXVFm","properties":{"formattedCitation":"\\super [12,13]\\nosupersub{}","plainCitation":"[12,13]","noteIndex":0},"citationItems":[{"id":1922,"uris":["http://zotero.org/users/5068664/items/6ZS3CCNG"],"uri":["http://zotero.org/users/5068664/items/6ZS3CCNG"],"itemData":{"id":1922,"type":"article-journal","title":"Clinical significance of no-reflow phenomenon observed on angiography after successful treatment of acute myocardial infarction with percutaneous transluminal coronary angioplasty","container-title":"American Heart Journal","page":"239-243","volume":"130","issue":"2","source":"PubMed","abstract":"The clinical significance of the angiographic no-reflow phenomenon was evaluated in 93 patients with acute myocardial infarction treated by percutaneous transluminal coronary angioplasty (PTCA). On the basis of the post-PTCA angiograms, patients were divided into three groups: normal angiogram (group 1, n = 65), slight no-reflow (group 2, n = 13), and severe no-reflow (group 3, n = 15). Regional wall motion in the chronic phase was depressed in groups 2 and 3 compared with group 1. The proportion of the area of the transmural infarction to that of the total infarction determined by scintigraphy was higher in groups 2 and 3 than in group 1. A significantly higher incidence of myocardial rupture and of death resulting from cardiac causes was observed in group 3 compared with group 1. The severity of this phenomenon immediately after an emergency PTCA correlated well with the severity of myocardial damage, with patients having severe no-reflow showing the poorest prognosis.","ISSN":"0002-8703","note":"PMID: 7631601","journalAbbreviation":"Am. Heart J.","language":"eng","author":[{"family":"Morishima","given":"I."},{"family":"Sone","given":"T."},{"family":"Mokuno","given":"S."},{"family":"Taga","given":"S."},{"family":"Shimauchi","given":"A."},{"family":"Oki","given":"Y."},{"family":"Kondo","given":"J."},{"family":"Tsuboi","given":"H."},{"family":"Sassa","given":"H."}],"issued":{"date-parts":[["1995",8]]}}},{"id":1924,"uris":["http://zotero.org/users/5068664/items/3TXN5TYN"],"uri":["http://zotero.org/users/5068664/items/3TXN5TYN"],"itemData":{"id":1924,"type":"article-journal","title":"Angiographic no-reflow phenomenon as a predictor of adverse long-term outcome in patients treated with percutaneous transluminal coronary angioplasty for first acute myocardial infarction","container-title":"Journal of the American College of Cardiology","page":"1202-1209","volume":"36","issue":"4","source":"PubMed","abstract":"OBJECTIVES: We sought to elucidate the long-term prognostic importance of angiographic no-reflow phenomenon after percutaneous transluminal coronary angioplasty (PTCA) for acute myocardial infarction (AMI).\nBACKGROUND: Angiographic no-reflow phenomenon, a reduced coronary antegrade flow (Thrombolysis in Myocardial Infarction [TIMI] flow grade &lt; or =2) without mechanical obstruction after recanalization, predicts poor left ventricular (LV) functional recovery and survival in the early phase of AMI. We hypothesized that angiographic no-reflow phenomenon also predicts long-term clinical outcome.\nMETHODS: We studied 120 consecutive patients with their first AMI treated by PTCA without flow-restricting lesions. The patients were classified as either no-reflow (n = 30) or reflow (TIMI-3) (n = 90) based on post-PTCA cineangiograms to follow up (5.8 +/- 1.2 years) for cardiac death and nonfatal events.\nRESULTS: Patients with no-reflow had congestive heart failure (p &lt; 0.0001), malignant arrhythmia (p = 0.038), and cardiac death (p = 0.002) more often than did those with reflow. Kaplan-Meier curves showed lower cardiac survival and cardiac event-free survival (p &lt; 0.0001) in patients with no-reflow than in those with reflow. Multivariate analyses disclosed that no-reflow phenomenon was an independent predictor of long-term cardiac death (relative risk [RR] 5.25, 95% confidence interval [CI] 1.85 to 14.9, p = 0.002) and cardiac events (RR 3.71, 95% CI 1.79 to 7.69, p = 0.0004). At follow-up, survivors with no-reflow had higher end-diastolic and end-systolic LV volume indices and plasma brain natriuretic peptide levels, and lower LV ejection fractions (p = 0.0002, p &lt; 0.0001, p = 0.002, p &lt; 0.0001, respectively) than did those with reflow, indicating that no-reflow may be involved in LV remodeling.\nCONCLUSIONS: Angiographic no-reflow phenomenon strongly predicts long-term cardiac complications after AMI; these complications are possibly associated with LV remodeling.","ISSN":"0735-1097","note":"PMID: 11028471","journalAbbreviation":"J. Am. Coll. Cardiol.","language":"eng","author":[{"family":"Morishima","given":"I."},{"family":"Sone","given":"T."},{"family":"Okumura","given":"K."},{"family":"Tsuboi","given":"H."},{"family":"Kondo","given":"J."},{"family":"Mukawa","given":"H."},{"family":"Matsui","given":"H."},{"family":"Toki","given":"Y."},{"family":"Ito","given":"T."},{"family":"Hayakawa","given":"T."}],"issued":{"date-parts":[["2000",10]]}}}],"schema":"https://github.com/citation-style-language/schema/raw/master/csl-citation.json"} </w:instrText>
      </w:r>
      <w:r w:rsidR="00DF78D3" w:rsidRPr="00462B94">
        <w:rPr>
          <w:rFonts w:ascii="Book Antiqua" w:hAnsi="Book Antiqua" w:cs="Times New Roman"/>
        </w:rPr>
        <w:fldChar w:fldCharType="separate"/>
      </w:r>
      <w:r w:rsidR="00DF78D3" w:rsidRPr="00462B94">
        <w:rPr>
          <w:rFonts w:ascii="Book Antiqua" w:hAnsi="Book Antiqua" w:cs="Times New Roman"/>
          <w:vertAlign w:val="superscript"/>
        </w:rPr>
        <w:t>[12,13]</w:t>
      </w:r>
      <w:r w:rsidR="00DF78D3" w:rsidRPr="00462B94">
        <w:rPr>
          <w:rFonts w:ascii="Book Antiqua" w:hAnsi="Book Antiqua" w:cs="Times New Roman"/>
        </w:rPr>
        <w:fldChar w:fldCharType="end"/>
      </w:r>
      <w:r w:rsidR="00854FFD" w:rsidRPr="00462B94">
        <w:rPr>
          <w:rFonts w:ascii="Book Antiqua" w:hAnsi="Book Antiqua" w:cs="Times New Roman"/>
        </w:rPr>
        <w:t xml:space="preserve">. </w:t>
      </w:r>
      <w:r w:rsidRPr="00462B94">
        <w:rPr>
          <w:rFonts w:ascii="Book Antiqua" w:hAnsi="Book Antiqua" w:cs="Times New Roman"/>
        </w:rPr>
        <w:t>Nevertheless, the relationship between gout and healthcare resource utilization and post-revascularization outcomes in ACS hospitalizations has not been previously studied on a large scale in the U</w:t>
      </w:r>
      <w:r w:rsidR="00DF78D3" w:rsidRPr="00462B94">
        <w:rPr>
          <w:rFonts w:ascii="Book Antiqua" w:hAnsi="Book Antiqua" w:cs="Times New Roman" w:hint="eastAsia"/>
          <w:lang w:eastAsia="zh-CN"/>
        </w:rPr>
        <w:t xml:space="preserve">nited </w:t>
      </w:r>
      <w:r w:rsidRPr="00462B94">
        <w:rPr>
          <w:rFonts w:ascii="Book Antiqua" w:hAnsi="Book Antiqua" w:cs="Times New Roman"/>
        </w:rPr>
        <w:t>S</w:t>
      </w:r>
      <w:r w:rsidR="00DF78D3" w:rsidRPr="00462B94">
        <w:rPr>
          <w:rFonts w:ascii="Book Antiqua" w:hAnsi="Book Antiqua" w:cs="Times New Roman" w:hint="eastAsia"/>
          <w:lang w:eastAsia="zh-CN"/>
        </w:rPr>
        <w:t>tates</w:t>
      </w:r>
      <w:r w:rsidRPr="00462B94">
        <w:rPr>
          <w:rFonts w:ascii="Book Antiqua" w:hAnsi="Book Antiqua" w:cs="Times New Roman"/>
        </w:rPr>
        <w:t>. Therefore, in this retrospective population-based study, we aim to evaluate the impact of gout on the in-hospital outcomes of ACS hospitalizations, subsequent healthcare burden and predictors of post-revascularization inpatient mortality using the largest nationwide cohort from January 2010 through December 2014.</w:t>
      </w:r>
    </w:p>
    <w:p w14:paraId="37F92B9F" w14:textId="77777777" w:rsidR="00866F2D" w:rsidRPr="00462B94" w:rsidRDefault="00866F2D" w:rsidP="00462B94">
      <w:pPr>
        <w:spacing w:line="360" w:lineRule="auto"/>
        <w:jc w:val="both"/>
        <w:rPr>
          <w:rFonts w:ascii="Book Antiqua" w:hAnsi="Book Antiqua" w:cs="Times New Roman"/>
        </w:rPr>
      </w:pPr>
    </w:p>
    <w:p w14:paraId="6D0B482D" w14:textId="3716A373" w:rsidR="00866F2D" w:rsidRPr="00462B94" w:rsidRDefault="00DF78D3" w:rsidP="00462B94">
      <w:pPr>
        <w:spacing w:line="360" w:lineRule="auto"/>
        <w:jc w:val="both"/>
        <w:rPr>
          <w:rFonts w:ascii="Book Antiqua" w:hAnsi="Book Antiqua" w:cs="Times New Roman"/>
          <w:b/>
        </w:rPr>
      </w:pPr>
      <w:r w:rsidRPr="00462B94">
        <w:rPr>
          <w:rFonts w:ascii="Book Antiqua" w:hAnsi="Book Antiqua" w:cs="Times New Roman"/>
          <w:b/>
          <w:lang w:eastAsia="zh-CN"/>
        </w:rPr>
        <w:t xml:space="preserve">MATERIALS AND </w:t>
      </w:r>
      <w:r w:rsidRPr="00462B94">
        <w:rPr>
          <w:rFonts w:ascii="Book Antiqua" w:hAnsi="Book Antiqua" w:cs="Times New Roman"/>
          <w:b/>
        </w:rPr>
        <w:t>METHODS</w:t>
      </w:r>
    </w:p>
    <w:p w14:paraId="7A894891" w14:textId="3FBC92C4" w:rsidR="00AB7CED" w:rsidRPr="00462B94" w:rsidRDefault="00AB7CED" w:rsidP="00462B94">
      <w:pPr>
        <w:spacing w:line="360" w:lineRule="auto"/>
        <w:jc w:val="both"/>
        <w:rPr>
          <w:rFonts w:ascii="Book Antiqua" w:hAnsi="Book Antiqua" w:cs="Times New Roman"/>
          <w:b/>
          <w:i/>
          <w:iCs/>
        </w:rPr>
      </w:pPr>
      <w:r w:rsidRPr="00462B94">
        <w:rPr>
          <w:rFonts w:ascii="Book Antiqua" w:hAnsi="Book Antiqua" w:cs="Times New Roman"/>
          <w:b/>
          <w:i/>
          <w:iCs/>
        </w:rPr>
        <w:lastRenderedPageBreak/>
        <w:t>Source of data</w:t>
      </w:r>
    </w:p>
    <w:p w14:paraId="64DCE93F" w14:textId="4C668520"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 xml:space="preserve">The study cohort was derived from the </w:t>
      </w:r>
      <w:r w:rsidR="00687586" w:rsidRPr="00462B94">
        <w:rPr>
          <w:rFonts w:ascii="Book Antiqua" w:hAnsi="Book Antiqua" w:cs="Times New Roman"/>
        </w:rPr>
        <w:t>national inpatient sample</w:t>
      </w:r>
      <w:r w:rsidRPr="00462B94">
        <w:rPr>
          <w:rFonts w:ascii="Book Antiqua" w:hAnsi="Book Antiqua" w:cs="Times New Roman"/>
        </w:rPr>
        <w:t xml:space="preserve"> (NIS) database from January 2010 through December 2014, which is a part of the Healthcare Cost and Utilization Proje</w:t>
      </w:r>
      <w:r w:rsidR="00687586" w:rsidRPr="00462B94">
        <w:rPr>
          <w:rFonts w:ascii="Book Antiqua" w:hAnsi="Book Antiqua" w:cs="Times New Roman"/>
        </w:rPr>
        <w:t>ct</w:t>
      </w:r>
      <w:r w:rsidRPr="00462B94">
        <w:rPr>
          <w:rFonts w:ascii="Book Antiqua" w:hAnsi="Book Antiqua" w:cs="Times New Roman"/>
        </w:rPr>
        <w:t xml:space="preserve"> held by the Agency for Healthcare Research and Quality (AHRQ). The NIS is the largest publicly accessible all-payer inpatient database in the U</w:t>
      </w:r>
      <w:r w:rsidR="00687586" w:rsidRPr="00462B94">
        <w:rPr>
          <w:rFonts w:ascii="Book Antiqua" w:hAnsi="Book Antiqua" w:cs="Times New Roman" w:hint="eastAsia"/>
          <w:lang w:eastAsia="zh-CN"/>
        </w:rPr>
        <w:t xml:space="preserve">nited </w:t>
      </w:r>
      <w:r w:rsidRPr="00462B94">
        <w:rPr>
          <w:rFonts w:ascii="Book Antiqua" w:hAnsi="Book Antiqua" w:cs="Times New Roman"/>
        </w:rPr>
        <w:t>S</w:t>
      </w:r>
      <w:r w:rsidR="00687586" w:rsidRPr="00462B94">
        <w:rPr>
          <w:rFonts w:ascii="Book Antiqua" w:hAnsi="Book Antiqua" w:cs="Times New Roman" w:hint="eastAsia"/>
          <w:lang w:eastAsia="zh-CN"/>
        </w:rPr>
        <w:t>tates</w:t>
      </w:r>
      <w:r w:rsidRPr="00462B94">
        <w:rPr>
          <w:rFonts w:ascii="Book Antiqua" w:hAnsi="Book Antiqua" w:cs="Times New Roman"/>
        </w:rPr>
        <w:t xml:space="preserve"> and incorporates diverse identifiers for the hospitalization and clinical data for each visit including up to 25 discharge diagnoses and 15 procedures</w:t>
      </w:r>
      <w:r w:rsidR="00522264" w:rsidRPr="00462B94">
        <w:rPr>
          <w:rFonts w:ascii="Book Antiqua" w:hAnsi="Book Antiqua" w:cs="Times New Roman"/>
          <w:vertAlign w:val="superscript"/>
        </w:rPr>
        <w:fldChar w:fldCharType="begin"/>
      </w:r>
      <w:r w:rsidR="00164A92" w:rsidRPr="00462B94">
        <w:rPr>
          <w:rFonts w:ascii="Book Antiqua" w:hAnsi="Book Antiqua" w:cs="Times New Roman"/>
          <w:vertAlign w:val="superscript"/>
        </w:rPr>
        <w:instrText xml:space="preserve"> ADDIN ZOTERO_ITEM CSL_CITATION {"citationID":"TQ5wm8Ca","properties":{"formattedCitation":"\\super [14]\\nosupersub{}","plainCitation":"[14]","noteIndex":0},"citationItems":[{"id":430,"uris":["http://zotero.org/users/5068664/items/FAKP79IV"],"uri":["http://zotero.org/users/5068664/items/FAKP79IV"],"itemData":{"id":430,"type":"webpage","title":"HCUP-US NIS Overview","URL":"https://www.hcup-us.ahrq.gov/nisoverview.jsp","accessed":{"date-parts":[["2019",3,10]]}}}],"schema":"https://github.com/citation-style-language/schema/raw/master/csl-citation.json"} </w:instrText>
      </w:r>
      <w:r w:rsidR="00522264" w:rsidRPr="00462B94">
        <w:rPr>
          <w:rFonts w:ascii="Book Antiqua" w:hAnsi="Book Antiqua" w:cs="Times New Roman"/>
          <w:vertAlign w:val="superscript"/>
        </w:rPr>
        <w:fldChar w:fldCharType="separate"/>
      </w:r>
      <w:r w:rsidR="00164A92" w:rsidRPr="00462B94">
        <w:rPr>
          <w:rFonts w:ascii="Book Antiqua" w:hAnsi="Book Antiqua" w:cs="Times New Roman"/>
          <w:vertAlign w:val="superscript"/>
        </w:rPr>
        <w:t>[14]</w:t>
      </w:r>
      <w:r w:rsidR="00522264" w:rsidRPr="00462B94">
        <w:rPr>
          <w:rFonts w:ascii="Book Antiqua" w:hAnsi="Book Antiqua" w:cs="Times New Roman"/>
          <w:vertAlign w:val="superscript"/>
        </w:rPr>
        <w:fldChar w:fldCharType="end"/>
      </w:r>
      <w:r w:rsidRPr="00462B94">
        <w:rPr>
          <w:rFonts w:ascii="Book Antiqua" w:hAnsi="Book Antiqua" w:cs="Times New Roman"/>
        </w:rPr>
        <w:t xml:space="preserve">. It includes discharge statistics from 20% inpatient discharges of all non-federal </w:t>
      </w:r>
      <w:r w:rsidR="00687586" w:rsidRPr="00462B94">
        <w:rPr>
          <w:rFonts w:ascii="Book Antiqua" w:hAnsi="Book Antiqua" w:cs="Times New Roman"/>
        </w:rPr>
        <w:t>U</w:t>
      </w:r>
      <w:r w:rsidR="00687586" w:rsidRPr="00462B94">
        <w:rPr>
          <w:rFonts w:ascii="Book Antiqua" w:hAnsi="Book Antiqua" w:cs="Times New Roman" w:hint="eastAsia"/>
          <w:lang w:eastAsia="zh-CN"/>
        </w:rPr>
        <w:t xml:space="preserve">nited </w:t>
      </w:r>
      <w:r w:rsidR="00687586" w:rsidRPr="00462B94">
        <w:rPr>
          <w:rFonts w:ascii="Book Antiqua" w:hAnsi="Book Antiqua" w:cs="Times New Roman"/>
        </w:rPr>
        <w:t>S</w:t>
      </w:r>
      <w:r w:rsidR="00687586" w:rsidRPr="00462B94">
        <w:rPr>
          <w:rFonts w:ascii="Book Antiqua" w:hAnsi="Book Antiqua" w:cs="Times New Roman" w:hint="eastAsia"/>
          <w:lang w:eastAsia="zh-CN"/>
        </w:rPr>
        <w:t>tates</w:t>
      </w:r>
      <w:r w:rsidRPr="00462B94">
        <w:rPr>
          <w:rFonts w:ascii="Book Antiqua" w:hAnsi="Book Antiqua" w:cs="Times New Roman"/>
        </w:rPr>
        <w:t xml:space="preserve"> hospital facilities (not including rehabilitation and long-term acute care hospitals), disclosing up to 95% of hospital releases across the country. Nationwide assessments were generated utilizing discharge weights provided by AHRQ.</w:t>
      </w:r>
    </w:p>
    <w:p w14:paraId="140DFDF6" w14:textId="2FC0FAFF" w:rsidR="00AB7CED" w:rsidRPr="00462B94" w:rsidRDefault="00AB7CED" w:rsidP="00462B94">
      <w:pPr>
        <w:spacing w:line="360" w:lineRule="auto"/>
        <w:jc w:val="both"/>
        <w:rPr>
          <w:rFonts w:ascii="Book Antiqua" w:hAnsi="Book Antiqua" w:cs="Times New Roman"/>
        </w:rPr>
      </w:pPr>
    </w:p>
    <w:p w14:paraId="1969D72A" w14:textId="5BC47AFF" w:rsidR="00AB7CED" w:rsidRPr="00462B94" w:rsidRDefault="00AB7CED" w:rsidP="00462B94">
      <w:pPr>
        <w:spacing w:line="360" w:lineRule="auto"/>
        <w:jc w:val="both"/>
        <w:rPr>
          <w:rFonts w:ascii="Book Antiqua" w:hAnsi="Book Antiqua" w:cs="Times New Roman"/>
          <w:b/>
          <w:bCs/>
          <w:i/>
          <w:iCs/>
        </w:rPr>
      </w:pPr>
      <w:r w:rsidRPr="00462B94">
        <w:rPr>
          <w:rFonts w:ascii="Book Antiqua" w:hAnsi="Book Antiqua" w:cs="Times New Roman"/>
          <w:b/>
          <w:bCs/>
          <w:i/>
          <w:iCs/>
        </w:rPr>
        <w:t>Study population</w:t>
      </w:r>
    </w:p>
    <w:p w14:paraId="09ECFC51" w14:textId="175AF5AB"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All ACS-related adult hospitalizations were recognized by applying International Classification of Diseases, Ninth Revision; Clinical Modification (ICD-9-CM) codes 410.1x and 411.1 for the primary discharge diagnosis. These codes have been successfully utilized in earlier studies</w:t>
      </w:r>
      <w:r w:rsidR="00522264" w:rsidRPr="00462B94">
        <w:rPr>
          <w:rFonts w:ascii="Book Antiqua" w:hAnsi="Book Antiqua" w:cs="Times New Roman"/>
          <w:vertAlign w:val="superscript"/>
        </w:rPr>
        <w:fldChar w:fldCharType="begin"/>
      </w:r>
      <w:r w:rsidR="00164A92" w:rsidRPr="00462B94">
        <w:rPr>
          <w:rFonts w:ascii="Book Antiqua" w:hAnsi="Book Antiqua" w:cs="Times New Roman"/>
          <w:vertAlign w:val="superscript"/>
        </w:rPr>
        <w:instrText xml:space="preserve"> ADDIN ZOTERO_ITEM CSL_CITATION {"citationID":"iZZQ3sV2","properties":{"formattedCitation":"\\super [15]\\nosupersub{}","plainCitation":"[15]","noteIndex":0},"citationItems":[{"id":432,"uris":["http://zotero.org/users/5068664/items/LFVRQ9QI"],"uri":["http://zotero.org/users/5068664/items/LFVRQ9QI"],"itemData":{"id":432,"type":"article-journal","title":"Early Invasive Versus Initial Conservative Strategies for Women with Non–ST-Elevation Acute Coronary Syndromes: A Nationwide Analysis","container-title":"The American Journal of Medicine","page":"1059-1067","volume":"130","issue":"9","source":"www.amjmed.com","DOI":"10.1016/j.amjmed.2017.01.049","ISSN":"0002-9343, 1555-7162","note":"PMID: 28238691","shortTitle":"Early Invasive Versus Initial Conservative Strategies for Women with Non–ST-Elevation Acute Coronary Syndromes","journalAbbreviation":"The American Journal of Medicine","language":"English","author":[{"family":"Elgendy","given":"Islam Y."},{"family":"Mahmoud","given":"Ahmed N."},{"family":"Mansoor","given":"Hend"},{"family":"Bavry","given":"Anthony A."}],"issued":{"date-parts":[["2017",9,1]]}}}],"schema":"https://github.com/citation-style-language/schema/raw/master/csl-citation.json"} </w:instrText>
      </w:r>
      <w:r w:rsidR="00522264" w:rsidRPr="00462B94">
        <w:rPr>
          <w:rFonts w:ascii="Book Antiqua" w:hAnsi="Book Antiqua" w:cs="Times New Roman"/>
          <w:vertAlign w:val="superscript"/>
        </w:rPr>
        <w:fldChar w:fldCharType="separate"/>
      </w:r>
      <w:r w:rsidR="00164A92" w:rsidRPr="00462B94">
        <w:rPr>
          <w:rFonts w:ascii="Book Antiqua" w:hAnsi="Book Antiqua" w:cs="Times New Roman"/>
          <w:vertAlign w:val="superscript"/>
        </w:rPr>
        <w:t>[15]</w:t>
      </w:r>
      <w:r w:rsidR="00522264" w:rsidRPr="00462B94">
        <w:rPr>
          <w:rFonts w:ascii="Book Antiqua" w:hAnsi="Book Antiqua" w:cs="Times New Roman"/>
          <w:vertAlign w:val="superscript"/>
        </w:rPr>
        <w:fldChar w:fldCharType="end"/>
      </w:r>
      <w:r w:rsidRPr="00462B94">
        <w:rPr>
          <w:rFonts w:ascii="Book Antiqua" w:hAnsi="Book Antiqua" w:cs="Times New Roman"/>
        </w:rPr>
        <w:t xml:space="preserve">. We then divided ACS population into the two cohorts: one who had baseline gout and another without gout by using ICD-9 CM codes 274.x or 274.xx in any of the secondary discharge diagnoses. </w:t>
      </w:r>
    </w:p>
    <w:p w14:paraId="37AD87D9" w14:textId="19979371" w:rsidR="00AB7CED" w:rsidRPr="00462B94" w:rsidRDefault="00AB7CED" w:rsidP="00462B94">
      <w:pPr>
        <w:spacing w:line="360" w:lineRule="auto"/>
        <w:jc w:val="both"/>
        <w:rPr>
          <w:rFonts w:ascii="Book Antiqua" w:hAnsi="Book Antiqua" w:cs="Times New Roman"/>
        </w:rPr>
      </w:pPr>
    </w:p>
    <w:p w14:paraId="670019B5" w14:textId="42D92AC7" w:rsidR="00AB7CED" w:rsidRPr="00462B94" w:rsidRDefault="00AB7CED" w:rsidP="00462B94">
      <w:pPr>
        <w:spacing w:line="360" w:lineRule="auto"/>
        <w:jc w:val="both"/>
        <w:rPr>
          <w:rFonts w:ascii="Book Antiqua" w:hAnsi="Book Antiqua" w:cs="Times New Roman"/>
          <w:b/>
          <w:bCs/>
          <w:i/>
          <w:iCs/>
        </w:rPr>
      </w:pPr>
      <w:r w:rsidRPr="00462B94">
        <w:rPr>
          <w:rFonts w:ascii="Book Antiqua" w:hAnsi="Book Antiqua" w:cs="Times New Roman"/>
          <w:b/>
          <w:bCs/>
          <w:i/>
          <w:iCs/>
        </w:rPr>
        <w:t>Study variables</w:t>
      </w:r>
    </w:p>
    <w:p w14:paraId="63986E83" w14:textId="61E7D717"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 xml:space="preserve">Patient and hospital-level variables including age, gender, race, median household income, primary payer, hospital location/teaching status, bed size, and regions were studied and compared between ACS hospitalizations with </w:t>
      </w:r>
      <w:r w:rsidR="00742FE4" w:rsidRPr="00462B94">
        <w:rPr>
          <w:rFonts w:ascii="Book Antiqua" w:hAnsi="Book Antiqua" w:cs="Times New Roman"/>
          <w:bCs/>
          <w:i/>
          <w:noProof/>
        </w:rPr>
        <w:t>vs</w:t>
      </w:r>
      <w:r w:rsidRPr="00462B94">
        <w:rPr>
          <w:rFonts w:ascii="Book Antiqua" w:hAnsi="Book Antiqua" w:cs="Times New Roman"/>
        </w:rPr>
        <w:t xml:space="preserve"> without gout. Underlying comorbid illnesses were also compared between the ACS population with </w:t>
      </w:r>
      <w:r w:rsidR="00742FE4" w:rsidRPr="00462B94">
        <w:rPr>
          <w:rFonts w:ascii="Book Antiqua" w:hAnsi="Book Antiqua" w:cs="Times New Roman"/>
          <w:bCs/>
          <w:i/>
          <w:noProof/>
        </w:rPr>
        <w:t>vs</w:t>
      </w:r>
      <w:r w:rsidRPr="00462B94">
        <w:rPr>
          <w:rFonts w:ascii="Book Antiqua" w:hAnsi="Book Antiqua" w:cs="Times New Roman"/>
        </w:rPr>
        <w:t xml:space="preserve"> without gout. Revascularization</w:t>
      </w:r>
      <w:r w:rsidR="00687586" w:rsidRPr="00462B94">
        <w:rPr>
          <w:rFonts w:ascii="Book Antiqua" w:hAnsi="Book Antiqua" w:cs="Times New Roman"/>
        </w:rPr>
        <w:t xml:space="preserve"> comprised of thrombolysis (ICD</w:t>
      </w:r>
      <w:r w:rsidRPr="00462B94">
        <w:rPr>
          <w:rFonts w:ascii="Book Antiqua" w:hAnsi="Book Antiqua" w:cs="Times New Roman"/>
        </w:rPr>
        <w:t xml:space="preserve">-9 CM diagnosis code V45.88 or procedure code 99.10), PCI (ICD-9 CM procedure codes 00.66, 36.01, 36.02, 36.05, 36.06, and 36.07, 17.55) OR CABG (ICD-9 CM procedure codes 36.10, 36.11, 36.12, 36.13, 36.14, 36.15, 36.16, 36.17, 36.19, 36.2, 36.3, 36.31, 36.32, 36.33, 36.34, 36.39). Since the NIS is an </w:t>
      </w:r>
      <w:r w:rsidRPr="00462B94">
        <w:rPr>
          <w:rFonts w:ascii="Book Antiqua" w:hAnsi="Book Antiqua" w:cs="Times New Roman"/>
        </w:rPr>
        <w:lastRenderedPageBreak/>
        <w:t>openly available database with de-identified data, our study was exempt from an Institutional Review Board authorization.</w:t>
      </w:r>
    </w:p>
    <w:p w14:paraId="16336BB1" w14:textId="64E0398B" w:rsidR="00AB7CED" w:rsidRPr="00462B94" w:rsidRDefault="00AB7CED" w:rsidP="00462B94">
      <w:pPr>
        <w:spacing w:line="360" w:lineRule="auto"/>
        <w:jc w:val="both"/>
        <w:rPr>
          <w:rFonts w:ascii="Book Antiqua" w:hAnsi="Book Antiqua" w:cs="Times New Roman"/>
        </w:rPr>
      </w:pPr>
    </w:p>
    <w:p w14:paraId="090C6C68" w14:textId="52B5BB97" w:rsidR="00AB7CED" w:rsidRPr="00462B94" w:rsidRDefault="00AB7CED" w:rsidP="00462B94">
      <w:pPr>
        <w:spacing w:line="360" w:lineRule="auto"/>
        <w:jc w:val="both"/>
        <w:rPr>
          <w:rFonts w:ascii="Book Antiqua" w:hAnsi="Book Antiqua" w:cs="Times New Roman"/>
          <w:b/>
          <w:bCs/>
          <w:i/>
          <w:iCs/>
        </w:rPr>
      </w:pPr>
      <w:r w:rsidRPr="00462B94">
        <w:rPr>
          <w:rFonts w:ascii="Book Antiqua" w:hAnsi="Book Antiqua" w:cs="Times New Roman"/>
          <w:b/>
          <w:bCs/>
          <w:i/>
          <w:iCs/>
        </w:rPr>
        <w:t>Study outcomes</w:t>
      </w:r>
    </w:p>
    <w:p w14:paraId="69D4958B" w14:textId="6785CC2A" w:rsidR="008E00EB"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 xml:space="preserve">The primary outcomes of interest were all-cause in-hospital mortality, revascularization (thrombolysis, PCI or CABG) rates, discharge disposition, length of hospital stay (LOS), and total hospital charges (denotes the total amount payable for service rather than the actual payment received). The secondary outcomes were post-revascularization complications in ACS-hospitalizations including all-cause in-hospital mortality, hemorrhage, blood transfusion, hypotension/shock, cardiac complications, postoperative myocardial infarction, stroke, respiratory complications, gastrointestinal complications including gastrointestinal hemorrhage, acute </w:t>
      </w:r>
      <w:r w:rsidR="00522264" w:rsidRPr="00462B94">
        <w:rPr>
          <w:rFonts w:ascii="Book Antiqua" w:hAnsi="Book Antiqua" w:cs="Times New Roman"/>
        </w:rPr>
        <w:t>k</w:t>
      </w:r>
      <w:r w:rsidRPr="00462B94">
        <w:rPr>
          <w:rFonts w:ascii="Book Antiqua" w:hAnsi="Book Antiqua" w:cs="Times New Roman"/>
        </w:rPr>
        <w:t xml:space="preserve">idney injury (AKI) requiring dialysis, urinary complications, postoperative infections, and predictors of in-hospital mortality. Comorbidities and postoperative complications were identifying from the secondary discharge diagnoses. The codes used in the study to identify comorbidities and post-revascularization complications are mentioned in </w:t>
      </w:r>
      <w:r w:rsidR="001C6529" w:rsidRPr="00462B94">
        <w:rPr>
          <w:rFonts w:ascii="Book Antiqua" w:hAnsi="Book Antiqua" w:cs="Times New Roman"/>
        </w:rPr>
        <w:t>S</w:t>
      </w:r>
      <w:r w:rsidRPr="00462B94">
        <w:rPr>
          <w:rFonts w:ascii="Book Antiqua" w:hAnsi="Book Antiqua" w:cs="Times New Roman"/>
        </w:rPr>
        <w:t xml:space="preserve">upplementary </w:t>
      </w:r>
      <w:r w:rsidR="001C6529" w:rsidRPr="00462B94">
        <w:rPr>
          <w:rFonts w:ascii="Book Antiqua" w:hAnsi="Book Antiqua" w:cs="Times New Roman"/>
        </w:rPr>
        <w:t>T</w:t>
      </w:r>
      <w:r w:rsidRPr="00462B94">
        <w:rPr>
          <w:rFonts w:ascii="Book Antiqua" w:hAnsi="Book Antiqua" w:cs="Times New Roman"/>
        </w:rPr>
        <w:t xml:space="preserve">able </w:t>
      </w:r>
      <w:r w:rsidR="001C6529" w:rsidRPr="00462B94">
        <w:rPr>
          <w:rFonts w:ascii="Book Antiqua" w:hAnsi="Book Antiqua" w:cs="Times New Roman"/>
        </w:rPr>
        <w:t>1</w:t>
      </w:r>
      <w:r w:rsidRPr="00462B94">
        <w:rPr>
          <w:rFonts w:ascii="Book Antiqua" w:hAnsi="Book Antiqua" w:cs="Times New Roman"/>
        </w:rPr>
        <w:t>.</w:t>
      </w:r>
      <w:r w:rsidR="008E00EB" w:rsidRPr="00462B94">
        <w:rPr>
          <w:rFonts w:ascii="Book Antiqua" w:hAnsi="Book Antiqua" w:cs="Times New Roman"/>
        </w:rPr>
        <w:t xml:space="preserve"> </w:t>
      </w:r>
    </w:p>
    <w:p w14:paraId="12F64838" w14:textId="38A24864" w:rsidR="00AB7CED" w:rsidRPr="00462B94" w:rsidRDefault="00AB7CED" w:rsidP="00462B94">
      <w:pPr>
        <w:spacing w:line="360" w:lineRule="auto"/>
        <w:jc w:val="both"/>
        <w:rPr>
          <w:rFonts w:ascii="Book Antiqua" w:hAnsi="Book Antiqua" w:cs="Times New Roman"/>
        </w:rPr>
      </w:pPr>
    </w:p>
    <w:p w14:paraId="44BFFE2B" w14:textId="3E35CF71" w:rsidR="00AB7CED" w:rsidRPr="00462B94" w:rsidRDefault="00AB7CED" w:rsidP="00462B94">
      <w:pPr>
        <w:spacing w:line="360" w:lineRule="auto"/>
        <w:jc w:val="both"/>
        <w:rPr>
          <w:rFonts w:ascii="Book Antiqua" w:hAnsi="Book Antiqua" w:cs="Times New Roman"/>
          <w:b/>
          <w:i/>
          <w:iCs/>
        </w:rPr>
      </w:pPr>
      <w:r w:rsidRPr="00462B94">
        <w:rPr>
          <w:rFonts w:ascii="Book Antiqua" w:hAnsi="Book Antiqua" w:cs="Times New Roman"/>
          <w:b/>
          <w:i/>
          <w:iCs/>
        </w:rPr>
        <w:t>Statistical analyses</w:t>
      </w:r>
    </w:p>
    <w:p w14:paraId="1B79DC4D" w14:textId="178F4C5C" w:rsidR="00866F2D" w:rsidRPr="00462B94" w:rsidRDefault="00866F2D" w:rsidP="00462B94">
      <w:pPr>
        <w:spacing w:line="360" w:lineRule="auto"/>
        <w:jc w:val="both"/>
        <w:rPr>
          <w:rFonts w:ascii="Book Antiqua" w:hAnsi="Book Antiqua" w:cs="Times New Roman"/>
          <w:b/>
        </w:rPr>
      </w:pPr>
      <w:r w:rsidRPr="00462B94">
        <w:rPr>
          <w:rFonts w:ascii="Book Antiqua" w:hAnsi="Book Antiqua" w:cs="Times New Roman"/>
        </w:rPr>
        <w:t xml:space="preserve">We integrated the discharge weights to unweighted records, to generate the national estimates. </w:t>
      </w:r>
      <w:r w:rsidR="009B057A" w:rsidRPr="00462B94">
        <w:rPr>
          <w:rFonts w:ascii="Book Antiqua" w:hAnsi="Book Antiqua" w:cs="Times New Roman"/>
        </w:rPr>
        <w:t>The missing data (&lt;</w:t>
      </w:r>
      <w:r w:rsidR="00D84623" w:rsidRPr="00462B94">
        <w:rPr>
          <w:rFonts w:ascii="Book Antiqua" w:hAnsi="Book Antiqua" w:cs="Times New Roman" w:hint="eastAsia"/>
          <w:lang w:eastAsia="zh-CN"/>
        </w:rPr>
        <w:t xml:space="preserve"> </w:t>
      </w:r>
      <w:r w:rsidR="009B057A" w:rsidRPr="00462B94">
        <w:rPr>
          <w:rFonts w:ascii="Book Antiqua" w:hAnsi="Book Antiqua" w:cs="Times New Roman"/>
        </w:rPr>
        <w:t xml:space="preserve">10% for any variable) were omitted from the analysis. </w:t>
      </w:r>
      <w:r w:rsidRPr="00462B94">
        <w:rPr>
          <w:rFonts w:ascii="Book Antiqua" w:hAnsi="Book Antiqua" w:cs="Times New Roman"/>
        </w:rPr>
        <w:t xml:space="preserve">The baseline characteristics were compared amongst ACS patients with gout and without gout by applying Pearson’s Chi-square test for categorical and Student's t-test for the continuous variable where appropriate. We developed a two-step hierarchical multivariate logistic regression model to evaluate for the patient and hospital level components, and in-hospital outcomes such as in-hospital mortality and procedural complications related to the ACS. This model permitted us to represent the possible relationship of insights into each hospital visit. Both patient and hospital level components along with all relevant comorbidities were incorporated into the multivariable model to control confounders. </w:t>
      </w:r>
      <w:r w:rsidR="009B057A" w:rsidRPr="00462B94">
        <w:rPr>
          <w:rFonts w:ascii="Book Antiqua" w:hAnsi="Book Antiqua" w:cs="Times New Roman"/>
        </w:rPr>
        <w:t xml:space="preserve">In addition to unadjusted analysis, post-revascularization outcomes were also analyzed using a propensity </w:t>
      </w:r>
      <w:r w:rsidR="009B057A" w:rsidRPr="00462B94">
        <w:rPr>
          <w:rFonts w:ascii="Book Antiqua" w:hAnsi="Book Antiqua" w:cs="Times New Roman"/>
          <w:noProof/>
        </w:rPr>
        <w:t>score</w:t>
      </w:r>
      <w:r w:rsidR="001C6529" w:rsidRPr="00462B94">
        <w:rPr>
          <w:rFonts w:ascii="Book Antiqua" w:hAnsi="Book Antiqua" w:cs="Times New Roman"/>
          <w:noProof/>
        </w:rPr>
        <w:t>-</w:t>
      </w:r>
      <w:r w:rsidR="009B057A" w:rsidRPr="00462B94">
        <w:rPr>
          <w:rFonts w:ascii="Book Antiqua" w:hAnsi="Book Antiqua" w:cs="Times New Roman"/>
          <w:noProof/>
        </w:rPr>
        <w:t>matched</w:t>
      </w:r>
      <w:r w:rsidR="009B057A" w:rsidRPr="00462B94">
        <w:rPr>
          <w:rFonts w:ascii="Book Antiqua" w:hAnsi="Book Antiqua" w:cs="Times New Roman"/>
        </w:rPr>
        <w:t xml:space="preserve"> </w:t>
      </w:r>
      <w:r w:rsidR="009B057A" w:rsidRPr="00462B94">
        <w:rPr>
          <w:rFonts w:ascii="Book Antiqua" w:hAnsi="Book Antiqua" w:cs="Times New Roman"/>
        </w:rPr>
        <w:lastRenderedPageBreak/>
        <w:t>analysis with a caliper width of 0.01 without replacement and adjusting for demographics and a</w:t>
      </w:r>
      <w:r w:rsidR="00D84623" w:rsidRPr="00462B94">
        <w:rPr>
          <w:rFonts w:ascii="Book Antiqua" w:hAnsi="Book Antiqua" w:cs="Times New Roman"/>
        </w:rPr>
        <w:t>ll relevant comorbid conditions</w:t>
      </w:r>
      <w:r w:rsidR="009B057A" w:rsidRPr="00462B94">
        <w:rPr>
          <w:rFonts w:ascii="Book Antiqua" w:hAnsi="Book Antiqua" w:cs="Times New Roman"/>
        </w:rPr>
        <w:t xml:space="preserve"> (Supplementary Table</w:t>
      </w:r>
      <w:r w:rsidR="00D84623" w:rsidRPr="00462B94">
        <w:rPr>
          <w:rFonts w:ascii="Book Antiqua" w:hAnsi="Book Antiqua" w:cs="Times New Roman" w:hint="eastAsia"/>
          <w:lang w:eastAsia="zh-CN"/>
        </w:rPr>
        <w:t>s</w:t>
      </w:r>
      <w:r w:rsidR="009B057A" w:rsidRPr="00462B94">
        <w:rPr>
          <w:rFonts w:ascii="Book Antiqua" w:hAnsi="Book Antiqua" w:cs="Times New Roman"/>
        </w:rPr>
        <w:t xml:space="preserve"> </w:t>
      </w:r>
      <w:r w:rsidR="002351FC" w:rsidRPr="00462B94">
        <w:rPr>
          <w:rFonts w:ascii="Book Antiqua" w:hAnsi="Book Antiqua" w:cs="Times New Roman"/>
        </w:rPr>
        <w:t>2</w:t>
      </w:r>
      <w:r w:rsidR="009B057A" w:rsidRPr="00462B94">
        <w:rPr>
          <w:rFonts w:ascii="Book Antiqua" w:hAnsi="Book Antiqua" w:cs="Times New Roman"/>
        </w:rPr>
        <w:t xml:space="preserve"> </w:t>
      </w:r>
      <w:r w:rsidR="00D84623" w:rsidRPr="00462B94">
        <w:rPr>
          <w:rFonts w:ascii="Book Antiqua" w:hAnsi="Book Antiqua" w:cs="Times New Roman" w:hint="eastAsia"/>
          <w:lang w:eastAsia="zh-CN"/>
        </w:rPr>
        <w:t>and</w:t>
      </w:r>
      <w:r w:rsidR="002351FC" w:rsidRPr="00462B94">
        <w:rPr>
          <w:rFonts w:ascii="Book Antiqua" w:hAnsi="Book Antiqua" w:cs="Times New Roman"/>
        </w:rPr>
        <w:t xml:space="preserve"> 3</w:t>
      </w:r>
      <w:r w:rsidR="009B057A" w:rsidRPr="00462B94">
        <w:rPr>
          <w:rFonts w:ascii="Book Antiqua" w:hAnsi="Book Antiqua" w:cs="Times New Roman"/>
        </w:rPr>
        <w:t xml:space="preserve">). </w:t>
      </w:r>
      <w:r w:rsidRPr="00462B94">
        <w:rPr>
          <w:rFonts w:ascii="Book Antiqua" w:hAnsi="Book Antiqua" w:cs="Times New Roman"/>
        </w:rPr>
        <w:t xml:space="preserve">A two-tailed </w:t>
      </w:r>
      <w:r w:rsidR="00D84623" w:rsidRPr="00462B94">
        <w:rPr>
          <w:rFonts w:ascii="Book Antiqua" w:hAnsi="Book Antiqua" w:cs="Times New Roman"/>
          <w:i/>
        </w:rPr>
        <w:t>P</w:t>
      </w:r>
      <w:r w:rsidRPr="00462B94">
        <w:rPr>
          <w:rFonts w:ascii="Book Antiqua" w:hAnsi="Book Antiqua" w:cs="Times New Roman"/>
        </w:rPr>
        <w:t>-value of &lt;</w:t>
      </w:r>
      <w:r w:rsidR="00D84623" w:rsidRPr="00462B94">
        <w:rPr>
          <w:rFonts w:ascii="Book Antiqua" w:hAnsi="Book Antiqua" w:cs="Times New Roman" w:hint="eastAsia"/>
          <w:lang w:eastAsia="zh-CN"/>
        </w:rPr>
        <w:t xml:space="preserve"> </w:t>
      </w:r>
      <w:r w:rsidRPr="00462B94">
        <w:rPr>
          <w:rFonts w:ascii="Book Antiqua" w:hAnsi="Book Antiqua" w:cs="Times New Roman"/>
        </w:rPr>
        <w:t>0.5 was considered statistically significant. All statistical analyses were completed utilizing SPSS Statistics 24 (IBM Corp., Armonk, NY).</w:t>
      </w:r>
    </w:p>
    <w:p w14:paraId="2D05318B" w14:textId="77777777" w:rsidR="00866F2D" w:rsidRPr="00462B94" w:rsidRDefault="00866F2D" w:rsidP="00462B94">
      <w:pPr>
        <w:spacing w:line="360" w:lineRule="auto"/>
        <w:jc w:val="both"/>
        <w:rPr>
          <w:rFonts w:ascii="Book Antiqua" w:hAnsi="Book Antiqua" w:cs="Times New Roman"/>
        </w:rPr>
      </w:pPr>
    </w:p>
    <w:p w14:paraId="3B4A647C" w14:textId="33B00180" w:rsidR="00866F2D" w:rsidRPr="00462B94" w:rsidRDefault="00866F2D" w:rsidP="00462B94">
      <w:pPr>
        <w:spacing w:line="360" w:lineRule="auto"/>
        <w:jc w:val="both"/>
        <w:rPr>
          <w:rFonts w:ascii="Book Antiqua" w:hAnsi="Book Antiqua" w:cs="Times New Roman"/>
          <w:b/>
        </w:rPr>
      </w:pPr>
      <w:r w:rsidRPr="00462B94">
        <w:rPr>
          <w:rFonts w:ascii="Book Antiqua" w:hAnsi="Book Antiqua" w:cs="Times New Roman"/>
          <w:b/>
        </w:rPr>
        <w:t>RESULTS</w:t>
      </w:r>
    </w:p>
    <w:p w14:paraId="02365A7B" w14:textId="68268B7C" w:rsidR="00AB7CED" w:rsidRPr="00462B94" w:rsidRDefault="00AB7CED" w:rsidP="00462B94">
      <w:pPr>
        <w:spacing w:line="360" w:lineRule="auto"/>
        <w:jc w:val="both"/>
        <w:rPr>
          <w:rFonts w:ascii="Book Antiqua" w:hAnsi="Book Antiqua" w:cs="Times New Roman"/>
          <w:b/>
          <w:i/>
          <w:iCs/>
        </w:rPr>
      </w:pPr>
      <w:r w:rsidRPr="00462B94">
        <w:rPr>
          <w:rFonts w:ascii="Book Antiqua" w:hAnsi="Book Antiqua" w:cs="Times New Roman"/>
          <w:b/>
          <w:i/>
          <w:iCs/>
        </w:rPr>
        <w:t>Population demographics and comorbidities</w:t>
      </w:r>
    </w:p>
    <w:p w14:paraId="2FFDAB5C" w14:textId="22BDA8DA" w:rsidR="00866F2D" w:rsidRPr="00462B94" w:rsidRDefault="00D84623" w:rsidP="00462B94">
      <w:pPr>
        <w:spacing w:line="360" w:lineRule="auto"/>
        <w:jc w:val="both"/>
        <w:rPr>
          <w:rFonts w:ascii="Book Antiqua" w:hAnsi="Book Antiqua" w:cs="Times New Roman"/>
        </w:rPr>
      </w:pPr>
      <w:r w:rsidRPr="00462B94">
        <w:rPr>
          <w:rFonts w:ascii="Book Antiqua" w:hAnsi="Book Antiqua" w:cs="Times New Roman"/>
        </w:rPr>
        <w:t>We identified 3144</w:t>
      </w:r>
      <w:r w:rsidR="00866F2D" w:rsidRPr="00462B94">
        <w:rPr>
          <w:rFonts w:ascii="Book Antiqua" w:hAnsi="Book Antiqua" w:cs="Times New Roman"/>
        </w:rPr>
        <w:t>744 ACS-related hospitalizations during the study period, of whom 3.34% (</w:t>
      </w:r>
      <w:r w:rsidRPr="00462B94">
        <w:rPr>
          <w:rFonts w:ascii="Book Antiqua" w:hAnsi="Book Antiqua" w:cs="Times New Roman"/>
          <w:i/>
        </w:rPr>
        <w:t>n</w:t>
      </w:r>
      <w:r w:rsidRPr="00462B94">
        <w:rPr>
          <w:rFonts w:ascii="Book Antiqua" w:hAnsi="Book Antiqua" w:cs="Times New Roman" w:hint="eastAsia"/>
          <w:lang w:eastAsia="zh-CN"/>
        </w:rPr>
        <w:t xml:space="preserve"> </w:t>
      </w:r>
      <w:r w:rsidR="00866F2D" w:rsidRPr="00462B94">
        <w:rPr>
          <w:rFonts w:ascii="Book Antiqua" w:hAnsi="Book Antiqua" w:cs="Times New Roman"/>
        </w:rPr>
        <w:t>=</w:t>
      </w:r>
      <w:r w:rsidRPr="00462B94">
        <w:rPr>
          <w:rFonts w:ascii="Book Antiqua" w:hAnsi="Book Antiqua" w:cs="Times New Roman" w:hint="eastAsia"/>
          <w:lang w:eastAsia="zh-CN"/>
        </w:rPr>
        <w:t xml:space="preserve"> </w:t>
      </w:r>
      <w:r w:rsidRPr="00462B94">
        <w:rPr>
          <w:rFonts w:ascii="Book Antiqua" w:hAnsi="Book Antiqua" w:cs="Times New Roman"/>
        </w:rPr>
        <w:t>105</w:t>
      </w:r>
      <w:r w:rsidR="00866F2D" w:rsidRPr="00462B94">
        <w:rPr>
          <w:rFonts w:ascii="Book Antiqua" w:hAnsi="Book Antiqua" w:cs="Times New Roman"/>
        </w:rPr>
        <w:t xml:space="preserve">198) also had gout as </w:t>
      </w:r>
      <w:r w:rsidR="00866F2D" w:rsidRPr="00462B94">
        <w:rPr>
          <w:rFonts w:ascii="Book Antiqua" w:hAnsi="Book Antiqua" w:cs="Times New Roman"/>
          <w:noProof/>
        </w:rPr>
        <w:t>comorbidity</w:t>
      </w:r>
      <w:r w:rsidR="00866F2D" w:rsidRPr="00462B94">
        <w:rPr>
          <w:rFonts w:ascii="Book Antiqua" w:hAnsi="Book Antiqua" w:cs="Times New Roman"/>
        </w:rPr>
        <w:t xml:space="preserve"> </w:t>
      </w:r>
      <w:r w:rsidR="00866F2D" w:rsidRPr="00462B94">
        <w:rPr>
          <w:rFonts w:ascii="Book Antiqua" w:hAnsi="Book Antiqua" w:cs="Times New Roman"/>
          <w:bCs/>
        </w:rPr>
        <w:t xml:space="preserve">(Table </w:t>
      </w:r>
      <w:r w:rsidR="002A647E" w:rsidRPr="00462B94">
        <w:rPr>
          <w:rFonts w:ascii="Book Antiqua" w:hAnsi="Book Antiqua" w:cs="Times New Roman"/>
          <w:bCs/>
        </w:rPr>
        <w:t>1</w:t>
      </w:r>
      <w:r w:rsidR="00866F2D" w:rsidRPr="00462B94">
        <w:rPr>
          <w:rFonts w:ascii="Book Antiqua" w:hAnsi="Book Antiqua" w:cs="Times New Roman"/>
          <w:bCs/>
        </w:rPr>
        <w:t>)</w:t>
      </w:r>
      <w:r w:rsidR="00866F2D" w:rsidRPr="00462B94">
        <w:rPr>
          <w:rFonts w:ascii="Book Antiqua" w:hAnsi="Book Antiqua" w:cs="Times New Roman"/>
        </w:rPr>
        <w:t>. Patients with gout were older with more than two-thirds being &gt;</w:t>
      </w:r>
      <w:r w:rsidRPr="00462B94">
        <w:rPr>
          <w:rFonts w:ascii="Book Antiqua" w:hAnsi="Book Antiqua" w:cs="Times New Roman" w:hint="eastAsia"/>
          <w:lang w:eastAsia="zh-CN"/>
        </w:rPr>
        <w:t xml:space="preserve"> </w:t>
      </w:r>
      <w:r w:rsidR="00866F2D" w:rsidRPr="00462B94">
        <w:rPr>
          <w:rFonts w:ascii="Book Antiqua" w:hAnsi="Book Antiqua" w:cs="Times New Roman"/>
        </w:rPr>
        <w:t>65 years old (mean age 71.3 years), white (71.8%), mostly males (74%), and Medicare enrollees (69.1%). Interestingly, the ACS-gout cohort consisted of comparatively higher median household income population (76-100</w:t>
      </w:r>
      <w:r w:rsidR="00866F2D" w:rsidRPr="00462B94">
        <w:rPr>
          <w:rFonts w:ascii="Book Antiqua" w:hAnsi="Book Antiqua" w:cs="Times New Roman"/>
          <w:vertAlign w:val="superscript"/>
        </w:rPr>
        <w:t>th</w:t>
      </w:r>
      <w:r w:rsidR="00866F2D" w:rsidRPr="00462B94">
        <w:rPr>
          <w:rFonts w:ascii="Book Antiqua" w:hAnsi="Book Antiqua" w:cs="Times New Roman"/>
        </w:rPr>
        <w:t xml:space="preserve"> percentile: 21.9% </w:t>
      </w:r>
      <w:r w:rsidR="00742FE4" w:rsidRPr="00462B94">
        <w:rPr>
          <w:rFonts w:ascii="Book Antiqua" w:hAnsi="Book Antiqua" w:cs="Times New Roman"/>
          <w:bCs/>
          <w:i/>
          <w:noProof/>
        </w:rPr>
        <w:t>vs</w:t>
      </w:r>
      <w:r w:rsidR="00866F2D" w:rsidRPr="00462B94">
        <w:rPr>
          <w:rFonts w:ascii="Book Antiqua" w:hAnsi="Book Antiqua" w:cs="Times New Roman"/>
        </w:rPr>
        <w:t xml:space="preserve"> 19.1%,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and were more likely to be admitted to urban-teaching (54.3% </w:t>
      </w:r>
      <w:r w:rsidR="00742FE4" w:rsidRPr="00462B94">
        <w:rPr>
          <w:rFonts w:ascii="Book Antiqua" w:hAnsi="Book Antiqua" w:cs="Times New Roman"/>
          <w:bCs/>
          <w:i/>
          <w:noProof/>
        </w:rPr>
        <w:t>vs</w:t>
      </w:r>
      <w:r w:rsidR="00866F2D" w:rsidRPr="00462B94">
        <w:rPr>
          <w:rFonts w:ascii="Book Antiqua" w:hAnsi="Book Antiqua" w:cs="Times New Roman"/>
        </w:rPr>
        <w:t xml:space="preserve"> 50.5%,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and Southern region hospitals (20.6% </w:t>
      </w:r>
      <w:r w:rsidR="00742FE4" w:rsidRPr="00462B94">
        <w:rPr>
          <w:rFonts w:ascii="Book Antiqua" w:hAnsi="Book Antiqua" w:cs="Times New Roman"/>
          <w:bCs/>
          <w:i/>
          <w:noProof/>
        </w:rPr>
        <w:t>vs</w:t>
      </w:r>
      <w:r w:rsidR="00866F2D" w:rsidRPr="00462B94">
        <w:rPr>
          <w:rFonts w:ascii="Book Antiqua" w:hAnsi="Book Antiqua" w:cs="Times New Roman"/>
        </w:rPr>
        <w:t xml:space="preserve"> 17.7%,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as compared to those without gout. </w:t>
      </w:r>
      <w:r w:rsidR="001C6529" w:rsidRPr="00462B94">
        <w:rPr>
          <w:rFonts w:ascii="Book Antiqua" w:hAnsi="Book Antiqua" w:cs="Times New Roman"/>
          <w:noProof/>
        </w:rPr>
        <w:t>The m</w:t>
      </w:r>
      <w:r w:rsidR="00866F2D" w:rsidRPr="00462B94">
        <w:rPr>
          <w:rFonts w:ascii="Book Antiqua" w:hAnsi="Book Antiqua" w:cs="Times New Roman"/>
          <w:noProof/>
        </w:rPr>
        <w:t>ajority</w:t>
      </w:r>
      <w:r w:rsidR="00866F2D" w:rsidRPr="00462B94">
        <w:rPr>
          <w:rFonts w:ascii="Book Antiqua" w:hAnsi="Book Antiqua" w:cs="Times New Roman"/>
        </w:rPr>
        <w:t xml:space="preserve"> (94.1%) of admissions w</w:t>
      </w:r>
      <w:r w:rsidR="00062EC4" w:rsidRPr="00462B94">
        <w:rPr>
          <w:rFonts w:ascii="Book Antiqua" w:hAnsi="Book Antiqua" w:cs="Times New Roman" w:hint="eastAsia"/>
          <w:lang w:eastAsia="zh-CN"/>
        </w:rPr>
        <w:t>as</w:t>
      </w:r>
      <w:r w:rsidR="00866F2D" w:rsidRPr="00462B94">
        <w:rPr>
          <w:rFonts w:ascii="Book Antiqua" w:hAnsi="Book Antiqua" w:cs="Times New Roman"/>
        </w:rPr>
        <w:t xml:space="preserve"> non-elective, and 74.4% of admissions occurred on the weekdays. As compared to ACS patients without gout, those with gout had a higher prevalence of baseline comorbidities, except CHF and previous history of cardiac arrest </w:t>
      </w:r>
      <w:r w:rsidR="00866F2D" w:rsidRPr="00462B94">
        <w:rPr>
          <w:rFonts w:ascii="Book Antiqua" w:hAnsi="Book Antiqua" w:cs="Times New Roman"/>
          <w:bCs/>
        </w:rPr>
        <w:t xml:space="preserve">(Table </w:t>
      </w:r>
      <w:r w:rsidR="002A647E" w:rsidRPr="00462B94">
        <w:rPr>
          <w:rFonts w:ascii="Book Antiqua" w:hAnsi="Book Antiqua" w:cs="Times New Roman"/>
          <w:bCs/>
        </w:rPr>
        <w:t>2</w:t>
      </w:r>
      <w:r w:rsidR="00866F2D" w:rsidRPr="00462B94">
        <w:rPr>
          <w:rFonts w:ascii="Book Antiqua" w:hAnsi="Book Antiqua" w:cs="Times New Roman"/>
          <w:bCs/>
        </w:rPr>
        <w:t>)</w:t>
      </w:r>
      <w:r w:rsidR="00866F2D" w:rsidRPr="00462B94">
        <w:rPr>
          <w:rFonts w:ascii="Book Antiqua" w:hAnsi="Book Antiqua" w:cs="Times New Roman"/>
        </w:rPr>
        <w:t xml:space="preserve">. The ACS-gout patients had higher frequency of traditional comorbid risk factors such as: hypertension (83.3% </w:t>
      </w:r>
      <w:r w:rsidR="00742FE4" w:rsidRPr="00462B94">
        <w:rPr>
          <w:rFonts w:ascii="Book Antiqua" w:hAnsi="Book Antiqua" w:cs="Times New Roman"/>
          <w:bCs/>
          <w:i/>
          <w:noProof/>
        </w:rPr>
        <w:t>vs</w:t>
      </w:r>
      <w:r w:rsidR="00866F2D" w:rsidRPr="00462B94">
        <w:rPr>
          <w:rFonts w:ascii="Book Antiqua" w:hAnsi="Book Antiqua" w:cs="Times New Roman"/>
        </w:rPr>
        <w:t xml:space="preserve"> 71.4%,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dyslipidemia (71.0% </w:t>
      </w:r>
      <w:r w:rsidR="00742FE4" w:rsidRPr="00462B94">
        <w:rPr>
          <w:rFonts w:ascii="Book Antiqua" w:hAnsi="Book Antiqua" w:cs="Times New Roman"/>
          <w:bCs/>
          <w:i/>
          <w:noProof/>
        </w:rPr>
        <w:t>vs</w:t>
      </w:r>
      <w:r w:rsidR="00866F2D" w:rsidRPr="00462B94">
        <w:rPr>
          <w:rFonts w:ascii="Book Antiqua" w:hAnsi="Book Antiqua" w:cs="Times New Roman"/>
        </w:rPr>
        <w:t xml:space="preserve"> 61.8%,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diabetes (46.7% </w:t>
      </w:r>
      <w:r w:rsidR="00742FE4" w:rsidRPr="00462B94">
        <w:rPr>
          <w:rFonts w:ascii="Book Antiqua" w:hAnsi="Book Antiqua" w:cs="Times New Roman"/>
          <w:bCs/>
          <w:i/>
          <w:noProof/>
        </w:rPr>
        <w:t>vs</w:t>
      </w:r>
      <w:r w:rsidR="00866F2D" w:rsidRPr="00462B94">
        <w:rPr>
          <w:rFonts w:ascii="Book Antiqua" w:hAnsi="Book Antiqua" w:cs="Times New Roman"/>
        </w:rPr>
        <w:t xml:space="preserve"> 36.6%,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and obesity (21.9% </w:t>
      </w:r>
      <w:r w:rsidR="00742FE4" w:rsidRPr="00462B94">
        <w:rPr>
          <w:rFonts w:ascii="Book Antiqua" w:hAnsi="Book Antiqua" w:cs="Times New Roman"/>
          <w:bCs/>
          <w:i/>
          <w:noProof/>
        </w:rPr>
        <w:t>vs</w:t>
      </w:r>
      <w:r w:rsidR="00866F2D" w:rsidRPr="00462B94">
        <w:rPr>
          <w:rFonts w:ascii="Book Antiqua" w:hAnsi="Book Antiqua" w:cs="Times New Roman"/>
        </w:rPr>
        <w:t xml:space="preserve"> 14.6%,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They also had the higher prevalence of chronic kidney disease (45.5% </w:t>
      </w:r>
      <w:r w:rsidR="00742FE4" w:rsidRPr="00462B94">
        <w:rPr>
          <w:rFonts w:ascii="Book Antiqua" w:hAnsi="Book Antiqua" w:cs="Times New Roman"/>
          <w:bCs/>
          <w:i/>
          <w:noProof/>
        </w:rPr>
        <w:t>vs</w:t>
      </w:r>
      <w:r w:rsidR="00866F2D" w:rsidRPr="00462B94">
        <w:rPr>
          <w:rFonts w:ascii="Book Antiqua" w:hAnsi="Book Antiqua" w:cs="Times New Roman"/>
        </w:rPr>
        <w:t xml:space="preserve"> 19.0%,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AKI (45% </w:t>
      </w:r>
      <w:r w:rsidR="00866F2D" w:rsidRPr="00462B94">
        <w:rPr>
          <w:rFonts w:ascii="Book Antiqua" w:hAnsi="Book Antiqua" w:cs="Times New Roman"/>
          <w:i/>
        </w:rPr>
        <w:t xml:space="preserve">vs </w:t>
      </w:r>
      <w:r w:rsidR="00866F2D" w:rsidRPr="00462B94">
        <w:rPr>
          <w:rFonts w:ascii="Book Antiqua" w:hAnsi="Book Antiqua" w:cs="Times New Roman"/>
        </w:rPr>
        <w:t xml:space="preserve">18.7%,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and deficiency anemias (26.7% </w:t>
      </w:r>
      <w:r w:rsidR="00866F2D" w:rsidRPr="00462B94">
        <w:rPr>
          <w:rFonts w:ascii="Book Antiqua" w:hAnsi="Book Antiqua" w:cs="Times New Roman"/>
          <w:i/>
        </w:rPr>
        <w:t>vs</w:t>
      </w:r>
      <w:r w:rsidR="00866F2D" w:rsidRPr="00462B94">
        <w:rPr>
          <w:rFonts w:ascii="Book Antiqua" w:hAnsi="Book Antiqua" w:cs="Times New Roman"/>
        </w:rPr>
        <w:t xml:space="preserve"> 16.0%, </w:t>
      </w:r>
      <w:r w:rsidR="00742FE4" w:rsidRPr="00462B94">
        <w:rPr>
          <w:rFonts w:ascii="Book Antiqua" w:hAnsi="Book Antiqua" w:cs="Times New Roman"/>
          <w:i/>
        </w:rPr>
        <w:t xml:space="preserve">P &lt; </w:t>
      </w:r>
      <w:r w:rsidR="00866F2D" w:rsidRPr="00462B94">
        <w:rPr>
          <w:rFonts w:ascii="Book Antiqua" w:hAnsi="Book Antiqua" w:cs="Times New Roman"/>
        </w:rPr>
        <w:t xml:space="preserve">0.001). </w:t>
      </w:r>
    </w:p>
    <w:p w14:paraId="493CD0CE" w14:textId="0D779A3F" w:rsidR="00AB7CED" w:rsidRPr="00462B94" w:rsidRDefault="00AB7CED" w:rsidP="00462B94">
      <w:pPr>
        <w:spacing w:line="360" w:lineRule="auto"/>
        <w:jc w:val="both"/>
        <w:rPr>
          <w:rFonts w:ascii="Book Antiqua" w:hAnsi="Book Antiqua" w:cs="Times New Roman"/>
        </w:rPr>
      </w:pPr>
    </w:p>
    <w:p w14:paraId="40651803" w14:textId="74CF979F" w:rsidR="00AB7CED" w:rsidRPr="00462B94" w:rsidRDefault="00AB7CED" w:rsidP="00462B94">
      <w:pPr>
        <w:spacing w:line="360" w:lineRule="auto"/>
        <w:jc w:val="both"/>
        <w:rPr>
          <w:rFonts w:ascii="Book Antiqua" w:hAnsi="Book Antiqua" w:cs="Times New Roman"/>
          <w:b/>
          <w:bCs/>
          <w:i/>
          <w:iCs/>
        </w:rPr>
      </w:pPr>
      <w:r w:rsidRPr="00462B94">
        <w:rPr>
          <w:rFonts w:ascii="Book Antiqua" w:hAnsi="Book Antiqua" w:cs="Times New Roman"/>
          <w:b/>
          <w:bCs/>
          <w:i/>
          <w:iCs/>
        </w:rPr>
        <w:t>Revascularization rates and in-hospital outcomes in ACS-related hospitalizations with vs. without gout</w:t>
      </w:r>
    </w:p>
    <w:p w14:paraId="31A3B8BF" w14:textId="00C9BB58"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 xml:space="preserve">As shown in </w:t>
      </w:r>
      <w:r w:rsidRPr="00462B94">
        <w:rPr>
          <w:rFonts w:ascii="Book Antiqua" w:hAnsi="Book Antiqua" w:cs="Times New Roman"/>
          <w:bCs/>
        </w:rPr>
        <w:t xml:space="preserve">Table </w:t>
      </w:r>
      <w:r w:rsidR="002A647E" w:rsidRPr="00462B94">
        <w:rPr>
          <w:rFonts w:ascii="Book Antiqua" w:hAnsi="Book Antiqua" w:cs="Times New Roman"/>
          <w:bCs/>
        </w:rPr>
        <w:t>2</w:t>
      </w:r>
      <w:r w:rsidRPr="00462B94">
        <w:rPr>
          <w:rFonts w:ascii="Book Antiqua" w:hAnsi="Book Antiqua" w:cs="Times New Roman"/>
        </w:rPr>
        <w:t xml:space="preserve">, the ACS patients with gout had </w:t>
      </w:r>
      <w:r w:rsidR="001C6529" w:rsidRPr="00462B94">
        <w:rPr>
          <w:rFonts w:ascii="Book Antiqua" w:hAnsi="Book Antiqua" w:cs="Times New Roman"/>
        </w:rPr>
        <w:t xml:space="preserve">a </w:t>
      </w:r>
      <w:r w:rsidRPr="00462B94">
        <w:rPr>
          <w:rFonts w:ascii="Book Antiqua" w:hAnsi="Book Antiqua" w:cs="Times New Roman"/>
          <w:noProof/>
        </w:rPr>
        <w:t>higher</w:t>
      </w:r>
      <w:r w:rsidRPr="00462B94">
        <w:rPr>
          <w:rFonts w:ascii="Book Antiqua" w:hAnsi="Book Antiqua" w:cs="Times New Roman"/>
        </w:rPr>
        <w:t xml:space="preserve"> rate of undergoing CABG (9.2% </w:t>
      </w:r>
      <w:r w:rsidR="00742FE4" w:rsidRPr="00462B94">
        <w:rPr>
          <w:rFonts w:ascii="Book Antiqua" w:hAnsi="Book Antiqua" w:cs="Times New Roman"/>
          <w:bCs/>
          <w:i/>
          <w:noProof/>
        </w:rPr>
        <w:t>vs</w:t>
      </w:r>
      <w:r w:rsidRPr="00462B94">
        <w:rPr>
          <w:rFonts w:ascii="Book Antiqua" w:hAnsi="Book Antiqua" w:cs="Times New Roman"/>
        </w:rPr>
        <w:t xml:space="preserve"> 8.1%, </w:t>
      </w:r>
      <w:r w:rsidR="00742FE4" w:rsidRPr="00462B94">
        <w:rPr>
          <w:rFonts w:ascii="Book Antiqua" w:hAnsi="Book Antiqua" w:cs="Times New Roman"/>
          <w:i/>
        </w:rPr>
        <w:t xml:space="preserve">P &lt; </w:t>
      </w:r>
      <w:r w:rsidRPr="00462B94">
        <w:rPr>
          <w:rFonts w:ascii="Book Antiqua" w:hAnsi="Book Antiqua" w:cs="Times New Roman"/>
        </w:rPr>
        <w:t xml:space="preserve">0.001) as compared to those without gout. All-cause in-hospital mortality associated with revascularization was lower in the ACS patients with gout compared to those without gout (4.3% </w:t>
      </w:r>
      <w:r w:rsidR="00742FE4" w:rsidRPr="00462B94">
        <w:rPr>
          <w:rFonts w:ascii="Book Antiqua" w:hAnsi="Book Antiqua" w:cs="Times New Roman"/>
          <w:bCs/>
          <w:i/>
          <w:noProof/>
        </w:rPr>
        <w:t>vs</w:t>
      </w:r>
      <w:r w:rsidRPr="00462B94">
        <w:rPr>
          <w:rFonts w:ascii="Book Antiqua" w:hAnsi="Book Antiqua" w:cs="Times New Roman"/>
        </w:rPr>
        <w:t xml:space="preserve"> 5.0%, </w:t>
      </w:r>
      <w:r w:rsidR="00B47B54" w:rsidRPr="00462B94">
        <w:rPr>
          <w:rFonts w:ascii="Book Antiqua" w:hAnsi="Book Antiqua" w:cs="Times New Roman"/>
          <w:i/>
        </w:rPr>
        <w:t>P</w:t>
      </w:r>
      <w:r w:rsidRPr="00462B94">
        <w:rPr>
          <w:rFonts w:ascii="Book Antiqua" w:hAnsi="Book Antiqua" w:cs="Times New Roman"/>
        </w:rPr>
        <w:t xml:space="preserve"> &lt;</w:t>
      </w:r>
      <w:r w:rsidR="00B47B54" w:rsidRPr="00462B94">
        <w:rPr>
          <w:rFonts w:ascii="Book Antiqua" w:hAnsi="Book Antiqua" w:cs="Times New Roman" w:hint="eastAsia"/>
          <w:lang w:eastAsia="zh-CN"/>
        </w:rPr>
        <w:t xml:space="preserve"> </w:t>
      </w:r>
      <w:r w:rsidRPr="00462B94">
        <w:rPr>
          <w:rFonts w:ascii="Book Antiqua" w:hAnsi="Book Antiqua" w:cs="Times New Roman"/>
        </w:rPr>
        <w:t xml:space="preserve">0.001). Gout patients were more likely </w:t>
      </w:r>
      <w:r w:rsidRPr="00462B94">
        <w:rPr>
          <w:rFonts w:ascii="Book Antiqua" w:hAnsi="Book Antiqua" w:cs="Times New Roman"/>
        </w:rPr>
        <w:lastRenderedPageBreak/>
        <w:t xml:space="preserve">to be discharged to skilled nursing facilities, intermediate care facility or similar facilities (14.8% </w:t>
      </w:r>
      <w:r w:rsidR="00742FE4" w:rsidRPr="00462B94">
        <w:rPr>
          <w:rFonts w:ascii="Book Antiqua" w:hAnsi="Book Antiqua" w:cs="Times New Roman"/>
          <w:bCs/>
          <w:i/>
          <w:noProof/>
        </w:rPr>
        <w:t>vs</w:t>
      </w:r>
      <w:r w:rsidRPr="00462B94">
        <w:rPr>
          <w:rFonts w:ascii="Book Antiqua" w:hAnsi="Book Antiqua" w:cs="Times New Roman"/>
        </w:rPr>
        <w:t xml:space="preserve"> 12.1%, </w:t>
      </w:r>
      <w:r w:rsidR="00742FE4" w:rsidRPr="00462B94">
        <w:rPr>
          <w:rFonts w:ascii="Book Antiqua" w:hAnsi="Book Antiqua" w:cs="Times New Roman"/>
          <w:i/>
        </w:rPr>
        <w:t xml:space="preserve">P &lt; </w:t>
      </w:r>
      <w:r w:rsidRPr="00462B94">
        <w:rPr>
          <w:rFonts w:ascii="Book Antiqua" w:hAnsi="Book Antiqua" w:cs="Times New Roman"/>
        </w:rPr>
        <w:t xml:space="preserve">0.001) and were less likely to be discharged routinely (56.7% </w:t>
      </w:r>
      <w:r w:rsidR="00742FE4" w:rsidRPr="00462B94">
        <w:rPr>
          <w:rFonts w:ascii="Book Antiqua" w:hAnsi="Book Antiqua" w:cs="Times New Roman"/>
          <w:bCs/>
          <w:i/>
          <w:noProof/>
        </w:rPr>
        <w:t>vs</w:t>
      </w:r>
      <w:r w:rsidRPr="00462B94">
        <w:rPr>
          <w:rFonts w:ascii="Book Antiqua" w:hAnsi="Book Antiqua" w:cs="Times New Roman"/>
        </w:rPr>
        <w:t xml:space="preserve"> 61.8%, </w:t>
      </w:r>
      <w:r w:rsidR="00742FE4" w:rsidRPr="00462B94">
        <w:rPr>
          <w:rFonts w:ascii="Book Antiqua" w:hAnsi="Book Antiqua" w:cs="Times New Roman"/>
          <w:i/>
        </w:rPr>
        <w:t xml:space="preserve">P &lt; </w:t>
      </w:r>
      <w:r w:rsidRPr="00462B94">
        <w:rPr>
          <w:rFonts w:ascii="Book Antiqua" w:hAnsi="Book Antiqua" w:cs="Times New Roman"/>
        </w:rPr>
        <w:t xml:space="preserve">0.001). The average LOS was higher (5.1 </w:t>
      </w:r>
      <w:r w:rsidR="00B47B54" w:rsidRPr="00462B94">
        <w:rPr>
          <w:rFonts w:ascii="Book Antiqua" w:hAnsi="Book Antiqua" w:cs="Times New Roman" w:hint="eastAsia"/>
          <w:lang w:eastAsia="zh-CN"/>
        </w:rPr>
        <w:t xml:space="preserve">d </w:t>
      </w:r>
      <w:r w:rsidR="00742FE4" w:rsidRPr="00462B94">
        <w:rPr>
          <w:rFonts w:ascii="Book Antiqua" w:hAnsi="Book Antiqua" w:cs="Times New Roman"/>
          <w:bCs/>
          <w:i/>
          <w:noProof/>
        </w:rPr>
        <w:t>vs</w:t>
      </w:r>
      <w:r w:rsidRPr="00462B94">
        <w:rPr>
          <w:rFonts w:ascii="Book Antiqua" w:hAnsi="Book Antiqua" w:cs="Times New Roman"/>
        </w:rPr>
        <w:t xml:space="preserve"> 4.5 d, </w:t>
      </w:r>
      <w:r w:rsidR="00742FE4" w:rsidRPr="00462B94">
        <w:rPr>
          <w:rFonts w:ascii="Book Antiqua" w:hAnsi="Book Antiqua" w:cs="Times New Roman"/>
          <w:i/>
        </w:rPr>
        <w:t xml:space="preserve">P &lt; </w:t>
      </w:r>
      <w:r w:rsidRPr="00462B94">
        <w:rPr>
          <w:rFonts w:ascii="Book Antiqua" w:hAnsi="Book Antiqua" w:cs="Times New Roman"/>
        </w:rPr>
        <w:t>0.001) and mean total ho</w:t>
      </w:r>
      <w:r w:rsidR="00B47B54" w:rsidRPr="00462B94">
        <w:rPr>
          <w:rFonts w:ascii="Book Antiqua" w:hAnsi="Book Antiqua" w:cs="Times New Roman"/>
        </w:rPr>
        <w:t>spital charges were higher ($72</w:t>
      </w:r>
      <w:r w:rsidRPr="00462B94">
        <w:rPr>
          <w:rFonts w:ascii="Book Antiqua" w:hAnsi="Book Antiqua" w:cs="Times New Roman"/>
        </w:rPr>
        <w:t xml:space="preserve">328 </w:t>
      </w:r>
      <w:r w:rsidR="00742FE4" w:rsidRPr="00462B94">
        <w:rPr>
          <w:rFonts w:ascii="Book Antiqua" w:hAnsi="Book Antiqua" w:cs="Times New Roman"/>
          <w:bCs/>
          <w:i/>
          <w:noProof/>
        </w:rPr>
        <w:t>vs</w:t>
      </w:r>
      <w:r w:rsidR="00B47B54" w:rsidRPr="00462B94">
        <w:rPr>
          <w:rFonts w:ascii="Book Antiqua" w:hAnsi="Book Antiqua" w:cs="Times New Roman"/>
        </w:rPr>
        <w:t xml:space="preserve"> $71</w:t>
      </w:r>
      <w:r w:rsidRPr="00462B94">
        <w:rPr>
          <w:rFonts w:ascii="Book Antiqua" w:hAnsi="Book Antiqua" w:cs="Times New Roman"/>
        </w:rPr>
        <w:t xml:space="preserve">312, </w:t>
      </w:r>
      <w:r w:rsidR="00742FE4" w:rsidRPr="00462B94">
        <w:rPr>
          <w:rFonts w:ascii="Book Antiqua" w:hAnsi="Book Antiqua" w:cs="Times New Roman"/>
          <w:i/>
        </w:rPr>
        <w:t xml:space="preserve">P &lt; </w:t>
      </w:r>
      <w:r w:rsidRPr="00462B94">
        <w:rPr>
          <w:rFonts w:ascii="Book Antiqua" w:hAnsi="Book Antiqua" w:cs="Times New Roman"/>
        </w:rPr>
        <w:t>0.001) for ACS patients with gout compared to those without gout</w:t>
      </w:r>
      <w:r w:rsidR="001377EE" w:rsidRPr="00462B94">
        <w:rPr>
          <w:rFonts w:ascii="Book Antiqua" w:hAnsi="Book Antiqua" w:cs="Times New Roman"/>
        </w:rPr>
        <w:t xml:space="preserve"> </w:t>
      </w:r>
      <w:r w:rsidR="001377EE" w:rsidRPr="00462B94">
        <w:rPr>
          <w:rFonts w:ascii="Book Antiqua" w:hAnsi="Book Antiqua" w:cs="Times New Roman"/>
          <w:bCs/>
        </w:rPr>
        <w:t xml:space="preserve">(Table </w:t>
      </w:r>
      <w:r w:rsidR="002351FC" w:rsidRPr="00462B94">
        <w:rPr>
          <w:rFonts w:ascii="Book Antiqua" w:hAnsi="Book Antiqua" w:cs="Times New Roman"/>
          <w:bCs/>
        </w:rPr>
        <w:t>3</w:t>
      </w:r>
      <w:r w:rsidR="001377EE" w:rsidRPr="00462B94">
        <w:rPr>
          <w:rFonts w:ascii="Book Antiqua" w:hAnsi="Book Antiqua" w:cs="Times New Roman"/>
          <w:bCs/>
        </w:rPr>
        <w:t>).</w:t>
      </w:r>
      <w:r w:rsidR="001377EE" w:rsidRPr="00462B94">
        <w:rPr>
          <w:rFonts w:ascii="Book Antiqua" w:hAnsi="Book Antiqua" w:cs="Times New Roman"/>
        </w:rPr>
        <w:t xml:space="preserve"> </w:t>
      </w:r>
    </w:p>
    <w:p w14:paraId="165FF65E" w14:textId="62E9E89C" w:rsidR="00AB7CED" w:rsidRPr="00462B94" w:rsidRDefault="00AB7CED" w:rsidP="00462B94">
      <w:pPr>
        <w:spacing w:line="360" w:lineRule="auto"/>
        <w:jc w:val="both"/>
        <w:rPr>
          <w:rFonts w:ascii="Book Antiqua" w:hAnsi="Book Antiqua" w:cs="Times New Roman"/>
        </w:rPr>
      </w:pPr>
    </w:p>
    <w:p w14:paraId="428D8968" w14:textId="57B44BE2" w:rsidR="00AB7CED" w:rsidRPr="00462B94" w:rsidRDefault="00AB7CED" w:rsidP="00462B94">
      <w:pPr>
        <w:spacing w:line="360" w:lineRule="auto"/>
        <w:jc w:val="both"/>
        <w:rPr>
          <w:rFonts w:ascii="Book Antiqua" w:hAnsi="Book Antiqua" w:cs="Times New Roman"/>
          <w:b/>
          <w:bCs/>
          <w:i/>
          <w:iCs/>
        </w:rPr>
      </w:pPr>
      <w:r w:rsidRPr="00462B94">
        <w:rPr>
          <w:rFonts w:ascii="Book Antiqua" w:hAnsi="Book Antiqua" w:cs="Times New Roman"/>
          <w:b/>
          <w:bCs/>
          <w:i/>
          <w:iCs/>
        </w:rPr>
        <w:t>Post-revascularization outcomes in ACS hospitalizations with gout</w:t>
      </w:r>
    </w:p>
    <w:p w14:paraId="70F3466F" w14:textId="57A640AB"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 xml:space="preserve">The ACS-gout cohort undergoing PCI or CABG demonstrated a higher number of postoperative complications including cardiovascular, respiratory, stroke, hemorrhage, hypotension/shock, need of blood transfusion, AKI requiring dialysis, and gastrointestinal and urinary complications as compared to those without gout </w:t>
      </w:r>
      <w:r w:rsidRPr="00462B94">
        <w:rPr>
          <w:rFonts w:ascii="Book Antiqua" w:hAnsi="Book Antiqua" w:cs="Times New Roman"/>
          <w:bCs/>
        </w:rPr>
        <w:t xml:space="preserve">(Table </w:t>
      </w:r>
      <w:r w:rsidR="00AB7CED" w:rsidRPr="00462B94">
        <w:rPr>
          <w:rFonts w:ascii="Book Antiqua" w:hAnsi="Book Antiqua" w:cs="Times New Roman"/>
          <w:bCs/>
        </w:rPr>
        <w:t>3</w:t>
      </w:r>
      <w:r w:rsidRPr="00462B94">
        <w:rPr>
          <w:rFonts w:ascii="Book Antiqua" w:hAnsi="Book Antiqua" w:cs="Times New Roman"/>
          <w:bCs/>
        </w:rPr>
        <w:t>)</w:t>
      </w:r>
      <w:r w:rsidRPr="00462B94">
        <w:rPr>
          <w:rFonts w:ascii="Book Antiqua" w:hAnsi="Book Antiqua" w:cs="Times New Roman"/>
        </w:rPr>
        <w:t xml:space="preserve">. However, overall in-hospital mortality was lower (2.2% </w:t>
      </w:r>
      <w:r w:rsidR="00742FE4" w:rsidRPr="00462B94">
        <w:rPr>
          <w:rFonts w:ascii="Book Antiqua" w:hAnsi="Book Antiqua" w:cs="Times New Roman"/>
          <w:bCs/>
          <w:i/>
          <w:noProof/>
        </w:rPr>
        <w:t>vs</w:t>
      </w:r>
      <w:r w:rsidRPr="00462B94">
        <w:rPr>
          <w:rFonts w:ascii="Book Antiqua" w:hAnsi="Book Antiqua" w:cs="Times New Roman"/>
        </w:rPr>
        <w:t xml:space="preserve"> 3.0%, </w:t>
      </w:r>
      <w:r w:rsidR="00B47B54" w:rsidRPr="00462B94">
        <w:rPr>
          <w:rFonts w:ascii="Book Antiqua" w:hAnsi="Book Antiqua" w:cs="Times New Roman"/>
          <w:i/>
        </w:rPr>
        <w:t>P</w:t>
      </w:r>
      <w:r w:rsidRPr="00462B94">
        <w:rPr>
          <w:rFonts w:ascii="Book Antiqua" w:hAnsi="Book Antiqua" w:cs="Times New Roman"/>
        </w:rPr>
        <w:t xml:space="preserve"> &lt;</w:t>
      </w:r>
      <w:r w:rsidR="00B47B54" w:rsidRPr="00462B94">
        <w:rPr>
          <w:rFonts w:ascii="Book Antiqua" w:hAnsi="Book Antiqua" w:cs="Times New Roman" w:hint="eastAsia"/>
          <w:lang w:eastAsia="zh-CN"/>
        </w:rPr>
        <w:t xml:space="preserve"> </w:t>
      </w:r>
      <w:r w:rsidRPr="00462B94">
        <w:rPr>
          <w:rFonts w:ascii="Book Antiqua" w:hAnsi="Book Antiqua" w:cs="Times New Roman"/>
        </w:rPr>
        <w:t xml:space="preserve">0.001) in patients with gout and there were no significant differences in the </w:t>
      </w:r>
      <w:r w:rsidRPr="00462B94">
        <w:rPr>
          <w:rFonts w:ascii="Book Antiqua" w:hAnsi="Book Antiqua" w:cs="Times New Roman"/>
          <w:noProof/>
        </w:rPr>
        <w:t>post</w:t>
      </w:r>
      <w:r w:rsidR="001C6529" w:rsidRPr="00462B94">
        <w:rPr>
          <w:rFonts w:ascii="Book Antiqua" w:hAnsi="Book Antiqua" w:cs="Times New Roman"/>
          <w:noProof/>
        </w:rPr>
        <w:t>-</w:t>
      </w:r>
      <w:r w:rsidRPr="00462B94">
        <w:rPr>
          <w:rFonts w:ascii="Book Antiqua" w:hAnsi="Book Antiqua" w:cs="Times New Roman"/>
          <w:noProof/>
        </w:rPr>
        <w:t>revascularization</w:t>
      </w:r>
      <w:r w:rsidRPr="00462B94">
        <w:rPr>
          <w:rFonts w:ascii="Book Antiqua" w:hAnsi="Book Antiqua" w:cs="Times New Roman"/>
        </w:rPr>
        <w:t xml:space="preserve"> myocardial infarction and infection rates between both the cohorts.</w:t>
      </w:r>
      <w:r w:rsidR="00BB211C" w:rsidRPr="00462B94">
        <w:rPr>
          <w:rFonts w:ascii="Book Antiqua" w:hAnsi="Book Antiqua" w:cs="Times New Roman"/>
        </w:rPr>
        <w:t xml:space="preserve"> We also confirmed the comparable results with a comprehensive pr</w:t>
      </w:r>
      <w:r w:rsidR="00B47B54" w:rsidRPr="00462B94">
        <w:rPr>
          <w:rFonts w:ascii="Book Antiqua" w:hAnsi="Book Antiqua" w:cs="Times New Roman"/>
        </w:rPr>
        <w:t>opensity-score matched analysis</w:t>
      </w:r>
      <w:r w:rsidR="00BB211C" w:rsidRPr="00462B94">
        <w:rPr>
          <w:rFonts w:ascii="Book Antiqua" w:hAnsi="Book Antiqua" w:cs="Times New Roman"/>
        </w:rPr>
        <w:t xml:space="preserve"> (</w:t>
      </w:r>
      <w:r w:rsidR="00BB211C" w:rsidRPr="00462B94">
        <w:rPr>
          <w:rFonts w:ascii="Book Antiqua" w:hAnsi="Book Antiqua" w:cs="Times New Roman"/>
          <w:bCs/>
        </w:rPr>
        <w:t>Supplementary Table</w:t>
      </w:r>
      <w:r w:rsidR="00B47B54" w:rsidRPr="00462B94">
        <w:rPr>
          <w:rFonts w:ascii="Book Antiqua" w:hAnsi="Book Antiqua" w:cs="Times New Roman" w:hint="eastAsia"/>
          <w:bCs/>
          <w:lang w:eastAsia="zh-CN"/>
        </w:rPr>
        <w:t>s</w:t>
      </w:r>
      <w:r w:rsidR="00BB211C" w:rsidRPr="00462B94">
        <w:rPr>
          <w:rFonts w:ascii="Book Antiqua" w:hAnsi="Book Antiqua" w:cs="Times New Roman"/>
          <w:bCs/>
        </w:rPr>
        <w:t xml:space="preserve"> 2</w:t>
      </w:r>
      <w:r w:rsidR="00B47B54" w:rsidRPr="00462B94">
        <w:rPr>
          <w:rFonts w:ascii="Book Antiqua" w:hAnsi="Book Antiqua" w:cs="Times New Roman" w:hint="eastAsia"/>
          <w:bCs/>
          <w:lang w:eastAsia="zh-CN"/>
        </w:rPr>
        <w:t xml:space="preserve"> and </w:t>
      </w:r>
      <w:r w:rsidR="00BB211C" w:rsidRPr="00462B94">
        <w:rPr>
          <w:rFonts w:ascii="Book Antiqua" w:hAnsi="Book Antiqua" w:cs="Times New Roman"/>
          <w:bCs/>
        </w:rPr>
        <w:t>3)</w:t>
      </w:r>
      <w:r w:rsidR="00BB211C" w:rsidRPr="00462B94">
        <w:rPr>
          <w:rFonts w:ascii="Book Antiqua" w:hAnsi="Book Antiqua" w:cs="Times New Roman"/>
        </w:rPr>
        <w:t>.</w:t>
      </w:r>
    </w:p>
    <w:p w14:paraId="2AF5D87C" w14:textId="7C02B839" w:rsidR="00AB7CED" w:rsidRPr="00462B94" w:rsidRDefault="00AB7CED" w:rsidP="00462B94">
      <w:pPr>
        <w:spacing w:line="360" w:lineRule="auto"/>
        <w:jc w:val="both"/>
        <w:rPr>
          <w:rFonts w:ascii="Book Antiqua" w:hAnsi="Book Antiqua" w:cs="Times New Roman"/>
        </w:rPr>
      </w:pPr>
    </w:p>
    <w:p w14:paraId="0F6260BD" w14:textId="26A0B2E4" w:rsidR="00AB7CED" w:rsidRPr="00462B94" w:rsidRDefault="00AB7CED" w:rsidP="00462B94">
      <w:pPr>
        <w:spacing w:line="360" w:lineRule="auto"/>
        <w:jc w:val="both"/>
        <w:rPr>
          <w:rFonts w:ascii="Book Antiqua" w:hAnsi="Book Antiqua" w:cs="Times New Roman"/>
          <w:b/>
          <w:bCs/>
          <w:i/>
          <w:iCs/>
        </w:rPr>
      </w:pPr>
      <w:r w:rsidRPr="00462B94">
        <w:rPr>
          <w:rFonts w:ascii="Book Antiqua" w:hAnsi="Book Antiqua" w:cs="Times New Roman"/>
          <w:b/>
          <w:bCs/>
          <w:i/>
          <w:iCs/>
        </w:rPr>
        <w:t xml:space="preserve">Predictors of in-hospital mortality </w:t>
      </w:r>
    </w:p>
    <w:p w14:paraId="3FE2025E" w14:textId="256FA755"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On multivariable analysis, advanced age (&gt;</w:t>
      </w:r>
      <w:r w:rsidR="00B47B54" w:rsidRPr="00462B94">
        <w:rPr>
          <w:rFonts w:ascii="Book Antiqua" w:hAnsi="Book Antiqua" w:cs="Times New Roman" w:hint="eastAsia"/>
          <w:lang w:eastAsia="zh-CN"/>
        </w:rPr>
        <w:t xml:space="preserve"> </w:t>
      </w:r>
      <w:r w:rsidRPr="00462B94">
        <w:rPr>
          <w:rFonts w:ascii="Book Antiqua" w:hAnsi="Book Antiqua" w:cs="Times New Roman"/>
        </w:rPr>
        <w:t xml:space="preserve">85 years </w:t>
      </w:r>
      <w:r w:rsidR="00742FE4" w:rsidRPr="00462B94">
        <w:rPr>
          <w:rFonts w:ascii="Book Antiqua" w:hAnsi="Book Antiqua" w:cs="Times New Roman"/>
          <w:bCs/>
          <w:i/>
          <w:noProof/>
        </w:rPr>
        <w:t>vs</w:t>
      </w:r>
      <w:r w:rsidR="00B47B54" w:rsidRPr="00462B94">
        <w:rPr>
          <w:rFonts w:ascii="Book Antiqua" w:hAnsi="Book Antiqua" w:cs="Times New Roman"/>
        </w:rPr>
        <w:t xml:space="preserve"> 18-44 years: OR 15.63</w:t>
      </w:r>
      <w:r w:rsidR="00B47B54" w:rsidRPr="00462B94">
        <w:rPr>
          <w:rFonts w:ascii="Book Antiqua" w:hAnsi="Book Antiqua" w:cs="Times New Roman" w:hint="eastAsia"/>
          <w:lang w:eastAsia="zh-CN"/>
        </w:rPr>
        <w:t>,</w:t>
      </w:r>
      <w:r w:rsidR="00B47B54" w:rsidRPr="00462B94">
        <w:rPr>
          <w:rFonts w:ascii="Book Antiqua" w:hAnsi="Book Antiqua" w:cs="Times New Roman"/>
        </w:rPr>
        <w:t xml:space="preserve"> 95%CI: 5.51-</w:t>
      </w:r>
      <w:r w:rsidRPr="00462B94">
        <w:rPr>
          <w:rFonts w:ascii="Book Antiqua" w:hAnsi="Book Antiqua" w:cs="Times New Roman"/>
        </w:rPr>
        <w:t>44.39</w:t>
      </w:r>
      <w:r w:rsidR="00062EC4" w:rsidRPr="00462B94">
        <w:rPr>
          <w:rFonts w:ascii="Book Antiqua" w:hAnsi="Book Antiqua" w:cs="Times New Roman" w:hint="eastAsia"/>
          <w:lang w:eastAsia="zh-CN"/>
        </w:rPr>
        <w:t>;</w:t>
      </w:r>
      <w:r w:rsidRPr="00462B94">
        <w:rPr>
          <w:rFonts w:ascii="Book Antiqua" w:hAnsi="Book Antiqua" w:cs="Times New Roman"/>
        </w:rPr>
        <w:t xml:space="preserve"> </w:t>
      </w:r>
      <w:r w:rsidR="00742FE4" w:rsidRPr="00462B94">
        <w:rPr>
          <w:rFonts w:ascii="Book Antiqua" w:hAnsi="Book Antiqua" w:cs="Times New Roman"/>
          <w:i/>
        </w:rPr>
        <w:t xml:space="preserve">P &lt; </w:t>
      </w:r>
      <w:r w:rsidRPr="00462B94">
        <w:rPr>
          <w:rFonts w:ascii="Book Antiqua" w:hAnsi="Book Antiqua" w:cs="Times New Roman"/>
        </w:rPr>
        <w:t>0.001), non-el</w:t>
      </w:r>
      <w:r w:rsidR="00B47B54" w:rsidRPr="00462B94">
        <w:rPr>
          <w:rFonts w:ascii="Book Antiqua" w:hAnsi="Book Antiqua" w:cs="Times New Roman"/>
        </w:rPr>
        <w:t>ective admissions (OR 2.00</w:t>
      </w:r>
      <w:r w:rsidR="00B47B54" w:rsidRPr="00462B94">
        <w:rPr>
          <w:rFonts w:ascii="Book Antiqua" w:hAnsi="Book Antiqua" w:cs="Times New Roman" w:hint="eastAsia"/>
          <w:lang w:eastAsia="zh-CN"/>
        </w:rPr>
        <w:t>,</w:t>
      </w:r>
      <w:r w:rsidR="00B47B54" w:rsidRPr="00462B94">
        <w:rPr>
          <w:rFonts w:ascii="Book Antiqua" w:hAnsi="Book Antiqua" w:cs="Times New Roman"/>
        </w:rPr>
        <w:t xml:space="preserve"> 95%CI: 1.44-</w:t>
      </w:r>
      <w:r w:rsidRPr="00462B94">
        <w:rPr>
          <w:rFonts w:ascii="Book Antiqua" w:hAnsi="Book Antiqua" w:cs="Times New Roman"/>
        </w:rPr>
        <w:t>2.79</w:t>
      </w:r>
      <w:r w:rsidR="00B47B54" w:rsidRPr="00462B94">
        <w:rPr>
          <w:rFonts w:ascii="Book Antiqua" w:hAnsi="Book Antiqua" w:cs="Times New Roman" w:hint="eastAsia"/>
          <w:lang w:eastAsia="zh-CN"/>
        </w:rPr>
        <w:t>;</w:t>
      </w:r>
      <w:r w:rsidRPr="00462B94">
        <w:rPr>
          <w:rFonts w:ascii="Book Antiqua" w:hAnsi="Book Antiqua" w:cs="Times New Roman"/>
        </w:rPr>
        <w:t xml:space="preserve"> </w:t>
      </w:r>
      <w:r w:rsidR="00742FE4" w:rsidRPr="00462B94">
        <w:rPr>
          <w:rFonts w:ascii="Book Antiqua" w:hAnsi="Book Antiqua" w:cs="Times New Roman"/>
          <w:i/>
        </w:rPr>
        <w:t xml:space="preserve">P &lt; </w:t>
      </w:r>
      <w:r w:rsidRPr="00462B94">
        <w:rPr>
          <w:rFonts w:ascii="Book Antiqua" w:hAnsi="Book Antiqua" w:cs="Times New Roman"/>
        </w:rPr>
        <w:t>0.001), and lower household</w:t>
      </w:r>
      <w:r w:rsidR="00B47B54" w:rsidRPr="00462B94">
        <w:rPr>
          <w:rFonts w:ascii="Book Antiqua" w:hAnsi="Book Antiqua" w:cs="Times New Roman"/>
        </w:rPr>
        <w:t xml:space="preserve"> income (OR 1.44; 95%CI: 1.17-</w:t>
      </w:r>
      <w:r w:rsidRPr="00462B94">
        <w:rPr>
          <w:rFonts w:ascii="Book Antiqua" w:hAnsi="Book Antiqua" w:cs="Times New Roman"/>
        </w:rPr>
        <w:t>1.78</w:t>
      </w:r>
      <w:r w:rsidR="00B47B54" w:rsidRPr="00462B94">
        <w:rPr>
          <w:rFonts w:ascii="Book Antiqua" w:hAnsi="Book Antiqua" w:cs="Times New Roman" w:hint="eastAsia"/>
          <w:lang w:eastAsia="zh-CN"/>
        </w:rPr>
        <w:t>;</w:t>
      </w:r>
      <w:r w:rsidRPr="00462B94">
        <w:rPr>
          <w:rFonts w:ascii="Book Antiqua" w:hAnsi="Book Antiqua" w:cs="Times New Roman"/>
        </w:rPr>
        <w:t xml:space="preserve"> </w:t>
      </w:r>
      <w:r w:rsidR="00742FE4" w:rsidRPr="00462B94">
        <w:rPr>
          <w:rFonts w:ascii="Book Antiqua" w:hAnsi="Book Antiqua" w:cs="Times New Roman"/>
          <w:i/>
        </w:rPr>
        <w:t xml:space="preserve">P &lt; </w:t>
      </w:r>
      <w:r w:rsidRPr="00462B94">
        <w:rPr>
          <w:rFonts w:ascii="Book Antiqua" w:hAnsi="Book Antiqua" w:cs="Times New Roman"/>
        </w:rPr>
        <w:t>0.001) had significantly higher odds of in-hospital mortality in ACS patients with gout undergoing PCI or CABG</w:t>
      </w:r>
      <w:r w:rsidR="001377EE" w:rsidRPr="00462B94">
        <w:rPr>
          <w:rFonts w:ascii="Book Antiqua" w:hAnsi="Book Antiqua" w:cs="Times New Roman"/>
        </w:rPr>
        <w:t xml:space="preserve"> </w:t>
      </w:r>
      <w:r w:rsidR="001377EE" w:rsidRPr="00462B94">
        <w:rPr>
          <w:rFonts w:ascii="Book Antiqua" w:hAnsi="Book Antiqua" w:cs="Times New Roman"/>
          <w:bCs/>
        </w:rPr>
        <w:t xml:space="preserve">(Table </w:t>
      </w:r>
      <w:r w:rsidR="00AB7CED" w:rsidRPr="00462B94">
        <w:rPr>
          <w:rFonts w:ascii="Book Antiqua" w:hAnsi="Book Antiqua" w:cs="Times New Roman"/>
          <w:bCs/>
        </w:rPr>
        <w:t>4</w:t>
      </w:r>
      <w:r w:rsidR="001377EE" w:rsidRPr="00462B94">
        <w:rPr>
          <w:rFonts w:ascii="Book Antiqua" w:hAnsi="Book Antiqua" w:cs="Times New Roman"/>
          <w:bCs/>
        </w:rPr>
        <w:t>)</w:t>
      </w:r>
      <w:r w:rsidR="001377EE" w:rsidRPr="00462B94">
        <w:rPr>
          <w:rFonts w:ascii="Book Antiqua" w:hAnsi="Book Antiqua" w:cs="Times New Roman"/>
        </w:rPr>
        <w:t xml:space="preserve">. </w:t>
      </w:r>
      <w:r w:rsidRPr="00462B94">
        <w:rPr>
          <w:rFonts w:ascii="Book Antiqua" w:hAnsi="Book Antiqua" w:cs="Times New Roman"/>
        </w:rPr>
        <w:t>Among ACS-gout cohort, Hispanics (OR 0.45, CI</w:t>
      </w:r>
      <w:r w:rsidR="00B47B54" w:rsidRPr="00462B94">
        <w:rPr>
          <w:rFonts w:ascii="Book Antiqua" w:hAnsi="Book Antiqua" w:cs="Times New Roman" w:hint="eastAsia"/>
          <w:lang w:eastAsia="zh-CN"/>
        </w:rPr>
        <w:t>:</w:t>
      </w:r>
      <w:r w:rsidRPr="00462B94">
        <w:rPr>
          <w:rFonts w:ascii="Book Antiqua" w:hAnsi="Book Antiqua" w:cs="Times New Roman"/>
        </w:rPr>
        <w:t xml:space="preserve"> 0.31-0.67</w:t>
      </w:r>
      <w:r w:rsidR="00B47B54" w:rsidRPr="00462B94">
        <w:rPr>
          <w:rFonts w:ascii="Book Antiqua" w:hAnsi="Book Antiqua" w:cs="Times New Roman" w:hint="eastAsia"/>
          <w:lang w:eastAsia="zh-CN"/>
        </w:rPr>
        <w:t>;</w:t>
      </w:r>
      <w:r w:rsidRPr="00462B94">
        <w:rPr>
          <w:rFonts w:ascii="Book Antiqua" w:hAnsi="Book Antiqua" w:cs="Times New Roman"/>
        </w:rPr>
        <w:t xml:space="preserve"> </w:t>
      </w:r>
      <w:r w:rsidR="00742FE4" w:rsidRPr="00462B94">
        <w:rPr>
          <w:rFonts w:ascii="Book Antiqua" w:hAnsi="Book Antiqua" w:cs="Times New Roman"/>
          <w:i/>
        </w:rPr>
        <w:t xml:space="preserve">P &lt; </w:t>
      </w:r>
      <w:r w:rsidRPr="00462B94">
        <w:rPr>
          <w:rFonts w:ascii="Book Antiqua" w:hAnsi="Book Antiqua" w:cs="Times New Roman"/>
        </w:rPr>
        <w:t>0.001) and Asians (OR 0.65, CI</w:t>
      </w:r>
      <w:r w:rsidR="00462B94">
        <w:rPr>
          <w:rFonts w:ascii="Book Antiqua" w:hAnsi="Book Antiqua" w:cs="Times New Roman"/>
        </w:rPr>
        <w:t>:</w:t>
      </w:r>
      <w:r w:rsidRPr="00462B94">
        <w:rPr>
          <w:rFonts w:ascii="Book Antiqua" w:hAnsi="Book Antiqua" w:cs="Times New Roman"/>
        </w:rPr>
        <w:t xml:space="preserve"> 0.45-0.94</w:t>
      </w:r>
      <w:r w:rsidR="00B47B54" w:rsidRPr="00462B94">
        <w:rPr>
          <w:rFonts w:ascii="Book Antiqua" w:hAnsi="Book Antiqua" w:cs="Times New Roman" w:hint="eastAsia"/>
          <w:lang w:eastAsia="zh-CN"/>
        </w:rPr>
        <w:t>;</w:t>
      </w:r>
      <w:r w:rsidRPr="00462B94">
        <w:rPr>
          <w:rFonts w:ascii="Book Antiqua" w:hAnsi="Book Antiqua" w:cs="Times New Roman"/>
        </w:rPr>
        <w:t xml:space="preserve"> </w:t>
      </w:r>
      <w:r w:rsidR="00742FE4" w:rsidRPr="00462B94">
        <w:rPr>
          <w:rFonts w:ascii="Book Antiqua" w:hAnsi="Book Antiqua" w:cs="Times New Roman"/>
          <w:i/>
        </w:rPr>
        <w:t xml:space="preserve">P &lt; </w:t>
      </w:r>
      <w:r w:rsidRPr="00462B94">
        <w:rPr>
          <w:rFonts w:ascii="Book Antiqua" w:hAnsi="Book Antiqua" w:cs="Times New Roman"/>
        </w:rPr>
        <w:t>0.001) undergoing PCI or CABG demonstrated significantly lower odds of in-hospital mortality as compared to whites</w:t>
      </w:r>
      <w:r w:rsidR="00462B94">
        <w:rPr>
          <w:rFonts w:ascii="Book Antiqua" w:hAnsi="Book Antiqua" w:cs="Times New Roman"/>
        </w:rPr>
        <w:t xml:space="preserve"> (Table 5)</w:t>
      </w:r>
      <w:r w:rsidRPr="00462B94">
        <w:rPr>
          <w:rFonts w:ascii="Book Antiqua" w:hAnsi="Book Antiqua" w:cs="Times New Roman"/>
        </w:rPr>
        <w:t xml:space="preserve">. Rheumatoid arthritis/collagen vascular diseases, valvular heart diseases, CHF, fluid and electrolyte disorders, coagulopathy, drug abuse, neurological disorders, peripheral vascular disorders, and renal failure independently predicted a greater risk of in-hospital mortality. Additionally, ACS-gout cohort undergoing PCI or CABG revealed highest odds of in-hospital mortality due to postoperative infections followed by </w:t>
      </w:r>
      <w:r w:rsidRPr="00462B94">
        <w:rPr>
          <w:rFonts w:ascii="Book Antiqua" w:hAnsi="Book Antiqua" w:cs="Times New Roman"/>
        </w:rPr>
        <w:lastRenderedPageBreak/>
        <w:t xml:space="preserve">hypotension/shock, postoperative myocardial infarction, and postoperative stroke, respiratory, </w:t>
      </w:r>
      <w:r w:rsidR="00D84623" w:rsidRPr="00462B94">
        <w:rPr>
          <w:rFonts w:ascii="Book Antiqua" w:hAnsi="Book Antiqua" w:cs="Times New Roman"/>
        </w:rPr>
        <w:t>AKI</w:t>
      </w:r>
      <w:r w:rsidRPr="00462B94">
        <w:rPr>
          <w:rFonts w:ascii="Book Antiqua" w:hAnsi="Book Antiqua" w:cs="Times New Roman"/>
        </w:rPr>
        <w:t>, and cardiac complications.</w:t>
      </w:r>
    </w:p>
    <w:p w14:paraId="5C81954E" w14:textId="77777777" w:rsidR="00866F2D" w:rsidRPr="00462B94" w:rsidRDefault="00866F2D" w:rsidP="00462B94">
      <w:pPr>
        <w:spacing w:line="360" w:lineRule="auto"/>
        <w:jc w:val="both"/>
        <w:rPr>
          <w:rFonts w:ascii="Book Antiqua" w:hAnsi="Book Antiqua" w:cs="Times New Roman"/>
        </w:rPr>
      </w:pPr>
    </w:p>
    <w:p w14:paraId="7249C446" w14:textId="77777777" w:rsidR="00866F2D" w:rsidRPr="00462B94" w:rsidRDefault="00866F2D" w:rsidP="00462B94">
      <w:pPr>
        <w:spacing w:line="360" w:lineRule="auto"/>
        <w:jc w:val="both"/>
        <w:rPr>
          <w:rFonts w:ascii="Book Antiqua" w:hAnsi="Book Antiqua" w:cs="Times New Roman"/>
          <w:b/>
        </w:rPr>
      </w:pPr>
      <w:r w:rsidRPr="00462B94">
        <w:rPr>
          <w:rFonts w:ascii="Book Antiqua" w:hAnsi="Book Antiqua" w:cs="Times New Roman"/>
          <w:b/>
        </w:rPr>
        <w:t>DISCUSSION</w:t>
      </w:r>
    </w:p>
    <w:p w14:paraId="12FBA3B3" w14:textId="77777777" w:rsidR="00866F2D" w:rsidRPr="00462B94" w:rsidRDefault="00866F2D" w:rsidP="00462B94">
      <w:pPr>
        <w:spacing w:line="360" w:lineRule="auto"/>
        <w:jc w:val="both"/>
        <w:rPr>
          <w:rFonts w:ascii="Book Antiqua" w:hAnsi="Book Antiqua" w:cs="Times New Roman"/>
        </w:rPr>
      </w:pPr>
      <w:r w:rsidRPr="00462B94">
        <w:rPr>
          <w:rFonts w:ascii="Book Antiqua" w:hAnsi="Book Antiqua" w:cs="Times New Roman"/>
        </w:rPr>
        <w:t xml:space="preserve">This is the first large scale study that evaluates the impact of gout on in-patient mortality in ACS patients and post-revascularization outcomes, predictors of in-hospital mortality during </w:t>
      </w:r>
      <w:r w:rsidR="001C6529" w:rsidRPr="00462B94">
        <w:rPr>
          <w:rFonts w:ascii="Book Antiqua" w:hAnsi="Book Antiqua" w:cs="Times New Roman"/>
        </w:rPr>
        <w:t xml:space="preserve">the </w:t>
      </w:r>
      <w:r w:rsidRPr="00462B94">
        <w:rPr>
          <w:rFonts w:ascii="Book Antiqua" w:hAnsi="Book Antiqua" w:cs="Times New Roman"/>
          <w:noProof/>
        </w:rPr>
        <w:t>post-revascularization</w:t>
      </w:r>
      <w:r w:rsidRPr="00462B94">
        <w:rPr>
          <w:rFonts w:ascii="Book Antiqua" w:hAnsi="Book Antiqua" w:cs="Times New Roman"/>
        </w:rPr>
        <w:t xml:space="preserve"> period and healthcare resource utilization using the largest nationally representative cohort of ACS hospitalizations. </w:t>
      </w:r>
    </w:p>
    <w:p w14:paraId="5AC3BDA7" w14:textId="77777777" w:rsidR="00866F2D" w:rsidRPr="00462B94" w:rsidRDefault="00866F2D" w:rsidP="00462B94">
      <w:pPr>
        <w:spacing w:line="360" w:lineRule="auto"/>
        <w:ind w:firstLineChars="100" w:firstLine="240"/>
        <w:jc w:val="both"/>
        <w:rPr>
          <w:rFonts w:ascii="Book Antiqua" w:hAnsi="Book Antiqua" w:cs="Times New Roman"/>
        </w:rPr>
      </w:pPr>
      <w:r w:rsidRPr="00462B94">
        <w:rPr>
          <w:rFonts w:ascii="Book Antiqua" w:hAnsi="Book Antiqua" w:cs="Times New Roman"/>
        </w:rPr>
        <w:t>We found that ACS hospitalizations with gout comprised of older white men with a higher median household income, mostly Medicare beneficiaries, and were likely to be admitted to urban-teaching and Southern region hospitals more frequently. These patients also had a higher prevalence of comorbidities. Furthermore, the average LOS and total hospitalization charges were significantly higher. ACS patients with gout underwent CABG more often whereas the PCI revascularizations were comparable between both the cohorts. Those who underwent revascularizations (PCI or CABG) had shown higher overall complications; however lower all-cause in-hospital mortality compared to those without gout. A multivariate analysis demonstrated that older age, Hispanic and Asian race, lower household income, non-elective admissions, a previous history of CHF, valvular diseases, septicemia, shock, and cardiovascular complications were independent predictors of in-hospital mortality in ACS hospitalizations with gout post-revascularization.</w:t>
      </w:r>
    </w:p>
    <w:p w14:paraId="224F8F47" w14:textId="6AA213E8" w:rsidR="00866F2D" w:rsidRPr="00462B94" w:rsidRDefault="00866F2D" w:rsidP="00462B94">
      <w:pPr>
        <w:spacing w:line="360" w:lineRule="auto"/>
        <w:ind w:firstLineChars="100" w:firstLine="240"/>
        <w:jc w:val="both"/>
        <w:rPr>
          <w:rFonts w:ascii="Book Antiqua" w:hAnsi="Book Antiqua" w:cs="Times New Roman"/>
        </w:rPr>
      </w:pPr>
      <w:r w:rsidRPr="00462B94">
        <w:rPr>
          <w:rFonts w:ascii="Book Antiqua" w:hAnsi="Book Antiqua" w:cs="Times New Roman"/>
        </w:rPr>
        <w:t>In the study, the prevalence of gout among ACS patients was about 3.35% similar to the prevalence of gout among healthy U</w:t>
      </w:r>
      <w:r w:rsidR="009A0C91" w:rsidRPr="00462B94">
        <w:rPr>
          <w:rFonts w:ascii="Book Antiqua" w:hAnsi="Book Antiqua" w:cs="Times New Roman" w:hint="eastAsia"/>
          <w:lang w:eastAsia="zh-CN"/>
        </w:rPr>
        <w:t xml:space="preserve">nited </w:t>
      </w:r>
      <w:r w:rsidRPr="00462B94">
        <w:rPr>
          <w:rFonts w:ascii="Book Antiqua" w:hAnsi="Book Antiqua" w:cs="Times New Roman"/>
        </w:rPr>
        <w:t>S</w:t>
      </w:r>
      <w:r w:rsidR="009A0C91" w:rsidRPr="00462B94">
        <w:rPr>
          <w:rFonts w:ascii="Book Antiqua" w:hAnsi="Book Antiqua" w:cs="Times New Roman" w:hint="eastAsia"/>
          <w:lang w:eastAsia="zh-CN"/>
        </w:rPr>
        <w:t>tates</w:t>
      </w:r>
      <w:r w:rsidRPr="00462B94">
        <w:rPr>
          <w:rFonts w:ascii="Book Antiqua" w:hAnsi="Book Antiqua" w:cs="Times New Roman"/>
        </w:rPr>
        <w:t xml:space="preserve"> population to be 3</w:t>
      </w:r>
      <w:r w:rsidR="009A0C91" w:rsidRPr="00462B94">
        <w:rPr>
          <w:rFonts w:ascii="Book Antiqua" w:hAnsi="Book Antiqua" w:cs="Times New Roman" w:hint="eastAsia"/>
          <w:lang w:eastAsia="zh-CN"/>
        </w:rPr>
        <w:t>%</w:t>
      </w:r>
      <w:r w:rsidRPr="00462B94">
        <w:rPr>
          <w:rFonts w:ascii="Book Antiqua" w:hAnsi="Book Antiqua" w:cs="Times New Roman"/>
        </w:rPr>
        <w:t>-5%, with the age-standardized prevalence of hyperuricemia being 12</w:t>
      </w:r>
      <w:r w:rsidR="009A0C91" w:rsidRPr="00462B94">
        <w:rPr>
          <w:rFonts w:ascii="Book Antiqua" w:hAnsi="Book Antiqua" w:cs="Times New Roman" w:hint="eastAsia"/>
          <w:lang w:eastAsia="zh-CN"/>
        </w:rPr>
        <w:t>%</w:t>
      </w:r>
      <w:r w:rsidRPr="00462B94">
        <w:rPr>
          <w:rFonts w:ascii="Book Antiqua" w:hAnsi="Book Antiqua" w:cs="Times New Roman"/>
        </w:rPr>
        <w:t>-15%</w:t>
      </w:r>
      <w:r w:rsidR="00522264" w:rsidRPr="00462B94">
        <w:rPr>
          <w:rFonts w:ascii="Book Antiqua" w:hAnsi="Book Antiqua" w:cs="Times New Roman"/>
          <w:vertAlign w:val="superscript"/>
        </w:rPr>
        <w:fldChar w:fldCharType="begin"/>
      </w:r>
      <w:r w:rsidR="00164A92" w:rsidRPr="00462B94">
        <w:rPr>
          <w:rFonts w:ascii="Book Antiqua" w:hAnsi="Book Antiqua" w:cs="Times New Roman"/>
          <w:vertAlign w:val="superscript"/>
        </w:rPr>
        <w:instrText xml:space="preserve"> ADDIN ZOTERO_ITEM CSL_CITATION {"citationID":"XODtGrw8","properties":{"formattedCitation":"\\super [16]\\nosupersub{}","plainCitation":"[16]","noteIndex":0},"citationItems":[{"id":311,"uris":["http://zotero.org/users/5068664/items/YAHDK84Z"],"uri":["http://zotero.org/users/5068664/items/YAHDK84Z"],"itemData":{"id":311,"type":"article-journal","title":"SAT0703 Racial disparities in gout and hyperuricemia – a united states general population study","container-title":"Annals of the Rheumatic Diseases","page":"1199-1200","volume":"77","issue":"Suppl 2","source":"ard.bmj.com","abstract":"Background Although African-Americans (AAs) have a higher prevalence of risk factors for gout and hyperuricemia (e.g., hypertension, obesity, and chronic kidney disease [CKD]) than Whites, data on their disease burden of gout and hyperuricemia remains scarce.\nObjectives To examine potential racial/ethnic disparities in the prevalence of gout and hyperuricemia, using a nationally-representative sample of United States (US) adults over the past 10 years (The National Health and Nutrition Examination Survey [NHANES] 2007–16).\nMethods Using data from 26 332 participants aged ≥20 years (13 539 females and 12 793 males) from NHANES 2007–16, we calculated the age-standardised prevalence of gout and hyperuricemia by race/ethnicity. Gout was defined by report of a diagnosis by a health professional, and hyperuricemia as a serum urate &gt;7.0 mg/dL (0.42 mmol/L) from participants’ blood samples. Logistic regression was used to adjust for covariates, while taking into account clusters and strata of the complex survey design of NHANES.\nResults The age-standardised prevalence of gout was 3.7% for Whites and 4.7% for AAs, with the age-standardised prevalence of hyperuricemia being 12.7% and 14.9% for Whites and AAs, respectively. Compared to Whites, AAs had a 65% higher odds of gout among females (age-adjusted OR, 1.65; 95% CI, 1.14 to 2.38) and a 31% higher odds of gout among males (age-adjusted OR, 1.31; 95% CI, 1.05 to 1.63). Further adjustment by body-mass index (BMI) attenuated these associations to non-significance for both sexes (table 1). AA females had a higher odds of hyperuricemia than White females (age-adjusted OR, 2.17; 95% CI, 1.72 to 2.73), but not males (age-adjusted OR, 1.08; 95% CI, 0.95 to 1.22; P for interaction=0.002) (table 1). Among females, this association attenuated after further adjustment for BMI, hypertension, CKD, type 2 diabetes mellitus, household income, and education, but remained significant (adjusted OR, 1.52; 95% CI, 1.19 to 1.95).View this table:View inline View popup Abstract SAT0703 – Table 1 ORs of Gout and Hyperuricemia According Race/Ethnicity, NHANES 2007–16\nConclusions These nationally-representative data indicate that AAs have a larger disease burden of gout and hyperuricemia than Whites, particularly among women. This burden appears to be at least partly due to a higher prevalence of risk factors for hyperuricemia in AAs.1\nReference [1] Flegal KM, et al. JAMA2016Jun 7;315(21):2284–2291.\nDisclosure of Interest M. Chen-Xu: None declared, C. Yokose: None declared, H. Choi Grant/research support from: Ironwood and Ardea/AstraZeneca, Consultant for: Horizon and Selecta","DOI":"10.1136/annrheumdis-2018-eular.6059","ISSN":"0003-4967, 1468-2060","language":"en","author":[{"family":"Chen-Xu","given":"M."},{"family":"Yokose","given":"C."},{"family":"Choi","given":"H. K."}],"issued":{"date-parts":[["2018",6,1]]}}}],"schema":"https://github.com/citation-style-language/schema/raw/master/csl-citation.json"} </w:instrText>
      </w:r>
      <w:r w:rsidR="00522264" w:rsidRPr="00462B94">
        <w:rPr>
          <w:rFonts w:ascii="Book Antiqua" w:hAnsi="Book Antiqua" w:cs="Times New Roman"/>
          <w:vertAlign w:val="superscript"/>
        </w:rPr>
        <w:fldChar w:fldCharType="separate"/>
      </w:r>
      <w:r w:rsidR="00164A92" w:rsidRPr="00462B94">
        <w:rPr>
          <w:rFonts w:ascii="Book Antiqua" w:hAnsi="Book Antiqua" w:cs="Times New Roman"/>
          <w:vertAlign w:val="superscript"/>
        </w:rPr>
        <w:t>[16]</w:t>
      </w:r>
      <w:r w:rsidR="00522264" w:rsidRPr="00462B94">
        <w:rPr>
          <w:rFonts w:ascii="Book Antiqua" w:hAnsi="Book Antiqua" w:cs="Times New Roman"/>
          <w:vertAlign w:val="superscript"/>
        </w:rPr>
        <w:fldChar w:fldCharType="end"/>
      </w:r>
      <w:r w:rsidRPr="00462B94">
        <w:rPr>
          <w:rFonts w:ascii="Book Antiqua" w:hAnsi="Book Antiqua" w:cs="Times New Roman"/>
        </w:rPr>
        <w:t xml:space="preserve">. In this study, gout has been prevalent in ACS patients with lower all-cause mortality compared to without gout. More recently, Latif </w:t>
      </w:r>
      <w:r w:rsidRPr="00462B94">
        <w:rPr>
          <w:rFonts w:ascii="Book Antiqua" w:hAnsi="Book Antiqua" w:cs="Times New Roman"/>
          <w:i/>
        </w:rPr>
        <w:t>et al</w:t>
      </w:r>
      <w:r w:rsidR="009A0C91" w:rsidRPr="00462B94">
        <w:rPr>
          <w:rFonts w:ascii="Book Antiqua" w:hAnsi="Book Antiqua" w:cs="Times New Roman"/>
          <w:vertAlign w:val="superscript"/>
        </w:rPr>
        <w:fldChar w:fldCharType="begin"/>
      </w:r>
      <w:r w:rsidR="009A0C91" w:rsidRPr="00462B94">
        <w:rPr>
          <w:rFonts w:ascii="Book Antiqua" w:hAnsi="Book Antiqua" w:cs="Times New Roman"/>
          <w:vertAlign w:val="superscript"/>
        </w:rPr>
        <w:instrText xml:space="preserve"> ADDIN ZOTERO_ITEM CSL_CITATION {"citationID":"2E6YWJZO","properties":{"formattedCitation":"\\super [17]\\nosupersub{}","plainCitation":"[17]","noteIndex":0},"citationItems":[{"id":376,"uris":["http://zotero.org/users/5068664/items/A389DH7X"],"uri":["http://zotero.org/users/5068664/items/A389DH7X"],"itemData":{"id":376,"type":"article-journal","title":"Uric Acid Levels and All-Cause and Cardiovascular Mortality in the Hemodialysis Population","container-title":"Clinical Journal of the American Society of Nephrology","page":"CJN.00670111","source":"cjasn.asnjournals.org","abstract":"Background and objectives Hyperuricemia is associated with hypertension, coronary artery disease, and chronic kidney disease. However, there are no specific data on the relationship of uric acid to cardiovascular disease in the chronic hemodialysis setting.\nDesign, setting, participants, &amp; measurements Data from 5827 patients on chronic hemodialysis from six countries affiliated with the Dialysis Outcomes and Practice Patterns Study (DOPPS) were analyzed. All laboratory data were based upon the initial cross-section of patients in DOPPS I and II. Cox regression was used to calculate the hazard ratio (HR) of all-cause and cardiovascular (CV) mortality with adjustments for case-mix including 14 classes of comorbidity.\nResults There were no clinically significant differences in baseline characteristics between those who had measured uric acid (n = 4637) and those who did not (n = 1190). Uric acid level was associated with lower all-cause mortality (HR: 0.95, 95% confidence interval [CI]: 0.90 to 1.00 per 1 mg/dl higher uric acid level) and CV mortality (HR: 0.92, 95% CI: 0.86 to 0.99). When analyzed as a dichotomous variable, the adjusted HR at uric acid ≤8.2 mg/dl compared with &gt;8.2 mg/dl was 1.24 (95% CI: 1.03 to 1.49) for all-cause mortality and 1.54 (95% CI: 1.15 to 2.07) for CV mortality.\nConclusions Higher uric acid levels were associated with lower risk of all-cause and CV mortality in the hemodialysis population. These results are in contrast to the association of hyperuricemia with higher cardiovascular risk in the general population and should be the subject of further research.","DOI":"10.2215/CJN.00670111","ISSN":"1555-9041, 1555-905X","note":"PMID: 21868616","journalAbbreviation":"CJASN","language":"en","author":[{"family":"Latif","given":"Walead"},{"family":"Karaboyas","given":"Angelo"},{"family":"Tong","given":"Lin"},{"family":"Winchester","given":"James F."},{"family":"Arrington","given":"Charlotte J."},{"family":"Pisoni","given":"Ronald L."},{"family":"Marshall","given":"Mark R."},{"family":"Kleophas","given":"Werner"},{"family":"Levin","given":"Nathan W."},{"family":"Sen","given":"Ananda"},{"family":"Robinson","given":"Bruce M."},{"family":"Saran","given":"Rajiv"}],"issued":{"date-parts":[["2011",8,25]]}}}],"schema":"https://github.com/citation-style-language/schema/raw/master/csl-citation.json"} </w:instrText>
      </w:r>
      <w:r w:rsidR="009A0C91" w:rsidRPr="00462B94">
        <w:rPr>
          <w:rFonts w:ascii="Book Antiqua" w:hAnsi="Book Antiqua" w:cs="Times New Roman"/>
          <w:vertAlign w:val="superscript"/>
        </w:rPr>
        <w:fldChar w:fldCharType="separate"/>
      </w:r>
      <w:r w:rsidR="009A0C91" w:rsidRPr="00462B94">
        <w:rPr>
          <w:rFonts w:ascii="Book Antiqua" w:hAnsi="Book Antiqua" w:cs="Times New Roman"/>
          <w:vertAlign w:val="superscript"/>
        </w:rPr>
        <w:t>[17]</w:t>
      </w:r>
      <w:r w:rsidR="009A0C91" w:rsidRPr="00462B94">
        <w:rPr>
          <w:rFonts w:ascii="Book Antiqua" w:hAnsi="Book Antiqua" w:cs="Times New Roman"/>
          <w:vertAlign w:val="superscript"/>
        </w:rPr>
        <w:fldChar w:fldCharType="end"/>
      </w:r>
      <w:r w:rsidRPr="00462B94">
        <w:rPr>
          <w:rFonts w:ascii="Book Antiqua" w:hAnsi="Book Antiqua" w:cs="Times New Roman"/>
        </w:rPr>
        <w:t xml:space="preserve"> indicated that higher UA levels are associated with lower all-cause and cardiovascular mortality, however, they included only hemodialysis patients. Similarly, another study using the NIS suggested that co-occurring gout is associated with reduced in-hospital mortality among postmenopausal women admitted for AMI</w:t>
      </w:r>
      <w:r w:rsidR="00522264" w:rsidRPr="00462B94">
        <w:rPr>
          <w:rFonts w:ascii="Book Antiqua" w:hAnsi="Book Antiqua" w:cs="Times New Roman"/>
          <w:vertAlign w:val="superscript"/>
        </w:rPr>
        <w:fldChar w:fldCharType="begin"/>
      </w:r>
      <w:r w:rsidR="00164A92" w:rsidRPr="00462B94">
        <w:rPr>
          <w:rFonts w:ascii="Book Antiqua" w:hAnsi="Book Antiqua" w:cs="Times New Roman"/>
          <w:vertAlign w:val="superscript"/>
        </w:rPr>
        <w:instrText xml:space="preserve"> ADDIN ZOTERO_ITEM CSL_CITATION {"citationID":"zc3lyjFE","properties":{"formattedCitation":"\\super [18]\\nosupersub{}","plainCitation":"[18]","noteIndex":0},"citationItems":[{"id":387,"uris":["http://zotero.org/users/5068664/items/93WAY4NR"],"uri":["http://zotero.org/users/5068664/items/93WAY4NR"],"itemData":{"id":387,"type":"article-journal","title":"Concurrent Gout is Associated with Reduced In-hospital Mortality Among Postmenopausal Women with Acute Myocardial Infarction: Insights from a Nationwide Sample","container-title":"Circulation Research","volume":"121","issue":"1","abstract":"Background: Gout has been shown to increase the risk of cardiovascular diseases among postmenopausal women. The mechanisms remain unclear. We sought to evaluate in-hospital outcomes among postmenopausal women hospitalized with coexisting gout and acute myocardial infarction (AMI).\n\nMethods: Data was retrieved from the Nationwide Inpatient Sample (NIS), using ICD-9-CM codes. We excluded women less than 55yrs old. Patients with acute myocardial infarction (AMI) and co-occurring gout were compared with those without gout. We then tested for associations with stroke, in-hospital mortality and length of stay using multivariate analysis to adjust for confounders. All analyses were performed using SAS.\n\nResults: There was a total of 335,403 hospital admissions for AMI. Out of these, 484 had co-occurring gout. Women with both co-occurring conditions were more likely to be white (64.1%). In adjusted models, co-occurring gout and AMI was significantly associated with a reduced likelihood of in-hospital mortality (aOR=0.50, 95% CI: 0.35-0.72, Table 1). However, co-occurring gout and AMI was not significantly associated with stroke rates (aOR=0.95, 95% CI: 0.59-1.55) or length of stay (aOR=1.46, 95% CI: 0.77-2.16).\n\nConclusion: Results from this nationally representative sample suggests that co-occurring gout is associated with reduced in-hospital mortality among postmenopausal women admitted for AMI, while no significant associations were found for length of stay and stroke rates. Further prospective studies are needed to explore these associations.","journalAbbreviation":"Circ. Res.","language":"English","author":[{"family":"Akinjero","given":"Akintunde M."},{"family":"Adegbala","given":"Oluwole"},{"family":"Edo-Osagie","given":"Eseosa"},{"family":"Akinjero","given":"Nike E."},{"family":"AKinyemiju","given":"Tomi"}],"issued":{"date-parts":[["2018",4]]}}}],"schema":"https://github.com/citation-style-language/schema/raw/master/csl-citation.json"} </w:instrText>
      </w:r>
      <w:r w:rsidR="00522264" w:rsidRPr="00462B94">
        <w:rPr>
          <w:rFonts w:ascii="Book Antiqua" w:hAnsi="Book Antiqua" w:cs="Times New Roman"/>
          <w:vertAlign w:val="superscript"/>
        </w:rPr>
        <w:fldChar w:fldCharType="separate"/>
      </w:r>
      <w:r w:rsidR="00164A92" w:rsidRPr="00462B94">
        <w:rPr>
          <w:rFonts w:ascii="Book Antiqua" w:hAnsi="Book Antiqua" w:cs="Times New Roman"/>
          <w:vertAlign w:val="superscript"/>
        </w:rPr>
        <w:t>[18]</w:t>
      </w:r>
      <w:r w:rsidR="00522264" w:rsidRPr="00462B94">
        <w:rPr>
          <w:rFonts w:ascii="Book Antiqua" w:hAnsi="Book Antiqua" w:cs="Times New Roman"/>
          <w:vertAlign w:val="superscript"/>
        </w:rPr>
        <w:fldChar w:fldCharType="end"/>
      </w:r>
      <w:r w:rsidRPr="00462B94">
        <w:rPr>
          <w:rFonts w:ascii="Book Antiqua" w:hAnsi="Book Antiqua" w:cs="Times New Roman"/>
        </w:rPr>
        <w:t>. The paradoxical association with mortality could be due to focus on the short-term post-</w:t>
      </w:r>
      <w:r w:rsidRPr="00462B94">
        <w:rPr>
          <w:rFonts w:ascii="Book Antiqua" w:hAnsi="Book Antiqua" w:cs="Times New Roman"/>
        </w:rPr>
        <w:lastRenderedPageBreak/>
        <w:t>revascularization in-hospital outcomes, residual confounding factors in administrative data, or missed diagnosis in patients without gout. As shown with previous studies, our findings also showed that ACS hospitalizations with gout consisted of older white men, with higher co-existing comorbid conditions, mostly Medicare enrollees, and a lower median income quartile</w:t>
      </w:r>
      <w:r w:rsidR="00522264" w:rsidRPr="00462B94">
        <w:rPr>
          <w:rFonts w:ascii="Book Antiqua" w:hAnsi="Book Antiqua" w:cs="Times New Roman"/>
          <w:vertAlign w:val="superscript"/>
        </w:rPr>
        <w:fldChar w:fldCharType="begin"/>
      </w:r>
      <w:r w:rsidR="00164A92" w:rsidRPr="00462B94">
        <w:rPr>
          <w:rFonts w:ascii="Book Antiqua" w:hAnsi="Book Antiqua" w:cs="Times New Roman"/>
          <w:vertAlign w:val="superscript"/>
        </w:rPr>
        <w:instrText xml:space="preserve"> ADDIN ZOTERO_ITEM CSL_CITATION {"citationID":"mjKt92pD","properties":{"formattedCitation":"\\super [19\\uc0\\u8211{}21]\\nosupersub{}","plainCitation":"[19–21]","noteIndex":0},"citationItems":[{"id":28,"uris":["http://zotero.org/users/5068664/items/2R2SRE23"],"uri":["http://zotero.org/users/5068664/items/2R2SRE23"],"itemData":{"id":28,"type":"article-journal","title":"An examination of the relationship between serum uric acid level, a clinical history of gout, and cardiovascular outcomes among patients with acute coronary syndrome","container-title":"American Heart Journal","page":"53-61","volume":"187","source":"www.ahjonline.com","abstract":"Background\nStudies have suggested a relationship between higher baseline serum uric acid (sUA) levels and an elevated risk of subsequent ischemic cardiovascular outcomes among acute coronary syndrome (ACS) patients; this relationship may be modified by a clinical history of gout and has not been studied in large patient cohorts. We sought to understand the effect of sUA and gout on ACS outcomes.\nMethods\nUsing PLATO and TRACER data on 27,959 ACS patients, we evaluated baseline sUA levels in relation to a composite of cardiovascular death, myocardial infarction (MI), or stroke. We assessed interaction terms to determine if a baseline clinical diagnosis of gout modified this putative relationship; 46% (n</w:instrText>
      </w:r>
      <w:r w:rsidR="00164A92" w:rsidRPr="00462B94">
        <w:rPr>
          <w:rFonts w:ascii="Times New Roman" w:hAnsi="Times New Roman" w:cs="Times New Roman"/>
          <w:vertAlign w:val="superscript"/>
        </w:rPr>
        <w:instrText> </w:instrText>
      </w:r>
      <w:r w:rsidR="00164A92" w:rsidRPr="00462B94">
        <w:rPr>
          <w:rFonts w:ascii="Book Antiqua" w:hAnsi="Book Antiqua" w:cs="Times New Roman"/>
          <w:vertAlign w:val="superscript"/>
        </w:rPr>
        <w:instrText>=</w:instrText>
      </w:r>
      <w:r w:rsidR="00164A92" w:rsidRPr="00462B94">
        <w:rPr>
          <w:rFonts w:ascii="Times New Roman" w:hAnsi="Times New Roman" w:cs="Times New Roman"/>
          <w:vertAlign w:val="superscript"/>
        </w:rPr>
        <w:instrText> </w:instrText>
      </w:r>
      <w:r w:rsidR="00164A92" w:rsidRPr="00462B94">
        <w:rPr>
          <w:rFonts w:ascii="Book Antiqua" w:hAnsi="Book Antiqua" w:cs="Times New Roman"/>
          <w:vertAlign w:val="superscript"/>
        </w:rPr>
        <w:instrText>12,882) had sUA levels elevated &gt;6.0 mg/dL.\nResults\nPatients with elevated levels were more often male with a history of prior MI, diabetes, and heart failure compared with those with sUA &lt;6.0 mg/dL. The unadjusted risk of the composite endpoint increased with corresponding elevations in sUA levels (per 1 mg/dL increase) (HR</w:instrText>
      </w:r>
      <w:r w:rsidR="00164A92" w:rsidRPr="00462B94">
        <w:rPr>
          <w:rFonts w:ascii="Times New Roman" w:hAnsi="Times New Roman" w:cs="Times New Roman"/>
          <w:vertAlign w:val="superscript"/>
        </w:rPr>
        <w:instrText> </w:instrText>
      </w:r>
      <w:r w:rsidR="00164A92" w:rsidRPr="00462B94">
        <w:rPr>
          <w:rFonts w:ascii="Book Antiqua" w:hAnsi="Book Antiqua" w:cs="Times New Roman"/>
          <w:vertAlign w:val="superscript"/>
        </w:rPr>
        <w:instrText>=</w:instrText>
      </w:r>
      <w:r w:rsidR="00164A92" w:rsidRPr="00462B94">
        <w:rPr>
          <w:rFonts w:ascii="Times New Roman" w:hAnsi="Times New Roman" w:cs="Times New Roman"/>
          <w:vertAlign w:val="superscript"/>
        </w:rPr>
        <w:instrText> </w:instrText>
      </w:r>
      <w:r w:rsidR="00164A92" w:rsidRPr="00462B94">
        <w:rPr>
          <w:rFonts w:ascii="Book Antiqua" w:hAnsi="Book Antiqua" w:cs="Times New Roman"/>
          <w:vertAlign w:val="superscript"/>
        </w:rPr>
        <w:instrText>1.23 [95% CI: 1.20–1.26]) above the statistical inflection point of 5.0 mg/dL. After adjustment, the association between sUA level and the composite outcome remained significant (HR</w:instrText>
      </w:r>
      <w:r w:rsidR="00164A92" w:rsidRPr="00462B94">
        <w:rPr>
          <w:rFonts w:ascii="Times New Roman" w:hAnsi="Times New Roman" w:cs="Times New Roman"/>
          <w:vertAlign w:val="superscript"/>
        </w:rPr>
        <w:instrText> </w:instrText>
      </w:r>
      <w:r w:rsidR="00164A92" w:rsidRPr="00462B94">
        <w:rPr>
          <w:rFonts w:ascii="Book Antiqua" w:hAnsi="Book Antiqua" w:cs="Times New Roman"/>
          <w:vertAlign w:val="superscript"/>
        </w:rPr>
        <w:instrText>=</w:instrText>
      </w:r>
      <w:r w:rsidR="00164A92" w:rsidRPr="00462B94">
        <w:rPr>
          <w:rFonts w:ascii="Times New Roman" w:hAnsi="Times New Roman" w:cs="Times New Roman"/>
          <w:vertAlign w:val="superscript"/>
        </w:rPr>
        <w:instrText> </w:instrText>
      </w:r>
      <w:r w:rsidR="00164A92" w:rsidRPr="00462B94">
        <w:rPr>
          <w:rFonts w:ascii="Book Antiqua" w:hAnsi="Book Antiqua" w:cs="Times New Roman"/>
          <w:vertAlign w:val="superscript"/>
        </w:rPr>
        <w:instrText>1.07 [95% CI: 1.04</w:instrText>
      </w:r>
      <w:r w:rsidR="00164A92" w:rsidRPr="00462B94">
        <w:rPr>
          <w:rFonts w:ascii="Book Antiqua" w:hAnsi="Book Antiqua" w:cs="Book Antiqua"/>
          <w:vertAlign w:val="superscript"/>
        </w:rPr>
        <w:instrText>–</w:instrText>
      </w:r>
      <w:r w:rsidR="00164A92" w:rsidRPr="00462B94">
        <w:rPr>
          <w:rFonts w:ascii="Book Antiqua" w:hAnsi="Book Antiqua" w:cs="Times New Roman"/>
          <w:vertAlign w:val="superscript"/>
        </w:rPr>
        <w:instrText xml:space="preserve">1.10]), and baseline gout did not modify this relationship.\nConclusions\nIn patients with ACS, increasing levels of sUA are associated with an elevated risk of cardiovascular events, regardless of a clinical diagnosis of gout. Further investigation is warranted to determine the mechanism behind this relationship and to delineate whether sUA is an appropriate therapeutic target to reduce cardiovascular risk.","DOI":"10.1016/j.ahj.2017.02.023","ISSN":"0002-8703, 1097-6744","note":"PMID: 28454808","journalAbbreviation":"American Heart Journal","language":"English","author":[{"family":"Pagidipati","given":"Neha J."},{"family":"Hess","given":"Connie N."},{"family":"Clare","given":"Robert M."},{"family":"Akerblom","given":"Axel"},{"family":"Tricoci","given":"Pierluigi"},{"family":"Wojdyla","given":"Daniel"},{"family":"Keenan","given":"Robert T."},{"family":"James","given":"Stefan"},{"family":"Held","given":"Claes"},{"family":"Mahaffey","given":"Kenneth W."},{"family":"Klein","given":"Alyssa B."},{"family":"Wallentin","given":"Lars"},{"family":"Roe","given":"Matthew T."}],"issued":{"date-parts":[["2017",5,1]]}}},{"id":314,"uris":["http://zotero.org/users/5068664/items/MUDLUU8B"],"uri":["http://zotero.org/users/5068664/items/MUDLUU8B"],"itemData":{"id":314,"type":"article-journal","title":"Cardiovascular Disease and Gout: Real-World Experience Evaluating Patient Characteristics, Treatment Patterns, and Health Care Utilization","container-title":"Journal of Managed Care &amp; Specialty Pharmacy","page":"677-683","volume":"23","issue":"6","source":"jmcp.org (Atypon)","abstract":"BACKGROUND: Gout, hyperuricemia, and cardiovascular disease (CVD) are prevalent conditions in the United States, and while they share common risk factors such as obesity, hypertension, hypercholesterolemia, and type 2 diabetes mellitus, relatively little is known about what patient and disease characteristics may link CVD with hyperuricemia and gout and how the presence of both diseases affects management decisions differently than for patients with gout alone. OBJECTIVE: To identify differences in patient characteristics, patterns of urate-lowering therapy (ULT) use, and gout control in gout patients with and without cardiovascular comorbidity. METHODS: Data were assessed from a survey of U.S. physicians who performed in-depth patient chart audits of their last 5 consecutive adult patients with confirmed gout as determined by the medical record and clinical notes. Comorbidities, gout symptoms, length of current treatment, sociodemographic factors, and physician type were identified from the chart review. Descriptive statistics and logistic regression described differences among patients with and without comorbid CVD and assessed ULT use and gout control. RESULTS: Of the 1,159 patient charts that were reviewed, 738 patients had CVD and gout, and 421 had gout alone. Patients with CVD had longer duration of gout (mean [SD] = 52 [68.2] vs. 34 [47.2] months; P &lt; 0.001) and were more likely to have clinician-reported tophi (28% vs. 15%; P &lt; 0.001), organ/joint damage (19% vs. 9%; P &lt; 0.001), and more flares (2.1% vs. 1.8%; P = 0.017) in the previous 12 months. Time from gout diagnosis to start of ULT was delayed for those with CVD (mean [SD] = 24.3 [56.6] vs. 15.5 [33.2] months; P = 0.023), but these patients were more likely to be receiving ULT (83% vs. 59%; P &lt; 0.001). Gout patients with CVD were more likely to have a variety of additional comorbidities than those without CVD, such as obesity (28% vs. 18%; P &lt; 0.001), diabetes (26% vs. 12%; P &lt; 0.001), osteoarthritis (25% vs. 11%; P &lt; 0.001), chronic kidney disease (17% vs. 5%; P &lt; 0.001), and prostate disease (males, n = 933; 10% vs. 2%; P &lt; 0.001). Gout patients with CVD were more likely to have an emergency department visit (12% vs. 7%; P = 0.003) for gout in the previous 12 months. In patients with CVD, ULT use was associated with better gout control. CONCLUSIONS: Gout patients with CVD were more likely to have additional comorbidities, more gout-related symptoms, and a delay in initiating treatment, which may be associated with the greater severity of disease in these patients. These data suggest that gout patients with CVD may constitute a less healthy group in need of earlier, more aggressive therapy. DISCLOSURES: This study was supported by AstraZeneca. Pillinger reports consultancies at AstraZeneca, SOBI, Crealta/Horizon; investigator-initiated grants from Takeda (closed 2016); and was an investigator on industry-sponsored clinical trials for Takeda. Klein is employed by AstraZeneca. At the time of this study, Baumgartner was employed by Ardea Biosciences, a wholly owned subsidiary of AstraZeneca and owns stock in AstraZeneca. Baumgartner and Morlock are consultants to Ardea Biosciences. Morlock reports consulting fees from Genentech, Ironwood Pharmaceuticals, Astellas, and Abbot Medical Optics outside of this study. Bangalore reports consultancies at Pfizer, Merck, Abbott Vascular, Medicines Company, AstraZeneca, and the National Heart, Lung, and Blood Institute. The authors did not receive any honoraria for this publication. Study concept and design were primarily contributed by Morlock, along with the other authors. Morlock collected the data, and data interpretation was performed by all the authors. All authors equally contributed to preparation and revision of the manuscript. Preliminary results from this study were presented at the AMCP Managed Care &amp; Specialty Pharmacy Annual Meeting 2016; San Francisco, California; April 19-22, 2016.","DOI":"10.18553/jmcp.2017.23.6.677","ISSN":"2376-0540","shortTitle":"Cardiovascular Disease and Gout","journalAbbreviation":"JMCP","author":[{"family":"Pillinger","given":"Michael H."},{"family":"Bangalore","given":"Sripal"},{"family":"Klein","given":"Alyssa B."},{"family":"Baumgartner","given":"Scott"},{"family":"Morlock","given":"Robert"}],"issued":{"date-parts":[["2017",5,22]]}}},{"id":320,"uris":["http://zotero.org/users/5068664/items/ZCYXN5DC"],"uri":["http://zotero.org/users/5068664/items/ZCYXN5DC"],"itemData":{"id":320,"type":"article-journal","title":"Gout-related inpatient utilization: a study of predictors of outcomes and time trends","container-title":"Arthritis Research &amp; Therapy","volume":"18","source":"PubMed Central","abstract":"Background\nTo assess inpatient healthcare burden of gout in the USA after an Emergency Department (ED) visit and the predictors of gout-related hospitalizations.\n\nMethod\nWe used the 2009, 2010 and 2012 US National ED Sample (NEDS) data to examine the time trends in inpatient visits with gout as the primary diagnosis. We used the 2012 NEDS data to assess multivariable-adjusted predictors of length of hospital stay, discharge to home (versus other) and total charges for gout-related inpatient visits.\n\nResults\nOf the 205,152 ED visits for gout as the primary diagnosis in 2012, 7.7 % resulted in hospitalization. In 2009, 2010 and 2012, 63 %, 63 % and 64.5 % of hospitalized patients were discharged home; respective durations of hospital stay were 4.15, 4.00 and 3.86 days. Older age 50 to &lt;65 years (ref &lt;50), renal failure, heart failure, osteoarthritis and diabetes were associated with a longer hospital stay and self-pay/uninsured status, hospital location in the Midwest or Western USA with a shorter hospital stay for gout. Similar factors were associated with total charges for gout-related admissions. Older age (65 to &lt;80 and ≥80, relative to &lt;50 years), diabetes, self-pay/no charge insurance status, metropolitan area residence, and a longer length of hospital stay were associated with lower odds of discharge to home; and self-pay/no charge (uninsured) status was associated with higher odds of discharge to home, compared to Medicare coverage.\n\nConclusions\nUsing a national sample, we noted declining duration of hospital stay and identified factors associated with the length of hospital stay, discharge to home and charges for gout hospitalization following an ED visit. Future studies should examine whether better management of comorbidities in patients with gout can further reduce utilization and cost of gout-related hospitalizations.","URL":"https://www.ncbi.nlm.nih.gov/pmc/articles/PMC4774040/","DOI":"10.1186/s13075-016-0936-y","ISSN":"1478-6354","note":"PMID: 26935737\nPMCID: PMC4774040","shortTitle":"Gout-related inpatient utilization","journalAbbreviation":"Arthritis Res Ther","author":[{"family":"Singh","given":"Jasvinder A."},{"family":"Yu","given":"Shaohua"}],"issued":{"date-parts":[["2016"]]},"accessed":{"date-parts":[["2018",8,23]]}}}],"schema":"https://github.com/citation-style-language/schema/raw/master/csl-citation.json"} </w:instrText>
      </w:r>
      <w:r w:rsidR="00522264" w:rsidRPr="00462B94">
        <w:rPr>
          <w:rFonts w:ascii="Book Antiqua" w:hAnsi="Book Antiqua" w:cs="Times New Roman"/>
          <w:vertAlign w:val="superscript"/>
        </w:rPr>
        <w:fldChar w:fldCharType="separate"/>
      </w:r>
      <w:r w:rsidR="00164A92" w:rsidRPr="00462B94">
        <w:rPr>
          <w:rFonts w:ascii="Book Antiqua" w:hAnsi="Book Antiqua" w:cs="Times New Roman"/>
          <w:vertAlign w:val="superscript"/>
        </w:rPr>
        <w:t>[19–21]</w:t>
      </w:r>
      <w:r w:rsidR="00522264" w:rsidRPr="00462B94">
        <w:rPr>
          <w:rFonts w:ascii="Book Antiqua" w:hAnsi="Book Antiqua" w:cs="Times New Roman"/>
          <w:vertAlign w:val="superscript"/>
        </w:rPr>
        <w:fldChar w:fldCharType="end"/>
      </w:r>
      <w:r w:rsidRPr="00462B94">
        <w:rPr>
          <w:rFonts w:ascii="Book Antiqua" w:hAnsi="Book Antiqua" w:cs="Times New Roman"/>
        </w:rPr>
        <w:t xml:space="preserve">. Surprisingly, Harrold </w:t>
      </w:r>
      <w:r w:rsidRPr="00462B94">
        <w:rPr>
          <w:rFonts w:ascii="Book Antiqua" w:hAnsi="Book Antiqua" w:cs="Times New Roman"/>
          <w:i/>
        </w:rPr>
        <w:t>et al</w:t>
      </w:r>
      <w:r w:rsidR="009A0C91" w:rsidRPr="00462B94">
        <w:rPr>
          <w:rFonts w:ascii="Book Antiqua" w:hAnsi="Book Antiqua" w:cs="Times New Roman"/>
          <w:vertAlign w:val="superscript"/>
        </w:rPr>
        <w:fldChar w:fldCharType="begin"/>
      </w:r>
      <w:r w:rsidR="009A0C91" w:rsidRPr="00462B94">
        <w:rPr>
          <w:rFonts w:ascii="Book Antiqua" w:hAnsi="Book Antiqua" w:cs="Times New Roman"/>
          <w:vertAlign w:val="superscript"/>
        </w:rPr>
        <w:instrText xml:space="preserve"> ADDIN ZOTERO_ITEM CSL_CITATION {"citationID":"dlDuM3iJ","properties":{"formattedCitation":"\\super [22]\\nosupersub{}","plainCitation":"[22]","noteIndex":0},"citationItems":[{"id":621,"uris":["http://zotero.org/users/5068664/items/BP5U4WP3"],"uri":["http://zotero.org/users/5068664/items/BP5U4WP3"],"itemData":{"id":621,"type":"article-journal","title":"Sex differences in gout epidemiology: evaluation and treatment","container-title":"Annals of the Rheumatic Diseases","page":"1368-1372","volume":"65","issue":"10","source":"PubMed Central","abstract":"Background\nLittle is known about the characteristics, evaluation and treatment of women with gout.\n\nObjective\nTo examine the epidemiological differences and differences in treatment between men and women in a large patient population.\n\nMethods\nThe data from approximately 1.4 million people who were members of seven managed care plans in the USA for at least 1</w:instrText>
      </w:r>
      <w:r w:rsidR="009A0C91" w:rsidRPr="00462B94">
        <w:rPr>
          <w:rFonts w:ascii="Times New Roman" w:hAnsi="Times New Roman" w:cs="Times New Roman"/>
          <w:vertAlign w:val="superscript"/>
        </w:rPr>
        <w:instrText> </w:instrText>
      </w:r>
      <w:r w:rsidR="009A0C91" w:rsidRPr="00462B94">
        <w:rPr>
          <w:rFonts w:ascii="Book Antiqua" w:hAnsi="Book Antiqua" w:cs="Times New Roman"/>
          <w:vertAlign w:val="superscript"/>
        </w:rPr>
        <w:instrText>year between 1 January 1999 and 31 December 2003 were examined. Adult members who had pharmacy benefits and at least two ambulatory claims specifying a diagnosis of gout were identified. In addition, men and women who were new users of urate</w:instrText>
      </w:r>
      <w:r w:rsidR="009A0C91" w:rsidRPr="00462B94">
        <w:rPr>
          <w:rFonts w:ascii="SimSun" w:eastAsia="SimSun" w:hAnsi="SimSun" w:cs="SimSun" w:hint="eastAsia"/>
          <w:vertAlign w:val="superscript"/>
        </w:rPr>
        <w:instrText>‐</w:instrText>
      </w:r>
      <w:r w:rsidR="009A0C91" w:rsidRPr="00462B94">
        <w:rPr>
          <w:rFonts w:ascii="Book Antiqua" w:hAnsi="Book Antiqua" w:cs="Times New Roman"/>
          <w:vertAlign w:val="superscript"/>
        </w:rPr>
        <w:instrText>lowering drugs (ULDs) were identified to assess adherence with recommended surveillance of serum urate levels within 6</w:instrText>
      </w:r>
      <w:r w:rsidR="009A0C91" w:rsidRPr="00462B94">
        <w:rPr>
          <w:rFonts w:ascii="Times New Roman" w:hAnsi="Times New Roman" w:cs="Times New Roman"/>
          <w:vertAlign w:val="superscript"/>
        </w:rPr>
        <w:instrText> </w:instrText>
      </w:r>
      <w:r w:rsidR="009A0C91" w:rsidRPr="00462B94">
        <w:rPr>
          <w:rFonts w:ascii="Book Antiqua" w:hAnsi="Book Antiqua" w:cs="Times New Roman"/>
          <w:vertAlign w:val="superscript"/>
        </w:rPr>
        <w:instrText>months of initiating urate</w:instrText>
      </w:r>
      <w:r w:rsidR="009A0C91" w:rsidRPr="00462B94">
        <w:rPr>
          <w:rFonts w:ascii="SimSun" w:eastAsia="SimSun" w:hAnsi="SimSun" w:cs="SimSun" w:hint="eastAsia"/>
          <w:vertAlign w:val="superscript"/>
        </w:rPr>
        <w:instrText>‐</w:instrText>
      </w:r>
      <w:r w:rsidR="009A0C91" w:rsidRPr="00462B94">
        <w:rPr>
          <w:rFonts w:ascii="Book Antiqua" w:hAnsi="Book Antiqua" w:cs="Times New Roman"/>
          <w:vertAlign w:val="superscript"/>
        </w:rPr>
        <w:instrText>lowering treatment.\n\nResults\nA total of 6133 people (4975 men and 1158 women) with two or more International Classification of Disease</w:instrText>
      </w:r>
      <w:r w:rsidR="009A0C91" w:rsidRPr="00462B94">
        <w:rPr>
          <w:rFonts w:ascii="SimSun" w:eastAsia="SimSun" w:hAnsi="SimSun" w:cs="SimSun" w:hint="eastAsia"/>
          <w:vertAlign w:val="superscript"/>
        </w:rPr>
        <w:instrText>‐</w:instrText>
      </w:r>
      <w:r w:rsidR="009A0C91" w:rsidRPr="00462B94">
        <w:rPr>
          <w:rFonts w:ascii="Book Antiqua" w:hAnsi="Book Antiqua" w:cs="Times New Roman"/>
          <w:vertAlign w:val="superscript"/>
        </w:rPr>
        <w:instrText>9 codes for gout were identified. As compared with men with gout, women were older (mean age 70 (SD 13) v 58 (SD 14), p&lt;0.001) and had comorbidities and received diuretics more often (77% v 40%; p&lt;0.001). Only 37% of new users of urate</w:instrText>
      </w:r>
      <w:r w:rsidR="009A0C91" w:rsidRPr="00462B94">
        <w:rPr>
          <w:rFonts w:ascii="SimSun" w:eastAsia="SimSun" w:hAnsi="SimSun" w:cs="SimSun" w:hint="eastAsia"/>
          <w:vertAlign w:val="superscript"/>
        </w:rPr>
        <w:instrText>‐</w:instrText>
      </w:r>
      <w:r w:rsidR="009A0C91" w:rsidRPr="00462B94">
        <w:rPr>
          <w:rFonts w:ascii="Book Antiqua" w:hAnsi="Book Antiqua" w:cs="Times New Roman"/>
          <w:vertAlign w:val="superscript"/>
        </w:rPr>
        <w:instrText>lowering treatment had appropriate surveillance of serum urate levels post</w:instrText>
      </w:r>
      <w:r w:rsidR="009A0C91" w:rsidRPr="00462B94">
        <w:rPr>
          <w:rFonts w:ascii="SimSun" w:eastAsia="SimSun" w:hAnsi="SimSun" w:cs="SimSun" w:hint="eastAsia"/>
          <w:vertAlign w:val="superscript"/>
        </w:rPr>
        <w:instrText>‐</w:instrText>
      </w:r>
      <w:r w:rsidR="009A0C91" w:rsidRPr="00462B94">
        <w:rPr>
          <w:rFonts w:ascii="Book Antiqua" w:hAnsi="Book Antiqua" w:cs="Times New Roman"/>
          <w:vertAlign w:val="superscript"/>
        </w:rPr>
        <w:instrText>initiation of urate</w:instrText>
      </w:r>
      <w:r w:rsidR="009A0C91" w:rsidRPr="00462B94">
        <w:rPr>
          <w:rFonts w:ascii="SimSun" w:eastAsia="SimSun" w:hAnsi="SimSun" w:cs="SimSun" w:hint="eastAsia"/>
          <w:vertAlign w:val="superscript"/>
        </w:rPr>
        <w:instrText>‐</w:instrText>
      </w:r>
      <w:r w:rsidR="009A0C91" w:rsidRPr="00462B94">
        <w:rPr>
          <w:rFonts w:ascii="Book Antiqua" w:hAnsi="Book Antiqua" w:cs="Times New Roman"/>
          <w:vertAlign w:val="superscript"/>
        </w:rPr>
        <w:instrText xml:space="preserve">lowering treatment. After controlling for age, comorbidities, gout treatments, number of ULD dispensings and health plan, women were more likely (odds ratio 1.36, 95% confidence interval 1.11 to 1.67) to receive the recommended serum urate level testing.\n\nConclusions\nWomen with gout were older, had greater comorbidities and more often used diuretics and received appropriate surveillance of serum urate levels, suggesting that the factors leading to gout as well as monitoring of treatment are very different in women and men.","DOI":"10.1136/ard.2006.051649","ISSN":"0003-4967","note":"PMID: 16644784\nPMCID: PMC1798311","shortTitle":"Sex differences in gout epidemiology","journalAbbreviation":"Ann Rheum Dis","author":[{"family":"Harrold","given":"L R"},{"family":"Yood","given":"R A"},{"family":"Mikuls","given":"T R"},{"family":"Andrade","given":"S E"},{"family":"Davis","given":"J"},{"family":"Fuller","given":"J"},{"family":"Chan","given":"K A"},{"family":"Roblin","given":"D"},{"family":"Raebel","given":"M A"},{"family":"Von Worley","given":"A"},{"family":"Platt","given":"R"},{"family":"Saag","given":"K G"}],"issued":{"date-parts":[["2006",10]]}}}],"schema":"https://github.com/citation-style-language/schema/raw/master/csl-citation.json"} </w:instrText>
      </w:r>
      <w:r w:rsidR="009A0C91" w:rsidRPr="00462B94">
        <w:rPr>
          <w:rFonts w:ascii="Book Antiqua" w:hAnsi="Book Antiqua" w:cs="Times New Roman"/>
          <w:vertAlign w:val="superscript"/>
        </w:rPr>
        <w:fldChar w:fldCharType="separate"/>
      </w:r>
      <w:r w:rsidR="009A0C91" w:rsidRPr="00462B94">
        <w:rPr>
          <w:rFonts w:ascii="Book Antiqua" w:hAnsi="Book Antiqua" w:cs="Times New Roman"/>
          <w:vertAlign w:val="superscript"/>
        </w:rPr>
        <w:t>[22]</w:t>
      </w:r>
      <w:r w:rsidR="009A0C91" w:rsidRPr="00462B94">
        <w:rPr>
          <w:rFonts w:ascii="Book Antiqua" w:hAnsi="Book Antiqua" w:cs="Times New Roman"/>
          <w:vertAlign w:val="superscript"/>
        </w:rPr>
        <w:fldChar w:fldCharType="end"/>
      </w:r>
      <w:r w:rsidRPr="00462B94">
        <w:rPr>
          <w:rFonts w:ascii="Book Antiqua" w:hAnsi="Book Antiqua" w:cs="Times New Roman"/>
        </w:rPr>
        <w:t xml:space="preserve"> found that older women with gout more often had coronary heart disease. The results of our study suggest that ACS patients with gout had prolonged hospital stays post-revascularizations and management costs. A few other studies have also confirmed similar findings</w:t>
      </w:r>
      <w:r w:rsidR="00522264" w:rsidRPr="00462B94">
        <w:rPr>
          <w:rFonts w:ascii="Book Antiqua" w:hAnsi="Book Antiqua" w:cs="Times New Roman"/>
          <w:vertAlign w:val="superscript"/>
        </w:rPr>
        <w:fldChar w:fldCharType="begin"/>
      </w:r>
      <w:r w:rsidR="00164A92" w:rsidRPr="00462B94">
        <w:rPr>
          <w:rFonts w:ascii="Book Antiqua" w:hAnsi="Book Antiqua" w:cs="Times New Roman"/>
          <w:vertAlign w:val="superscript"/>
        </w:rPr>
        <w:instrText xml:space="preserve"> ADDIN ZOTERO_ITEM CSL_CITATION {"citationID":"XweQkRsD","properties":{"formattedCitation":"\\super [23,24]\\nosupersub{}","plainCitation":"[23,24]","noteIndex":0},"citationItems":[{"id":331,"uris":["http://zotero.org/users/5068664/items/5NSWJIS5"],"uri":["http://zotero.org/users/5068664/items/5NSWJIS5"],"itemData":{"id":331,"type":"article-journal","title":"Heart Disease and Stroke Statistics--2012 Update: A Report From the American Heart Association","container-title":"Circulation","page":"e2-e220","volume":"125","issue":"1","source":"Crossref","abstract":"Each year, the American Heart Association (AHA), in conjunction with the Centers for Disease Control and Prevention, the National Institutes of Health, and other government agencies, brings together the most up-to-date statistics on heart disease, stroke, other vascular diseases, and their risk factors and presents them in its Heart Disease and Stroke Statistical Update. The Statistical Update is a valuable resource for researchers, clinicians, healthcare policy makers, media professionals, the lay public, and many others who seek the best national data available on disease morbidity and mortality and the risks, quality of care, medical procedures and operations, and costs associated with the management of these diseases in a single document. Indeed, since 1999, the Statistical Update has been cited more than 8700 times in the literature (including citations of all annual versions). In 2010 alone, the various Statistical Updates were cited </w:instrText>
      </w:r>
      <w:r w:rsidR="00164A92" w:rsidRPr="00462B94">
        <w:rPr>
          <w:rFonts w:ascii="Times New Roman" w:hAnsi="Times New Roman" w:cs="Times New Roman"/>
          <w:vertAlign w:val="superscript"/>
        </w:rPr>
        <w:instrText>Ϸ</w:instrText>
      </w:r>
      <w:r w:rsidR="00164A92" w:rsidRPr="00462B94">
        <w:rPr>
          <w:rFonts w:ascii="Book Antiqua" w:hAnsi="Book Antiqua" w:cs="Times New Roman"/>
          <w:vertAlign w:val="superscript"/>
        </w:rPr>
        <w:instrText xml:space="preserve">1600 times (data from ISI Web of Science). In recent years, the Statistical Update has undergone some major changes with the addition of new chapters and major updates across multiple areas. For this year’s edition, the Statistics Committee, which produces the document for the AHA, updated all of the current chapters with the most recent nationally representative data and inclusion of relevant articles from the literature over the past year and added a new chapter detailing various disorders of heart rhythm. Also, the 2012 Statistical Update is a major source for monitoring both cardiovascular health and disease in the population, with a focus on progress toward achievement of the AHA’s 2020 Impact Goals. Below are a few highlights from this year’s Update.","DOI":"10.1161/CIR.0b013e31823ac046","ISSN":"0009-7322, 1524-4539","shortTitle":"Heart Disease and Stroke Statistics--2012 Update","language":"en","author":[{"literal":"Writing Group Members"},{"family":"Roger","given":"V. L."},{"family":"Go","given":"A. S."},{"family":"Lloyd-Jones","given":"D. M."},{"family":"Benjamin","given":"E. J."},{"family":"Berry","given":"J. D."},{"family":"Borden","given":"W. B."},{"family":"Bravata","given":"D. M."},{"family":"Dai","given":"S."},{"family":"Ford","given":"E. S."},{"family":"Fox","given":"C. S."},{"family":"Fullerton","given":"H. J."},{"family":"Gillespie","given":"C."},{"family":"Hailpern","given":"S. M."},{"family":"Heit","given":"J. A."},{"family":"Howard","given":"V. J."},{"family":"Kissela","given":"B. M."},{"family":"Kittner","given":"S. J."},{"family":"Lackland","given":"D. T."},{"family":"Lichtman","given":"J. H."},{"family":"Lisabeth","given":"L. D."},{"family":"Makuc","given":"D. M."},{"family":"Marcus","given":"G. M."},{"family":"Marelli","given":"A."},{"family":"Matchar","given":"D. B."},{"family":"Moy","given":"C. S."},{"family":"Mozaffarian","given":"D."},{"family":"Mussolino","given":"M. E."},{"family":"Nichol","given":"G."},{"family":"Paynter","given":"N. P."},{"family":"Soliman","given":"E. Z."},{"family":"Sorlie","given":"P. D."},{"family":"Sotoodehnia","given":"N."},{"family":"Turan","given":"T. N."},{"family":"Virani","given":"S. S."},{"family":"Wong","given":"N. D."},{"family":"Woo","given":"D."},{"family":"Turner","given":"M. B."},{"literal":"on behalf of the American Heart Association Statistics Committee and Stroke Statistics Subcommittee"},{"literal":"On behalf of the American Heart Association Statistics Committee and Stroke Statistics Subcommittee"}],"issued":{"date-parts":[["2012",1,3]]}}},{"id":329,"uris":["http://zotero.org/users/5068664/items/B9EXXVBA"],"uri":["http://zotero.org/users/5068664/items/B9EXXVBA"],"itemData":{"id":329,"type":"article-journal","title":"The economic impact of acute coronary syndrome on length of stay: an analysis using the Healthcare Cost and Utilization Project (HCUP) databases","container-title":"Journal of Medical Economics","page":"191-197","volume":"17","issue":"3","source":"Taylor and Francis+NEJM","abstract":"Objective:To assess the economic impact of initial and repeat hospitalizations associated with acute coronary syndrome (ACS) over 1 year (2009).Design and methods:National- and state-level data on length of stay (LOS) and related charges for ACS-associated hospital admissions were assessed using two Healthcare Utilization Project databases. The first, the Nationwide Inpatient Sample (NIS), provided clinical and resource use information from </w:instrText>
      </w:r>
      <w:r w:rsidR="00164A92" w:rsidRPr="00462B94">
        <w:rPr>
          <w:rFonts w:ascii="Cambria Math" w:hAnsi="Cambria Math" w:cs="Cambria Math"/>
          <w:vertAlign w:val="superscript"/>
        </w:rPr>
        <w:instrText>∼</w:instrText>
      </w:r>
      <w:r w:rsidR="00164A92" w:rsidRPr="00462B94">
        <w:rPr>
          <w:rFonts w:ascii="Book Antiqua" w:hAnsi="Book Antiqua" w:cs="Times New Roman"/>
          <w:vertAlign w:val="superscript"/>
        </w:rPr>
        <w:instrText xml:space="preserve">8 million hospital stays, representing a 20% stratified sample of </w:instrText>
      </w:r>
      <w:r w:rsidR="00164A92" w:rsidRPr="00462B94">
        <w:rPr>
          <w:rFonts w:ascii="Cambria Math" w:hAnsi="Cambria Math" w:cs="Cambria Math"/>
          <w:vertAlign w:val="superscript"/>
        </w:rPr>
        <w:instrText>∼</w:instrText>
      </w:r>
      <w:r w:rsidR="00164A92" w:rsidRPr="00462B94">
        <w:rPr>
          <w:rFonts w:ascii="Book Antiqua" w:hAnsi="Book Antiqua" w:cs="Times New Roman"/>
          <w:vertAlign w:val="superscript"/>
        </w:rPr>
        <w:instrText xml:space="preserve">40 million annual hospital stays in the US in 2009. The second, the State Inpatient Databases, provided 100% of inpatient data from nine states that included both patient age and linked information on multiple patient admissions within the same calendar year. For patients with repeat admissions, the LOS, primary diagnosis, and total charges between the first and subsequent admissions were evaluated. All patients ≥18 years of age with at least one diagnosis of ACS, defined using the International Classification of Diseases, 9th Revision, were included (code 410.xx [except 410.x2], 411.1x and 411.8x). Variables evaluated for each discharge included demographics, cardiovascular events and procedures, LOS, discharge status, and total charges.Results:The NIS reported 1,437,735 discharges for ACS in 2009. In this dataset, mean LOS for an initial ACS event was 5.56 days. Patients &gt;65 years of age had the highest numbers of admissions; this group also had the most comorbidities. Approximately 40% of ACS patients with data on repeat visits had more than one admission, &gt;70% of these within 2 months of the primary discharge. Mean charges were $71,336 for the first admission and $53,290 for the second admission.Conclusion:Despite a variety of new therapies to prevent ACS, it remains a common condition. Better therapies are called for if the clinical and cost burden of ACS is to be alleviated.","DOI":"10.3111/13696998.2014.885907","ISSN":"1369-6998","note":"PMID: 24451040","shortTitle":"The economic impact of acute coronary syndrome on length of stay","author":[{"family":"LaMori","given":"Joyce C."},{"family":"Shoheiber","given":"Omar"},{"family":"Dudash","given":"Kellie"},{"family":"Crivera","given":"Concetta"},{"family":"Mody","given":"Samir H."}],"issued":{"date-parts":[["2014",3,1]]}}}],"schema":"https://github.com/citation-style-language/schema/raw/master/csl-citation.json"} </w:instrText>
      </w:r>
      <w:r w:rsidR="00522264" w:rsidRPr="00462B94">
        <w:rPr>
          <w:rFonts w:ascii="Book Antiqua" w:hAnsi="Book Antiqua" w:cs="Times New Roman"/>
          <w:vertAlign w:val="superscript"/>
        </w:rPr>
        <w:fldChar w:fldCharType="separate"/>
      </w:r>
      <w:r w:rsidR="00164A92" w:rsidRPr="00462B94">
        <w:rPr>
          <w:rFonts w:ascii="Book Antiqua" w:hAnsi="Book Antiqua" w:cs="Times New Roman"/>
          <w:vertAlign w:val="superscript"/>
        </w:rPr>
        <w:t>[23,24]</w:t>
      </w:r>
      <w:r w:rsidR="00522264" w:rsidRPr="00462B94">
        <w:rPr>
          <w:rFonts w:ascii="Book Antiqua" w:hAnsi="Book Antiqua" w:cs="Times New Roman"/>
          <w:vertAlign w:val="superscript"/>
        </w:rPr>
        <w:fldChar w:fldCharType="end"/>
      </w:r>
      <w:r w:rsidRPr="00462B94">
        <w:rPr>
          <w:rFonts w:ascii="Book Antiqua" w:hAnsi="Book Antiqua" w:cs="Times New Roman"/>
        </w:rPr>
        <w:t xml:space="preserve">. These studies have given </w:t>
      </w:r>
      <w:r w:rsidR="001C6529" w:rsidRPr="00462B94">
        <w:rPr>
          <w:rFonts w:ascii="Book Antiqua" w:hAnsi="Book Antiqua" w:cs="Times New Roman"/>
        </w:rPr>
        <w:t xml:space="preserve">a </w:t>
      </w:r>
      <w:r w:rsidRPr="00462B94">
        <w:rPr>
          <w:rFonts w:ascii="Book Antiqua" w:hAnsi="Book Antiqua" w:cs="Times New Roman"/>
          <w:noProof/>
        </w:rPr>
        <w:t>possible</w:t>
      </w:r>
      <w:r w:rsidRPr="00462B94">
        <w:rPr>
          <w:rFonts w:ascii="Book Antiqua" w:hAnsi="Book Antiqua" w:cs="Times New Roman"/>
        </w:rPr>
        <w:t xml:space="preserve"> explanation for </w:t>
      </w:r>
      <w:r w:rsidR="001C6529" w:rsidRPr="00462B94">
        <w:rPr>
          <w:rFonts w:ascii="Book Antiqua" w:hAnsi="Book Antiqua" w:cs="Times New Roman"/>
        </w:rPr>
        <w:t xml:space="preserve">a </w:t>
      </w:r>
      <w:r w:rsidRPr="00462B94">
        <w:rPr>
          <w:rFonts w:ascii="Book Antiqua" w:hAnsi="Book Antiqua" w:cs="Times New Roman"/>
          <w:noProof/>
        </w:rPr>
        <w:t>prolonged</w:t>
      </w:r>
      <w:r w:rsidRPr="00462B94">
        <w:rPr>
          <w:rFonts w:ascii="Book Antiqua" w:hAnsi="Book Antiqua" w:cs="Times New Roman"/>
        </w:rPr>
        <w:t xml:space="preserve"> stay and increased hospital cost due to increased risk of recurrent events and complications; however, the results were limited to the economic impact of ACS in general. This would be one of the few studies to describe the impact of gout on outcomes of ACS hospitalizations in terms of healthcare resource utilization including revascularization, the ensuing economic impact and the predictors of post-revascularization inpatient mortality.</w:t>
      </w:r>
    </w:p>
    <w:p w14:paraId="613867F0" w14:textId="65D328BD" w:rsidR="00866F2D" w:rsidRPr="00462B94" w:rsidRDefault="00866F2D" w:rsidP="00462B94">
      <w:pPr>
        <w:spacing w:line="360" w:lineRule="auto"/>
        <w:ind w:firstLineChars="100" w:firstLine="240"/>
        <w:jc w:val="both"/>
        <w:rPr>
          <w:rFonts w:ascii="Book Antiqua" w:hAnsi="Book Antiqua" w:cs="Times New Roman"/>
        </w:rPr>
      </w:pPr>
      <w:r w:rsidRPr="00462B94">
        <w:rPr>
          <w:rFonts w:ascii="Book Antiqua" w:hAnsi="Book Antiqua" w:cs="Times New Roman"/>
        </w:rPr>
        <w:t xml:space="preserve">We found that age, race, median income, relevant comorbidities, and post-revascularization outcomes/postoperative complications in ACS patients undergoing PCI or CABG were independently predictive of in-hospital mortality in </w:t>
      </w:r>
      <w:r w:rsidRPr="00462B94">
        <w:rPr>
          <w:rFonts w:ascii="Book Antiqua" w:hAnsi="Book Antiqua" w:cs="Times New Roman"/>
          <w:noProof/>
        </w:rPr>
        <w:t>ACS</w:t>
      </w:r>
      <w:r w:rsidRPr="00462B94">
        <w:rPr>
          <w:rFonts w:ascii="Book Antiqua" w:hAnsi="Book Antiqua" w:cs="Times New Roman"/>
        </w:rPr>
        <w:t xml:space="preserve"> patients with gout. Conversely, no association was observed in gender, which is consistent with a previous meta-analysis</w:t>
      </w:r>
      <w:r w:rsidR="00522264" w:rsidRPr="00462B94">
        <w:rPr>
          <w:rFonts w:ascii="Book Antiqua" w:hAnsi="Book Antiqua" w:cs="Times New Roman"/>
          <w:vertAlign w:val="superscript"/>
        </w:rPr>
        <w:fldChar w:fldCharType="begin"/>
      </w:r>
      <w:r w:rsidR="00164A92" w:rsidRPr="00462B94">
        <w:rPr>
          <w:rFonts w:ascii="Book Antiqua" w:hAnsi="Book Antiqua" w:cs="Times New Roman"/>
          <w:vertAlign w:val="superscript"/>
        </w:rPr>
        <w:instrText xml:space="preserve"> ADDIN ZOTERO_ITEM CSL_CITATION {"citationID":"tbhc1Oue","properties":{"formattedCitation":"\\super [25]\\nosupersub{}","plainCitation":"[25]","noteIndex":0},"citationItems":[{"id":287,"uris":["http://zotero.org/users/5068664/items/GNRVER8B"],"uri":["http://zotero.org/users/5068664/items/GNRVER8B"],"itemData":{"id":287,"type":"article-journal","title":"Hyperuricemia and Coronary Heart Disease: A Systematic Review and Meta-Analysis","container-title":"Arthritis care &amp; research","page":"170-180","volume":"62","issue":"2","source":"PubMed Central","abstract":"BACKGROUND\nThe role of serum uric acid as an independent risk factor for cardiovascular disease remains unclear although hyperuricemia is associated with cardiovascular disease such as coronary heart disease (CHD), stroke and hypertension.\n\nMETHODS\nA systematic review and meta-analysis using a random-effects model was conducted to determine the risk of CHD associated with hyperuricemia in adults. Studies of hyperuricemia and CHD were identified by searching major electronic databases using the Medical Subject Headings and keywords without language restriction (through February 2009). Only prospective cohort studies were included if they had data on CHD incidences or mortalities related to serum uric acid levels in adults.\n\nRESULTS\n26 eligible studies of 402,997 adults were identified. Hyperuricemia was associated with an increased risk of CHD incidence (unadjusted risk ratio (RR) 1.34; 95% confidence interval (CI) 1.19-1.49) and mortality (unadjusted RR 1.46; 95% CI 1.20-1.73). When adjusted for potential confounding, the pooled RR was 1.09 (95% CI: 1.03-1.16) for CHD incidence and 1.16 (95% CI: 1.01-1.30) for mortality. For each increase of 1 mg/dl in uric acid level, the pooled multivariate RR for CHD mortality was 1.12 (95% CI: 1.05-1.19). Subgroup analyses showed no significant association between hyperuricemia and CHD incidence/mortality in men, but an increased risk for CHD mortality in women (RR 1.67; 95% CI: 1.30-2.04).\n\nCONCLUSION\nHyperuricemia may marginally increase the risk of CHD events, independently of traditional CHD risk factors. A more pronounced increased risk for CHD mortality in women should be investigated in future research.","DOI":"10.1002/acr.20065","ISSN":"2151-464X","note":"PMID: 20191515\nPMCID: PMC3156692","shortTitle":"Hyperuricemia and Coronary Heart Disease","journalAbbreviation":"Arthritis Care Res (Hoboken)","author":[{"family":"Kim","given":"Seo Young"},{"family":"Guevara","given":"James P."},{"family":"Kim","given":"Kyoung Mi"},{"family":"Choi","given":"Hyon K."},{"family":"Heitjan","given":"Daniel F."},{"family":"Albert","given":"Daniel A."}],"issued":{"date-parts":[["2010",2]]}}}],"schema":"https://github.com/citation-style-language/schema/raw/master/csl-citation.json"} </w:instrText>
      </w:r>
      <w:r w:rsidR="00522264" w:rsidRPr="00462B94">
        <w:rPr>
          <w:rFonts w:ascii="Book Antiqua" w:hAnsi="Book Antiqua" w:cs="Times New Roman"/>
          <w:vertAlign w:val="superscript"/>
        </w:rPr>
        <w:fldChar w:fldCharType="separate"/>
      </w:r>
      <w:r w:rsidR="00164A92" w:rsidRPr="00462B94">
        <w:rPr>
          <w:rFonts w:ascii="Book Antiqua" w:hAnsi="Book Antiqua" w:cs="Times New Roman"/>
          <w:vertAlign w:val="superscript"/>
        </w:rPr>
        <w:t>[25]</w:t>
      </w:r>
      <w:r w:rsidR="00522264" w:rsidRPr="00462B94">
        <w:rPr>
          <w:rFonts w:ascii="Book Antiqua" w:hAnsi="Book Antiqua" w:cs="Times New Roman"/>
          <w:vertAlign w:val="superscript"/>
        </w:rPr>
        <w:fldChar w:fldCharType="end"/>
      </w:r>
      <w:r w:rsidRPr="00462B94">
        <w:rPr>
          <w:rFonts w:ascii="Book Antiqua" w:hAnsi="Book Antiqua" w:cs="Times New Roman"/>
        </w:rPr>
        <w:t xml:space="preserve">. The </w:t>
      </w:r>
      <w:r w:rsidRPr="00462B94">
        <w:rPr>
          <w:rFonts w:ascii="Book Antiqua" w:hAnsi="Book Antiqua" w:cs="Times New Roman"/>
          <w:noProof/>
        </w:rPr>
        <w:t>gender</w:t>
      </w:r>
      <w:r w:rsidR="001C6529" w:rsidRPr="00462B94">
        <w:rPr>
          <w:rFonts w:ascii="Book Antiqua" w:hAnsi="Book Antiqua" w:cs="Times New Roman"/>
          <w:noProof/>
        </w:rPr>
        <w:t>-</w:t>
      </w:r>
      <w:r w:rsidRPr="00462B94">
        <w:rPr>
          <w:rFonts w:ascii="Book Antiqua" w:hAnsi="Book Antiqua" w:cs="Times New Roman"/>
          <w:noProof/>
        </w:rPr>
        <w:t>specific</w:t>
      </w:r>
      <w:r w:rsidRPr="00462B94">
        <w:rPr>
          <w:rFonts w:ascii="Book Antiqua" w:hAnsi="Book Antiqua" w:cs="Times New Roman"/>
        </w:rPr>
        <w:t xml:space="preserve"> relative risk for congestive heart diseases (CHD) in that metanalysis for each increase of 1 mg/d</w:t>
      </w:r>
      <w:r w:rsidR="008A2F35" w:rsidRPr="00462B94">
        <w:rPr>
          <w:rFonts w:ascii="Book Antiqua" w:hAnsi="Book Antiqua" w:cs="Times New Roman"/>
        </w:rPr>
        <w:t>L</w:t>
      </w:r>
      <w:r w:rsidRPr="00462B94">
        <w:rPr>
          <w:rFonts w:ascii="Book Antiqua" w:hAnsi="Book Antiqua" w:cs="Times New Roman"/>
        </w:rPr>
        <w:t xml:space="preserve"> in serum UA </w:t>
      </w:r>
      <w:r w:rsidRPr="00462B94">
        <w:rPr>
          <w:rFonts w:ascii="Book Antiqua" w:hAnsi="Book Antiqua" w:cs="Times New Roman"/>
          <w:noProof/>
        </w:rPr>
        <w:t>w</w:t>
      </w:r>
      <w:r w:rsidR="001C6529" w:rsidRPr="00462B94">
        <w:rPr>
          <w:rFonts w:ascii="Book Antiqua" w:hAnsi="Book Antiqua" w:cs="Times New Roman"/>
          <w:noProof/>
        </w:rPr>
        <w:t>as</w:t>
      </w:r>
      <w:r w:rsidRPr="00462B94">
        <w:rPr>
          <w:rFonts w:ascii="Book Antiqua" w:hAnsi="Book Antiqua" w:cs="Times New Roman"/>
        </w:rPr>
        <w:t xml:space="preserve"> similar, but not statistically significant. However, subgroup analysis showed </w:t>
      </w:r>
      <w:r w:rsidR="001C6529" w:rsidRPr="00462B94">
        <w:rPr>
          <w:rFonts w:ascii="Book Antiqua" w:hAnsi="Book Antiqua" w:cs="Times New Roman"/>
        </w:rPr>
        <w:t xml:space="preserve">a </w:t>
      </w:r>
      <w:r w:rsidRPr="00462B94">
        <w:rPr>
          <w:rFonts w:ascii="Book Antiqua" w:hAnsi="Book Antiqua" w:cs="Times New Roman"/>
          <w:noProof/>
        </w:rPr>
        <w:t>significant</w:t>
      </w:r>
      <w:r w:rsidRPr="00462B94">
        <w:rPr>
          <w:rFonts w:ascii="Book Antiqua" w:hAnsi="Book Antiqua" w:cs="Times New Roman"/>
        </w:rPr>
        <w:t xml:space="preserve"> association between hyperuricemia and CHD incidence in men, but increased risk of CHD mortality in women. The result differs from the previous studies that showed both men and women with gout have increased the risk of cardiovascular mortality compared with those without gout</w:t>
      </w:r>
      <w:r w:rsidR="00522264" w:rsidRPr="00462B94">
        <w:rPr>
          <w:rFonts w:ascii="Book Antiqua" w:hAnsi="Book Antiqua" w:cs="Times New Roman"/>
          <w:vertAlign w:val="superscript"/>
        </w:rPr>
        <w:fldChar w:fldCharType="begin"/>
      </w:r>
      <w:r w:rsidR="00164A92" w:rsidRPr="00462B94">
        <w:rPr>
          <w:rFonts w:ascii="Book Antiqua" w:hAnsi="Book Antiqua" w:cs="Times New Roman"/>
          <w:vertAlign w:val="superscript"/>
        </w:rPr>
        <w:instrText xml:space="preserve"> ADDIN ZOTERO_ITEM CSL_CITATION {"citationID":"b3mAMPkt","properties":{"formattedCitation":"\\super [26\\uc0\\u8211{}28]\\nosupersub{}","plainCitation":"[26–28]","noteIndex":0},"citationItems":[{"id":222,"uris":["http://zotero.org/users/5068664/items/9U6CNQNE"],"uri":["http://zotero.org/users/5068664/items/9U6CNQNE"],"itemData":{"id":222,"type":"article-journal","title":"Independent Impact of Gout on Mortality and Risk for Coronary Heart Disease","container-title":"Circulation","page":"894-900","volume":"116","issue":"8","source":"Crossref","abstract":"Background—Although gout and hyperuricemia are related to several conditions that are associated with reduced survival, no prospective data are available on the independent impact of gout on mortality. Furthermore, although many studies have suggested that hyperuricemia is associated with cardiovascular disease (CVD), limited data are available on the impact of gout on CVD.\nMethods and Results—Over a 12-year period, we prospectively examined the relation between a history of gout and the risk of death and myocardial infarction in 51 297 male participants of the Health Professionals Follow-Up Study. During the 12 years of follow-up, we documented 5825 deaths from all causes, which included 2132 deaths from CVD and 1576 deaths from coronary heart disease (CHD). Compared with men without history of gout and CHD at baseline, the multivariate relative risks among men with history of gout were 1.28 (95% confidence interval [CI], 1.15 to 1.41) for total mortality, 1.38 (95% CI, 1.15 to 1.66) for CVD deaths, and 1.55 (95% CI, 1.24 to 1.93) for fatal CHD. The corresponding relative risks among men with preexisting CHD were 1.25 (95% CI, 1.09 to 1.45), 1.26 (95% CI, 1.07 to 1.50), and 1.24 (95% CI, 1.04 to 1.49), respectively. In addition, men with gout had a higher risk of nonfatal myocardial infarction than men without gout (multivariate relative risk, 1.59; 95% CI, 1.04 to 2.41).\nConclusions—These prospective data indicate that men with gout have a higher risk of death from all causes. Among men without preexisting CHD, the increased mortality risk is primarily a result of an elevated risk of CVD death, particularly from CHD. (Circulation. 2007;116:894-900.)","DOI":"10.1161/CIRCULATIONAHA.107.703389","ISSN":"0009-7322, 1524-4539","language":"en","author":[{"family":"Choi","given":"H. K."},{"family":"Curhan","given":"G."}],"issued":{"date-parts":[["2007",8,21]]}}},{"id":274,"uris":["http://zotero.org/users/5068664/items/6549QUH8"],"uri":["http://zotero.org/users/5068664/items/6549QUH8"],"itemData":{"id":274,"type":"article-journal","title":"Long-term Cardiovascular Mortality Among Middle-aged Men With Gout","container-title":"Archives of Internal Medicine","page":"1104-1110","volume":"168","issue":"10","source":"jamanetwork.com","abstract":"&lt;h3&gt;Background&lt;/h3&gt;&lt;p&gt;There are limited data available on the association of gouty arthritis (gout) in middle age with long-term cardiovascular disease (CVD) mortality.&lt;/p&gt;&lt;h3&gt;Methods&lt;/h3&gt;&lt;p&gt;We performed a 17-year follow-up study of 9105 men, aged 41 to 63 years and at above-average risk for coronary heart disease, who were randomized to the Multiple Risk Factor Intervention Trial and who did not die or have clinical or electrocardiographic evidence of coronary artery disease during the 6-year trial. Risk of CVD death and other causes subsequent to the sixth annual examination associated with gout was assessed by means of Cox proportional hazards regressions.&lt;/p&gt;&lt;h3&gt;Results&lt;/h3&gt;&lt;p&gt;The unadjusted mortality rates from CVD among those with and without gout were 10.3 per 1000 person-years and 8.0 per 1000 person-years, respectively, representing an approximately 30% greater risk. After adjustment for traditional risk factors, use of diuretics and aspirin, and serum creatinine level, the hazard ratio (gout vs no gout) for coronary heart disease mortality was 1.35 (95% confidence interval [CI], 1.06-1.72). The hazard ratio for death from myocardial infarction was 1.35 (95% CI, 0.94-1.93); for death from CVD overall, 1.21 (95% CI, 0.99-1.49); and for death from any cause, 1.09 (95% CI, 1.00-1.19) (&lt;i&gt;P&lt;/i&gt; = .04). The association between hyperuricemia and CVD was weak and did not persist when analysis was limited to men with hyperuricemia without a diagnosis of gout.&lt;/p&gt;&lt;h3&gt;Conclusion&lt;/h3&gt;&lt;p&gt;Among middle-aged men, a diagnosis of gout accompanied by an elevated uric acid level imparts significant independent CVD mortality risk.&lt;/p&gt;&lt;h3&gt;Trial Registration&lt;/h3&gt;&lt;p&gt;clinicaltrials.gov Identifier:NCT00000487&lt;/p&gt;","DOI":"10.1001/archinte.168.10.1104","ISSN":"0003-9926","journalAbbreviation":"Arch Intern Med","language":"en","author":[{"family":"Krishnan","given":"Eswar"},{"family":"Svendsen","given":"Kenneth"},{"family":"Neaton","given":"James D."},{"family":"Grandits","given":"Greg"},{"family":"Kuller","given":"Lewis H."}],"issued":{"date-parts":[["2008",5,26]]}}},{"id":59,"uris":["http://zotero.org/users/5068664/items/FEZ6Y683"],"uri":["http://zotero.org/users/5068664/items/FEZ6Y683"],"itemData":{"id":59,"type":"article-journal","title":"The Independent Impact of Gout on the Risk of Acute Myocardial Infarction Among Elderly Women: A Population-Based Study","container-title":"Annals of the rheumatic diseases","page":"1162-1164","volume":"69","issue":"6","source":"PubMed Central","abstract":"OBJECTIVE\nMen with gout have been found to have an increased risk of acute myocardial infarction (AMI), but no corresponding data are available among women. We evaluated the potential independent association between gout and the risk of AMI among elderly women, aged ≥65 years.\n\nMETHODS\nWe conducted a population-based cohort study using the British Columbia Linked Health Database and compared incidence rates of AMI between 9,642 gout patients and 48,210 controls, with no history of ischemic heart disease. Cox proportional hazards models stratified by gender were used to estimate the relative risk (RR) for AMI, adjusting for age, co-morbidities, and prescription medication use.\n\nRESULTS\nOver 7-year median follow-up, we identified 3,268 incident AMI cases, 996 among women. Compared to women without gout, the multivariate RRs among women with gout were 1.39 (95% CI, 1.20–1.61) for all AMI and 1.41 (95% CI, 1.19–1.67) for non-fatal AMI. These RRs were significantly larger than those among men (multivariate RRs for all AMI and non-fatal AMI, 1.11 and 1.11; P-values for interaction, 0.003 and 0.005, respectively).\n\nCONCLUSION\nThese population-based data suggest that women with gout have an increased risk for AMI and the magnitude of excess risk is higher than in men.","DOI":"10.1136/ard.2009.122770","ISSN":"0003-4967","note":"PMID: 20124358\nPMCID: PMC3142935","shortTitle":"The Independent Impact of Gout on the Risk of Acute Myocardial Infarction Among Elderly Women","journalAbbreviation":"Ann Rheum Dis","author":[{"family":"De Vera","given":"Mary A."},{"family":"Rahman","given":"M Mushfiqur"},{"family":"Bhole","given":"Vidula"},{"family":"Kopec","given":"Jacek A."},{"family":"Choi","given":"Hyon"}],"issued":{"date-parts":[["2010",6]]}}}],"schema":"https://github.com/citation-style-language/schema/raw/master/csl-citation.json"} </w:instrText>
      </w:r>
      <w:r w:rsidR="00522264" w:rsidRPr="00462B94">
        <w:rPr>
          <w:rFonts w:ascii="Book Antiqua" w:hAnsi="Book Antiqua" w:cs="Times New Roman"/>
          <w:vertAlign w:val="superscript"/>
        </w:rPr>
        <w:fldChar w:fldCharType="separate"/>
      </w:r>
      <w:r w:rsidR="00164A92" w:rsidRPr="00462B94">
        <w:rPr>
          <w:rFonts w:ascii="Book Antiqua" w:hAnsi="Book Antiqua" w:cs="Times New Roman"/>
          <w:vertAlign w:val="superscript"/>
        </w:rPr>
        <w:t>[26–28]</w:t>
      </w:r>
      <w:r w:rsidR="00522264" w:rsidRPr="00462B94">
        <w:rPr>
          <w:rFonts w:ascii="Book Antiqua" w:hAnsi="Book Antiqua" w:cs="Times New Roman"/>
          <w:vertAlign w:val="superscript"/>
        </w:rPr>
        <w:fldChar w:fldCharType="end"/>
      </w:r>
      <w:r w:rsidRPr="00462B94">
        <w:rPr>
          <w:rFonts w:ascii="Book Antiqua" w:hAnsi="Book Antiqua" w:cs="Times New Roman"/>
        </w:rPr>
        <w:t>. A retrospective study of STEMI patients who underwent PCI reported that one in every five patients had higher UA levels and it was independently associated with increased risk of in-hospital mortality</w:t>
      </w:r>
      <w:r w:rsidR="00CE3246" w:rsidRPr="00462B94">
        <w:rPr>
          <w:rFonts w:ascii="Book Antiqua" w:hAnsi="Book Antiqua" w:cs="Times New Roman"/>
          <w:vertAlign w:val="superscript"/>
        </w:rPr>
        <w:fldChar w:fldCharType="begin"/>
      </w:r>
      <w:r w:rsidR="00773206" w:rsidRPr="00462B94">
        <w:rPr>
          <w:rFonts w:ascii="Book Antiqua" w:hAnsi="Book Antiqua" w:cs="Times New Roman"/>
          <w:vertAlign w:val="superscript"/>
        </w:rPr>
        <w:instrText xml:space="preserve"> ADDIN ZOTERO_ITEM CSL_CITATION {"citationID":"ig9WASgL","properties":{"formattedCitation":"\\super [10]\\nosupersub{}","plainCitation":"[10]","noteIndex":0},"citationItems":[{"id":236,"uris":["http://zotero.org/users/5068664/items/TJENEF9J"],"uri":["http://zotero.org/users/5068664/items/TJENEF9J"],"itemData":{"id":236,"type":"article-journal","title":"Uric acid in the acute phase of ST elevation myocardial infarction submitted to primary PCI: Its prognostic role and relation with inflammatory markers: A single center experience","container-title":"International Journal of Cardiology","page":"206-209","volume":"138","issue":"2","source":"ScienceDirect","abstract":"Background and methods\nScarce data are available on the prognostic role of uric acid (UA ) in patients with ST elevation myocardial infarction (STEMI). We aimed at assessing the relation between uric acid, measured on Intensive Cardiac Care Unit (ICCU) admission, and mortality at short term follow-up in 466 consecutive STEMI patients submitted to percutaneous coronary intervention (PCI), as well as its relation with inflammatory markers (C-reactive protein, CRP–fibrinogen, erythrocyte sedimentation rate ESR).\nResults\nHigher UA were detectable in the 21.5%.. In-hospital mortality was higher in patients with elevated UA (p&lt;0.01 O.R. (95% C.I.): 3.9 (1.5–10.2)). At backward stepwise regression analysis UA resulted an independent predictor for in-hospital mortality (OR 1.82, 95%CI 1.15–2.86; p=0.01).\nConclusion\nOur data strongly suggest that in the acute phase of STEMI patients submitted to PCI, uric acid holds a prognostic role for in-hospital mortality.","DOI":"10.1016/j.ijcard.2008.06.024","ISSN":"0167-5273","shortTitle":"Uric acid in the acute phase of ST elevation myocardial infarction submitted to primary PCI","journalAbbreviation":"International Journal of Cardiology","author":[{"family":"Lazzeri","given":"Chiara"},{"family":"Valente","given":"Serafina"},{"family":"Chiostri","given":"Marco"},{"family":"Sori","given":"Andrea"},{"family":"Bernardo","given":"Pasquale"},{"family":"Gensini","given":"Gian Franco"}],"issued":{"date-parts":[["2010",1,21]]}}}],"schema":"https://github.com/citation-style-language/schema/raw/master/csl-citation.json"} </w:instrText>
      </w:r>
      <w:r w:rsidR="00CE3246" w:rsidRPr="00462B94">
        <w:rPr>
          <w:rFonts w:ascii="Book Antiqua" w:hAnsi="Book Antiqua" w:cs="Times New Roman"/>
          <w:vertAlign w:val="superscript"/>
        </w:rPr>
        <w:fldChar w:fldCharType="separate"/>
      </w:r>
      <w:r w:rsidR="00773206" w:rsidRPr="00462B94">
        <w:rPr>
          <w:rFonts w:ascii="Book Antiqua" w:hAnsi="Book Antiqua" w:cs="Times New Roman"/>
          <w:vertAlign w:val="superscript"/>
        </w:rPr>
        <w:t>[10]</w:t>
      </w:r>
      <w:r w:rsidR="00CE3246" w:rsidRPr="00462B94">
        <w:rPr>
          <w:rFonts w:ascii="Book Antiqua" w:hAnsi="Book Antiqua" w:cs="Times New Roman"/>
          <w:vertAlign w:val="superscript"/>
        </w:rPr>
        <w:fldChar w:fldCharType="end"/>
      </w:r>
      <w:r w:rsidRPr="00462B94">
        <w:rPr>
          <w:rFonts w:ascii="Book Antiqua" w:hAnsi="Book Antiqua" w:cs="Times New Roman"/>
        </w:rPr>
        <w:t xml:space="preserve">. </w:t>
      </w:r>
      <w:proofErr w:type="spellStart"/>
      <w:r w:rsidRPr="00462B94">
        <w:rPr>
          <w:rFonts w:ascii="Book Antiqua" w:hAnsi="Book Antiqua" w:cs="Times New Roman"/>
        </w:rPr>
        <w:t>Ndrepepa</w:t>
      </w:r>
      <w:proofErr w:type="spellEnd"/>
      <w:r w:rsidRPr="00462B94">
        <w:rPr>
          <w:rFonts w:ascii="Book Antiqua" w:hAnsi="Book Antiqua" w:cs="Times New Roman"/>
        </w:rPr>
        <w:t xml:space="preserve"> </w:t>
      </w:r>
      <w:r w:rsidRPr="00462B94">
        <w:rPr>
          <w:rFonts w:ascii="Book Antiqua" w:hAnsi="Book Antiqua" w:cs="Times New Roman"/>
          <w:i/>
        </w:rPr>
        <w:t>et al</w:t>
      </w:r>
      <w:r w:rsidR="001A0E73" w:rsidRPr="00462B94">
        <w:rPr>
          <w:rFonts w:ascii="Book Antiqua" w:hAnsi="Book Antiqua" w:cs="Times New Roman"/>
          <w:vertAlign w:val="superscript"/>
        </w:rPr>
        <w:fldChar w:fldCharType="begin"/>
      </w:r>
      <w:r w:rsidR="001A0E73" w:rsidRPr="00462B94">
        <w:rPr>
          <w:rFonts w:ascii="Book Antiqua" w:hAnsi="Book Antiqua" w:cs="Times New Roman"/>
          <w:vertAlign w:val="superscript"/>
        </w:rPr>
        <w:instrText xml:space="preserve"> ADDIN ZOTERO_ITEM CSL_CITATION {"citationID":"IYsV7hUg","properties":{"formattedCitation":"\\super [29]\\nosupersub{}","plainCitation":"[29]","noteIndex":0},"citationItems":[{"id":36,"uris":["http://zotero.org/users/5068664/items/WNBCPAN8"],"uri":["http://zotero.org/users/5068664/items/WNBCPAN8"],"itemData":{"id":36,"type":"article-journal","title":"Prognostic Value of Uric Acid in Patients With Acute Coronary Syndromes","container-title":"The American Journal of Cardiology","page":"1260-1265","volume":"109","issue":"9","source":"ScienceDirect","abstract":"The association between uric acid and cardiovascular disease is incompletely understood. In particular, the prognostic value of uric acid in patients with acute coronary syndromes who undergo percutaneous coronary intervention has not been studied. This study included 5,124 patients with acute coronary syndromes who underwent percutaneous coronary intervention: 1,629 with acute ST-segment elevation myocardial infarction, 1,332 with acute non–ST-segment elevation myocardial infarction, and 2,163 with unstable angina. The primary end point was 1-year mortality. Patients were divided into quartiles according to uric acid level as follows: quartile 1, 1.3 to &lt;5.3 mg/dl; quartile 2, 5.3 to &lt;6.3 mg/dl; quartile 3, 6.3 to &lt;7.5 mg/dl; and quartile 4, 7.5 to 18.4 mg/dl. There were 450 deaths during follow-up: 80 deaths in quartile 1, 77deaths in quartile 2, 72 deaths in quartile 3, and 221 deaths in quartile 4 of uric acid (Kaplan-Meier estimates of 1-year mortality 6.4%, 6.2%, 5.6%, and 17.4%, respectively; unadjusted hazard ratio 3.05, 95% confidence interval 2.54 to 3.67, p &lt;0.001 for fourth vs first quartile of uric acid). After adjustment for traditional cardiovascular risk factors, renal function, and inflammatory status, the association between uric acid and mortality remained significant, with a 12% increase in the adjusted risk for 1-year mortality for every 1 mg/dl increase in the uric acid level. Uric acid improved the discriminatory power of the predictive model regarding 1-year mortality (absolute integrated discrimination improvement 0.008, p = 0.005). In conclusion, elevated levels of uric acid are an independent predictor of 1-year mortality across the whole spectrum of patients with acute coronary syndromes treated with percutaneous coronary intervention.","DOI":"10.1016/j.amjcard.2011.12.018","ISSN":"0002-9149","journalAbbreviation":"The American Journal of Cardiology","author":[{"family":"Ndrepepa","given":"Gjin"},{"family":"Braun","given":"Siegmund"},{"family":"Haase","given":"Hans-Ullrich"},{"family":"Schulz","given":"Stefanie"},{"family":"Ranftl","given":"Sabine"},{"family":"Hadamitzky","given":"Martin"},{"family":"Mehilli","given":"Julinda"},{"family":"Schömig","given":"Albert"},{"family":"Kastrati","given":"Adnan"}],"issued":{"date-parts":[["2012",5,1]]}}}],"schema":"https://github.com/citation-style-language/schema/raw/master/csl-citation.json"} </w:instrText>
      </w:r>
      <w:r w:rsidR="001A0E73" w:rsidRPr="00462B94">
        <w:rPr>
          <w:rFonts w:ascii="Book Antiqua" w:hAnsi="Book Antiqua" w:cs="Times New Roman"/>
          <w:vertAlign w:val="superscript"/>
        </w:rPr>
        <w:fldChar w:fldCharType="separate"/>
      </w:r>
      <w:r w:rsidR="001A0E73" w:rsidRPr="00462B94">
        <w:rPr>
          <w:rFonts w:ascii="Book Antiqua" w:hAnsi="Book Antiqua" w:cs="Times New Roman"/>
          <w:vertAlign w:val="superscript"/>
        </w:rPr>
        <w:t>[29]</w:t>
      </w:r>
      <w:r w:rsidR="001A0E73" w:rsidRPr="00462B94">
        <w:rPr>
          <w:rFonts w:ascii="Book Antiqua" w:hAnsi="Book Antiqua" w:cs="Times New Roman"/>
          <w:vertAlign w:val="superscript"/>
        </w:rPr>
        <w:fldChar w:fldCharType="end"/>
      </w:r>
      <w:r w:rsidRPr="00462B94">
        <w:rPr>
          <w:rFonts w:ascii="Book Antiqua" w:hAnsi="Book Antiqua" w:cs="Times New Roman"/>
        </w:rPr>
        <w:t xml:space="preserve"> reported that every 1</w:t>
      </w:r>
      <w:r w:rsidR="001A0E73" w:rsidRPr="00462B94">
        <w:rPr>
          <w:rFonts w:ascii="Book Antiqua" w:hAnsi="Book Antiqua" w:cs="Times New Roman" w:hint="eastAsia"/>
          <w:lang w:eastAsia="zh-CN"/>
        </w:rPr>
        <w:t xml:space="preserve"> </w:t>
      </w:r>
      <w:r w:rsidRPr="00462B94">
        <w:rPr>
          <w:rFonts w:ascii="Book Antiqua" w:hAnsi="Book Antiqua" w:cs="Times New Roman"/>
        </w:rPr>
        <w:t>mg/d</w:t>
      </w:r>
      <w:r w:rsidR="001A0E73" w:rsidRPr="00462B94">
        <w:rPr>
          <w:rFonts w:ascii="Book Antiqua" w:hAnsi="Book Antiqua" w:cs="Times New Roman"/>
        </w:rPr>
        <w:t>L</w:t>
      </w:r>
      <w:r w:rsidRPr="00462B94">
        <w:rPr>
          <w:rFonts w:ascii="Book Antiqua" w:hAnsi="Book Antiqua" w:cs="Times New Roman"/>
        </w:rPr>
        <w:t xml:space="preserve"> rise in UA </w:t>
      </w:r>
      <w:r w:rsidRPr="00462B94">
        <w:rPr>
          <w:rFonts w:ascii="Book Antiqua" w:hAnsi="Book Antiqua" w:cs="Times New Roman"/>
          <w:noProof/>
        </w:rPr>
        <w:t>increased</w:t>
      </w:r>
      <w:r w:rsidR="001C6529" w:rsidRPr="00462B94">
        <w:rPr>
          <w:rFonts w:ascii="Book Antiqua" w:hAnsi="Book Antiqua" w:cs="Times New Roman"/>
          <w:noProof/>
        </w:rPr>
        <w:t xml:space="preserve"> by</w:t>
      </w:r>
      <w:r w:rsidRPr="00462B94">
        <w:rPr>
          <w:rFonts w:ascii="Book Antiqua" w:hAnsi="Book Antiqua" w:cs="Times New Roman"/>
        </w:rPr>
        <w:t xml:space="preserve"> 12% in the adjusted risk for 1-year mortality in an unselected cohort. Alcohol consumption and dyslipidemia </w:t>
      </w:r>
      <w:r w:rsidRPr="00462B94">
        <w:rPr>
          <w:rFonts w:ascii="Book Antiqua" w:hAnsi="Book Antiqua" w:cs="Times New Roman"/>
          <w:noProof/>
        </w:rPr>
        <w:t>ha</w:t>
      </w:r>
      <w:r w:rsidR="001C6529" w:rsidRPr="00462B94">
        <w:rPr>
          <w:rFonts w:ascii="Book Antiqua" w:hAnsi="Book Antiqua" w:cs="Times New Roman"/>
          <w:noProof/>
        </w:rPr>
        <w:t>ve</w:t>
      </w:r>
      <w:r w:rsidRPr="00462B94">
        <w:rPr>
          <w:rFonts w:ascii="Book Antiqua" w:hAnsi="Book Antiqua" w:cs="Times New Roman"/>
        </w:rPr>
        <w:t xml:space="preserve"> been associated with </w:t>
      </w:r>
      <w:r w:rsidRPr="00462B94">
        <w:rPr>
          <w:rFonts w:ascii="Book Antiqua" w:hAnsi="Book Antiqua" w:cs="Times New Roman"/>
          <w:noProof/>
        </w:rPr>
        <w:t>significant</w:t>
      </w:r>
      <w:r w:rsidR="001C6529" w:rsidRPr="00462B94">
        <w:rPr>
          <w:rFonts w:ascii="Book Antiqua" w:hAnsi="Book Antiqua" w:cs="Times New Roman"/>
          <w:noProof/>
        </w:rPr>
        <w:t>ly</w:t>
      </w:r>
      <w:r w:rsidRPr="00462B94">
        <w:rPr>
          <w:rFonts w:ascii="Book Antiqua" w:hAnsi="Book Antiqua" w:cs="Times New Roman"/>
        </w:rPr>
        <w:t xml:space="preserve"> increase the risk of hyperuricemia</w:t>
      </w:r>
      <w:r w:rsidR="00CE3246" w:rsidRPr="00462B94">
        <w:rPr>
          <w:rFonts w:ascii="Book Antiqua" w:hAnsi="Book Antiqua" w:cs="Times New Roman"/>
          <w:vertAlign w:val="superscript"/>
        </w:rPr>
        <w:fldChar w:fldCharType="begin"/>
      </w:r>
      <w:r w:rsidR="00164A92" w:rsidRPr="00462B94">
        <w:rPr>
          <w:rFonts w:ascii="Book Antiqua" w:hAnsi="Book Antiqua" w:cs="Times New Roman"/>
          <w:vertAlign w:val="superscript"/>
        </w:rPr>
        <w:instrText xml:space="preserve"> ADDIN ZOTERO_ITEM CSL_CITATION {"citationID":"r8Vx23Ds","properties":{"formattedCitation":"\\super [30,31]\\nosupersub{}","plainCitation":"[30,31]","noteIndex":0},"citationItems":[{"id":380,"uris":["http://zotero.org/users/5068664/items/9UA9RV3G"],"uri":["http://zotero.org/users/5068664/items/9UA9RV3G"],"itemData":{"id":380,"type":"article-journal","title":"The Relation of Moderate Alcohol Consumption to Hyperuricemia in a Rural General Population","container-title":"International Journal of Environmental Research and Public Health","volume":"13","issue":"7","source":"PubMed Central","abstract":"Background: although alcohol abuse is known to increase serum uric acid, the relation between moderate drinking and uric acid have remained poorly understood. We performed this study to evaluate whether different alcohol consumption level has different effects on the risk of hyperuricemia based on a rural general population. Method: multi-stage cluster sampling method was used to select a representative sample of individuals aged 35 years or older. Participants were asked to provide information about their alcohol consumption. Data regarding the demographic and lifestyle characteristics and the blood biochemical indexes of these participants were collected by well-trained personnel. Results: in total, 11,039 participants aged 35 years or older were included (4997 men and 6042 women). The prevalence of hyperuricemia in the different male alcohol consumption groups was 11.9% in non-drinkers, 12.6% in moderate drinkers, and 16.3% in heavy drinkers (p &lt; 0.001). In females, the rates were 6.3% in non-drinkers, 8.1% in moderate drinkers, and 6.6% for heavy drinkers (p = 0.818). In males, multivariate logistic regression analyses shows heavy drinkers had an approximately 1.7-fold higher risk of hyperuricemia (OR: 1.657, 95% CI: 1.368 to 2.007, p &lt; 0.001) than non-drinkers; moderate drinkers did not experience a significant increase in risk (OR: 1.232, 95% CI: 0.951 to 1.596, p = 0.114)). Multivariate logistic regression analyses of females showed that, compared with non-drinkers, neither moderate nor heavy drinkers had a significantly increased risk of hyperuricemia (OR: 1.565, 95% CI: 0.521 to 4.695, p = 0.425 for heavy drinkers; OR: 0.897, 95% CI: 0.117 to 6.855, p = 0.916 for moderate drinkers). Conclusions: heavy alcohol consumption increased the risk of hyperuricemia for males but not for females. Among both males and females, moderate alcohol consumption did not increase the risk of hyperuricemia.","URL":"https://www.ncbi.nlm.nih.gov/pmc/articles/PMC4962273/","DOI":"10.3390/ijerph13070732","ISSN":"1661-7827","note":"PMID: 27447659\nPMCID: PMC4962273","journalAbbreviation":"Int J Environ Res Public Health","author":[{"family":"Li","given":"Zhao"},{"family":"Guo","given":"Xiaofan"},{"family":"Liu","given":"Yamin"},{"family":"Chang","given":"Ye"},{"family":"Sun","given":"Yingxian"},{"family":"Zhu","given":"Guangshuo"},{"family":"Abraham","given":"Maria Roselle"}],"issued":{"date-parts":[["2016",7]]},"accessed":{"date-parts":[["2018",8,26]]}}},{"id":383,"uris":["http://zotero.org/users/5068664/items/5DKKF2PK"],"uri":["http://zotero.org/users/5068664/items/5DKKF2PK"],"itemData":{"id":383,"type":"webpage","title":"Relationship between Hyperuricemia and Lipid Profiles in US Adults","container-title":"BioMed Research International","genre":"Research article","abstract":"Background. Although the link between hyperuricemia and metabolic syndrome had been recognized, the association of the dyslipidemia among individuals with hyperuricemia remains not comprehensively assessed. Methods. Using NHANES III study, we examined the relation between serum lipid profiles and different serum uric acid levels, including serum total cholesterol, LDL cholesterol, triglycerides, HDL cholesterol, apolipoprotein-B, lipoprotein (a), apolipoprotein AI, ratio of triglycerides to HDL cholesterol, and ratio of apolipoprotein-B to AI. Results. After adjusting for potential confounders, average differences (95% confidence interval) comparing the top to the bottom (reference) serum uric acid were 0.29 (0.19, 0.39) mmol/L for total cholesterol, 0.33 (0.26, 0.41) mmol/L for triglycerides, 0.14 (0.01, 0.27) mmol/L for LDL cholesterol, −0.08 (−0.11, −0.05) mmol/L for HDL, and 0.09 (0.05, 0.12) g/L for serum apolipoprotein-B. Notably, ratios of triglycerides to HDL cholesterol and apolipoprotein-B to AI were also linearly associated with uric acid levels (P for trend &lt; 0.001). Conclusions. This study suggested that serum LDL cholesterol, triglycerides, total cholesterol, apolipoprotein-B levels, ratio of triglycerides to HDL cholesterol, and ratio of apolipoprotein-B to AI are strongly associated with serum uric acid levels, whereas serum HDL cholesterol levels are significantly inversely associated. In the clinical practice, the more comprehensive strategic management to deal with dyslipidemia and hyperuricemia deserves further investigation.","URL":"https://www.hindawi.com/journals/bmri/2015/127596/","note":"DOI: 10.1155/2015/127596","language":"en","author":[{"family":"Peng","given":"Tao-Chun"},{"family":"Wang","given":"Chung-Ching"},{"family":"Kao","given":"Tung-Wei"},{"family":"Chan","given":"James Yi-Hsin"},{"family":"Yang","given":"Ya-Hui"},{"family":"Chang","given":"Yaw-Wen"},{"family":"Chen","given":"Wei-Liang"}],"issued":{"date-parts":[["2015"]]},"accessed":{"date-parts":[["2018",8,26]]}}}],"schema":"https://github.com/citation-style-language/schema/raw/master/csl-citation.json"} </w:instrText>
      </w:r>
      <w:r w:rsidR="00CE3246" w:rsidRPr="00462B94">
        <w:rPr>
          <w:rFonts w:ascii="Book Antiqua" w:hAnsi="Book Antiqua" w:cs="Times New Roman"/>
          <w:vertAlign w:val="superscript"/>
        </w:rPr>
        <w:fldChar w:fldCharType="separate"/>
      </w:r>
      <w:r w:rsidR="00164A92" w:rsidRPr="00462B94">
        <w:rPr>
          <w:rFonts w:ascii="Book Antiqua" w:hAnsi="Book Antiqua" w:cs="Times New Roman"/>
          <w:vertAlign w:val="superscript"/>
        </w:rPr>
        <w:t>[30,31]</w:t>
      </w:r>
      <w:r w:rsidR="00CE3246" w:rsidRPr="00462B94">
        <w:rPr>
          <w:rFonts w:ascii="Book Antiqua" w:hAnsi="Book Antiqua" w:cs="Times New Roman"/>
          <w:vertAlign w:val="superscript"/>
        </w:rPr>
        <w:fldChar w:fldCharType="end"/>
      </w:r>
      <w:r w:rsidRPr="00462B94">
        <w:rPr>
          <w:rFonts w:ascii="Book Antiqua" w:hAnsi="Book Antiqua" w:cs="Times New Roman"/>
        </w:rPr>
        <w:t xml:space="preserve">, which could further </w:t>
      </w:r>
      <w:r w:rsidRPr="00462B94">
        <w:rPr>
          <w:rFonts w:ascii="Book Antiqua" w:hAnsi="Book Antiqua" w:cs="Times New Roman"/>
        </w:rPr>
        <w:lastRenderedPageBreak/>
        <w:t xml:space="preserve">precipitate or increase the severity of gout. Interestingly, we observed the lower odds of in-hospital mortality with alcohol abuse, dyslipidemia, and obesity in ACS patients with gout undergoing revascularization. The implication of our findings is important for targeted preventive intervention in a certain population at the risk of gout and ACS. </w:t>
      </w:r>
    </w:p>
    <w:p w14:paraId="4BF85786" w14:textId="76D63633" w:rsidR="00866F2D" w:rsidRPr="00462B94" w:rsidRDefault="00866F2D" w:rsidP="00462B94">
      <w:pPr>
        <w:spacing w:line="360" w:lineRule="auto"/>
        <w:ind w:firstLineChars="100" w:firstLine="240"/>
        <w:jc w:val="both"/>
        <w:rPr>
          <w:rFonts w:ascii="Book Antiqua" w:hAnsi="Book Antiqua" w:cs="Times New Roman"/>
        </w:rPr>
      </w:pPr>
      <w:r w:rsidRPr="00462B94">
        <w:rPr>
          <w:rFonts w:ascii="Book Antiqua" w:hAnsi="Book Antiqua" w:cs="Times New Roman"/>
        </w:rPr>
        <w:t xml:space="preserve">Several potential mechanisms including causal role of UA in hypertension and atherosclerosis development, vasoconstriction, </w:t>
      </w:r>
      <w:r w:rsidRPr="00462B94">
        <w:rPr>
          <w:rFonts w:ascii="Book Antiqua" w:hAnsi="Book Antiqua" w:cs="Times New Roman"/>
          <w:noProof/>
        </w:rPr>
        <w:t>role</w:t>
      </w:r>
      <w:r w:rsidRPr="00462B94">
        <w:rPr>
          <w:rFonts w:ascii="Book Antiqua" w:hAnsi="Book Antiqua" w:cs="Times New Roman"/>
        </w:rPr>
        <w:t xml:space="preserve"> of UA as pro-oxidant or gout per se promoting atherosclerosis, explain the increased risk of cardiovascular mortality in patients with gout</w:t>
      </w:r>
      <w:r w:rsidR="00CE3246" w:rsidRPr="00462B94">
        <w:rPr>
          <w:rFonts w:ascii="Book Antiqua" w:hAnsi="Book Antiqua" w:cs="Times New Roman"/>
          <w:vertAlign w:val="superscript"/>
        </w:rPr>
        <w:fldChar w:fldCharType="begin"/>
      </w:r>
      <w:r w:rsidR="00164A92" w:rsidRPr="00462B94">
        <w:rPr>
          <w:rFonts w:ascii="Book Antiqua" w:hAnsi="Book Antiqua" w:cs="Times New Roman"/>
          <w:vertAlign w:val="superscript"/>
        </w:rPr>
        <w:instrText xml:space="preserve"> ADDIN ZOTERO_ITEM CSL_CITATION {"citationID":"xeHiiLAz","properties":{"formattedCitation":"\\super [32,33]\\nosupersub{}","plainCitation":"[32,33]","noteIndex":0},"citationItems":[{"id":612,"uris":["http://zotero.org/users/5068664/items/2FNBIDQR"],"uri":["http://zotero.org/users/5068664/items/2FNBIDQR"],"itemData":{"id":612,"type":"article-journal","title":"Uric acid as a mediator of endothelial dysfunction, inflammation, and vascular disease","container-title":"Seminars in Nephrology","page":"39-42","volume":"25","issue":"1","source":"PubMed","abstract":"Recent experimental findings have led to renewed interest in the possible role of uric acid in the pathogenesis of both hypertension and vascular disease. Often considered an antioxidant, biochemical and in vitro data indicate that noncrystalline, soluble uric acid also can react to form radicals, increase lipid oxidation, and induce various pro-oxidant effects in vascular cells. In vitro and in vivo findings suggest that uric acid may contribute to endothelial dysfunction by inducing antiproliferative effects on endothelium and impairing nitric oxide production. Proinflammatory and proliferative effects of soluble uric acid have been described on vascular smooth muscle cells (VSMCs), and in animal models of mild hyperuricemia, hypertension develops in association with intrarenal vascular disease. Possible adverse effects of uric acid on the vasculature have been linked to increased chemokine and cytokine expression, induction of the renin-angiotensin system, and to increased vascular C-reactive protein (CRP) expression. Experimental evidence suggests a complex but potentially direct causal role for uric acid in the pathogenesis of hypertension and atherosclerosis.","ISSN":"0270-9295","note":"PMID: 15660333","journalAbbreviation":"Semin. Nephrol.","language":"eng","author":[{"family":"Kanellis","given":"John"},{"family":"Kang","given":"Duk-Hee"}],"issued":{"date-parts":[["2005",1]]}}},{"id":174,"uris":["http://zotero.org/users/5068664/items/FP63I2YL"],"uri":["http://zotero.org/users/5068664/items/FP63I2YL"],"itemData":{"id":174,"type":"article-journal","title":"Uric Acid and Cardiovascular Risk","container-title":"New England Journal of Medicine","page":"1811-1821","volume":"359","issue":"17","source":"Taylor and Francis+NEJM","abstract":"This review summarizes relevant studies concerning uric acid and possible links to hypertension, renal disease, and cardiovascular disease. Whether uric acid is an independent risk factor for such diseases is still a point of debate. Current evidence is presented.","DOI":"10.1056/NEJMra0800885","ISSN":"0028-4793","note":"PMID: 18946066","author":[{"family":"Feig","given":"Daniel I."},{"family":"Kang","given":"Duk-Hee"},{"family":"Johnson","given":"Richard J."}],"issued":{"date-parts":[["2008",10,23]]}}}],"schema":"https://github.com/citation-style-language/schema/raw/master/csl-citation.json"} </w:instrText>
      </w:r>
      <w:r w:rsidR="00CE3246" w:rsidRPr="00462B94">
        <w:rPr>
          <w:rFonts w:ascii="Book Antiqua" w:hAnsi="Book Antiqua" w:cs="Times New Roman"/>
          <w:vertAlign w:val="superscript"/>
        </w:rPr>
        <w:fldChar w:fldCharType="separate"/>
      </w:r>
      <w:r w:rsidR="00164A92" w:rsidRPr="00462B94">
        <w:rPr>
          <w:rFonts w:ascii="Book Antiqua" w:hAnsi="Book Antiqua" w:cs="Times New Roman"/>
          <w:vertAlign w:val="superscript"/>
        </w:rPr>
        <w:t>[32,33]</w:t>
      </w:r>
      <w:r w:rsidR="00CE3246" w:rsidRPr="00462B94">
        <w:rPr>
          <w:rFonts w:ascii="Book Antiqua" w:hAnsi="Book Antiqua" w:cs="Times New Roman"/>
          <w:vertAlign w:val="superscript"/>
        </w:rPr>
        <w:fldChar w:fldCharType="end"/>
      </w:r>
      <w:r w:rsidRPr="00462B94">
        <w:rPr>
          <w:rFonts w:ascii="Book Antiqua" w:hAnsi="Book Antiqua" w:cs="Times New Roman"/>
        </w:rPr>
        <w:t>.</w:t>
      </w:r>
      <w:r w:rsidR="00CE3246" w:rsidRPr="00462B94">
        <w:rPr>
          <w:rFonts w:ascii="Book Antiqua" w:hAnsi="Book Antiqua" w:cs="Times New Roman"/>
        </w:rPr>
        <w:t xml:space="preserve"> </w:t>
      </w:r>
      <w:r w:rsidRPr="00462B94">
        <w:rPr>
          <w:rFonts w:ascii="Book Antiqua" w:hAnsi="Book Antiqua" w:cs="Times New Roman"/>
        </w:rPr>
        <w:t>However, whether gout is an independent factor with a pathogenic role in ACS or only attributing for associated risk factors of ACS, such as obesity, renal diseases, and diabetes, remains debatable</w:t>
      </w:r>
      <w:r w:rsidR="00CE3246" w:rsidRPr="00462B94">
        <w:rPr>
          <w:rFonts w:ascii="Book Antiqua" w:hAnsi="Book Antiqua" w:cs="Times New Roman"/>
          <w:vertAlign w:val="superscript"/>
        </w:rPr>
        <w:fldChar w:fldCharType="begin"/>
      </w:r>
      <w:r w:rsidR="00164A92" w:rsidRPr="00462B94">
        <w:rPr>
          <w:rFonts w:ascii="Book Antiqua" w:hAnsi="Book Antiqua" w:cs="Times New Roman"/>
          <w:vertAlign w:val="superscript"/>
        </w:rPr>
        <w:instrText xml:space="preserve"> ADDIN ZOTERO_ITEM CSL_CITATION {"citationID":"tuxTBILS","properties":{"formattedCitation":"\\super [26,34]\\nosupersub{}","plainCitation":"[26,34]","noteIndex":0},"citationItems":[{"id":222,"uris":["http://zotero.org/users/5068664/items/9U6CNQNE"],"uri":["http://zotero.org/users/5068664/items/9U6CNQNE"],"itemData":{"id":222,"type":"article-journal","title":"Independent Impact of Gout on Mortality and Risk for Coronary Heart Disease","container-title":"Circulation","page":"894-900","volume":"116","issue":"8","source":"Crossref","abstract":"Background—Although gout and hyperuricemia are related to several conditions that are associated with reduced survival, no prospective data are available on the independent impact of gout on mortality. Furthermore, although many studies have suggested that hyperuricemia is associated with cardiovascular disease (CVD), limited data are available on the impact of gout on CVD.\nMethods and Results—Over a 12-year period, we prospectively examined the relation between a history of gout and the risk of death and myocardial infarction in 51 297 male participants of the Health Professionals Follow-Up Study. During the 12 years of follow-up, we documented 5825 deaths from all causes, which included 2132 deaths from CVD and 1576 deaths from coronary heart disease (CHD). Compared with men without history of gout and CHD at baseline, the multivariate relative risks among men with history of gout were 1.28 (95% confidence interval [CI], 1.15 to 1.41) for total mortality, 1.38 (95% CI, 1.15 to 1.66) for CVD deaths, and 1.55 (95% CI, 1.24 to 1.93) for fatal CHD. The corresponding relative risks among men with preexisting CHD were 1.25 (95% CI, 1.09 to 1.45), 1.26 (95% CI, 1.07 to 1.50), and 1.24 (95% CI, 1.04 to 1.49), respectively. In addition, men with gout had a higher risk of nonfatal myocardial infarction than men without gout (multivariate relative risk, 1.59; 95% CI, 1.04 to 2.41).\nConclusions—These prospective data indicate that men with gout have a higher risk of death from all causes. Among men without preexisting CHD, the increased mortality risk is primarily a result of an elevated risk of CVD death, particularly from CHD. (Circulation. 2007;116:894-900.)","DOI":"10.1161/CIRCULATIONAHA.107.703389","ISSN":"0009-7322, 1524-4539","language":"en","author":[{"family":"Choi","given":"H. K."},{"family":"Curhan","given":"G."}],"issued":{"date-parts":[["2007",8,21]]}}},{"id":343,"uris":["http://zotero.org/users/5068664/items/6D4JD7AX"],"uri":["http://zotero.org/users/5068664/items/6D4JD7AX"],"itemData":{"id":343,"type":"article-journal","title":"Is there a pathogenetic role for uric acid in hypertension and cardiovascular and renal disease?","container-title":"Hypertension (Dallas, Tex.: 1979)","page":"1183-1190","volume":"41","issue":"6","source":"PubMed","abstract":"Hyperuricemia is associated with hypertension, vascular disease, renal disease, and cardiovascular events. In this report, we review the epidemiologic evidence and potential mechanisms for this association. We also summarize experimental studies that demonstrate that uric acid is not inert but may have both beneficial functions (acting as an antioxidant) as well as detrimental actions (to stimulate vascular smooth muscle cell proliferation and induce endothelial dysfunction). A recently developed experimental model of mild hyperuricemia also provides the first provocative evidence that uric acid may have a pathogenic role in the development of hypertension, vascular disease, and renal disease. Thus, it is time to reevaluate the role of uric acid as a risk factor for cardiovascular disease and hypertension and to design human studies to address this controversy.","DOI":"10.1161/01.HYP.0000069700.62727.C5","ISSN":"1524-4563","note":"PMID: 12707287","journalAbbreviation":"Hypertension","language":"eng","author":[{"family":"Johnson","given":"Richard J."},{"family":"Kang","given":"Duk-Hee"},{"family":"Feig","given":"Daniel"},{"family":"Kivlighn","given":"Salah"},{"family":"Kanellis","given":"John"},{"family":"Watanabe","given":"Susumu"},{"family":"Tuttle","given":"Katherine R."},{"family":"Rodriguez-Iturbe","given":"Bernardo"},{"family":"Herrera-Acosta","given":"Jaime"},{"family":"Mazzali","given":"Marilda"}],"issued":{"date-parts":[["2003",6]]}}}],"schema":"https://github.com/citation-style-language/schema/raw/master/csl-citation.json"} </w:instrText>
      </w:r>
      <w:r w:rsidR="00CE3246" w:rsidRPr="00462B94">
        <w:rPr>
          <w:rFonts w:ascii="Book Antiqua" w:hAnsi="Book Antiqua" w:cs="Times New Roman"/>
          <w:vertAlign w:val="superscript"/>
        </w:rPr>
        <w:fldChar w:fldCharType="separate"/>
      </w:r>
      <w:r w:rsidR="00164A92" w:rsidRPr="00462B94">
        <w:rPr>
          <w:rFonts w:ascii="Book Antiqua" w:hAnsi="Book Antiqua" w:cs="Times New Roman"/>
          <w:vertAlign w:val="superscript"/>
        </w:rPr>
        <w:t>[26,34]</w:t>
      </w:r>
      <w:r w:rsidR="00CE3246" w:rsidRPr="00462B94">
        <w:rPr>
          <w:rFonts w:ascii="Book Antiqua" w:hAnsi="Book Antiqua" w:cs="Times New Roman"/>
          <w:vertAlign w:val="superscript"/>
        </w:rPr>
        <w:fldChar w:fldCharType="end"/>
      </w:r>
      <w:r w:rsidRPr="00462B94">
        <w:rPr>
          <w:rFonts w:ascii="Book Antiqua" w:hAnsi="Book Antiqua" w:cs="Times New Roman"/>
        </w:rPr>
        <w:t>. In several large sample studies, gout was linked to increased all-cause and CV mortality rates</w:t>
      </w:r>
      <w:r w:rsidR="00CE3246" w:rsidRPr="00462B94">
        <w:rPr>
          <w:rFonts w:ascii="Book Antiqua" w:hAnsi="Book Antiqua" w:cs="Times New Roman"/>
          <w:vertAlign w:val="superscript"/>
        </w:rPr>
        <w:fldChar w:fldCharType="begin"/>
      </w:r>
      <w:r w:rsidR="00164A92" w:rsidRPr="00462B94">
        <w:rPr>
          <w:rFonts w:ascii="Book Antiqua" w:hAnsi="Book Antiqua" w:cs="Times New Roman"/>
          <w:vertAlign w:val="superscript"/>
        </w:rPr>
        <w:instrText xml:space="preserve"> ADDIN ZOTERO_ITEM CSL_CITATION {"citationID":"OU3ZcJ2x","properties":{"formattedCitation":"\\super [28,35,36]\\nosupersub{}","plainCitation":"[28,35,36]","noteIndex":0},"citationItems":[{"id":59,"uris":["http://zotero.org/users/5068664/items/FEZ6Y683"],"uri":["http://zotero.org/users/5068664/items/FEZ6Y683"],"itemData":{"id":59,"type":"article-journal","title":"The Independent Impact of Gout on the Risk of Acute Myocardial Infarction Among Elderly Women: A Population-Based Study","container-title":"Annals of the rheumatic diseases","page":"1162-1164","volume":"69","issue":"6","source":"PubMed Central","abstract":"OBJECTIVE\nMen with gout have been found to have an increased risk of acute myocardial infarction (AMI), but no corresponding data are available among women. We evaluated the potential independent association between gout and the risk of AMI among elderly women, aged ≥65 years.\n\nMETHODS\nWe conducted a population-based cohort study using the British Columbia Linked Health Database and compared incidence rates of AMI between 9,642 gout patients and 48,210 controls, with no history of ischemic heart disease. Cox proportional hazards models stratified by gender were used to estimate the relative risk (RR) for AMI, adjusting for age, co-morbidities, and prescription medication use.\n\nRESULTS\nOver 7-year median follow-up, we identified 3,268 incident AMI cases, 996 among women. Compared to women without gout, the multivariate RRs among women with gout were 1.39 (95% CI, 1.20–1.61) for all AMI and 1.41 (95% CI, 1.19–1.67) for non-fatal AMI. These RRs were significantly larger than those among men (multivariate RRs for all AMI and non-fatal AMI, 1.11 and 1.11; P-values for interaction, 0.003 and 0.005, respectively).\n\nCONCLUSION\nThese population-based data suggest that women with gout have an increased risk for AMI and the magnitude of excess risk is higher than in men.","DOI":"10.1136/ard.2009.122770","ISSN":"0003-4967","note":"PMID: 20124358\nPMCID: PMC3142935","shortTitle":"The Independent Impact of Gout on the Risk of Acute Myocardial Infarction Among Elderly Women","journalAbbreviation":"Ann Rheum Dis","author":[{"family":"De Vera","given":"Mary A."},{"family":"Rahman","given":"M Mushfiqur"},{"family":"Bhole","given":"Vidula"},{"family":"Kopec","given":"Jacek A."},{"family":"Choi","given":"Hyon"}],"issued":{"date-parts":[["2010",6]]}}},{"id":345,"uris":["http://zotero.org/users/5068664/items/CSNBQGDV"],"uri":["http://zotero.org/users/5068664/items/CSNBQGDV"],"itemData":{"id":345,"type":"article-journal","title":"Gout: an independent risk factor for all-cause and cardiovascular mortality","container-title":"Rheumatology","page":"141-146","volume":"49","issue":"1","source":"academic.oup.com","abstract":"Abstract.  Objective. The relation of gout and hyperuricaemia to cardiovascular diseases has been well documented. This study investigates the survival impact o","DOI":"10.1093/rheumatology/kep364","ISSN":"1462-0324","shortTitle":"Gout","journalAbbreviation":"Rheumatology (Oxford)","language":"en","author":[{"family":"Kuo","given":"Chang-Fu"},{"family":"See","given":"Lai-Chu"},{"family":"Luo","given":"Shue-Fen"},{"family":"Ko","given":"Yu-Shien"},{"family":"Lin","given":"Yu-Sheng"},{"family":"Hwang","given":"Jawl-Shan"},{"family":"Lin","given":"Chi-Ming"},{"family":"Chen","given":"Hung-Wei"},{"family":"Yu","given":"Kuang-Hui"}],"issued":{"date-parts":[["2010",1,1]]}}},{"id":348,"uris":["http://zotero.org/users/5068664/items/8LAHJHUR"],"uri":["http://zotero.org/users/5068664/items/8LAHJHUR"],"itemData":{"id":348,"type":"article-journal","title":"Independent and conjoint associations of gout and hyperuricaemia with total and cardiovascular mortality","container-title":"QJM: An International Journal of Medicine","page":"647-658","volume":"106","issue":"7","source":"academic.oup.com","abstract":"Abstract.  Background: Gout and serum uric acid are associated with mortality but their simultaneous contributions have not been fully evaluated in the general","DOI":"10.1093/qjmed/hct083","ISSN":"1460-2725","journalAbbreviation":"QJM","language":"en","author":[{"family":"Stack","given":"A. G."},{"family":"Hanley","given":"A."},{"family":"Casserly","given":"L. F."},{"family":"Cronin","given":"C. J."},{"family":"Abdalla","given":"A. A."},{"family":"Kiernan","given":"T. J."},{"family":"Murthy","given":"B. V. R."},{"family":"Hegarty","given":"A."},{"family":"Hannigan","given":"A."},{"family":"Nguyen","given":"H. T."}],"issued":{"date-parts":[["2013",7,1]]}}}],"schema":"https://github.com/citation-style-language/schema/raw/master/csl-citation.json"} </w:instrText>
      </w:r>
      <w:r w:rsidR="00CE3246" w:rsidRPr="00462B94">
        <w:rPr>
          <w:rFonts w:ascii="Book Antiqua" w:hAnsi="Book Antiqua" w:cs="Times New Roman"/>
          <w:vertAlign w:val="superscript"/>
        </w:rPr>
        <w:fldChar w:fldCharType="separate"/>
      </w:r>
      <w:r w:rsidR="00164A92" w:rsidRPr="00462B94">
        <w:rPr>
          <w:rFonts w:ascii="Book Antiqua" w:hAnsi="Book Antiqua" w:cs="Times New Roman"/>
          <w:vertAlign w:val="superscript"/>
        </w:rPr>
        <w:t>[28,35,36]</w:t>
      </w:r>
      <w:r w:rsidR="00CE3246" w:rsidRPr="00462B94">
        <w:rPr>
          <w:rFonts w:ascii="Book Antiqua" w:hAnsi="Book Antiqua" w:cs="Times New Roman"/>
          <w:vertAlign w:val="superscript"/>
        </w:rPr>
        <w:fldChar w:fldCharType="end"/>
      </w:r>
      <w:r w:rsidRPr="00462B94">
        <w:rPr>
          <w:rFonts w:ascii="Book Antiqua" w:hAnsi="Book Antiqua" w:cs="Times New Roman"/>
        </w:rPr>
        <w:t>, nonetheless, data on the impact of gout on post-revascularization remains limited in the literature.</w:t>
      </w:r>
    </w:p>
    <w:p w14:paraId="11429AC1" w14:textId="07D3A7D7" w:rsidR="00866F2D" w:rsidRPr="00462B94" w:rsidRDefault="00866F2D" w:rsidP="00462B94">
      <w:pPr>
        <w:spacing w:line="360" w:lineRule="auto"/>
        <w:ind w:firstLineChars="100" w:firstLine="240"/>
        <w:jc w:val="both"/>
        <w:rPr>
          <w:rFonts w:ascii="Book Antiqua" w:hAnsi="Book Antiqua" w:cs="Times New Roman"/>
        </w:rPr>
      </w:pPr>
      <w:r w:rsidRPr="00462B94">
        <w:rPr>
          <w:rFonts w:ascii="Book Antiqua" w:hAnsi="Book Antiqua" w:cs="Times New Roman"/>
        </w:rPr>
        <w:t xml:space="preserve">Our study extends on the impact of gout on ACS patients with other comorbid conditions and revascularization complications. The study showed that cardiac, renal, pulmonary and vascular comorbidities are the risk factors for post-revascularization complications as well. Previous studies have shown an association of gout and hyperuricemia with many comorbid conditions. Demir </w:t>
      </w:r>
      <w:r w:rsidRPr="00462B94">
        <w:rPr>
          <w:rFonts w:ascii="Book Antiqua" w:hAnsi="Book Antiqua" w:cs="Times New Roman"/>
          <w:i/>
        </w:rPr>
        <w:t>et al</w:t>
      </w:r>
      <w:r w:rsidR="001A0E73" w:rsidRPr="00462B94">
        <w:rPr>
          <w:rFonts w:ascii="Book Antiqua" w:hAnsi="Book Antiqua" w:cs="Times New Roman"/>
          <w:vertAlign w:val="superscript"/>
        </w:rPr>
        <w:fldChar w:fldCharType="begin"/>
      </w:r>
      <w:r w:rsidR="001A0E73" w:rsidRPr="00462B94">
        <w:rPr>
          <w:rFonts w:ascii="Book Antiqua" w:hAnsi="Book Antiqua" w:cs="Times New Roman"/>
          <w:vertAlign w:val="superscript"/>
        </w:rPr>
        <w:instrText xml:space="preserve"> ADDIN ZOTERO_ITEM CSL_CITATION {"citationID":"njDkTHsm","properties":{"formattedCitation":"\\super [37]\\nosupersub{}","plainCitation":"[37]","noteIndex":0},"citationItems":[{"id":442,"uris":["http://zotero.org/users/5068664/items/5HTQG8A2"],"uri":["http://zotero.org/users/5068664/items/5HTQG8A2"],"itemData":{"id":442,"type":"article-journal","title":"The Relationship Between Severity of Calcific Aortic Stenosis and Serum Uric Acid Levels","container-title":"Angiology","page":"603-608","volume":"63","issue":"8","source":"SAGE Journals","abstract":"Serum uric acid (SUA) level is a marker of endothelial dysfunction and oxidative stress. Consecutive patients (n = 64) with normal coronary angiography who demonstrated calcific aortic stenosis (AS) by transthoracic echocardiography were included in the study. The patients were categorized into 3 groups: 23 mild AS (12 males), 21 moderate AS (10 males), and 20 severe AS cases (10 males). Fasting SUA level was significantly higher in the severe AS group than in the moderate and mild AS groups (severe AS, 6.3 ± 1.6; moderate AS, 4.9 ± 1.3; mild AS; 4.6 ± 1.4 mg/dL; P &lt; .001, respectively). There was a positive correlation between SUA level and maximum as well as mean aortic gradient (r = .521, P &lt; .001 and r = .526, P &lt; .001, respectively). There was a negative correlation between SUA level and aortic valve area (r = −.447, P &lt; .001). Levels of SUA were increased in calcific AS cases. In addition, there was a positive correlation between severity of calcific AS and SUA levels.","DOI":"10.1177/0003319711433198","ISSN":"0003-3197","journalAbbreviation":"Angiology","language":"en","author":[{"family":"Demir","given":"Bulent"},{"family":"Caglar","given":"Ilker Murat"},{"family":"Ugurlucan","given":"Murat"},{"family":"Ozde","given":"Cem"},{"family":"Tureli","given":"Hande Oktay"},{"family":"Cifci","given":"Serkan"},{"family":"Vural","given":"Alper"},{"family":"Karakaya","given":"Osman"}],"issued":{"date-parts":[["2012",11,1]]}}}],"schema":"https://github.com/citation-style-language/schema/raw/master/csl-citation.json"} </w:instrText>
      </w:r>
      <w:r w:rsidR="001A0E73" w:rsidRPr="00462B94">
        <w:rPr>
          <w:rFonts w:ascii="Book Antiqua" w:hAnsi="Book Antiqua" w:cs="Times New Roman"/>
          <w:vertAlign w:val="superscript"/>
        </w:rPr>
        <w:fldChar w:fldCharType="separate"/>
      </w:r>
      <w:r w:rsidR="001A0E73" w:rsidRPr="00462B94">
        <w:rPr>
          <w:rFonts w:ascii="Book Antiqua" w:hAnsi="Book Antiqua" w:cs="Times New Roman"/>
          <w:vertAlign w:val="superscript"/>
        </w:rPr>
        <w:t>[37]</w:t>
      </w:r>
      <w:r w:rsidR="001A0E73" w:rsidRPr="00462B94">
        <w:rPr>
          <w:rFonts w:ascii="Book Antiqua" w:hAnsi="Book Antiqua" w:cs="Times New Roman"/>
          <w:vertAlign w:val="superscript"/>
        </w:rPr>
        <w:fldChar w:fldCharType="end"/>
      </w:r>
      <w:r w:rsidRPr="00462B94">
        <w:rPr>
          <w:rFonts w:ascii="Book Antiqua" w:hAnsi="Book Antiqua" w:cs="Times New Roman"/>
        </w:rPr>
        <w:t xml:space="preserve"> showed increased serum UA levels in calcific aortic valve stenosis (AS), with a positive correlation in the severity of the disease. Raised serum UA level may initiate calcification in the aortic valve and accelerate the progression by causing endothelial dysfunction</w:t>
      </w:r>
      <w:r w:rsidR="00CE3246" w:rsidRPr="00462B94">
        <w:rPr>
          <w:rFonts w:ascii="Book Antiqua" w:hAnsi="Book Antiqua" w:cs="Times New Roman"/>
          <w:vertAlign w:val="superscript"/>
        </w:rPr>
        <w:fldChar w:fldCharType="begin"/>
      </w:r>
      <w:r w:rsidR="00164A92" w:rsidRPr="00462B94">
        <w:rPr>
          <w:rFonts w:ascii="Book Antiqua" w:hAnsi="Book Antiqua" w:cs="Times New Roman"/>
          <w:vertAlign w:val="superscript"/>
        </w:rPr>
        <w:instrText xml:space="preserve"> ADDIN ZOTERO_ITEM CSL_CITATION {"citationID":"LIwAv2DW","properties":{"formattedCitation":"\\super [32]\\nosupersub{}","plainCitation":"[32]","noteIndex":0},"citationItems":[{"id":612,"uris":["http://zotero.org/users/5068664/items/2FNBIDQR"],"uri":["http://zotero.org/users/5068664/items/2FNBIDQR"],"itemData":{"id":612,"type":"article-journal","title":"Uric acid as a mediator of endothelial dysfunction, inflammation, and vascular disease","container-title":"Seminars in Nephrology","page":"39-42","volume":"25","issue":"1","source":"PubMed","abstract":"Recent experimental findings have led to renewed interest in the possible role of uric acid in the pathogenesis of both hypertension and vascular disease. Often considered an antioxidant, biochemical and in vitro data indicate that noncrystalline, soluble uric acid also can react to form radicals, increase lipid oxidation, and induce various pro-oxidant effects in vascular cells. In vitro and in vivo findings suggest that uric acid may contribute to endothelial dysfunction by inducing antiproliferative effects on endothelium and impairing nitric oxide production. Proinflammatory and proliferative effects of soluble uric acid have been described on vascular smooth muscle cells (VSMCs), and in animal models of mild hyperuricemia, hypertension develops in association with intrarenal vascular disease. Possible adverse effects of uric acid on the vasculature have been linked to increased chemokine and cytokine expression, induction of the renin-angiotensin system, and to increased vascular C-reactive protein (CRP) expression. Experimental evidence suggests a complex but potentially direct causal role for uric acid in the pathogenesis of hypertension and atherosclerosis.","ISSN":"0270-9295","note":"PMID: 15660333","journalAbbreviation":"Semin. Nephrol.","language":"eng","author":[{"family":"Kanellis","given":"John"},{"family":"Kang","given":"Duk-Hee"}],"issued":{"date-parts":[["2005",1]]}}}],"schema":"https://github.com/citation-style-language/schema/raw/master/csl-citation.json"} </w:instrText>
      </w:r>
      <w:r w:rsidR="00CE3246" w:rsidRPr="00462B94">
        <w:rPr>
          <w:rFonts w:ascii="Book Antiqua" w:hAnsi="Book Antiqua" w:cs="Times New Roman"/>
          <w:vertAlign w:val="superscript"/>
        </w:rPr>
        <w:fldChar w:fldCharType="separate"/>
      </w:r>
      <w:r w:rsidR="00164A92" w:rsidRPr="00462B94">
        <w:rPr>
          <w:rFonts w:ascii="Book Antiqua" w:hAnsi="Book Antiqua" w:cs="Times New Roman"/>
          <w:vertAlign w:val="superscript"/>
        </w:rPr>
        <w:t>[32]</w:t>
      </w:r>
      <w:r w:rsidR="00CE3246" w:rsidRPr="00462B94">
        <w:rPr>
          <w:rFonts w:ascii="Book Antiqua" w:hAnsi="Book Antiqua" w:cs="Times New Roman"/>
          <w:vertAlign w:val="superscript"/>
        </w:rPr>
        <w:fldChar w:fldCharType="end"/>
      </w:r>
      <w:r w:rsidRPr="00462B94">
        <w:rPr>
          <w:rFonts w:ascii="Book Antiqua" w:hAnsi="Book Antiqua" w:cs="Times New Roman"/>
        </w:rPr>
        <w:t>. Similarly, a prospective longitudinal study with</w:t>
      </w:r>
      <w:r w:rsidR="001A0E73" w:rsidRPr="00462B94">
        <w:rPr>
          <w:rFonts w:ascii="Book Antiqua" w:hAnsi="Book Antiqua" w:cs="Times New Roman"/>
        </w:rPr>
        <w:t xml:space="preserve"> a large cohort of 11</w:t>
      </w:r>
      <w:r w:rsidRPr="00462B94">
        <w:rPr>
          <w:rFonts w:ascii="Book Antiqua" w:hAnsi="Book Antiqua" w:cs="Times New Roman"/>
        </w:rPr>
        <w:t>681 men also concluded that CHF decompensation is independently associated with increased risk of hyperuricemia and likely gout, by increased urate production and decreased renal urate excretion</w:t>
      </w:r>
      <w:r w:rsidR="00CE3246" w:rsidRPr="00462B94">
        <w:rPr>
          <w:rFonts w:ascii="Book Antiqua" w:hAnsi="Book Antiqua" w:cs="Times New Roman"/>
          <w:vertAlign w:val="superscript"/>
        </w:rPr>
        <w:fldChar w:fldCharType="begin"/>
      </w:r>
      <w:r w:rsidR="00164A92" w:rsidRPr="00462B94">
        <w:rPr>
          <w:rFonts w:ascii="Book Antiqua" w:hAnsi="Book Antiqua" w:cs="Times New Roman"/>
          <w:vertAlign w:val="superscript"/>
        </w:rPr>
        <w:instrText xml:space="preserve"> ADDIN ZOTERO_ITEM CSL_CITATION {"citationID":"pKOaPwWt","properties":{"formattedCitation":"\\super [38]\\nosupersub{}","plainCitation":"[38]","noteIndex":0},"citationItems":[{"id":53,"uris":["http://zotero.org/users/5068664/items/RNI7W2Q9"],"uri":["http://zotero.org/users/5068664/items/RNI7W2Q9"],"itemData":{"id":53,"type":"article-journal","title":"The Independent Impact of Congestive Heart Failure Status and Diuretic Use on Serum Uric Acid Among Men with a High Cardiovascular Risk Profile: A Prospective Longitudinal Study","container-title":"Seminars in arthritis and rheumatism","page":"471-476","volume":"41","issue":"3","source":"PubMed Central","abstract":"Objective\nTo evaluate the independent impact of congestive heart failure (CHF) status (compensation or decompensation) on serum uric acid levels among men with high cardiovascular risk profile.\n\nMethod\nWe analyzed 11,681 men from the Multiple Risk Factor Interventional Trial, using data prospectively collected at baseline and annually over 6 years (64,644 visits). We evaluated the impact of change in CHF status during study follow-up, as compared with study baseline, on hyperuricemia (serum uric acid ≥7 mg/dL) and serum uric acid levels, using generalized estimating equations, adjusting for age, race, weight, weight change, education, alcohol intake, diuretic use, hypertension, serum creatinine level, and dietary factors. Similarly, we evaluated the independent impact of change in diuretic use (initiation or discontinuation).\n\nResults\nAt baseline, mean serum uric acid was 6.88 mg/dL. Compared with no change in CHF status, odds ratios of hyperuricemia were 1.67 (95% CI, 1.21 to 2.32) for CHF decompensation and 0.21 (95% CI, 0.08 to 0.55) for compensation. The corresponding uric acid differences were 0.41 (95% CI, 0.20 to 0.62) and −1.00 (95% CI, −1.72 to −0.27), respectively. The odds ratios for initiation and discontinuation of diuretic were 3.32 (95% CI, 3.06 to 3.61) and 0.39 (95% CI, 0.35 to 0.44).\n\nConclusions\nCHF decompensation and diuretic use are both independently associated with increased odds of hyperuricemia among men with a high cardiovascular risk profile, whereas CHF recovery and diuretic discontinuation are associated with substantially lower odds of hyperuricemia.","DOI":"10.1016/j.semarthrit.2011.02.002","ISSN":"0049-0172","note":"PMID: 21435695\nPMCID: PMC4228774","shortTitle":"The Independent Impact of Congestive Heart Failure Status and Diuretic Use on Serum Uric Acid Among Men with a High Cardiovascular Risk Profile","journalAbbreviation":"Semin Arthritis Rheum","author":[{"family":"Misra","given":"Devyani"},{"family":"Zhu","given":"Yanyan"},{"family":"Zhang","given":"Yuqing"},{"family":"Choi","given":"Hyon K."}],"issued":{"date-parts":[["2011",12]]}}}],"schema":"https://github.com/citation-style-language/schema/raw/master/csl-citation.json"} </w:instrText>
      </w:r>
      <w:r w:rsidR="00CE3246" w:rsidRPr="00462B94">
        <w:rPr>
          <w:rFonts w:ascii="Book Antiqua" w:hAnsi="Book Antiqua" w:cs="Times New Roman"/>
          <w:vertAlign w:val="superscript"/>
        </w:rPr>
        <w:fldChar w:fldCharType="separate"/>
      </w:r>
      <w:r w:rsidR="00164A92" w:rsidRPr="00462B94">
        <w:rPr>
          <w:rFonts w:ascii="Book Antiqua" w:hAnsi="Book Antiqua" w:cs="Times New Roman"/>
          <w:vertAlign w:val="superscript"/>
        </w:rPr>
        <w:t>[38]</w:t>
      </w:r>
      <w:r w:rsidR="00CE3246" w:rsidRPr="00462B94">
        <w:rPr>
          <w:rFonts w:ascii="Book Antiqua" w:hAnsi="Book Antiqua" w:cs="Times New Roman"/>
          <w:vertAlign w:val="superscript"/>
        </w:rPr>
        <w:fldChar w:fldCharType="end"/>
      </w:r>
      <w:r w:rsidRPr="00462B94">
        <w:rPr>
          <w:rFonts w:ascii="Book Antiqua" w:hAnsi="Book Antiqua" w:cs="Times New Roman"/>
        </w:rPr>
        <w:t xml:space="preserve">. Our study also shows an increased risk of in-hospital mortality in ACS patients with gout who are drug abusers that </w:t>
      </w:r>
      <w:r w:rsidRPr="00462B94">
        <w:rPr>
          <w:rFonts w:ascii="Book Antiqua" w:hAnsi="Book Antiqua" w:cs="Times New Roman"/>
          <w:noProof/>
        </w:rPr>
        <w:t>ha</w:t>
      </w:r>
      <w:r w:rsidR="001C6529" w:rsidRPr="00462B94">
        <w:rPr>
          <w:rFonts w:ascii="Book Antiqua" w:hAnsi="Book Antiqua" w:cs="Times New Roman"/>
          <w:noProof/>
        </w:rPr>
        <w:t>ve</w:t>
      </w:r>
      <w:r w:rsidRPr="00462B94">
        <w:rPr>
          <w:rFonts w:ascii="Book Antiqua" w:hAnsi="Book Antiqua" w:cs="Times New Roman"/>
        </w:rPr>
        <w:t xml:space="preserve"> never been evaluated in the past. </w:t>
      </w:r>
    </w:p>
    <w:p w14:paraId="4337A73E" w14:textId="6F71117A" w:rsidR="00866F2D" w:rsidRPr="00462B94" w:rsidRDefault="00866F2D" w:rsidP="00462B94">
      <w:pPr>
        <w:spacing w:line="360" w:lineRule="auto"/>
        <w:ind w:firstLineChars="100" w:firstLine="240"/>
        <w:jc w:val="both"/>
        <w:rPr>
          <w:rFonts w:ascii="Book Antiqua" w:hAnsi="Book Antiqua" w:cs="Times New Roman"/>
        </w:rPr>
      </w:pPr>
      <w:r w:rsidRPr="00462B94">
        <w:rPr>
          <w:rFonts w:ascii="Book Antiqua" w:hAnsi="Book Antiqua" w:cs="Times New Roman"/>
        </w:rPr>
        <w:t xml:space="preserve">Systemic (kidney, respiratory and vascular) complications of revascularization in ACS patients with gout were likely to increase in-hospital mortality compared to patients without gout. This could also be the reason for prolonged hospitalization and increased treatment cost. Ejaz </w:t>
      </w:r>
      <w:r w:rsidRPr="00462B94">
        <w:rPr>
          <w:rFonts w:ascii="Book Antiqua" w:hAnsi="Book Antiqua" w:cs="Times New Roman"/>
          <w:i/>
        </w:rPr>
        <w:t>et al</w:t>
      </w:r>
      <w:r w:rsidR="001A0E73" w:rsidRPr="00462B94">
        <w:rPr>
          <w:rFonts w:ascii="Book Antiqua" w:hAnsi="Book Antiqua" w:cs="Times New Roman"/>
          <w:vertAlign w:val="superscript"/>
        </w:rPr>
        <w:fldChar w:fldCharType="begin"/>
      </w:r>
      <w:r w:rsidR="001A0E73" w:rsidRPr="00462B94">
        <w:rPr>
          <w:rFonts w:ascii="Book Antiqua" w:hAnsi="Book Antiqua" w:cs="Times New Roman"/>
          <w:vertAlign w:val="superscript"/>
        </w:rPr>
        <w:instrText xml:space="preserve"> ADDIN ZOTERO_ITEM CSL_CITATION {"citationID":"IFwy78cm","properties":{"formattedCitation":"\\super [39]\\nosupersub{}","plainCitation":"[39]","noteIndex":0},"citationItems":[{"id":352,"uris":["http://zotero.org/users/5068664/items/S6RBT829"],"uri":["http://zotero.org/users/5068664/items/S6RBT829"],"itemData":{"id":352,"type":"article-journal","title":"Post-operative serum uric acid and acute kidney injury","container-title":"Journal of Nephrology","page":"497-505","volume":"25","issue":"4","source":"PubMed","abstract":"BACKGROUND: We hypothesized that post-operative serum uric acid (SUA) may be associated with acute kidney injury (AKI).\nMETHODS: In this prospective, observational study, the relationships between SUA, urine neutrophil gelatinase-associated lipocalin (uNGAL) and interleukin-18 (uIL-18), serum monocyte chemoattractant protein-1 (sMCP-1) and tumor necrosis factor-alpha (sTNF-alpha), and incidence of AKI were determined. SUA were divided into tertiles and their association with AKI investigated.\nRESULTS: A total of 100 cardiac surgery patients were included for analyses. The 1st, 2nd, and 3rd SUA tertiles were associated with 15.1%, 11.7%, and 54.5% incidence of AKI, respectively. The 3rd SUA tertile, compared to the referent 1st tertile, was associated with an eightfold (OR 8.38, CI95% 2.13-33.05, p=0.002) increased risk for AKI. Patients with AKI on post-operative day 1 (n=11) were then excluded for the purpose of determining the predictive value of SUA to diagnose AKI on postoperative day 2 and during hospital stay. In comparison to the referent 1st tertile, the 3rd tertile SUA was associated with an eightfold increased risk for AKI on post-operative day 2 (adjusted OR 7.94, CI95% 1.50-42.08, P=.015) and a five-fold increased risk for AKI during hospital stay (OR 4.83, CI95% 1.21-19.20, P=.025), respectively. SUA (Area Under Curve, AUC 0.77 (CI95% 0.66-0.88, P&lt;.001), serum creatinine (0.73, CI95% 0.62-0.84, P&lt;.001) and sTNF-alpha (0.76, CI95% 0.65-0.87, P&lt;.001) had the best diagnostic performance measured by the Receiver Operating Characteristics curves.\nCONCLUSIONS: We conclude that post-operative SUA is associated with an increased risk for AKI and compares well to conventional markers of AKI.","DOI":"10.5301/jn.5000173","ISSN":"1724-6059","note":"PMID: 22684655","journalAbbreviation":"J. Nephrol.","language":"eng","author":[{"family":"Ejaz","given":"A. Ahsan"},{"family":"Kambhampati","given":"Ganesh"},{"family":"Ejaz","given":"Noel I."},{"family":"Dass","given":"Bhagwan"},{"family":"Lapsia","given":"Vijay"},{"family":"Arif","given":"Amir A."},{"family":"Asmar","given":"Abdo"},{"family":"Shimada","given":"Michiko"},{"family":"Alsabbagh","given":"Mourad M."},{"family":"Aiyer","given":"Ravi"},{"family":"Johnson","given":"Richard J."}],"issued":{"date-parts":[["2012",8]]}}}],"schema":"https://github.com/citation-style-language/schema/raw/master/csl-citation.json"} </w:instrText>
      </w:r>
      <w:r w:rsidR="001A0E73" w:rsidRPr="00462B94">
        <w:rPr>
          <w:rFonts w:ascii="Book Antiqua" w:hAnsi="Book Antiqua" w:cs="Times New Roman"/>
          <w:vertAlign w:val="superscript"/>
        </w:rPr>
        <w:fldChar w:fldCharType="separate"/>
      </w:r>
      <w:r w:rsidR="001A0E73" w:rsidRPr="00462B94">
        <w:rPr>
          <w:rFonts w:ascii="Book Antiqua" w:hAnsi="Book Antiqua" w:cs="Times New Roman"/>
          <w:vertAlign w:val="superscript"/>
        </w:rPr>
        <w:t>[39]</w:t>
      </w:r>
      <w:r w:rsidR="001A0E73" w:rsidRPr="00462B94">
        <w:rPr>
          <w:rFonts w:ascii="Book Antiqua" w:hAnsi="Book Antiqua" w:cs="Times New Roman"/>
          <w:vertAlign w:val="superscript"/>
        </w:rPr>
        <w:fldChar w:fldCharType="end"/>
      </w:r>
      <w:r w:rsidRPr="00462B94">
        <w:rPr>
          <w:rFonts w:ascii="Book Antiqua" w:hAnsi="Book Antiqua" w:cs="Times New Roman"/>
        </w:rPr>
        <w:t xml:space="preserve"> showed that the UA is associated with a five to eight-fold increase in the post-cardiac surgery AKI. A study from </w:t>
      </w:r>
      <w:r w:rsidR="001C6529" w:rsidRPr="00462B94">
        <w:rPr>
          <w:rFonts w:ascii="Book Antiqua" w:hAnsi="Book Antiqua" w:cs="Times New Roman"/>
        </w:rPr>
        <w:t xml:space="preserve">the </w:t>
      </w:r>
      <w:r w:rsidRPr="00462B94">
        <w:rPr>
          <w:rFonts w:ascii="Book Antiqua" w:hAnsi="Book Antiqua" w:cs="Times New Roman"/>
          <w:noProof/>
        </w:rPr>
        <w:t>United</w:t>
      </w:r>
      <w:r w:rsidRPr="00462B94">
        <w:rPr>
          <w:rFonts w:ascii="Book Antiqua" w:hAnsi="Book Antiqua" w:cs="Times New Roman"/>
        </w:rPr>
        <w:t xml:space="preserve"> Kingdom found 1.71 </w:t>
      </w:r>
      <w:r w:rsidRPr="00462B94">
        <w:rPr>
          <w:rFonts w:ascii="Book Antiqua" w:hAnsi="Book Antiqua" w:cs="Times New Roman"/>
        </w:rPr>
        <w:lastRenderedPageBreak/>
        <w:t>times higher risk of stroke in patients with gout than in the general population</w:t>
      </w:r>
      <w:r w:rsidR="00CE3246" w:rsidRPr="00462B94">
        <w:rPr>
          <w:rFonts w:ascii="Book Antiqua" w:hAnsi="Book Antiqua" w:cs="Times New Roman"/>
          <w:vertAlign w:val="superscript"/>
        </w:rPr>
        <w:fldChar w:fldCharType="begin"/>
      </w:r>
      <w:r w:rsidR="00164A92" w:rsidRPr="00462B94">
        <w:rPr>
          <w:rFonts w:ascii="Book Antiqua" w:hAnsi="Book Antiqua" w:cs="Times New Roman"/>
          <w:vertAlign w:val="superscript"/>
        </w:rPr>
        <w:instrText xml:space="preserve"> ADDIN ZOTERO_ITEM CSL_CITATION {"citationID":"ukYdlhp1","properties":{"formattedCitation":"\\super [40]\\nosupersub{}","plainCitation":"[40]","noteIndex":0},"citationItems":[{"id":65,"uris":["http://zotero.org/users/5068664/items/SMH62TWT"],"uri":["http://zotero.org/users/5068664/items/SMH62TWT"],"itemData":{"id":65,"type":"article-journal","title":"Gout as a risk factor for myocardial infarction and stroke in England: evidence from record linkage studies","container-title":"Rheumatology","page":"2251-2259","volume":"52","issue":"12","source":"academic.oup.com","abstract":"Abstract.  Objective. Some studies suggest that gout is a risk factor for cardiovascular disease. There is more evidence about the association between gout and","DOI":"10.1093/rheumatology/ket293","ISSN":"1462-0324","shortTitle":"Gout as a risk factor for myocardial infarction and stroke in England","journalAbbreviation":"Rheumatology (Oxford)","language":"en","author":[{"family":"Seminog","given":"Olena O."},{"family":"Goldacre","given":"Michael J."}],"issued":{"date-parts":[["2013",12,1]]}}}],"schema":"https://github.com/citation-style-language/schema/raw/master/csl-citation.json"} </w:instrText>
      </w:r>
      <w:r w:rsidR="00CE3246" w:rsidRPr="00462B94">
        <w:rPr>
          <w:rFonts w:ascii="Book Antiqua" w:hAnsi="Book Antiqua" w:cs="Times New Roman"/>
          <w:vertAlign w:val="superscript"/>
        </w:rPr>
        <w:fldChar w:fldCharType="separate"/>
      </w:r>
      <w:r w:rsidR="00164A92" w:rsidRPr="00462B94">
        <w:rPr>
          <w:rFonts w:ascii="Book Antiqua" w:hAnsi="Book Antiqua" w:cs="Times New Roman"/>
          <w:vertAlign w:val="superscript"/>
        </w:rPr>
        <w:t>[40]</w:t>
      </w:r>
      <w:r w:rsidR="00CE3246" w:rsidRPr="00462B94">
        <w:rPr>
          <w:rFonts w:ascii="Book Antiqua" w:hAnsi="Book Antiqua" w:cs="Times New Roman"/>
          <w:vertAlign w:val="superscript"/>
        </w:rPr>
        <w:fldChar w:fldCharType="end"/>
      </w:r>
      <w:r w:rsidRPr="00462B94">
        <w:rPr>
          <w:rFonts w:ascii="Book Antiqua" w:hAnsi="Book Antiqua" w:cs="Times New Roman"/>
        </w:rPr>
        <w:t>. A nationwide population-based cohort study showed that gout was associated with an increased risk of pulmonary embolism by almost 53%</w:t>
      </w:r>
      <w:r w:rsidR="00CE3246" w:rsidRPr="00462B94">
        <w:rPr>
          <w:rFonts w:ascii="Book Antiqua" w:hAnsi="Book Antiqua" w:cs="Times New Roman"/>
          <w:vertAlign w:val="superscript"/>
        </w:rPr>
        <w:fldChar w:fldCharType="begin"/>
      </w:r>
      <w:r w:rsidR="00164A92" w:rsidRPr="00462B94">
        <w:rPr>
          <w:rFonts w:ascii="Book Antiqua" w:hAnsi="Book Antiqua" w:cs="Times New Roman"/>
          <w:vertAlign w:val="superscript"/>
        </w:rPr>
        <w:instrText xml:space="preserve"> ADDIN ZOTERO_ITEM CSL_CITATION {"citationID":"YkpMesvm","properties":{"formattedCitation":"\\super [41]\\nosupersub{}","plainCitation":"[41]","noteIndex":0},"citationItems":[{"id":391,"uris":["http://zotero.org/users/5068664/items/F6NSDJAS"],"uri":["http://zotero.org/users/5068664/items/F6NSDJAS"],"itemData":{"id":391,"type":"article-journal","title":"An Independent Risk of Gout on the Development of Deep Vein Thrombosis and Pulmonary Embolism","container-title":"Medicine","volume":"94","issue":"51","source":"PubMed Central","abstract":"Previous studies indicated that gout is a risk factor of cardiovascular diseases. This study aimed to determine if patients with gout have an increased risk of deep vein thrombosis (DVT) or pulmonary embolism (PE)., We used the Longitudinal Health Insurance Database, a subset of the national insurance claim dataset, which enrolled 1 million Taiwanese to identify 57,981 patients with gout and 115,961 reference subjects matched by sex, age, and entry date of diagnosis. The risk of DVT and PE was analyzed using the Cox proportional hazards model., In this Taiwanese dataset observed from 2000 to 2010, we found the incidence of DVT was 5.26 per 104 person-years in the gout cohort, which was twofold higher than the incidence of 2.63 per 104 person-years in the reference cohort. After adjusting for age, sex, and 9 comorbidities, the hazard ratio (HR) of developing DVT was 1.66 (95% confidence interval [CI]</w:instrText>
      </w:r>
      <w:r w:rsidR="00164A92" w:rsidRPr="00462B94">
        <w:rPr>
          <w:rFonts w:ascii="Times New Roman" w:hAnsi="Times New Roman" w:cs="Times New Roman"/>
          <w:vertAlign w:val="superscript"/>
        </w:rPr>
        <w:instrText> </w:instrText>
      </w:r>
      <w:r w:rsidR="00164A92" w:rsidRPr="00462B94">
        <w:rPr>
          <w:rFonts w:ascii="Book Antiqua" w:hAnsi="Book Antiqua" w:cs="Times New Roman"/>
          <w:vertAlign w:val="superscript"/>
        </w:rPr>
        <w:instrText>=</w:instrText>
      </w:r>
      <w:r w:rsidR="00164A92" w:rsidRPr="00462B94">
        <w:rPr>
          <w:rFonts w:ascii="Times New Roman" w:hAnsi="Times New Roman" w:cs="Times New Roman"/>
          <w:vertAlign w:val="superscript"/>
        </w:rPr>
        <w:instrText> </w:instrText>
      </w:r>
      <w:r w:rsidR="00164A92" w:rsidRPr="00462B94">
        <w:rPr>
          <w:rFonts w:ascii="Book Antiqua" w:hAnsi="Book Antiqua" w:cs="Times New Roman"/>
          <w:vertAlign w:val="superscript"/>
        </w:rPr>
        <w:instrText>1.37</w:instrText>
      </w:r>
      <w:r w:rsidR="00164A92" w:rsidRPr="00462B94">
        <w:rPr>
          <w:rFonts w:ascii="Book Antiqua" w:hAnsi="Book Antiqua" w:cs="Book Antiqua"/>
          <w:vertAlign w:val="superscript"/>
        </w:rPr>
        <w:instrText>–</w:instrText>
      </w:r>
      <w:r w:rsidR="00164A92" w:rsidRPr="00462B94">
        <w:rPr>
          <w:rFonts w:ascii="Book Antiqua" w:hAnsi="Book Antiqua" w:cs="Times New Roman"/>
          <w:vertAlign w:val="superscript"/>
        </w:rPr>
        <w:instrText>2.01). Among patients with gout, the youngest age group had the highest increase in the risk of developing DVT (HR [95% CI]</w:instrText>
      </w:r>
      <w:r w:rsidR="00164A92" w:rsidRPr="00462B94">
        <w:rPr>
          <w:rFonts w:ascii="Times New Roman" w:hAnsi="Times New Roman" w:cs="Times New Roman"/>
          <w:vertAlign w:val="superscript"/>
        </w:rPr>
        <w:instrText> </w:instrText>
      </w:r>
      <w:r w:rsidR="00164A92" w:rsidRPr="00462B94">
        <w:rPr>
          <w:rFonts w:ascii="Book Antiqua" w:hAnsi="Book Antiqua" w:cs="Times New Roman"/>
          <w:vertAlign w:val="superscript"/>
        </w:rPr>
        <w:instrText>=</w:instrText>
      </w:r>
      <w:r w:rsidR="00164A92" w:rsidRPr="00462B94">
        <w:rPr>
          <w:rFonts w:ascii="Times New Roman" w:hAnsi="Times New Roman" w:cs="Times New Roman"/>
          <w:vertAlign w:val="superscript"/>
        </w:rPr>
        <w:instrText> </w:instrText>
      </w:r>
      <w:r w:rsidR="00164A92" w:rsidRPr="00462B94">
        <w:rPr>
          <w:rFonts w:ascii="Book Antiqua" w:hAnsi="Book Antiqua" w:cs="Times New Roman"/>
          <w:vertAlign w:val="superscript"/>
        </w:rPr>
        <w:instrText>2.04 [1.24</w:instrText>
      </w:r>
      <w:r w:rsidR="00164A92" w:rsidRPr="00462B94">
        <w:rPr>
          <w:rFonts w:ascii="Book Antiqua" w:hAnsi="Book Antiqua" w:cs="Book Antiqua"/>
          <w:vertAlign w:val="superscript"/>
        </w:rPr>
        <w:instrText>–</w:instrText>
      </w:r>
      <w:r w:rsidR="00164A92" w:rsidRPr="00462B94">
        <w:rPr>
          <w:rFonts w:ascii="Book Antiqua" w:hAnsi="Book Antiqua" w:cs="Times New Roman"/>
          <w:vertAlign w:val="superscript"/>
        </w:rPr>
        <w:instrText>3.37] for ages 20 to 49 years, 1.80 [1.28</w:instrText>
      </w:r>
      <w:r w:rsidR="00164A92" w:rsidRPr="00462B94">
        <w:rPr>
          <w:rFonts w:ascii="Book Antiqua" w:hAnsi="Book Antiqua" w:cs="Book Antiqua"/>
          <w:vertAlign w:val="superscript"/>
        </w:rPr>
        <w:instrText>–</w:instrText>
      </w:r>
      <w:r w:rsidR="00164A92" w:rsidRPr="00462B94">
        <w:rPr>
          <w:rFonts w:ascii="Book Antiqua" w:hAnsi="Book Antiqua" w:cs="Times New Roman"/>
          <w:vertAlign w:val="superscript"/>
        </w:rPr>
        <w:instrText>2.51] for ages 50 to 64 years, and 1.45 [1.11–1.91] for ages ≥65 years). The incidence of PE was about one-fifth that of DVT in gout patients, but the effect of gout on the risk was similar (HR [95% CI]</w:instrText>
      </w:r>
      <w:r w:rsidR="00164A92" w:rsidRPr="00462B94">
        <w:rPr>
          <w:rFonts w:ascii="Times New Roman" w:hAnsi="Times New Roman" w:cs="Times New Roman"/>
          <w:vertAlign w:val="superscript"/>
        </w:rPr>
        <w:instrText> </w:instrText>
      </w:r>
      <w:r w:rsidR="00164A92" w:rsidRPr="00462B94">
        <w:rPr>
          <w:rFonts w:ascii="Book Antiqua" w:hAnsi="Book Antiqua" w:cs="Times New Roman"/>
          <w:vertAlign w:val="superscript"/>
        </w:rPr>
        <w:instrText>=</w:instrText>
      </w:r>
      <w:r w:rsidR="00164A92" w:rsidRPr="00462B94">
        <w:rPr>
          <w:rFonts w:ascii="Times New Roman" w:hAnsi="Times New Roman" w:cs="Times New Roman"/>
          <w:vertAlign w:val="superscript"/>
        </w:rPr>
        <w:instrText> </w:instrText>
      </w:r>
      <w:r w:rsidR="00164A92" w:rsidRPr="00462B94">
        <w:rPr>
          <w:rFonts w:ascii="Book Antiqua" w:hAnsi="Book Antiqua" w:cs="Times New Roman"/>
          <w:vertAlign w:val="superscript"/>
        </w:rPr>
        <w:instrText>1.53 [1.01</w:instrText>
      </w:r>
      <w:r w:rsidR="00164A92" w:rsidRPr="00462B94">
        <w:rPr>
          <w:rFonts w:ascii="Book Antiqua" w:hAnsi="Book Antiqua" w:cs="Book Antiqua"/>
          <w:vertAlign w:val="superscript"/>
        </w:rPr>
        <w:instrText>–</w:instrText>
      </w:r>
      <w:r w:rsidR="00164A92" w:rsidRPr="00462B94">
        <w:rPr>
          <w:rFonts w:ascii="Book Antiqua" w:hAnsi="Book Antiqua" w:cs="Times New Roman"/>
          <w:vertAlign w:val="superscript"/>
        </w:rPr>
        <w:instrText xml:space="preserve">2.29])., Our analysis confirmed that gout increased the risk of DVT and PE. Further exploration is needed in the future.","URL":"https://www.ncbi.nlm.nih.gov/pmc/articles/PMC4697968/","DOI":"10.1097/MD.0000000000002140","ISSN":"0025-7974","note":"PMID: 26705202\nPMCID: PMC4697968","journalAbbreviation":"Medicine (Baltimore)","author":[{"family":"Huang","given":"Chien-Chung"},{"family":"Huang","given":"Po-Hao"},{"family":"Chen","given":"Jiunn-Horng"},{"family":"Lan","given":"Joung-Liang"},{"family":"Tsay","given":"Gregory J."},{"family":"Lin","given":"Hsiao-Yi"},{"family":"Tseng","given":"Chun-Hung"},{"family":"Lin","given":"Cheng-Li"},{"family":"Hsu","given":"Chung-Yi"}],"issued":{"date-parts":[["2015",12,28]]},"accessed":{"date-parts":[["2018",8,27]]}}}],"schema":"https://github.com/citation-style-language/schema/raw/master/csl-citation.json"} </w:instrText>
      </w:r>
      <w:r w:rsidR="00CE3246" w:rsidRPr="00462B94">
        <w:rPr>
          <w:rFonts w:ascii="Book Antiqua" w:hAnsi="Book Antiqua" w:cs="Times New Roman"/>
          <w:vertAlign w:val="superscript"/>
        </w:rPr>
        <w:fldChar w:fldCharType="separate"/>
      </w:r>
      <w:r w:rsidR="00164A92" w:rsidRPr="00462B94">
        <w:rPr>
          <w:rFonts w:ascii="Book Antiqua" w:hAnsi="Book Antiqua" w:cs="Times New Roman"/>
          <w:vertAlign w:val="superscript"/>
        </w:rPr>
        <w:t>[41]</w:t>
      </w:r>
      <w:r w:rsidR="00CE3246" w:rsidRPr="00462B94">
        <w:rPr>
          <w:rFonts w:ascii="Book Antiqua" w:hAnsi="Book Antiqua" w:cs="Times New Roman"/>
          <w:vertAlign w:val="superscript"/>
        </w:rPr>
        <w:fldChar w:fldCharType="end"/>
      </w:r>
      <w:r w:rsidRPr="00462B94">
        <w:rPr>
          <w:rFonts w:ascii="Book Antiqua" w:hAnsi="Book Antiqua" w:cs="Times New Roman"/>
        </w:rPr>
        <w:t>. Several studies have shown an association between gout and collagen vascular diseases, such as systemic sclerosis and rheumatoid arthritis</w:t>
      </w:r>
      <w:r w:rsidR="00CE3246" w:rsidRPr="00462B94">
        <w:rPr>
          <w:rFonts w:ascii="Book Antiqua" w:hAnsi="Book Antiqua" w:cs="Times New Roman"/>
          <w:vertAlign w:val="superscript"/>
        </w:rPr>
        <w:fldChar w:fldCharType="begin"/>
      </w:r>
      <w:r w:rsidR="00164A92" w:rsidRPr="00462B94">
        <w:rPr>
          <w:rFonts w:ascii="Book Antiqua" w:hAnsi="Book Antiqua" w:cs="Times New Roman"/>
          <w:vertAlign w:val="superscript"/>
        </w:rPr>
        <w:instrText xml:space="preserve"> ADDIN ZOTERO_ITEM CSL_CITATION {"citationID":"toKYiLF5","properties":{"formattedCitation":"\\super [42,43]\\nosupersub{}","plainCitation":"[42,43]","noteIndex":0},"citationItems":[{"id":396,"uris":["http://zotero.org/users/5068664/items/GJIKWCBA"],"uri":["http://zotero.org/users/5068664/items/GJIKWCBA"],"itemData":{"id":396,"type":"article-journal","title":"Serum uric acid as a marker of microvascular damage in systemic sclerosis patients","container-title":"Microvascular Research","page":"39-43","volume":"106","source":"ScienceDirect","abstract":"Background\nMicrovascular damage of skin and internal organs is a hallmark of systemic sclerosis (SSc). Serum uric acid (UA) represents a marker of inflammation and endothelial dysfunction. The aims of this study were to evaluate the correlation between serum UA and intrarenal arterial stiffness evaluated by Doppler ultrasound in SSc patients with normal renal function. We also evaluated the correlation between serum UA and other clinical variables of the disease.\nMethods\nForty-five SSc patients underwent clinical assessment, Doppler ultrasound of intrarenal arteries with evaluation of resistive index (RI), pulsatile index (PI), and systolic/diastolic ratio (S/D), echocardiography with systolic pulmonary artery pressure (PAPs), baseline pulmonary function tests, and nailfold videocapillaroscopy (NVC). In all patients serum UA was measured.\nResults\nThe serum UA showed a significant positive correlation with sCr (r=0.33, p&lt;0.0001) and PAPs (r=0.38, p&lt;0.01) &gt;and negative correlation with CKD-EPI (r=−0.35, p&lt;0.01). The mean value of serum UA increased with severity of NVC damage. Using this cut-off value of 4.7mg/dl, the mean value of Doppler indices of intrarenal stiffness is significantly different (p&lt;0.05) in SSc patients with low normal or high normal serum UA.\nConclusions\nSerum UA concentration is higher in patients with high microvascular damage than in patients with low microvascular damage. These preliminary data must be confirmed in large prospective studies.","DOI":"10.1016/j.mvr.2016.03.007","ISSN":"0026-2862","journalAbbreviation":"Microvascular Research","author":[{"family":"Gigante","given":"Antonietta"},{"family":"Barbano","given":"Biagio"},{"family":"Barilaro","given":"Giuseppe"},{"family":"Quarta","given":"Silvia"},{"family":"Gasperini","given":"Maria Ludovica"},{"family":"Di Mario","given":"Francesca"},{"family":"Romaniello","given":"Antonella"},{"family":"Amoroso","given":"Antonio"},{"family":"Cianci","given":"Rosario"},{"family":"Rosato","given":"Edoardo"}],"issued":{"date-parts":[["2016",7,1]]}}},{"id":399,"uris":["http://zotero.org/users/5068664/items/6KS8Y6WU"],"uri":["http://zotero.org/users/5068664/items/6KS8Y6WU"],"itemData":{"id":399,"type":"article-journal","title":"Occurrence of gout in rheumatoid arthritis: it does happen! A population-based study","container-title":"International journal of clinical rheumatology","page":"433-437","volume":"8","issue":"4","source":"PubMed Central","abstract":"Aim\nIt has been a popular belief that gout does not typically occur in patients with rheumatoid arthritis (RA). Our aim was to assess the occurrence, prevalence, clinical presentation and possible risk factors for gout in patients with RA.\n\nPatients &amp; methods\nWe retrospectively reviewed a population-based incidence cohort of patients who fulfilled 1987 ACR criteria for RA between 1980 and 2007. The cumulative prevalence of gout in RA adjusted for the competing risk of death was estimated.\n\nResults\nAmong the 813 patients with RA, six were diagnosed with gout prior to RA incidence and 22 patients developed gout during a total of 9771 person-years of follow-up. Nine out of 22 patients had crystal-proven gout. The 25-year cumulative prevalence of gout diagnosed by clinical criteria in patients with RA was 5.3%.\n\nConclusion\nGout does occur in patients with rheumatoid arthritis, however, at a lower rate than in the general population.","DOI":"10.2217/ijr.13.45","ISSN":"1758-4272","note":"PMID: 24443656\nPMCID: PMC3891477","shortTitle":"Occurrence of gout in rheumatoid arthritis","journalAbbreviation":"Int J Clin Rheumtol","author":[{"family":"Jebakumar","given":"Adlene J"},{"family":"Udayakumar","given":"Prabhu D"},{"family":"Crowson","given":"Cynthia S"},{"family":"Matteson","given":"Eric L"}],"issued":{"date-parts":[["2013",8]]}}}],"schema":"https://github.com/citation-style-language/schema/raw/master/csl-citation.json"} </w:instrText>
      </w:r>
      <w:r w:rsidR="00CE3246" w:rsidRPr="00462B94">
        <w:rPr>
          <w:rFonts w:ascii="Book Antiqua" w:hAnsi="Book Antiqua" w:cs="Times New Roman"/>
          <w:vertAlign w:val="superscript"/>
        </w:rPr>
        <w:fldChar w:fldCharType="separate"/>
      </w:r>
      <w:r w:rsidR="00164A92" w:rsidRPr="00462B94">
        <w:rPr>
          <w:rFonts w:ascii="Book Antiqua" w:hAnsi="Book Antiqua" w:cs="Times New Roman"/>
          <w:vertAlign w:val="superscript"/>
        </w:rPr>
        <w:t>[42,43]</w:t>
      </w:r>
      <w:r w:rsidR="00CE3246" w:rsidRPr="00462B94">
        <w:rPr>
          <w:rFonts w:ascii="Book Antiqua" w:hAnsi="Book Antiqua" w:cs="Times New Roman"/>
          <w:vertAlign w:val="superscript"/>
        </w:rPr>
        <w:fldChar w:fldCharType="end"/>
      </w:r>
      <w:r w:rsidRPr="00462B94">
        <w:rPr>
          <w:rFonts w:ascii="Book Antiqua" w:hAnsi="Book Antiqua" w:cs="Times New Roman"/>
        </w:rPr>
        <w:t xml:space="preserve">. Our findings would be prospective to initiate the discussion of screening and appropriate treatment of gout in ACS patients, and other dynamics responsible for gout should be considered when targeting new therapeutic strategies to prevent postoperative complications. In addition, appropriate screening for </w:t>
      </w:r>
      <w:r w:rsidR="00DF78D3" w:rsidRPr="00462B94">
        <w:rPr>
          <w:rFonts w:ascii="Book Antiqua" w:hAnsi="Book Antiqua" w:cs="Times New Roman"/>
        </w:rPr>
        <w:t>CVD</w:t>
      </w:r>
      <w:r w:rsidRPr="00462B94">
        <w:rPr>
          <w:rFonts w:ascii="Book Antiqua" w:hAnsi="Book Antiqua" w:cs="Times New Roman"/>
        </w:rPr>
        <w:t xml:space="preserve"> in patients with gout is suggested as these patients have worse cardiovascular outcomes. </w:t>
      </w:r>
    </w:p>
    <w:p w14:paraId="4917DA27" w14:textId="31E3864A" w:rsidR="00866F2D" w:rsidRPr="00462B94" w:rsidRDefault="00866F2D" w:rsidP="00462B94">
      <w:pPr>
        <w:spacing w:line="360" w:lineRule="auto"/>
        <w:ind w:firstLineChars="100" w:firstLine="240"/>
        <w:jc w:val="both"/>
        <w:rPr>
          <w:rFonts w:ascii="Book Antiqua" w:hAnsi="Book Antiqua" w:cs="Times New Roman"/>
        </w:rPr>
      </w:pPr>
      <w:r w:rsidRPr="00462B94">
        <w:rPr>
          <w:rFonts w:ascii="Book Antiqua" w:hAnsi="Book Antiqua" w:cs="Times New Roman"/>
        </w:rPr>
        <w:t xml:space="preserve">Our retrospective database study has few limitations which need to </w:t>
      </w:r>
      <w:r w:rsidRPr="00462B94">
        <w:rPr>
          <w:rFonts w:ascii="Book Antiqua" w:hAnsi="Book Antiqua" w:cs="Times New Roman"/>
          <w:noProof/>
        </w:rPr>
        <w:t>be mention</w:t>
      </w:r>
      <w:r w:rsidR="001C6529" w:rsidRPr="00462B94">
        <w:rPr>
          <w:rFonts w:ascii="Book Antiqua" w:hAnsi="Book Antiqua" w:cs="Times New Roman"/>
          <w:noProof/>
        </w:rPr>
        <w:t>ed</w:t>
      </w:r>
      <w:r w:rsidRPr="00462B94">
        <w:rPr>
          <w:rFonts w:ascii="Book Antiqua" w:hAnsi="Book Antiqua" w:cs="Times New Roman"/>
        </w:rPr>
        <w:t xml:space="preserve">. Due to the administrative nature of this database, some baseline patient’s data might be missing, and follow up data was not available. There is a possibility of a misclassification bias from the use of diagnostic codes to define gout based on the clinical findings by physicians or to diagnose ACS, with a possible change in terminology and use of generalized diagnostic codes by the clinicians. The NIS database does not contain information on serum uric acid level in gout patients so the severity and the extent of worse outcomes in ACS and post-revascularization outcomes with a unit increase in uric acid levels are not possible to be evaluated. In addition, each hospitalization is considered separately in the </w:t>
      </w:r>
      <w:r w:rsidR="00687586" w:rsidRPr="00462B94">
        <w:rPr>
          <w:rFonts w:ascii="Book Antiqua" w:hAnsi="Book Antiqua" w:cs="Times New Roman"/>
        </w:rPr>
        <w:t>NIS</w:t>
      </w:r>
      <w:r w:rsidRPr="00462B94">
        <w:rPr>
          <w:rFonts w:ascii="Book Antiqua" w:hAnsi="Book Antiqua" w:cs="Times New Roman"/>
        </w:rPr>
        <w:t xml:space="preserve">, which could result in overestimation of the number of admissions for the same patient. Furthermore, the study emphasizes the short-term in-hospital impact of gout, lacking </w:t>
      </w:r>
      <w:r w:rsidRPr="00462B94">
        <w:rPr>
          <w:rFonts w:ascii="Book Antiqua" w:hAnsi="Book Antiqua" w:cs="Times New Roman"/>
          <w:noProof/>
        </w:rPr>
        <w:t>long-term</w:t>
      </w:r>
      <w:r w:rsidRPr="00462B94">
        <w:rPr>
          <w:rFonts w:ascii="Book Antiqua" w:hAnsi="Book Antiqua" w:cs="Times New Roman"/>
        </w:rPr>
        <w:t xml:space="preserve"> follow-up outcomes. Nevertheless, the current study showed several important strengths, including nationwide large sample size, standardized methods, and absence of selection bias. </w:t>
      </w:r>
    </w:p>
    <w:p w14:paraId="3318E1D6" w14:textId="77777777" w:rsidR="00866F2D" w:rsidRPr="00462B94" w:rsidRDefault="00B2294D" w:rsidP="00462B94">
      <w:pPr>
        <w:spacing w:line="360" w:lineRule="auto"/>
        <w:ind w:firstLineChars="100" w:firstLine="240"/>
        <w:jc w:val="both"/>
        <w:rPr>
          <w:rFonts w:ascii="Book Antiqua" w:hAnsi="Book Antiqua" w:cs="Times New Roman"/>
        </w:rPr>
      </w:pPr>
      <w:r w:rsidRPr="00462B94">
        <w:rPr>
          <w:rFonts w:ascii="Book Antiqua" w:hAnsi="Book Antiqua" w:cs="Times New Roman"/>
        </w:rPr>
        <w:t>In conclusion, a</w:t>
      </w:r>
      <w:r w:rsidR="00866F2D" w:rsidRPr="00462B94">
        <w:rPr>
          <w:rFonts w:ascii="Book Antiqua" w:hAnsi="Book Antiqua" w:cs="Times New Roman"/>
        </w:rPr>
        <w:t xml:space="preserve">lthough gout did not increase the in-hospital mortality in ACS-related hospitalizations, the findings from this nationwide cohort highlight the significant impact of gout on in-hospital outcomes in ACS patients in terms of higher cardiovascular comorbidities, CABG frequency, post-revascularization complications, hospital stay, and total hospital charges. </w:t>
      </w:r>
    </w:p>
    <w:p w14:paraId="06E3D5CA" w14:textId="77777777" w:rsidR="000D3CEE" w:rsidRPr="00462B94" w:rsidRDefault="000D3CEE" w:rsidP="00462B94">
      <w:pPr>
        <w:spacing w:line="360" w:lineRule="auto"/>
        <w:jc w:val="both"/>
        <w:rPr>
          <w:rFonts w:ascii="Book Antiqua" w:hAnsi="Book Antiqua" w:cs="Times New Roman"/>
          <w:b/>
          <w:bCs/>
        </w:rPr>
      </w:pPr>
    </w:p>
    <w:p w14:paraId="5C9C9626" w14:textId="3E817149" w:rsidR="005028F2" w:rsidRPr="00462B94" w:rsidRDefault="00A21396" w:rsidP="00462B94">
      <w:pPr>
        <w:spacing w:line="360" w:lineRule="auto"/>
        <w:jc w:val="both"/>
        <w:rPr>
          <w:rFonts w:ascii="Book Antiqua" w:hAnsi="Book Antiqua" w:cs="Times New Roman"/>
          <w:b/>
          <w:bCs/>
        </w:rPr>
      </w:pPr>
      <w:r w:rsidRPr="00462B94">
        <w:rPr>
          <w:rFonts w:ascii="Book Antiqua" w:hAnsi="Book Antiqua" w:cs="Times New Roman"/>
          <w:b/>
          <w:bCs/>
        </w:rPr>
        <w:t>ARTICLE HIGHLIGHTS</w:t>
      </w:r>
    </w:p>
    <w:p w14:paraId="3C5EC4C2" w14:textId="4B5465AA" w:rsidR="001A0E73" w:rsidRPr="00462B94" w:rsidRDefault="001A0E73"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lastRenderedPageBreak/>
        <w:t>Research background</w:t>
      </w:r>
    </w:p>
    <w:p w14:paraId="79640EE4" w14:textId="1AAF2869" w:rsidR="002F6C0A" w:rsidRPr="00462B94" w:rsidRDefault="002F6C0A" w:rsidP="00462B94">
      <w:pPr>
        <w:spacing w:line="360" w:lineRule="auto"/>
        <w:jc w:val="both"/>
        <w:rPr>
          <w:rFonts w:ascii="Book Antiqua" w:hAnsi="Book Antiqua" w:cs="Times New Roman"/>
          <w:bCs/>
          <w:noProof/>
          <w:lang w:eastAsia="zh-CN"/>
        </w:rPr>
      </w:pPr>
      <w:r w:rsidRPr="00462B94">
        <w:rPr>
          <w:rFonts w:ascii="Book Antiqua" w:hAnsi="Book Antiqua" w:cs="Times New Roman"/>
          <w:bCs/>
          <w:noProof/>
        </w:rPr>
        <w:t xml:space="preserve">Previous studies have established a role of gout in predicting risk and prognosis of cardiovascular diseases. However, large-scale data on the impact of gout on inpatient outcomes of acute coronary syndrome (ACS)-related hospitalizations and post-revascularization is inadequate. </w:t>
      </w:r>
    </w:p>
    <w:p w14:paraId="05505ABF" w14:textId="77777777" w:rsidR="00585B6F" w:rsidRPr="00462B94" w:rsidRDefault="00585B6F" w:rsidP="00462B94">
      <w:pPr>
        <w:spacing w:line="360" w:lineRule="auto"/>
        <w:jc w:val="both"/>
        <w:rPr>
          <w:rFonts w:ascii="Book Antiqua" w:hAnsi="Book Antiqua" w:cs="Times New Roman"/>
          <w:bCs/>
          <w:noProof/>
          <w:lang w:eastAsia="zh-CN"/>
        </w:rPr>
      </w:pPr>
    </w:p>
    <w:p w14:paraId="7BC18362" w14:textId="3E3348FE" w:rsidR="00585B6F" w:rsidRPr="00462B94" w:rsidRDefault="00585B6F"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Research motivation</w:t>
      </w:r>
    </w:p>
    <w:p w14:paraId="0E9C38DE" w14:textId="49DA52CB" w:rsidR="002F6C0A" w:rsidRPr="00462B94" w:rsidRDefault="002F6C0A" w:rsidP="00462B94">
      <w:pPr>
        <w:spacing w:line="360" w:lineRule="auto"/>
        <w:jc w:val="both"/>
        <w:rPr>
          <w:rFonts w:ascii="Book Antiqua" w:hAnsi="Book Antiqua" w:cs="Times New Roman"/>
          <w:iCs/>
          <w:noProof/>
          <w:lang w:eastAsia="zh-CN"/>
        </w:rPr>
      </w:pPr>
      <w:r w:rsidRPr="00462B94">
        <w:rPr>
          <w:rFonts w:ascii="Book Antiqua" w:hAnsi="Book Antiqua" w:cs="Times New Roman"/>
          <w:iCs/>
          <w:noProof/>
        </w:rPr>
        <w:t xml:space="preserve">Limited data exist on impact of gout on in-hospital outcome of </w:t>
      </w:r>
      <w:r w:rsidR="00742FE4" w:rsidRPr="00462B94">
        <w:rPr>
          <w:rFonts w:ascii="Book Antiqua" w:hAnsi="Book Antiqua" w:cs="Times New Roman"/>
          <w:bCs/>
          <w:noProof/>
        </w:rPr>
        <w:t>ACS</w:t>
      </w:r>
      <w:r w:rsidRPr="00462B94">
        <w:rPr>
          <w:rFonts w:ascii="Book Antiqua" w:hAnsi="Book Antiqua" w:cs="Times New Roman"/>
          <w:iCs/>
          <w:noProof/>
        </w:rPr>
        <w:t xml:space="preserve"> in terms of healthcare utilization and post-revascularization outcomes. </w:t>
      </w:r>
    </w:p>
    <w:p w14:paraId="508417F5" w14:textId="77777777" w:rsidR="00585B6F" w:rsidRPr="00462B94" w:rsidRDefault="00585B6F" w:rsidP="00462B94">
      <w:pPr>
        <w:spacing w:line="360" w:lineRule="auto"/>
        <w:jc w:val="both"/>
        <w:rPr>
          <w:rFonts w:ascii="Book Antiqua" w:hAnsi="Book Antiqua" w:cs="Times New Roman"/>
          <w:iCs/>
          <w:noProof/>
          <w:lang w:eastAsia="zh-CN"/>
        </w:rPr>
      </w:pPr>
    </w:p>
    <w:p w14:paraId="60203954" w14:textId="23687213" w:rsidR="00585B6F" w:rsidRPr="00462B94" w:rsidRDefault="00585B6F"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Research objective</w:t>
      </w:r>
    </w:p>
    <w:p w14:paraId="1A3E4FD4" w14:textId="4F442428" w:rsidR="002F6C0A" w:rsidRPr="00462B94" w:rsidRDefault="002F6C0A" w:rsidP="00462B94">
      <w:pPr>
        <w:spacing w:line="360" w:lineRule="auto"/>
        <w:jc w:val="both"/>
        <w:rPr>
          <w:rFonts w:ascii="Book Antiqua" w:hAnsi="Book Antiqua" w:cs="Times New Roman"/>
          <w:bCs/>
          <w:noProof/>
          <w:lang w:eastAsia="zh-CN"/>
        </w:rPr>
      </w:pPr>
      <w:r w:rsidRPr="00462B94">
        <w:rPr>
          <w:rFonts w:ascii="Book Antiqua" w:hAnsi="Book Antiqua" w:cs="Times New Roman"/>
          <w:noProof/>
        </w:rPr>
        <w:t>The study aimed to e</w:t>
      </w:r>
      <w:r w:rsidRPr="00462B94">
        <w:rPr>
          <w:rFonts w:ascii="Book Antiqua" w:hAnsi="Book Antiqua" w:cs="Times New Roman"/>
        </w:rPr>
        <w:t>valuate the impact of gout on in-hospital outcomes of ACS hospitalizations, subsequent healthcare burden and predictors of post-revascularization inpatient mortality</w:t>
      </w:r>
      <w:r w:rsidRPr="00462B94">
        <w:rPr>
          <w:rFonts w:ascii="Book Antiqua" w:hAnsi="Book Antiqua" w:cs="Times New Roman"/>
          <w:bCs/>
          <w:noProof/>
        </w:rPr>
        <w:t xml:space="preserve"> </w:t>
      </w:r>
    </w:p>
    <w:p w14:paraId="78ED0B21" w14:textId="77777777" w:rsidR="00585B6F" w:rsidRPr="00462B94" w:rsidRDefault="00585B6F" w:rsidP="00462B94">
      <w:pPr>
        <w:spacing w:line="360" w:lineRule="auto"/>
        <w:jc w:val="both"/>
        <w:rPr>
          <w:rFonts w:ascii="Book Antiqua" w:hAnsi="Book Antiqua" w:cs="Times New Roman"/>
          <w:bCs/>
          <w:noProof/>
          <w:lang w:eastAsia="zh-CN"/>
        </w:rPr>
      </w:pPr>
    </w:p>
    <w:p w14:paraId="5FD9EDFD" w14:textId="22B72945" w:rsidR="00585B6F" w:rsidRPr="00462B94" w:rsidRDefault="00585B6F"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Research methods</w:t>
      </w:r>
    </w:p>
    <w:p w14:paraId="63892DD0" w14:textId="468BFE18" w:rsidR="002F6C0A" w:rsidRPr="00462B94" w:rsidRDefault="002F6C0A" w:rsidP="00462B94">
      <w:pPr>
        <w:spacing w:line="360" w:lineRule="auto"/>
        <w:jc w:val="both"/>
        <w:rPr>
          <w:rFonts w:ascii="Book Antiqua" w:hAnsi="Book Antiqua" w:cs="Times New Roman"/>
          <w:bCs/>
          <w:noProof/>
          <w:lang w:eastAsia="zh-CN"/>
        </w:rPr>
      </w:pPr>
      <w:r w:rsidRPr="00462B94">
        <w:rPr>
          <w:rFonts w:ascii="Book Antiqua" w:hAnsi="Book Antiqua" w:cs="Times New Roman"/>
          <w:bCs/>
          <w:noProof/>
        </w:rPr>
        <w:t xml:space="preserve">We used the </w:t>
      </w:r>
      <w:r w:rsidR="00687586" w:rsidRPr="00462B94">
        <w:rPr>
          <w:rFonts w:ascii="Book Antiqua" w:hAnsi="Book Antiqua" w:cs="Times New Roman"/>
          <w:bCs/>
          <w:noProof/>
        </w:rPr>
        <w:t>national inpatient sample</w:t>
      </w:r>
      <w:r w:rsidRPr="00462B94">
        <w:rPr>
          <w:rFonts w:ascii="Book Antiqua" w:hAnsi="Book Antiqua" w:cs="Times New Roman"/>
          <w:bCs/>
          <w:noProof/>
        </w:rPr>
        <w:t xml:space="preserve"> (2010-2014) to identify the ACS and gout-related hospitalizations, relevant comorbidities, revascularization and post-revascularization outcomes using the ICD-9 CM codes. A multivariable analysis was performed to evaluate the predictors of post-revascularization in-hospital mortality. </w:t>
      </w:r>
    </w:p>
    <w:p w14:paraId="67B6F203" w14:textId="77777777" w:rsidR="00585B6F" w:rsidRPr="00462B94" w:rsidRDefault="00585B6F" w:rsidP="00462B94">
      <w:pPr>
        <w:spacing w:line="360" w:lineRule="auto"/>
        <w:jc w:val="both"/>
        <w:rPr>
          <w:rFonts w:ascii="Book Antiqua" w:hAnsi="Book Antiqua" w:cs="Times New Roman"/>
          <w:bCs/>
          <w:noProof/>
          <w:lang w:eastAsia="zh-CN"/>
        </w:rPr>
      </w:pPr>
    </w:p>
    <w:p w14:paraId="00B04F2D" w14:textId="15F10DB7" w:rsidR="00585B6F" w:rsidRPr="00462B94" w:rsidRDefault="00585B6F"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Research results</w:t>
      </w:r>
    </w:p>
    <w:p w14:paraId="20AF6E70" w14:textId="42E3BE96" w:rsidR="002F6C0A" w:rsidRPr="00462B94" w:rsidRDefault="00585B6F" w:rsidP="00462B94">
      <w:pPr>
        <w:spacing w:line="360" w:lineRule="auto"/>
        <w:jc w:val="both"/>
        <w:rPr>
          <w:rFonts w:ascii="Book Antiqua" w:hAnsi="Book Antiqua" w:cs="Times New Roman"/>
          <w:bCs/>
          <w:noProof/>
          <w:lang w:eastAsia="zh-CN"/>
        </w:rPr>
      </w:pPr>
      <w:r w:rsidRPr="00462B94">
        <w:rPr>
          <w:rFonts w:ascii="Book Antiqua" w:hAnsi="Book Antiqua" w:cs="Times New Roman"/>
          <w:bCs/>
          <w:noProof/>
        </w:rPr>
        <w:t>Out of 3144</w:t>
      </w:r>
      <w:r w:rsidR="002F6C0A" w:rsidRPr="00462B94">
        <w:rPr>
          <w:rFonts w:ascii="Book Antiqua" w:hAnsi="Book Antiqua" w:cs="Times New Roman"/>
          <w:bCs/>
          <w:noProof/>
        </w:rPr>
        <w:t>744 AC</w:t>
      </w:r>
      <w:r w:rsidRPr="00462B94">
        <w:rPr>
          <w:rFonts w:ascii="Book Antiqua" w:hAnsi="Book Antiqua" w:cs="Times New Roman"/>
          <w:bCs/>
          <w:noProof/>
        </w:rPr>
        <w:t>S-related hospitalizations, 105</w:t>
      </w:r>
      <w:r w:rsidR="002F6C0A" w:rsidRPr="00462B94">
        <w:rPr>
          <w:rFonts w:ascii="Book Antiqua" w:hAnsi="Book Antiqua" w:cs="Times New Roman"/>
          <w:bCs/>
          <w:noProof/>
        </w:rPr>
        <w:t xml:space="preserve">198 (3.35%) patients had gout. The ACS-gout cohort were more often older white males with a higher prevalence of comorbidities. ACS-gout cohort showed comparativly higher prevalence of Coronary artery bypass grafting. Post-revascularization complications including cardiac (3.2% </w:t>
      </w:r>
      <w:r w:rsidR="00742FE4" w:rsidRPr="00462B94">
        <w:rPr>
          <w:rFonts w:ascii="Book Antiqua" w:hAnsi="Book Antiqua" w:cs="Times New Roman"/>
          <w:bCs/>
          <w:i/>
          <w:noProof/>
        </w:rPr>
        <w:t>vs</w:t>
      </w:r>
      <w:r w:rsidR="002F6C0A" w:rsidRPr="00462B94">
        <w:rPr>
          <w:rFonts w:ascii="Book Antiqua" w:hAnsi="Book Antiqua" w:cs="Times New Roman"/>
          <w:bCs/>
          <w:noProof/>
        </w:rPr>
        <w:t xml:space="preserve"> 2.9%), respiratory (3.5% </w:t>
      </w:r>
      <w:r w:rsidR="00742FE4" w:rsidRPr="00462B94">
        <w:rPr>
          <w:rFonts w:ascii="Book Antiqua" w:hAnsi="Book Antiqua" w:cs="Times New Roman"/>
          <w:bCs/>
          <w:i/>
          <w:noProof/>
        </w:rPr>
        <w:t>vs</w:t>
      </w:r>
      <w:r w:rsidR="002F6C0A" w:rsidRPr="00462B94">
        <w:rPr>
          <w:rFonts w:ascii="Book Antiqua" w:hAnsi="Book Antiqua" w:cs="Times New Roman"/>
          <w:bCs/>
          <w:noProof/>
        </w:rPr>
        <w:t xml:space="preserve"> 2.9%), and hemorrhage (3.1% </w:t>
      </w:r>
      <w:r w:rsidR="00742FE4" w:rsidRPr="00462B94">
        <w:rPr>
          <w:rFonts w:ascii="Book Antiqua" w:hAnsi="Book Antiqua" w:cs="Times New Roman"/>
          <w:bCs/>
          <w:i/>
          <w:noProof/>
        </w:rPr>
        <w:t>vs</w:t>
      </w:r>
      <w:r w:rsidR="002F6C0A" w:rsidRPr="00462B94">
        <w:rPr>
          <w:rFonts w:ascii="Book Antiqua" w:hAnsi="Book Antiqua" w:cs="Times New Roman"/>
          <w:bCs/>
          <w:noProof/>
        </w:rPr>
        <w:t xml:space="preserve"> 2.7%) were higher whereas all-cause mortality was lower (2.2% </w:t>
      </w:r>
      <w:r w:rsidR="00742FE4" w:rsidRPr="00462B94">
        <w:rPr>
          <w:rFonts w:ascii="Book Antiqua" w:hAnsi="Book Antiqua" w:cs="Times New Roman"/>
          <w:bCs/>
          <w:i/>
          <w:noProof/>
        </w:rPr>
        <w:t>vs</w:t>
      </w:r>
      <w:r w:rsidR="002F6C0A" w:rsidRPr="00462B94">
        <w:rPr>
          <w:rFonts w:ascii="Book Antiqua" w:hAnsi="Book Antiqua" w:cs="Times New Roman"/>
          <w:bCs/>
          <w:noProof/>
        </w:rPr>
        <w:t xml:space="preserve"> 3.0%) in the ACS-gout cohort (</w:t>
      </w:r>
      <w:r w:rsidR="00742FE4" w:rsidRPr="00462B94">
        <w:rPr>
          <w:rFonts w:ascii="Book Antiqua" w:hAnsi="Book Antiqua" w:cs="Times New Roman"/>
          <w:bCs/>
          <w:i/>
          <w:noProof/>
        </w:rPr>
        <w:t xml:space="preserve">P &lt; </w:t>
      </w:r>
      <w:r w:rsidR="002F6C0A" w:rsidRPr="00462B94">
        <w:rPr>
          <w:rFonts w:ascii="Book Antiqua" w:hAnsi="Book Antiqua" w:cs="Times New Roman"/>
          <w:bCs/>
          <w:noProof/>
        </w:rPr>
        <w:t>0.001). An older age (OR 15.63, CI</w:t>
      </w:r>
      <w:r w:rsidRPr="00462B94">
        <w:rPr>
          <w:rFonts w:ascii="Book Antiqua" w:hAnsi="Book Antiqua" w:cs="Times New Roman" w:hint="eastAsia"/>
          <w:bCs/>
          <w:noProof/>
          <w:lang w:eastAsia="zh-CN"/>
        </w:rPr>
        <w:t>:</w:t>
      </w:r>
      <w:r w:rsidR="002F6C0A" w:rsidRPr="00462B94">
        <w:rPr>
          <w:rFonts w:ascii="Book Antiqua" w:hAnsi="Book Antiqua" w:cs="Times New Roman"/>
          <w:bCs/>
          <w:noProof/>
        </w:rPr>
        <w:t xml:space="preserve"> 5.51-44.39), non-elective admissions (OR 2.00, CI</w:t>
      </w:r>
      <w:r w:rsidRPr="00462B94">
        <w:rPr>
          <w:rFonts w:ascii="Book Antiqua" w:hAnsi="Book Antiqua" w:cs="Times New Roman" w:hint="eastAsia"/>
          <w:bCs/>
          <w:noProof/>
          <w:lang w:eastAsia="zh-CN"/>
        </w:rPr>
        <w:t>:</w:t>
      </w:r>
      <w:r w:rsidR="002F6C0A" w:rsidRPr="00462B94">
        <w:rPr>
          <w:rFonts w:ascii="Book Antiqua" w:hAnsi="Book Antiqua" w:cs="Times New Roman"/>
          <w:bCs/>
          <w:noProof/>
        </w:rPr>
        <w:t xml:space="preserve"> 1.44-2.79), lower household income (OR 1.44; CI</w:t>
      </w:r>
      <w:r w:rsidRPr="00462B94">
        <w:rPr>
          <w:rFonts w:ascii="Book Antiqua" w:hAnsi="Book Antiqua" w:cs="Times New Roman" w:hint="eastAsia"/>
          <w:bCs/>
          <w:noProof/>
          <w:lang w:eastAsia="zh-CN"/>
        </w:rPr>
        <w:t>:</w:t>
      </w:r>
      <w:r w:rsidR="002F6C0A" w:rsidRPr="00462B94">
        <w:rPr>
          <w:rFonts w:ascii="Book Antiqua" w:hAnsi="Book Antiqua" w:cs="Times New Roman"/>
          <w:bCs/>
          <w:noProof/>
        </w:rPr>
        <w:t xml:space="preserve"> 1.17-1.78), and comorbid conditions predicted higher mortality in </w:t>
      </w:r>
      <w:r w:rsidR="002F6C0A" w:rsidRPr="00462B94">
        <w:rPr>
          <w:rFonts w:ascii="Book Antiqua" w:hAnsi="Book Antiqua" w:cs="Times New Roman"/>
          <w:bCs/>
          <w:noProof/>
        </w:rPr>
        <w:lastRenderedPageBreak/>
        <w:t>ACS-gout cohort undergoing revascularization (</w:t>
      </w:r>
      <w:r w:rsidR="00742FE4" w:rsidRPr="00462B94">
        <w:rPr>
          <w:rFonts w:ascii="Book Antiqua" w:hAnsi="Book Antiqua" w:cs="Times New Roman"/>
          <w:bCs/>
          <w:i/>
          <w:noProof/>
        </w:rPr>
        <w:t xml:space="preserve">P &lt; </w:t>
      </w:r>
      <w:r w:rsidR="002F6C0A" w:rsidRPr="00462B94">
        <w:rPr>
          <w:rFonts w:ascii="Book Antiqua" w:hAnsi="Book Antiqua" w:cs="Times New Roman"/>
          <w:bCs/>
          <w:noProof/>
        </w:rPr>
        <w:t>0.001). Odds of post-revascularization in-hospital mortality were lower in Hispanics (OR 0.45, CI</w:t>
      </w:r>
      <w:r w:rsidRPr="00462B94">
        <w:rPr>
          <w:rFonts w:ascii="Book Antiqua" w:hAnsi="Book Antiqua" w:cs="Times New Roman" w:hint="eastAsia"/>
          <w:bCs/>
          <w:noProof/>
          <w:lang w:eastAsia="zh-CN"/>
        </w:rPr>
        <w:t>:</w:t>
      </w:r>
      <w:r w:rsidR="002F6C0A" w:rsidRPr="00462B94">
        <w:rPr>
          <w:rFonts w:ascii="Book Antiqua" w:hAnsi="Book Antiqua" w:cs="Times New Roman"/>
          <w:bCs/>
          <w:noProof/>
        </w:rPr>
        <w:t xml:space="preserve"> 0.31-0.67) and Asians (OR 0.65, CI</w:t>
      </w:r>
      <w:r w:rsidRPr="00462B94">
        <w:rPr>
          <w:rFonts w:ascii="Book Antiqua" w:hAnsi="Book Antiqua" w:cs="Times New Roman" w:hint="eastAsia"/>
          <w:bCs/>
          <w:noProof/>
          <w:lang w:eastAsia="zh-CN"/>
        </w:rPr>
        <w:t>:</w:t>
      </w:r>
      <w:r w:rsidR="002F6C0A" w:rsidRPr="00462B94">
        <w:rPr>
          <w:rFonts w:ascii="Book Antiqua" w:hAnsi="Book Antiqua" w:cs="Times New Roman"/>
          <w:bCs/>
          <w:noProof/>
        </w:rPr>
        <w:t xml:space="preserve"> 0.45-0.94) as compared to white (</w:t>
      </w:r>
      <w:r w:rsidR="00742FE4" w:rsidRPr="00462B94">
        <w:rPr>
          <w:rFonts w:ascii="Book Antiqua" w:hAnsi="Book Antiqua" w:cs="Times New Roman"/>
          <w:bCs/>
          <w:i/>
          <w:noProof/>
        </w:rPr>
        <w:t xml:space="preserve">P &lt; </w:t>
      </w:r>
      <w:r w:rsidR="002F6C0A" w:rsidRPr="00462B94">
        <w:rPr>
          <w:rFonts w:ascii="Book Antiqua" w:hAnsi="Book Antiqua" w:cs="Times New Roman"/>
          <w:bCs/>
          <w:noProof/>
        </w:rPr>
        <w:t xml:space="preserve">0.001). However, post-operative complications significantly raised mortality odds. Mean length of stay, transfer to other facilities, and hospital charges were higher in the ACS-gout cohort. </w:t>
      </w:r>
    </w:p>
    <w:p w14:paraId="36135A55" w14:textId="77777777" w:rsidR="00585B6F" w:rsidRPr="00462B94" w:rsidRDefault="00585B6F" w:rsidP="00462B94">
      <w:pPr>
        <w:spacing w:line="360" w:lineRule="auto"/>
        <w:jc w:val="both"/>
        <w:rPr>
          <w:rFonts w:ascii="Book Antiqua" w:hAnsi="Book Antiqua" w:cs="Times New Roman"/>
          <w:bCs/>
          <w:noProof/>
          <w:lang w:eastAsia="zh-CN"/>
        </w:rPr>
      </w:pPr>
    </w:p>
    <w:p w14:paraId="7C994117" w14:textId="78301B23" w:rsidR="00585B6F" w:rsidRPr="00462B94" w:rsidRDefault="00585B6F" w:rsidP="00462B94">
      <w:pPr>
        <w:spacing w:line="360" w:lineRule="auto"/>
        <w:jc w:val="both"/>
        <w:rPr>
          <w:rFonts w:ascii="Book Antiqua" w:hAnsi="Book Antiqua" w:cs="Times New Roman"/>
          <w:b/>
          <w:i/>
          <w:iCs/>
          <w:noProof/>
          <w:lang w:eastAsia="zh-CN"/>
        </w:rPr>
      </w:pPr>
      <w:r w:rsidRPr="00462B94">
        <w:rPr>
          <w:rFonts w:ascii="Book Antiqua" w:hAnsi="Book Antiqua" w:cs="Times New Roman"/>
          <w:b/>
          <w:i/>
          <w:iCs/>
          <w:noProof/>
        </w:rPr>
        <w:t>Research conclusions</w:t>
      </w:r>
    </w:p>
    <w:p w14:paraId="052C8B6B" w14:textId="1E6301C6" w:rsidR="002F6C0A" w:rsidRPr="00462B94" w:rsidRDefault="002F6C0A" w:rsidP="00462B94">
      <w:pPr>
        <w:spacing w:line="360" w:lineRule="auto"/>
        <w:jc w:val="both"/>
        <w:rPr>
          <w:rFonts w:ascii="Book Antiqua" w:hAnsi="Book Antiqua" w:cs="Times New Roman"/>
          <w:bCs/>
          <w:noProof/>
          <w:lang w:eastAsia="zh-CN"/>
        </w:rPr>
      </w:pPr>
      <w:r w:rsidRPr="00462B94">
        <w:rPr>
          <w:rFonts w:ascii="Book Antiqua" w:hAnsi="Book Antiqua" w:cs="Times New Roman"/>
          <w:bCs/>
          <w:noProof/>
        </w:rPr>
        <w:t>Gout was not independently associated with an increased risk of post-revascularization in-hospital mortality in ACS. However, gout did increase post-revascularization complications.</w:t>
      </w:r>
    </w:p>
    <w:p w14:paraId="17117CDA" w14:textId="77777777" w:rsidR="00787C12" w:rsidRPr="00462B94" w:rsidRDefault="00787C12" w:rsidP="00462B94">
      <w:pPr>
        <w:spacing w:line="360" w:lineRule="auto"/>
        <w:jc w:val="both"/>
        <w:rPr>
          <w:rFonts w:ascii="Book Antiqua" w:hAnsi="Book Antiqua" w:cs="Times New Roman"/>
          <w:bCs/>
          <w:noProof/>
          <w:lang w:eastAsia="zh-CN"/>
        </w:rPr>
      </w:pPr>
    </w:p>
    <w:p w14:paraId="25DE1ABF" w14:textId="4A8FD7A8" w:rsidR="00787C12" w:rsidRPr="00462B94" w:rsidRDefault="002F6C0A" w:rsidP="00462B94">
      <w:pPr>
        <w:spacing w:line="360" w:lineRule="auto"/>
        <w:jc w:val="both"/>
        <w:rPr>
          <w:rFonts w:ascii="Book Antiqua" w:hAnsi="Book Antiqua" w:cs="Times New Roman"/>
          <w:b/>
          <w:i/>
          <w:lang w:eastAsia="zh-CN"/>
        </w:rPr>
      </w:pPr>
      <w:r w:rsidRPr="00462B94">
        <w:rPr>
          <w:rFonts w:ascii="Book Antiqua" w:hAnsi="Book Antiqua" w:cs="Times New Roman"/>
          <w:b/>
          <w:i/>
        </w:rPr>
        <w:t>R</w:t>
      </w:r>
      <w:r w:rsidR="00787C12" w:rsidRPr="00462B94">
        <w:rPr>
          <w:rFonts w:ascii="Book Antiqua" w:hAnsi="Book Antiqua" w:cs="Times New Roman"/>
          <w:b/>
          <w:i/>
        </w:rPr>
        <w:t>esearch perspective</w:t>
      </w:r>
      <w:r w:rsidR="00787C12" w:rsidRPr="00462B94">
        <w:rPr>
          <w:rFonts w:ascii="Book Antiqua" w:hAnsi="Book Antiqua" w:cs="Times New Roman"/>
          <w:b/>
          <w:i/>
          <w:lang w:eastAsia="zh-CN"/>
        </w:rPr>
        <w:t>s</w:t>
      </w:r>
    </w:p>
    <w:p w14:paraId="18ED3B59" w14:textId="54B4D80B" w:rsidR="002F6C0A" w:rsidRPr="00462B94" w:rsidRDefault="002F6C0A" w:rsidP="00462B94">
      <w:pPr>
        <w:spacing w:line="360" w:lineRule="auto"/>
        <w:jc w:val="both"/>
        <w:rPr>
          <w:rFonts w:ascii="Book Antiqua" w:hAnsi="Book Antiqua" w:cs="Times New Roman"/>
        </w:rPr>
      </w:pPr>
      <w:r w:rsidRPr="00462B94">
        <w:rPr>
          <w:rFonts w:ascii="Book Antiqua" w:hAnsi="Book Antiqua" w:cs="Times New Roman"/>
        </w:rPr>
        <w:t xml:space="preserve">This study may help clinicians making evidence-based decision in patients with history of gout who are admitted with primary diagnosis of </w:t>
      </w:r>
      <w:r w:rsidR="00742FE4" w:rsidRPr="00462B94">
        <w:rPr>
          <w:rFonts w:ascii="Book Antiqua" w:hAnsi="Book Antiqua" w:cs="Times New Roman"/>
          <w:bCs/>
          <w:noProof/>
        </w:rPr>
        <w:t>ACS</w:t>
      </w:r>
      <w:r w:rsidRPr="00462B94">
        <w:rPr>
          <w:rFonts w:ascii="Book Antiqua" w:hAnsi="Book Antiqua" w:cs="Times New Roman"/>
        </w:rPr>
        <w:t xml:space="preserve"> and have undergone re-vascularization. </w:t>
      </w:r>
    </w:p>
    <w:p w14:paraId="4C6ADCB4" w14:textId="77777777" w:rsidR="00867287" w:rsidRPr="00462B94" w:rsidRDefault="00867287" w:rsidP="00462B94">
      <w:pPr>
        <w:spacing w:line="360" w:lineRule="auto"/>
        <w:jc w:val="both"/>
        <w:rPr>
          <w:rFonts w:ascii="Book Antiqua" w:hAnsi="Book Antiqua" w:cs="Times New Roman"/>
        </w:rPr>
      </w:pPr>
      <w:r w:rsidRPr="00462B94">
        <w:rPr>
          <w:rFonts w:ascii="Book Antiqua" w:hAnsi="Book Antiqua" w:cs="Times New Roman"/>
        </w:rPr>
        <w:br w:type="page"/>
      </w:r>
    </w:p>
    <w:p w14:paraId="3AA1CE84" w14:textId="7BAF5FA0" w:rsidR="00787C12" w:rsidRPr="00462B94" w:rsidRDefault="00A21DA9" w:rsidP="00462B94">
      <w:pPr>
        <w:spacing w:line="360" w:lineRule="auto"/>
        <w:jc w:val="both"/>
        <w:rPr>
          <w:rFonts w:ascii="Book Antiqua" w:hAnsi="Book Antiqua" w:cs="Times New Roman"/>
        </w:rPr>
      </w:pPr>
      <w:r w:rsidRPr="00462B94">
        <w:rPr>
          <w:rFonts w:ascii="Book Antiqua" w:hAnsi="Book Antiqua" w:cs="Times New Roman"/>
          <w:b/>
        </w:rPr>
        <w:lastRenderedPageBreak/>
        <w:t>REFERENCES</w:t>
      </w:r>
    </w:p>
    <w:p w14:paraId="45E2D6A5"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 </w:t>
      </w:r>
      <w:r w:rsidRPr="00462B94">
        <w:rPr>
          <w:rFonts w:ascii="Book Antiqua" w:hAnsi="Book Antiqua"/>
          <w:b/>
        </w:rPr>
        <w:t>Kumar A</w:t>
      </w:r>
      <w:r w:rsidRPr="00462B94">
        <w:rPr>
          <w:rFonts w:ascii="Book Antiqua" w:hAnsi="Book Antiqua"/>
        </w:rPr>
        <w:t xml:space="preserve">, Cannon CP. Acute coronary syndromes: diagnosis and management, part I. </w:t>
      </w:r>
      <w:r w:rsidRPr="00462B94">
        <w:rPr>
          <w:rFonts w:ascii="Book Antiqua" w:hAnsi="Book Antiqua"/>
          <w:i/>
        </w:rPr>
        <w:t>Mayo Clin Proc</w:t>
      </w:r>
      <w:r w:rsidRPr="00462B94">
        <w:rPr>
          <w:rFonts w:ascii="Book Antiqua" w:hAnsi="Book Antiqua"/>
        </w:rPr>
        <w:t xml:space="preserve"> 2009; </w:t>
      </w:r>
      <w:r w:rsidRPr="00462B94">
        <w:rPr>
          <w:rFonts w:ascii="Book Antiqua" w:hAnsi="Book Antiqua"/>
          <w:b/>
        </w:rPr>
        <w:t>84</w:t>
      </w:r>
      <w:r w:rsidRPr="00462B94">
        <w:rPr>
          <w:rFonts w:ascii="Book Antiqua" w:hAnsi="Book Antiqua"/>
        </w:rPr>
        <w:t>: 917-938 [PMID: 19797781 DOI: 10.1016/S0025-6196(11)60509-0]</w:t>
      </w:r>
    </w:p>
    <w:p w14:paraId="2A51609E"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 </w:t>
      </w:r>
      <w:r w:rsidRPr="00462B94">
        <w:rPr>
          <w:rFonts w:ascii="Book Antiqua" w:hAnsi="Book Antiqua"/>
          <w:b/>
        </w:rPr>
        <w:t>Granger CB</w:t>
      </w:r>
      <w:r w:rsidRPr="00462B94">
        <w:rPr>
          <w:rFonts w:ascii="Book Antiqua" w:hAnsi="Book Antiqua"/>
        </w:rPr>
        <w:t xml:space="preserve">, Goldberg RJ, </w:t>
      </w:r>
      <w:proofErr w:type="spellStart"/>
      <w:r w:rsidRPr="00462B94">
        <w:rPr>
          <w:rFonts w:ascii="Book Antiqua" w:hAnsi="Book Antiqua"/>
        </w:rPr>
        <w:t>Dabbous</w:t>
      </w:r>
      <w:proofErr w:type="spellEnd"/>
      <w:r w:rsidRPr="00462B94">
        <w:rPr>
          <w:rFonts w:ascii="Book Antiqua" w:hAnsi="Book Antiqua"/>
        </w:rPr>
        <w:t xml:space="preserve"> O, Pieper KS, Eagle KA, Cannon CP, Van De </w:t>
      </w:r>
      <w:proofErr w:type="spellStart"/>
      <w:r w:rsidRPr="00462B94">
        <w:rPr>
          <w:rFonts w:ascii="Book Antiqua" w:hAnsi="Book Antiqua"/>
        </w:rPr>
        <w:t>Werf</w:t>
      </w:r>
      <w:proofErr w:type="spellEnd"/>
      <w:r w:rsidRPr="00462B94">
        <w:rPr>
          <w:rFonts w:ascii="Book Antiqua" w:hAnsi="Book Antiqua"/>
        </w:rPr>
        <w:t xml:space="preserve"> F, </w:t>
      </w:r>
      <w:proofErr w:type="spellStart"/>
      <w:r w:rsidRPr="00462B94">
        <w:rPr>
          <w:rFonts w:ascii="Book Antiqua" w:hAnsi="Book Antiqua"/>
        </w:rPr>
        <w:t>Avezum</w:t>
      </w:r>
      <w:proofErr w:type="spellEnd"/>
      <w:r w:rsidRPr="00462B94">
        <w:rPr>
          <w:rFonts w:ascii="Book Antiqua" w:hAnsi="Book Antiqua"/>
        </w:rPr>
        <w:t xml:space="preserve"> A, Goodman SG, </w:t>
      </w:r>
      <w:proofErr w:type="spellStart"/>
      <w:r w:rsidRPr="00462B94">
        <w:rPr>
          <w:rFonts w:ascii="Book Antiqua" w:hAnsi="Book Antiqua"/>
        </w:rPr>
        <w:t>Flather</w:t>
      </w:r>
      <w:proofErr w:type="spellEnd"/>
      <w:r w:rsidRPr="00462B94">
        <w:rPr>
          <w:rFonts w:ascii="Book Antiqua" w:hAnsi="Book Antiqua"/>
        </w:rPr>
        <w:t xml:space="preserve"> MD, Fox KA; Global Registry of Acute Coronary Events Investigators. Predictors of hospital mortality in the global registry of acute coronary events. </w:t>
      </w:r>
      <w:r w:rsidRPr="00462B94">
        <w:rPr>
          <w:rFonts w:ascii="Book Antiqua" w:hAnsi="Book Antiqua"/>
          <w:i/>
        </w:rPr>
        <w:t>Arch Intern Med</w:t>
      </w:r>
      <w:r w:rsidRPr="00462B94">
        <w:rPr>
          <w:rFonts w:ascii="Book Antiqua" w:hAnsi="Book Antiqua"/>
        </w:rPr>
        <w:t xml:space="preserve"> 2003; </w:t>
      </w:r>
      <w:r w:rsidRPr="00462B94">
        <w:rPr>
          <w:rFonts w:ascii="Book Antiqua" w:hAnsi="Book Antiqua"/>
          <w:b/>
        </w:rPr>
        <w:t>163</w:t>
      </w:r>
      <w:r w:rsidRPr="00462B94">
        <w:rPr>
          <w:rFonts w:ascii="Book Antiqua" w:hAnsi="Book Antiqua"/>
        </w:rPr>
        <w:t>: 2345-2353 [PMID: 14581255 DOI: 10.1001/archinte.163.19.2345]</w:t>
      </w:r>
    </w:p>
    <w:p w14:paraId="0EF45DBA"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 </w:t>
      </w:r>
      <w:r w:rsidRPr="00462B94">
        <w:rPr>
          <w:rFonts w:ascii="Book Antiqua" w:hAnsi="Book Antiqua"/>
          <w:b/>
        </w:rPr>
        <w:t>Fox KA</w:t>
      </w:r>
      <w:r w:rsidRPr="00462B94">
        <w:rPr>
          <w:rFonts w:ascii="Book Antiqua" w:hAnsi="Book Antiqua"/>
        </w:rPr>
        <w:t xml:space="preserve">, Goodman SG, Anderson FA Jr, Granger CB, </w:t>
      </w:r>
      <w:proofErr w:type="spellStart"/>
      <w:r w:rsidRPr="00462B94">
        <w:rPr>
          <w:rFonts w:ascii="Book Antiqua" w:hAnsi="Book Antiqua"/>
        </w:rPr>
        <w:t>Moscucci</w:t>
      </w:r>
      <w:proofErr w:type="spellEnd"/>
      <w:r w:rsidRPr="00462B94">
        <w:rPr>
          <w:rFonts w:ascii="Book Antiqua" w:hAnsi="Book Antiqua"/>
        </w:rPr>
        <w:t xml:space="preserve"> M, </w:t>
      </w:r>
      <w:proofErr w:type="spellStart"/>
      <w:r w:rsidRPr="00462B94">
        <w:rPr>
          <w:rFonts w:ascii="Book Antiqua" w:hAnsi="Book Antiqua"/>
        </w:rPr>
        <w:t>Flather</w:t>
      </w:r>
      <w:proofErr w:type="spellEnd"/>
      <w:r w:rsidRPr="00462B94">
        <w:rPr>
          <w:rFonts w:ascii="Book Antiqua" w:hAnsi="Book Antiqua"/>
        </w:rPr>
        <w:t xml:space="preserve"> MD, Spencer F, </w:t>
      </w:r>
      <w:proofErr w:type="spellStart"/>
      <w:r w:rsidRPr="00462B94">
        <w:rPr>
          <w:rFonts w:ascii="Book Antiqua" w:hAnsi="Book Antiqua"/>
        </w:rPr>
        <w:t>Budaj</w:t>
      </w:r>
      <w:proofErr w:type="spellEnd"/>
      <w:r w:rsidRPr="00462B94">
        <w:rPr>
          <w:rFonts w:ascii="Book Antiqua" w:hAnsi="Book Antiqua"/>
        </w:rPr>
        <w:t xml:space="preserve"> A, </w:t>
      </w:r>
      <w:proofErr w:type="spellStart"/>
      <w:r w:rsidRPr="00462B94">
        <w:rPr>
          <w:rFonts w:ascii="Book Antiqua" w:hAnsi="Book Antiqua"/>
        </w:rPr>
        <w:t>Dabbous</w:t>
      </w:r>
      <w:proofErr w:type="spellEnd"/>
      <w:r w:rsidRPr="00462B94">
        <w:rPr>
          <w:rFonts w:ascii="Book Antiqua" w:hAnsi="Book Antiqua"/>
        </w:rPr>
        <w:t xml:space="preserve"> OH, Gore JM; GRACE Investigators. From guidelines to clinical practice: the impact of hospital and geographical characteristics on temporal trends in the management of acute coronary syndromes. The Global Registry of Acute Coronary Events (GRACE). </w:t>
      </w:r>
      <w:r w:rsidRPr="00462B94">
        <w:rPr>
          <w:rFonts w:ascii="Book Antiqua" w:hAnsi="Book Antiqua"/>
          <w:i/>
        </w:rPr>
        <w:t>Eur Heart J</w:t>
      </w:r>
      <w:r w:rsidRPr="00462B94">
        <w:rPr>
          <w:rFonts w:ascii="Book Antiqua" w:hAnsi="Book Antiqua"/>
        </w:rPr>
        <w:t xml:space="preserve"> 2003; </w:t>
      </w:r>
      <w:r w:rsidRPr="00462B94">
        <w:rPr>
          <w:rFonts w:ascii="Book Antiqua" w:hAnsi="Book Antiqua"/>
          <w:b/>
        </w:rPr>
        <w:t>24</w:t>
      </w:r>
      <w:r w:rsidRPr="00462B94">
        <w:rPr>
          <w:rFonts w:ascii="Book Antiqua" w:hAnsi="Book Antiqua"/>
        </w:rPr>
        <w:t>: 1414-1424 [PMID: 12909070 DOI: 10.1016/S0195-668</w:t>
      </w:r>
      <w:proofErr w:type="gramStart"/>
      <w:r w:rsidRPr="00462B94">
        <w:rPr>
          <w:rFonts w:ascii="Book Antiqua" w:hAnsi="Book Antiqua"/>
        </w:rPr>
        <w:t>X(</w:t>
      </w:r>
      <w:proofErr w:type="gramEnd"/>
      <w:r w:rsidRPr="00462B94">
        <w:rPr>
          <w:rFonts w:ascii="Book Antiqua" w:hAnsi="Book Antiqua"/>
        </w:rPr>
        <w:t>03)00315-4]</w:t>
      </w:r>
    </w:p>
    <w:p w14:paraId="4FBC5141" w14:textId="73CE60DB" w:rsidR="007942F9" w:rsidRPr="00462B94" w:rsidRDefault="007942F9" w:rsidP="00462B94">
      <w:pPr>
        <w:spacing w:line="360" w:lineRule="auto"/>
        <w:jc w:val="both"/>
        <w:rPr>
          <w:rFonts w:ascii="Book Antiqua" w:hAnsi="Book Antiqua"/>
        </w:rPr>
      </w:pPr>
      <w:r w:rsidRPr="00462B94">
        <w:rPr>
          <w:rFonts w:ascii="Book Antiqua" w:hAnsi="Book Antiqua"/>
        </w:rPr>
        <w:t xml:space="preserve">4 </w:t>
      </w:r>
      <w:r w:rsidRPr="00462B94">
        <w:rPr>
          <w:rFonts w:ascii="Book Antiqua" w:hAnsi="Book Antiqua"/>
          <w:b/>
        </w:rPr>
        <w:t>Singh G</w:t>
      </w:r>
      <w:r w:rsidRPr="00462B94">
        <w:rPr>
          <w:rFonts w:ascii="Book Antiqua" w:hAnsi="Book Antiqua"/>
        </w:rPr>
        <w:t>,</w:t>
      </w:r>
      <w:r w:rsidR="00DA318E" w:rsidRPr="00462B94">
        <w:rPr>
          <w:rFonts w:ascii="Book Antiqua" w:hAnsi="Book Antiqua"/>
        </w:rPr>
        <w:t xml:space="preserve"> </w:t>
      </w:r>
      <w:proofErr w:type="spellStart"/>
      <w:r w:rsidRPr="00462B94">
        <w:rPr>
          <w:rFonts w:ascii="Book Antiqua" w:hAnsi="Book Antiqua"/>
        </w:rPr>
        <w:t>Mithal</w:t>
      </w:r>
      <w:proofErr w:type="spellEnd"/>
      <w:r w:rsidRPr="00462B94">
        <w:rPr>
          <w:rFonts w:ascii="Book Antiqua" w:hAnsi="Book Antiqua"/>
        </w:rPr>
        <w:t xml:space="preserve"> A, </w:t>
      </w:r>
      <w:proofErr w:type="spellStart"/>
      <w:r w:rsidRPr="00462B94">
        <w:rPr>
          <w:rFonts w:ascii="Book Antiqua" w:hAnsi="Book Antiqua"/>
        </w:rPr>
        <w:t>Mithal</w:t>
      </w:r>
      <w:proofErr w:type="spellEnd"/>
      <w:r w:rsidRPr="00462B94">
        <w:rPr>
          <w:rFonts w:ascii="Book Antiqua" w:hAnsi="Book Antiqua"/>
        </w:rPr>
        <w:t xml:space="preserve"> A. THU0409 Not just a swollen big toe: increasing all-cause hospitalizations in patients with gout in the </w:t>
      </w:r>
      <w:r w:rsidR="00DA318E" w:rsidRPr="00462B94">
        <w:rPr>
          <w:rFonts w:ascii="Book Antiqua" w:hAnsi="Book Antiqua"/>
        </w:rPr>
        <w:t>United States</w:t>
      </w:r>
      <w:r w:rsidRPr="00462B94">
        <w:rPr>
          <w:rFonts w:ascii="Book Antiqua" w:hAnsi="Book Antiqua"/>
        </w:rPr>
        <w:t xml:space="preserve">: 1993-2014. </w:t>
      </w:r>
      <w:r w:rsidRPr="00462B94">
        <w:rPr>
          <w:rFonts w:ascii="Book Antiqua" w:hAnsi="Book Antiqua"/>
          <w:i/>
        </w:rPr>
        <w:t xml:space="preserve">Ann Rheum Dis </w:t>
      </w:r>
      <w:r w:rsidRPr="00462B94">
        <w:rPr>
          <w:rFonts w:ascii="Book Antiqua" w:hAnsi="Book Antiqua"/>
        </w:rPr>
        <w:t xml:space="preserve">2017; </w:t>
      </w:r>
      <w:r w:rsidRPr="00462B94">
        <w:rPr>
          <w:rFonts w:ascii="Book Antiqua" w:hAnsi="Book Antiqua"/>
          <w:b/>
        </w:rPr>
        <w:t>76</w:t>
      </w:r>
      <w:r w:rsidRPr="00462B94">
        <w:rPr>
          <w:rFonts w:ascii="Book Antiqua" w:hAnsi="Book Antiqua"/>
        </w:rPr>
        <w:t>: 362 [DOI: 10.1136/annrheumdis-2017-eular.5458]</w:t>
      </w:r>
    </w:p>
    <w:p w14:paraId="06861CA8"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5 </w:t>
      </w:r>
      <w:r w:rsidRPr="00462B94">
        <w:rPr>
          <w:rFonts w:ascii="Book Antiqua" w:hAnsi="Book Antiqua"/>
          <w:b/>
        </w:rPr>
        <w:t>Chapman PT</w:t>
      </w:r>
      <w:r w:rsidRPr="00462B94">
        <w:rPr>
          <w:rFonts w:ascii="Book Antiqua" w:hAnsi="Book Antiqua"/>
        </w:rPr>
        <w:t xml:space="preserve">, </w:t>
      </w:r>
      <w:proofErr w:type="spellStart"/>
      <w:r w:rsidRPr="00462B94">
        <w:rPr>
          <w:rFonts w:ascii="Book Antiqua" w:hAnsi="Book Antiqua"/>
        </w:rPr>
        <w:t>Yarwood</w:t>
      </w:r>
      <w:proofErr w:type="spellEnd"/>
      <w:r w:rsidRPr="00462B94">
        <w:rPr>
          <w:rFonts w:ascii="Book Antiqua" w:hAnsi="Book Antiqua"/>
        </w:rPr>
        <w:t xml:space="preserve"> H, Harrison AA, Stocker CJ, Jamar F, </w:t>
      </w:r>
      <w:proofErr w:type="spellStart"/>
      <w:r w:rsidRPr="00462B94">
        <w:rPr>
          <w:rFonts w:ascii="Book Antiqua" w:hAnsi="Book Antiqua"/>
        </w:rPr>
        <w:t>Gundel</w:t>
      </w:r>
      <w:proofErr w:type="spellEnd"/>
      <w:r w:rsidRPr="00462B94">
        <w:rPr>
          <w:rFonts w:ascii="Book Antiqua" w:hAnsi="Book Antiqua"/>
        </w:rPr>
        <w:t xml:space="preserve"> RH, Peters AM, </w:t>
      </w:r>
      <w:proofErr w:type="spellStart"/>
      <w:r w:rsidRPr="00462B94">
        <w:rPr>
          <w:rFonts w:ascii="Book Antiqua" w:hAnsi="Book Antiqua"/>
        </w:rPr>
        <w:t>Haskard</w:t>
      </w:r>
      <w:proofErr w:type="spellEnd"/>
      <w:r w:rsidRPr="00462B94">
        <w:rPr>
          <w:rFonts w:ascii="Book Antiqua" w:hAnsi="Book Antiqua"/>
        </w:rPr>
        <w:t xml:space="preserve"> DO. Endothelial activation in monosodium urate monohydrate crystal-induced inflammation: in vitro and in vivo studies on the roles of tumor necrosis factor alpha and interleukin-1. </w:t>
      </w:r>
      <w:r w:rsidRPr="00462B94">
        <w:rPr>
          <w:rFonts w:ascii="Book Antiqua" w:hAnsi="Book Antiqua"/>
          <w:i/>
        </w:rPr>
        <w:t>Arthritis Rheum</w:t>
      </w:r>
      <w:r w:rsidRPr="00462B94">
        <w:rPr>
          <w:rFonts w:ascii="Book Antiqua" w:hAnsi="Book Antiqua"/>
        </w:rPr>
        <w:t xml:space="preserve"> 1997; </w:t>
      </w:r>
      <w:r w:rsidRPr="00462B94">
        <w:rPr>
          <w:rFonts w:ascii="Book Antiqua" w:hAnsi="Book Antiqua"/>
          <w:b/>
        </w:rPr>
        <w:t>40</w:t>
      </w:r>
      <w:r w:rsidRPr="00462B94">
        <w:rPr>
          <w:rFonts w:ascii="Book Antiqua" w:hAnsi="Book Antiqua"/>
        </w:rPr>
        <w:t>: 955-965 [PMID: 9153559 DOI: 10.1002/1529-0131(199705)40:5&lt;</w:t>
      </w:r>
      <w:proofErr w:type="gramStart"/>
      <w:r w:rsidRPr="00462B94">
        <w:rPr>
          <w:rFonts w:ascii="Book Antiqua" w:hAnsi="Book Antiqua"/>
        </w:rPr>
        <w:t>955::</w:t>
      </w:r>
      <w:proofErr w:type="gramEnd"/>
      <w:r w:rsidRPr="00462B94">
        <w:rPr>
          <w:rFonts w:ascii="Book Antiqua" w:hAnsi="Book Antiqua"/>
        </w:rPr>
        <w:t>AID-ART24&gt;3.0.CO;2-F]</w:t>
      </w:r>
    </w:p>
    <w:p w14:paraId="62061E0A"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6 </w:t>
      </w:r>
      <w:proofErr w:type="spellStart"/>
      <w:r w:rsidRPr="00462B94">
        <w:rPr>
          <w:rFonts w:ascii="Book Antiqua" w:hAnsi="Book Antiqua"/>
          <w:b/>
        </w:rPr>
        <w:t>Borghi</w:t>
      </w:r>
      <w:proofErr w:type="spellEnd"/>
      <w:r w:rsidRPr="00462B94">
        <w:rPr>
          <w:rFonts w:ascii="Book Antiqua" w:hAnsi="Book Antiqua"/>
          <w:b/>
        </w:rPr>
        <w:t xml:space="preserve"> C</w:t>
      </w:r>
      <w:r w:rsidRPr="00462B94">
        <w:rPr>
          <w:rFonts w:ascii="Book Antiqua" w:hAnsi="Book Antiqua"/>
        </w:rPr>
        <w:t xml:space="preserve">, Cicero AFG. Serum uric acid and acute coronary syndrome: Is there a role for functional markers of residual cardiovascular risk? </w:t>
      </w:r>
      <w:r w:rsidRPr="00462B94">
        <w:rPr>
          <w:rFonts w:ascii="Book Antiqua" w:hAnsi="Book Antiqua"/>
          <w:i/>
        </w:rPr>
        <w:t xml:space="preserve">Int J </w:t>
      </w:r>
      <w:proofErr w:type="spellStart"/>
      <w:r w:rsidRPr="00462B94">
        <w:rPr>
          <w:rFonts w:ascii="Book Antiqua" w:hAnsi="Book Antiqua"/>
          <w:i/>
        </w:rPr>
        <w:t>Cardiol</w:t>
      </w:r>
      <w:proofErr w:type="spellEnd"/>
      <w:r w:rsidRPr="00462B94">
        <w:rPr>
          <w:rFonts w:ascii="Book Antiqua" w:hAnsi="Book Antiqua"/>
        </w:rPr>
        <w:t xml:space="preserve"> 2018; </w:t>
      </w:r>
      <w:r w:rsidRPr="00462B94">
        <w:rPr>
          <w:rFonts w:ascii="Book Antiqua" w:hAnsi="Book Antiqua"/>
          <w:b/>
        </w:rPr>
        <w:t>250</w:t>
      </w:r>
      <w:r w:rsidRPr="00462B94">
        <w:rPr>
          <w:rFonts w:ascii="Book Antiqua" w:hAnsi="Book Antiqua"/>
        </w:rPr>
        <w:t>: 62-63 [PMID: 29169763 DOI: 10.1016/j.ijcard.2017.06.053]</w:t>
      </w:r>
    </w:p>
    <w:p w14:paraId="1FBB4AA3"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7 </w:t>
      </w:r>
      <w:proofErr w:type="spellStart"/>
      <w:r w:rsidRPr="00462B94">
        <w:rPr>
          <w:rFonts w:ascii="Book Antiqua" w:hAnsi="Book Antiqua"/>
          <w:b/>
        </w:rPr>
        <w:t>Lottmann</w:t>
      </w:r>
      <w:proofErr w:type="spellEnd"/>
      <w:r w:rsidRPr="00462B94">
        <w:rPr>
          <w:rFonts w:ascii="Book Antiqua" w:hAnsi="Book Antiqua"/>
          <w:b/>
        </w:rPr>
        <w:t xml:space="preserve"> K</w:t>
      </w:r>
      <w:r w:rsidRPr="00462B94">
        <w:rPr>
          <w:rFonts w:ascii="Book Antiqua" w:hAnsi="Book Antiqua"/>
        </w:rPr>
        <w:t xml:space="preserve">, Chen X, </w:t>
      </w:r>
      <w:proofErr w:type="spellStart"/>
      <w:r w:rsidRPr="00462B94">
        <w:rPr>
          <w:rFonts w:ascii="Book Antiqua" w:hAnsi="Book Antiqua"/>
        </w:rPr>
        <w:t>Schädlich</w:t>
      </w:r>
      <w:proofErr w:type="spellEnd"/>
      <w:r w:rsidRPr="00462B94">
        <w:rPr>
          <w:rFonts w:ascii="Book Antiqua" w:hAnsi="Book Antiqua"/>
        </w:rPr>
        <w:t xml:space="preserve"> PK. Association between gout and all-cause as well as cardiovascular mortality: a systematic review. </w:t>
      </w:r>
      <w:proofErr w:type="spellStart"/>
      <w:r w:rsidRPr="00462B94">
        <w:rPr>
          <w:rFonts w:ascii="Book Antiqua" w:hAnsi="Book Antiqua"/>
          <w:i/>
        </w:rPr>
        <w:t>Curr</w:t>
      </w:r>
      <w:proofErr w:type="spellEnd"/>
      <w:r w:rsidRPr="00462B94">
        <w:rPr>
          <w:rFonts w:ascii="Book Antiqua" w:hAnsi="Book Antiqua"/>
          <w:i/>
        </w:rPr>
        <w:t xml:space="preserve"> </w:t>
      </w:r>
      <w:proofErr w:type="spellStart"/>
      <w:r w:rsidRPr="00462B94">
        <w:rPr>
          <w:rFonts w:ascii="Book Antiqua" w:hAnsi="Book Antiqua"/>
          <w:i/>
        </w:rPr>
        <w:t>Rheumatol</w:t>
      </w:r>
      <w:proofErr w:type="spellEnd"/>
      <w:r w:rsidRPr="00462B94">
        <w:rPr>
          <w:rFonts w:ascii="Book Antiqua" w:hAnsi="Book Antiqua"/>
          <w:i/>
        </w:rPr>
        <w:t xml:space="preserve"> Rep</w:t>
      </w:r>
      <w:r w:rsidRPr="00462B94">
        <w:rPr>
          <w:rFonts w:ascii="Book Antiqua" w:hAnsi="Book Antiqua"/>
        </w:rPr>
        <w:t xml:space="preserve"> 2012; </w:t>
      </w:r>
      <w:r w:rsidRPr="00462B94">
        <w:rPr>
          <w:rFonts w:ascii="Book Antiqua" w:hAnsi="Book Antiqua"/>
          <w:b/>
        </w:rPr>
        <w:t>14</w:t>
      </w:r>
      <w:r w:rsidRPr="00462B94">
        <w:rPr>
          <w:rFonts w:ascii="Book Antiqua" w:hAnsi="Book Antiqua"/>
        </w:rPr>
        <w:t>: 195-203 [PMID: 22350606 DOI: 10.1007/s11926-011-0234-2]</w:t>
      </w:r>
    </w:p>
    <w:p w14:paraId="6F2B235B"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8 </w:t>
      </w:r>
      <w:r w:rsidRPr="00462B94">
        <w:rPr>
          <w:rFonts w:ascii="Book Antiqua" w:hAnsi="Book Antiqua"/>
          <w:b/>
        </w:rPr>
        <w:t>Bickel C</w:t>
      </w:r>
      <w:r w:rsidRPr="00462B94">
        <w:rPr>
          <w:rFonts w:ascii="Book Antiqua" w:hAnsi="Book Antiqua"/>
        </w:rPr>
        <w:t xml:space="preserve">, </w:t>
      </w:r>
      <w:proofErr w:type="spellStart"/>
      <w:r w:rsidRPr="00462B94">
        <w:rPr>
          <w:rFonts w:ascii="Book Antiqua" w:hAnsi="Book Antiqua"/>
        </w:rPr>
        <w:t>Rupprecht</w:t>
      </w:r>
      <w:proofErr w:type="spellEnd"/>
      <w:r w:rsidRPr="00462B94">
        <w:rPr>
          <w:rFonts w:ascii="Book Antiqua" w:hAnsi="Book Antiqua"/>
        </w:rPr>
        <w:t xml:space="preserve"> HJ, </w:t>
      </w:r>
      <w:proofErr w:type="spellStart"/>
      <w:r w:rsidRPr="00462B94">
        <w:rPr>
          <w:rFonts w:ascii="Book Antiqua" w:hAnsi="Book Antiqua"/>
        </w:rPr>
        <w:t>Blankenberg</w:t>
      </w:r>
      <w:proofErr w:type="spellEnd"/>
      <w:r w:rsidRPr="00462B94">
        <w:rPr>
          <w:rFonts w:ascii="Book Antiqua" w:hAnsi="Book Antiqua"/>
        </w:rPr>
        <w:t xml:space="preserve"> S, </w:t>
      </w:r>
      <w:proofErr w:type="spellStart"/>
      <w:r w:rsidRPr="00462B94">
        <w:rPr>
          <w:rFonts w:ascii="Book Antiqua" w:hAnsi="Book Antiqua"/>
        </w:rPr>
        <w:t>Rippin</w:t>
      </w:r>
      <w:proofErr w:type="spellEnd"/>
      <w:r w:rsidRPr="00462B94">
        <w:rPr>
          <w:rFonts w:ascii="Book Antiqua" w:hAnsi="Book Antiqua"/>
        </w:rPr>
        <w:t xml:space="preserve"> G, Hafner G, </w:t>
      </w:r>
      <w:proofErr w:type="spellStart"/>
      <w:r w:rsidRPr="00462B94">
        <w:rPr>
          <w:rFonts w:ascii="Book Antiqua" w:hAnsi="Book Antiqua"/>
        </w:rPr>
        <w:t>Daunhauer</w:t>
      </w:r>
      <w:proofErr w:type="spellEnd"/>
      <w:r w:rsidRPr="00462B94">
        <w:rPr>
          <w:rFonts w:ascii="Book Antiqua" w:hAnsi="Book Antiqua"/>
        </w:rPr>
        <w:t xml:space="preserve"> A, Hofmann KP, Meyer J. Serum uric acid as an independent predictor of mortality in patients with </w:t>
      </w:r>
      <w:r w:rsidRPr="00462B94">
        <w:rPr>
          <w:rFonts w:ascii="Book Antiqua" w:hAnsi="Book Antiqua"/>
        </w:rPr>
        <w:lastRenderedPageBreak/>
        <w:t xml:space="preserve">angiographically proven coronary artery disease. </w:t>
      </w:r>
      <w:r w:rsidRPr="00462B94">
        <w:rPr>
          <w:rFonts w:ascii="Book Antiqua" w:hAnsi="Book Antiqua"/>
          <w:i/>
        </w:rPr>
        <w:t>Am J Cardiol</w:t>
      </w:r>
      <w:r w:rsidRPr="00462B94">
        <w:rPr>
          <w:rFonts w:ascii="Book Antiqua" w:hAnsi="Book Antiqua"/>
        </w:rPr>
        <w:t xml:space="preserve"> 2002; </w:t>
      </w:r>
      <w:r w:rsidRPr="00462B94">
        <w:rPr>
          <w:rFonts w:ascii="Book Antiqua" w:hAnsi="Book Antiqua"/>
          <w:b/>
        </w:rPr>
        <w:t>89</w:t>
      </w:r>
      <w:r w:rsidRPr="00462B94">
        <w:rPr>
          <w:rFonts w:ascii="Book Antiqua" w:hAnsi="Book Antiqua"/>
        </w:rPr>
        <w:t>: 12-17 [PMID: 11779515 DOI: 10.1016/S0002-9149(01)02155-5]</w:t>
      </w:r>
    </w:p>
    <w:p w14:paraId="64F85996"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9 </w:t>
      </w:r>
      <w:proofErr w:type="spellStart"/>
      <w:r w:rsidRPr="00462B94">
        <w:rPr>
          <w:rFonts w:ascii="Book Antiqua" w:hAnsi="Book Antiqua"/>
          <w:b/>
        </w:rPr>
        <w:t>Magnoni</w:t>
      </w:r>
      <w:proofErr w:type="spellEnd"/>
      <w:r w:rsidRPr="00462B94">
        <w:rPr>
          <w:rFonts w:ascii="Book Antiqua" w:hAnsi="Book Antiqua"/>
          <w:b/>
        </w:rPr>
        <w:t xml:space="preserve"> M</w:t>
      </w:r>
      <w:r w:rsidRPr="00462B94">
        <w:rPr>
          <w:rFonts w:ascii="Book Antiqua" w:hAnsi="Book Antiqua"/>
        </w:rPr>
        <w:t xml:space="preserve">, </w:t>
      </w:r>
      <w:proofErr w:type="spellStart"/>
      <w:r w:rsidRPr="00462B94">
        <w:rPr>
          <w:rFonts w:ascii="Book Antiqua" w:hAnsi="Book Antiqua"/>
        </w:rPr>
        <w:t>Berteotti</w:t>
      </w:r>
      <w:proofErr w:type="spellEnd"/>
      <w:r w:rsidRPr="00462B94">
        <w:rPr>
          <w:rFonts w:ascii="Book Antiqua" w:hAnsi="Book Antiqua"/>
        </w:rPr>
        <w:t xml:space="preserve"> M, </w:t>
      </w:r>
      <w:proofErr w:type="spellStart"/>
      <w:r w:rsidRPr="00462B94">
        <w:rPr>
          <w:rFonts w:ascii="Book Antiqua" w:hAnsi="Book Antiqua"/>
        </w:rPr>
        <w:t>Ceriotti</w:t>
      </w:r>
      <w:proofErr w:type="spellEnd"/>
      <w:r w:rsidRPr="00462B94">
        <w:rPr>
          <w:rFonts w:ascii="Book Antiqua" w:hAnsi="Book Antiqua"/>
        </w:rPr>
        <w:t xml:space="preserve"> F, </w:t>
      </w:r>
      <w:proofErr w:type="spellStart"/>
      <w:r w:rsidRPr="00462B94">
        <w:rPr>
          <w:rFonts w:ascii="Book Antiqua" w:hAnsi="Book Antiqua"/>
        </w:rPr>
        <w:t>Mallia</w:t>
      </w:r>
      <w:proofErr w:type="spellEnd"/>
      <w:r w:rsidRPr="00462B94">
        <w:rPr>
          <w:rFonts w:ascii="Book Antiqua" w:hAnsi="Book Antiqua"/>
        </w:rPr>
        <w:t xml:space="preserve"> V, </w:t>
      </w:r>
      <w:proofErr w:type="spellStart"/>
      <w:r w:rsidRPr="00462B94">
        <w:rPr>
          <w:rFonts w:ascii="Book Antiqua" w:hAnsi="Book Antiqua"/>
        </w:rPr>
        <w:t>Vergani</w:t>
      </w:r>
      <w:proofErr w:type="spellEnd"/>
      <w:r w:rsidRPr="00462B94">
        <w:rPr>
          <w:rFonts w:ascii="Book Antiqua" w:hAnsi="Book Antiqua"/>
        </w:rPr>
        <w:t xml:space="preserve"> V, </w:t>
      </w:r>
      <w:proofErr w:type="spellStart"/>
      <w:r w:rsidRPr="00462B94">
        <w:rPr>
          <w:rFonts w:ascii="Book Antiqua" w:hAnsi="Book Antiqua"/>
        </w:rPr>
        <w:t>Peretto</w:t>
      </w:r>
      <w:proofErr w:type="spellEnd"/>
      <w:r w:rsidRPr="00462B94">
        <w:rPr>
          <w:rFonts w:ascii="Book Antiqua" w:hAnsi="Book Antiqua"/>
        </w:rPr>
        <w:t xml:space="preserve"> G, </w:t>
      </w:r>
      <w:proofErr w:type="spellStart"/>
      <w:r w:rsidRPr="00462B94">
        <w:rPr>
          <w:rFonts w:ascii="Book Antiqua" w:hAnsi="Book Antiqua"/>
        </w:rPr>
        <w:t>Angeloni</w:t>
      </w:r>
      <w:proofErr w:type="spellEnd"/>
      <w:r w:rsidRPr="00462B94">
        <w:rPr>
          <w:rFonts w:ascii="Book Antiqua" w:hAnsi="Book Antiqua"/>
        </w:rPr>
        <w:t xml:space="preserve"> G, </w:t>
      </w:r>
      <w:proofErr w:type="spellStart"/>
      <w:r w:rsidRPr="00462B94">
        <w:rPr>
          <w:rFonts w:ascii="Book Antiqua" w:hAnsi="Book Antiqua"/>
        </w:rPr>
        <w:t>Cristell</w:t>
      </w:r>
      <w:proofErr w:type="spellEnd"/>
      <w:r w:rsidRPr="00462B94">
        <w:rPr>
          <w:rFonts w:ascii="Book Antiqua" w:hAnsi="Book Antiqua"/>
        </w:rPr>
        <w:t xml:space="preserve"> N, </w:t>
      </w:r>
      <w:proofErr w:type="spellStart"/>
      <w:r w:rsidRPr="00462B94">
        <w:rPr>
          <w:rFonts w:ascii="Book Antiqua" w:hAnsi="Book Antiqua"/>
        </w:rPr>
        <w:t>Maseri</w:t>
      </w:r>
      <w:proofErr w:type="spellEnd"/>
      <w:r w:rsidRPr="00462B94">
        <w:rPr>
          <w:rFonts w:ascii="Book Antiqua" w:hAnsi="Book Antiqua"/>
        </w:rPr>
        <w:t xml:space="preserve"> A, </w:t>
      </w:r>
      <w:proofErr w:type="spellStart"/>
      <w:r w:rsidRPr="00462B94">
        <w:rPr>
          <w:rFonts w:ascii="Book Antiqua" w:hAnsi="Book Antiqua"/>
        </w:rPr>
        <w:t>Cianflone</w:t>
      </w:r>
      <w:proofErr w:type="spellEnd"/>
      <w:r w:rsidRPr="00462B94">
        <w:rPr>
          <w:rFonts w:ascii="Book Antiqua" w:hAnsi="Book Antiqua"/>
        </w:rPr>
        <w:t xml:space="preserve"> D. Serum uric acid on admission predicts in-hospital mortality in patients with acute coronary syndrome. </w:t>
      </w:r>
      <w:r w:rsidRPr="00462B94">
        <w:rPr>
          <w:rFonts w:ascii="Book Antiqua" w:hAnsi="Book Antiqua"/>
          <w:i/>
        </w:rPr>
        <w:t xml:space="preserve">Int J </w:t>
      </w:r>
      <w:proofErr w:type="spellStart"/>
      <w:r w:rsidRPr="00462B94">
        <w:rPr>
          <w:rFonts w:ascii="Book Antiqua" w:hAnsi="Book Antiqua"/>
          <w:i/>
        </w:rPr>
        <w:t>Cardiol</w:t>
      </w:r>
      <w:proofErr w:type="spellEnd"/>
      <w:r w:rsidRPr="00462B94">
        <w:rPr>
          <w:rFonts w:ascii="Book Antiqua" w:hAnsi="Book Antiqua"/>
        </w:rPr>
        <w:t xml:space="preserve"> 2017; </w:t>
      </w:r>
      <w:r w:rsidRPr="00462B94">
        <w:rPr>
          <w:rFonts w:ascii="Book Antiqua" w:hAnsi="Book Antiqua"/>
          <w:b/>
        </w:rPr>
        <w:t>240</w:t>
      </w:r>
      <w:r w:rsidRPr="00462B94">
        <w:rPr>
          <w:rFonts w:ascii="Book Antiqua" w:hAnsi="Book Antiqua"/>
        </w:rPr>
        <w:t>: 25-29 [PMID: 28476518 DOI: 10.1016/j.ijcard.2017.04.027]</w:t>
      </w:r>
    </w:p>
    <w:p w14:paraId="2691AF54"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10 </w:t>
      </w:r>
      <w:proofErr w:type="spellStart"/>
      <w:r w:rsidRPr="00462B94">
        <w:rPr>
          <w:rFonts w:ascii="Book Antiqua" w:hAnsi="Book Antiqua"/>
          <w:b/>
        </w:rPr>
        <w:t>Lazzeri</w:t>
      </w:r>
      <w:proofErr w:type="spellEnd"/>
      <w:r w:rsidRPr="00462B94">
        <w:rPr>
          <w:rFonts w:ascii="Book Antiqua" w:hAnsi="Book Antiqua"/>
          <w:b/>
        </w:rPr>
        <w:t xml:space="preserve"> C</w:t>
      </w:r>
      <w:r w:rsidRPr="00462B94">
        <w:rPr>
          <w:rFonts w:ascii="Book Antiqua" w:hAnsi="Book Antiqua"/>
        </w:rPr>
        <w:t xml:space="preserve">, Valente S, </w:t>
      </w:r>
      <w:proofErr w:type="spellStart"/>
      <w:r w:rsidRPr="00462B94">
        <w:rPr>
          <w:rFonts w:ascii="Book Antiqua" w:hAnsi="Book Antiqua"/>
        </w:rPr>
        <w:t>Chiostri</w:t>
      </w:r>
      <w:proofErr w:type="spellEnd"/>
      <w:r w:rsidRPr="00462B94">
        <w:rPr>
          <w:rFonts w:ascii="Book Antiqua" w:hAnsi="Book Antiqua"/>
        </w:rPr>
        <w:t xml:space="preserve"> M, </w:t>
      </w:r>
      <w:proofErr w:type="spellStart"/>
      <w:r w:rsidRPr="00462B94">
        <w:rPr>
          <w:rFonts w:ascii="Book Antiqua" w:hAnsi="Book Antiqua"/>
        </w:rPr>
        <w:t>Sori</w:t>
      </w:r>
      <w:proofErr w:type="spellEnd"/>
      <w:r w:rsidRPr="00462B94">
        <w:rPr>
          <w:rFonts w:ascii="Book Antiqua" w:hAnsi="Book Antiqua"/>
        </w:rPr>
        <w:t xml:space="preserve"> A, Bernardo P, </w:t>
      </w:r>
      <w:proofErr w:type="spellStart"/>
      <w:r w:rsidRPr="00462B94">
        <w:rPr>
          <w:rFonts w:ascii="Book Antiqua" w:hAnsi="Book Antiqua"/>
        </w:rPr>
        <w:t>Gensini</w:t>
      </w:r>
      <w:proofErr w:type="spellEnd"/>
      <w:r w:rsidRPr="00462B94">
        <w:rPr>
          <w:rFonts w:ascii="Book Antiqua" w:hAnsi="Book Antiqua"/>
        </w:rPr>
        <w:t xml:space="preserve"> GF. Uric acid in the acute phase of ST elevation myocardial infarction submitted to primary PCI: its prognostic role and relation with inflammatory markers: a single center experience. </w:t>
      </w:r>
      <w:r w:rsidRPr="00462B94">
        <w:rPr>
          <w:rFonts w:ascii="Book Antiqua" w:hAnsi="Book Antiqua"/>
          <w:i/>
        </w:rPr>
        <w:t xml:space="preserve">Int J </w:t>
      </w:r>
      <w:proofErr w:type="spellStart"/>
      <w:r w:rsidRPr="00462B94">
        <w:rPr>
          <w:rFonts w:ascii="Book Antiqua" w:hAnsi="Book Antiqua"/>
          <w:i/>
        </w:rPr>
        <w:t>Cardiol</w:t>
      </w:r>
      <w:proofErr w:type="spellEnd"/>
      <w:r w:rsidRPr="00462B94">
        <w:rPr>
          <w:rFonts w:ascii="Book Antiqua" w:hAnsi="Book Antiqua"/>
        </w:rPr>
        <w:t xml:space="preserve"> 2010; </w:t>
      </w:r>
      <w:r w:rsidRPr="00462B94">
        <w:rPr>
          <w:rFonts w:ascii="Book Antiqua" w:hAnsi="Book Antiqua"/>
          <w:b/>
        </w:rPr>
        <w:t>138</w:t>
      </w:r>
      <w:r w:rsidRPr="00462B94">
        <w:rPr>
          <w:rFonts w:ascii="Book Antiqua" w:hAnsi="Book Antiqua"/>
        </w:rPr>
        <w:t>: 206-209 [PMID: 18684529 DOI: 10.1016/j.ijcard.2008.06.024]</w:t>
      </w:r>
    </w:p>
    <w:p w14:paraId="3DFFE935"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11 </w:t>
      </w:r>
      <w:proofErr w:type="spellStart"/>
      <w:r w:rsidRPr="00462B94">
        <w:rPr>
          <w:rFonts w:ascii="Book Antiqua" w:hAnsi="Book Antiqua"/>
          <w:b/>
        </w:rPr>
        <w:t>Kittleson</w:t>
      </w:r>
      <w:proofErr w:type="spellEnd"/>
      <w:r w:rsidRPr="00462B94">
        <w:rPr>
          <w:rFonts w:ascii="Book Antiqua" w:hAnsi="Book Antiqua"/>
          <w:b/>
        </w:rPr>
        <w:t xml:space="preserve"> MM</w:t>
      </w:r>
      <w:r w:rsidRPr="00462B94">
        <w:rPr>
          <w:rFonts w:ascii="Book Antiqua" w:hAnsi="Book Antiqua"/>
        </w:rPr>
        <w:t xml:space="preserve">, Bead V, Fradley M, St John ME, Champion HC, Kasper EK, Russell SD, </w:t>
      </w:r>
      <w:proofErr w:type="spellStart"/>
      <w:r w:rsidRPr="00462B94">
        <w:rPr>
          <w:rFonts w:ascii="Book Antiqua" w:hAnsi="Book Antiqua"/>
        </w:rPr>
        <w:t>Wittstein</w:t>
      </w:r>
      <w:proofErr w:type="spellEnd"/>
      <w:r w:rsidRPr="00462B94">
        <w:rPr>
          <w:rFonts w:ascii="Book Antiqua" w:hAnsi="Book Antiqua"/>
        </w:rPr>
        <w:t xml:space="preserve"> IS, Hare JM. Elevated uric acid levels predict allograft vasculopathy in cardiac transplant recipients. </w:t>
      </w:r>
      <w:r w:rsidRPr="00462B94">
        <w:rPr>
          <w:rFonts w:ascii="Book Antiqua" w:hAnsi="Book Antiqua"/>
          <w:i/>
        </w:rPr>
        <w:t>J Heart Lung Transplant</w:t>
      </w:r>
      <w:r w:rsidRPr="00462B94">
        <w:rPr>
          <w:rFonts w:ascii="Book Antiqua" w:hAnsi="Book Antiqua"/>
        </w:rPr>
        <w:t xml:space="preserve"> 2007; </w:t>
      </w:r>
      <w:r w:rsidRPr="00462B94">
        <w:rPr>
          <w:rFonts w:ascii="Book Antiqua" w:hAnsi="Book Antiqua"/>
          <w:b/>
        </w:rPr>
        <w:t>26</w:t>
      </w:r>
      <w:r w:rsidRPr="00462B94">
        <w:rPr>
          <w:rFonts w:ascii="Book Antiqua" w:hAnsi="Book Antiqua"/>
        </w:rPr>
        <w:t>: 498-503 [PMID: 17449420 DOI: 10.1016/j.healun.2007.01.039]</w:t>
      </w:r>
    </w:p>
    <w:p w14:paraId="1DA258DE"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12 </w:t>
      </w:r>
      <w:proofErr w:type="spellStart"/>
      <w:r w:rsidRPr="00462B94">
        <w:rPr>
          <w:rFonts w:ascii="Book Antiqua" w:hAnsi="Book Antiqua"/>
          <w:b/>
        </w:rPr>
        <w:t>Morishima</w:t>
      </w:r>
      <w:proofErr w:type="spellEnd"/>
      <w:r w:rsidRPr="00462B94">
        <w:rPr>
          <w:rFonts w:ascii="Book Antiqua" w:hAnsi="Book Antiqua"/>
          <w:b/>
        </w:rPr>
        <w:t xml:space="preserve"> I</w:t>
      </w:r>
      <w:r w:rsidRPr="00462B94">
        <w:rPr>
          <w:rFonts w:ascii="Book Antiqua" w:hAnsi="Book Antiqua"/>
        </w:rPr>
        <w:t xml:space="preserve">, Sone T, </w:t>
      </w:r>
      <w:proofErr w:type="spellStart"/>
      <w:r w:rsidRPr="00462B94">
        <w:rPr>
          <w:rFonts w:ascii="Book Antiqua" w:hAnsi="Book Antiqua"/>
        </w:rPr>
        <w:t>Mokuno</w:t>
      </w:r>
      <w:proofErr w:type="spellEnd"/>
      <w:r w:rsidRPr="00462B94">
        <w:rPr>
          <w:rFonts w:ascii="Book Antiqua" w:hAnsi="Book Antiqua"/>
        </w:rPr>
        <w:t xml:space="preserve"> S, </w:t>
      </w:r>
      <w:proofErr w:type="spellStart"/>
      <w:r w:rsidRPr="00462B94">
        <w:rPr>
          <w:rFonts w:ascii="Book Antiqua" w:hAnsi="Book Antiqua"/>
        </w:rPr>
        <w:t>Taga</w:t>
      </w:r>
      <w:proofErr w:type="spellEnd"/>
      <w:r w:rsidRPr="00462B94">
        <w:rPr>
          <w:rFonts w:ascii="Book Antiqua" w:hAnsi="Book Antiqua"/>
        </w:rPr>
        <w:t xml:space="preserve"> S, </w:t>
      </w:r>
      <w:proofErr w:type="spellStart"/>
      <w:r w:rsidRPr="00462B94">
        <w:rPr>
          <w:rFonts w:ascii="Book Antiqua" w:hAnsi="Book Antiqua"/>
        </w:rPr>
        <w:t>Shimauchi</w:t>
      </w:r>
      <w:proofErr w:type="spellEnd"/>
      <w:r w:rsidRPr="00462B94">
        <w:rPr>
          <w:rFonts w:ascii="Book Antiqua" w:hAnsi="Book Antiqua"/>
        </w:rPr>
        <w:t xml:space="preserve"> A, Oki Y, Kondo J, </w:t>
      </w:r>
      <w:proofErr w:type="spellStart"/>
      <w:r w:rsidRPr="00462B94">
        <w:rPr>
          <w:rFonts w:ascii="Book Antiqua" w:hAnsi="Book Antiqua"/>
        </w:rPr>
        <w:t>Tsuboi</w:t>
      </w:r>
      <w:proofErr w:type="spellEnd"/>
      <w:r w:rsidRPr="00462B94">
        <w:rPr>
          <w:rFonts w:ascii="Book Antiqua" w:hAnsi="Book Antiqua"/>
        </w:rPr>
        <w:t xml:space="preserve"> H, </w:t>
      </w:r>
      <w:proofErr w:type="spellStart"/>
      <w:r w:rsidRPr="00462B94">
        <w:rPr>
          <w:rFonts w:ascii="Book Antiqua" w:hAnsi="Book Antiqua"/>
        </w:rPr>
        <w:t>Sassa</w:t>
      </w:r>
      <w:proofErr w:type="spellEnd"/>
      <w:r w:rsidRPr="00462B94">
        <w:rPr>
          <w:rFonts w:ascii="Book Antiqua" w:hAnsi="Book Antiqua"/>
        </w:rPr>
        <w:t xml:space="preserve"> H. Clinical significance of no-reflow phenomenon observed on angiography after successful treatment of acute myocardial infarction with percutaneous transluminal coronary angioplasty. </w:t>
      </w:r>
      <w:r w:rsidRPr="00462B94">
        <w:rPr>
          <w:rFonts w:ascii="Book Antiqua" w:hAnsi="Book Antiqua"/>
          <w:i/>
        </w:rPr>
        <w:t>Am Heart J</w:t>
      </w:r>
      <w:r w:rsidRPr="00462B94">
        <w:rPr>
          <w:rFonts w:ascii="Book Antiqua" w:hAnsi="Book Antiqua"/>
        </w:rPr>
        <w:t xml:space="preserve"> 1995; </w:t>
      </w:r>
      <w:r w:rsidRPr="00462B94">
        <w:rPr>
          <w:rFonts w:ascii="Book Antiqua" w:hAnsi="Book Antiqua"/>
          <w:b/>
        </w:rPr>
        <w:t>130</w:t>
      </w:r>
      <w:r w:rsidRPr="00462B94">
        <w:rPr>
          <w:rFonts w:ascii="Book Antiqua" w:hAnsi="Book Antiqua"/>
        </w:rPr>
        <w:t>: 239-243 [PMID: 7631601 DOI: 10.1016/0002-8703(95)90434-4]</w:t>
      </w:r>
    </w:p>
    <w:p w14:paraId="7838027A"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13 </w:t>
      </w:r>
      <w:proofErr w:type="spellStart"/>
      <w:r w:rsidRPr="00462B94">
        <w:rPr>
          <w:rFonts w:ascii="Book Antiqua" w:hAnsi="Book Antiqua"/>
          <w:b/>
        </w:rPr>
        <w:t>Morishima</w:t>
      </w:r>
      <w:proofErr w:type="spellEnd"/>
      <w:r w:rsidRPr="00462B94">
        <w:rPr>
          <w:rFonts w:ascii="Book Antiqua" w:hAnsi="Book Antiqua"/>
          <w:b/>
        </w:rPr>
        <w:t xml:space="preserve"> I</w:t>
      </w:r>
      <w:r w:rsidRPr="00462B94">
        <w:rPr>
          <w:rFonts w:ascii="Book Antiqua" w:hAnsi="Book Antiqua"/>
        </w:rPr>
        <w:t xml:space="preserve">, Sone T, Okumura K, </w:t>
      </w:r>
      <w:proofErr w:type="spellStart"/>
      <w:r w:rsidRPr="00462B94">
        <w:rPr>
          <w:rFonts w:ascii="Book Antiqua" w:hAnsi="Book Antiqua"/>
        </w:rPr>
        <w:t>Tsuboi</w:t>
      </w:r>
      <w:proofErr w:type="spellEnd"/>
      <w:r w:rsidRPr="00462B94">
        <w:rPr>
          <w:rFonts w:ascii="Book Antiqua" w:hAnsi="Book Antiqua"/>
        </w:rPr>
        <w:t xml:space="preserve"> H, Kondo J, </w:t>
      </w:r>
      <w:proofErr w:type="spellStart"/>
      <w:r w:rsidRPr="00462B94">
        <w:rPr>
          <w:rFonts w:ascii="Book Antiqua" w:hAnsi="Book Antiqua"/>
        </w:rPr>
        <w:t>Mukawa</w:t>
      </w:r>
      <w:proofErr w:type="spellEnd"/>
      <w:r w:rsidRPr="00462B94">
        <w:rPr>
          <w:rFonts w:ascii="Book Antiqua" w:hAnsi="Book Antiqua"/>
        </w:rPr>
        <w:t xml:space="preserve"> H, Matsui H, Toki Y, Ito T, Hayakawa T. Angiographic no-reflow phenomenon as a predictor of adverse long-term outcome in patients treated with percutaneous transluminal coronary angioplasty for first acute myocardial infarction. </w:t>
      </w:r>
      <w:r w:rsidRPr="00462B94">
        <w:rPr>
          <w:rFonts w:ascii="Book Antiqua" w:hAnsi="Book Antiqua"/>
          <w:i/>
        </w:rPr>
        <w:t xml:space="preserve">J Am Coll </w:t>
      </w:r>
      <w:proofErr w:type="spellStart"/>
      <w:r w:rsidRPr="00462B94">
        <w:rPr>
          <w:rFonts w:ascii="Book Antiqua" w:hAnsi="Book Antiqua"/>
          <w:i/>
        </w:rPr>
        <w:t>Cardiol</w:t>
      </w:r>
      <w:proofErr w:type="spellEnd"/>
      <w:r w:rsidRPr="00462B94">
        <w:rPr>
          <w:rFonts w:ascii="Book Antiqua" w:hAnsi="Book Antiqua"/>
        </w:rPr>
        <w:t xml:space="preserve"> 2000; </w:t>
      </w:r>
      <w:r w:rsidRPr="00462B94">
        <w:rPr>
          <w:rFonts w:ascii="Book Antiqua" w:hAnsi="Book Antiqua"/>
          <w:b/>
        </w:rPr>
        <w:t>36</w:t>
      </w:r>
      <w:r w:rsidRPr="00462B94">
        <w:rPr>
          <w:rFonts w:ascii="Book Antiqua" w:hAnsi="Book Antiqua"/>
        </w:rPr>
        <w:t>: 1202-1209 [PMID: 11028471 DOI: 10.1016/S0735-1097(00)00865-2]</w:t>
      </w:r>
    </w:p>
    <w:p w14:paraId="17C40D9D" w14:textId="0ECB9ADF" w:rsidR="007942F9" w:rsidRPr="00462B94" w:rsidRDefault="000D2E6F" w:rsidP="00462B94">
      <w:pPr>
        <w:spacing w:line="360" w:lineRule="auto"/>
        <w:jc w:val="both"/>
        <w:rPr>
          <w:rFonts w:ascii="Book Antiqua" w:hAnsi="Book Antiqua"/>
        </w:rPr>
      </w:pPr>
      <w:r w:rsidRPr="00462B94">
        <w:rPr>
          <w:rFonts w:ascii="Book Antiqua" w:hAnsi="Book Antiqua"/>
        </w:rPr>
        <w:t xml:space="preserve">14 </w:t>
      </w:r>
      <w:r w:rsidR="007942F9" w:rsidRPr="00462B94">
        <w:rPr>
          <w:rFonts w:ascii="Book Antiqua" w:hAnsi="Book Antiqua"/>
          <w:b/>
        </w:rPr>
        <w:t>Healthcare Cost and Utilization Project</w:t>
      </w:r>
      <w:r w:rsidR="007942F9" w:rsidRPr="00462B94">
        <w:rPr>
          <w:rFonts w:ascii="Book Antiqua" w:hAnsi="Book Antiqua"/>
        </w:rPr>
        <w:t>. Overview of the National (Nationwide) Inpatient Sample (NIS). Available from: URL: https://www.hcup-us.ahrq.gov/nisoverview.jsp</w:t>
      </w:r>
    </w:p>
    <w:p w14:paraId="574B0D49"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15 </w:t>
      </w:r>
      <w:proofErr w:type="spellStart"/>
      <w:r w:rsidRPr="00462B94">
        <w:rPr>
          <w:rFonts w:ascii="Book Antiqua" w:hAnsi="Book Antiqua"/>
          <w:b/>
        </w:rPr>
        <w:t>Elgendy</w:t>
      </w:r>
      <w:proofErr w:type="spellEnd"/>
      <w:r w:rsidRPr="00462B94">
        <w:rPr>
          <w:rFonts w:ascii="Book Antiqua" w:hAnsi="Book Antiqua"/>
          <w:b/>
        </w:rPr>
        <w:t xml:space="preserve"> IY</w:t>
      </w:r>
      <w:r w:rsidRPr="00462B94">
        <w:rPr>
          <w:rFonts w:ascii="Book Antiqua" w:hAnsi="Book Antiqua"/>
        </w:rPr>
        <w:t xml:space="preserve">, Mahmoud AN, Mansoor H, </w:t>
      </w:r>
      <w:proofErr w:type="spellStart"/>
      <w:r w:rsidRPr="00462B94">
        <w:rPr>
          <w:rFonts w:ascii="Book Antiqua" w:hAnsi="Book Antiqua"/>
        </w:rPr>
        <w:t>Bavry</w:t>
      </w:r>
      <w:proofErr w:type="spellEnd"/>
      <w:r w:rsidRPr="00462B94">
        <w:rPr>
          <w:rFonts w:ascii="Book Antiqua" w:hAnsi="Book Antiqua"/>
        </w:rPr>
        <w:t xml:space="preserve"> AA. Early Invasive Versus Initial Conservative Strategies for Women with Non-ST-Elevation Acute Coronary Syndromes: </w:t>
      </w:r>
      <w:r w:rsidRPr="00462B94">
        <w:rPr>
          <w:rFonts w:ascii="Book Antiqua" w:hAnsi="Book Antiqua"/>
        </w:rPr>
        <w:lastRenderedPageBreak/>
        <w:t xml:space="preserve">A Nationwide Analysis. </w:t>
      </w:r>
      <w:r w:rsidRPr="00462B94">
        <w:rPr>
          <w:rFonts w:ascii="Book Antiqua" w:hAnsi="Book Antiqua"/>
          <w:i/>
        </w:rPr>
        <w:t>Am J Med</w:t>
      </w:r>
      <w:r w:rsidRPr="00462B94">
        <w:rPr>
          <w:rFonts w:ascii="Book Antiqua" w:hAnsi="Book Antiqua"/>
        </w:rPr>
        <w:t xml:space="preserve"> 2017; </w:t>
      </w:r>
      <w:r w:rsidRPr="00462B94">
        <w:rPr>
          <w:rFonts w:ascii="Book Antiqua" w:hAnsi="Book Antiqua"/>
          <w:b/>
        </w:rPr>
        <w:t>130</w:t>
      </w:r>
      <w:r w:rsidRPr="00462B94">
        <w:rPr>
          <w:rFonts w:ascii="Book Antiqua" w:hAnsi="Book Antiqua"/>
        </w:rPr>
        <w:t>: 1059-1067 [PMID: 28238691 DOI: 10.1016/j.amjmed.2017.01.049]</w:t>
      </w:r>
    </w:p>
    <w:p w14:paraId="75498DC5" w14:textId="28A5D44A" w:rsidR="007942F9" w:rsidRPr="00462B94" w:rsidRDefault="007942F9" w:rsidP="00462B94">
      <w:pPr>
        <w:spacing w:line="360" w:lineRule="auto"/>
        <w:jc w:val="both"/>
        <w:rPr>
          <w:rFonts w:ascii="Book Antiqua" w:hAnsi="Book Antiqua"/>
        </w:rPr>
      </w:pPr>
      <w:r w:rsidRPr="00462B94">
        <w:rPr>
          <w:rFonts w:ascii="Book Antiqua" w:hAnsi="Book Antiqua"/>
        </w:rPr>
        <w:t xml:space="preserve">16 </w:t>
      </w:r>
      <w:r w:rsidRPr="00462B94">
        <w:rPr>
          <w:rFonts w:ascii="Book Antiqua" w:hAnsi="Book Antiqua"/>
          <w:b/>
        </w:rPr>
        <w:t>Chen-Xu M</w:t>
      </w:r>
      <w:r w:rsidRPr="00462B94">
        <w:rPr>
          <w:rFonts w:ascii="Book Antiqua" w:hAnsi="Book Antiqua"/>
        </w:rPr>
        <w:t>,</w:t>
      </w:r>
      <w:r w:rsidR="000D2E6F" w:rsidRPr="00462B94">
        <w:rPr>
          <w:rFonts w:ascii="Book Antiqua" w:hAnsi="Book Antiqua"/>
        </w:rPr>
        <w:t xml:space="preserve"> </w:t>
      </w:r>
      <w:proofErr w:type="spellStart"/>
      <w:r w:rsidRPr="00462B94">
        <w:rPr>
          <w:rFonts w:ascii="Book Antiqua" w:hAnsi="Book Antiqua"/>
        </w:rPr>
        <w:t>Yokose</w:t>
      </w:r>
      <w:proofErr w:type="spellEnd"/>
      <w:r w:rsidRPr="00462B94">
        <w:rPr>
          <w:rFonts w:ascii="Book Antiqua" w:hAnsi="Book Antiqua"/>
        </w:rPr>
        <w:t xml:space="preserve"> C, Choi HK. SAT0703 Racial disparities in gout and hyperuricemia - a united states general population study. </w:t>
      </w:r>
      <w:r w:rsidRPr="00462B94">
        <w:rPr>
          <w:rFonts w:ascii="Book Antiqua" w:hAnsi="Book Antiqua"/>
          <w:i/>
        </w:rPr>
        <w:t xml:space="preserve">Ann Rheum Dis </w:t>
      </w:r>
      <w:r w:rsidRPr="00462B94">
        <w:rPr>
          <w:rFonts w:ascii="Book Antiqua" w:hAnsi="Book Antiqua"/>
        </w:rPr>
        <w:t>2018;</w:t>
      </w:r>
      <w:r w:rsidRPr="00462B94">
        <w:rPr>
          <w:rFonts w:ascii="Book Antiqua" w:hAnsi="Book Antiqua"/>
          <w:b/>
        </w:rPr>
        <w:t xml:space="preserve"> 77</w:t>
      </w:r>
      <w:r w:rsidRPr="00462B94">
        <w:rPr>
          <w:rFonts w:ascii="Book Antiqua" w:hAnsi="Book Antiqua"/>
        </w:rPr>
        <w:t>: 1199-200 [DOI: 10.1136/annrheumdis-2018-eular.6059]</w:t>
      </w:r>
    </w:p>
    <w:p w14:paraId="21D0C01F"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17 </w:t>
      </w:r>
      <w:r w:rsidRPr="00462B94">
        <w:rPr>
          <w:rFonts w:ascii="Book Antiqua" w:hAnsi="Book Antiqua"/>
          <w:b/>
        </w:rPr>
        <w:t>Latif W</w:t>
      </w:r>
      <w:r w:rsidRPr="00462B94">
        <w:rPr>
          <w:rFonts w:ascii="Book Antiqua" w:hAnsi="Book Antiqua"/>
        </w:rPr>
        <w:t xml:space="preserve">, </w:t>
      </w:r>
      <w:proofErr w:type="spellStart"/>
      <w:r w:rsidRPr="00462B94">
        <w:rPr>
          <w:rFonts w:ascii="Book Antiqua" w:hAnsi="Book Antiqua"/>
        </w:rPr>
        <w:t>Karaboyas</w:t>
      </w:r>
      <w:proofErr w:type="spellEnd"/>
      <w:r w:rsidRPr="00462B94">
        <w:rPr>
          <w:rFonts w:ascii="Book Antiqua" w:hAnsi="Book Antiqua"/>
        </w:rPr>
        <w:t xml:space="preserve"> A, Tong L, Winchester JF, Arrington CJ, </w:t>
      </w:r>
      <w:proofErr w:type="spellStart"/>
      <w:r w:rsidRPr="00462B94">
        <w:rPr>
          <w:rFonts w:ascii="Book Antiqua" w:hAnsi="Book Antiqua"/>
        </w:rPr>
        <w:t>Pisoni</w:t>
      </w:r>
      <w:proofErr w:type="spellEnd"/>
      <w:r w:rsidRPr="00462B94">
        <w:rPr>
          <w:rFonts w:ascii="Book Antiqua" w:hAnsi="Book Antiqua"/>
        </w:rPr>
        <w:t xml:space="preserve"> RL, Marshall MR, </w:t>
      </w:r>
      <w:proofErr w:type="spellStart"/>
      <w:r w:rsidRPr="00462B94">
        <w:rPr>
          <w:rFonts w:ascii="Book Antiqua" w:hAnsi="Book Antiqua"/>
        </w:rPr>
        <w:t>Kleophas</w:t>
      </w:r>
      <w:proofErr w:type="spellEnd"/>
      <w:r w:rsidRPr="00462B94">
        <w:rPr>
          <w:rFonts w:ascii="Book Antiqua" w:hAnsi="Book Antiqua"/>
        </w:rPr>
        <w:t xml:space="preserve"> W, Levin NW, Sen A, Robinson BM, Saran R. Uric acid levels and all-cause and cardiovascular mortality in the hemodialysis population. </w:t>
      </w:r>
      <w:r w:rsidRPr="00462B94">
        <w:rPr>
          <w:rFonts w:ascii="Book Antiqua" w:hAnsi="Book Antiqua"/>
          <w:i/>
        </w:rPr>
        <w:t xml:space="preserve">Clin J Am Soc </w:t>
      </w:r>
      <w:proofErr w:type="spellStart"/>
      <w:r w:rsidRPr="00462B94">
        <w:rPr>
          <w:rFonts w:ascii="Book Antiqua" w:hAnsi="Book Antiqua"/>
          <w:i/>
        </w:rPr>
        <w:t>Nephrol</w:t>
      </w:r>
      <w:proofErr w:type="spellEnd"/>
      <w:r w:rsidRPr="00462B94">
        <w:rPr>
          <w:rFonts w:ascii="Book Antiqua" w:hAnsi="Book Antiqua"/>
        </w:rPr>
        <w:t xml:space="preserve"> 2011; </w:t>
      </w:r>
      <w:r w:rsidRPr="00462B94">
        <w:rPr>
          <w:rFonts w:ascii="Book Antiqua" w:hAnsi="Book Antiqua"/>
          <w:b/>
        </w:rPr>
        <w:t>6</w:t>
      </w:r>
      <w:r w:rsidRPr="00462B94">
        <w:rPr>
          <w:rFonts w:ascii="Book Antiqua" w:hAnsi="Book Antiqua"/>
        </w:rPr>
        <w:t>: 2470-2477 [PMID: 21868616 DOI: 10.2215/CJN.00670111]</w:t>
      </w:r>
    </w:p>
    <w:p w14:paraId="60671AFC"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18 </w:t>
      </w:r>
      <w:proofErr w:type="spellStart"/>
      <w:r w:rsidRPr="00462B94">
        <w:rPr>
          <w:rFonts w:ascii="Book Antiqua" w:hAnsi="Book Antiqua"/>
          <w:b/>
        </w:rPr>
        <w:t>Adegbala</w:t>
      </w:r>
      <w:proofErr w:type="spellEnd"/>
      <w:r w:rsidRPr="00462B94">
        <w:rPr>
          <w:rFonts w:ascii="Book Antiqua" w:hAnsi="Book Antiqua"/>
          <w:b/>
        </w:rPr>
        <w:t xml:space="preserve"> O</w:t>
      </w:r>
      <w:r w:rsidRPr="00462B94">
        <w:rPr>
          <w:rFonts w:ascii="Book Antiqua" w:hAnsi="Book Antiqua"/>
        </w:rPr>
        <w:t xml:space="preserve">, </w:t>
      </w:r>
      <w:proofErr w:type="spellStart"/>
      <w:r w:rsidRPr="00462B94">
        <w:rPr>
          <w:rFonts w:ascii="Book Antiqua" w:hAnsi="Book Antiqua"/>
        </w:rPr>
        <w:t>Adejumo</w:t>
      </w:r>
      <w:proofErr w:type="spellEnd"/>
      <w:r w:rsidRPr="00462B94">
        <w:rPr>
          <w:rFonts w:ascii="Book Antiqua" w:hAnsi="Book Antiqua"/>
        </w:rPr>
        <w:t xml:space="preserve"> AC, </w:t>
      </w:r>
      <w:proofErr w:type="spellStart"/>
      <w:r w:rsidRPr="00462B94">
        <w:rPr>
          <w:rFonts w:ascii="Book Antiqua" w:hAnsi="Book Antiqua"/>
        </w:rPr>
        <w:t>Olakanmi</w:t>
      </w:r>
      <w:proofErr w:type="spellEnd"/>
      <w:r w:rsidRPr="00462B94">
        <w:rPr>
          <w:rFonts w:ascii="Book Antiqua" w:hAnsi="Book Antiqua"/>
        </w:rPr>
        <w:t xml:space="preserve"> O, </w:t>
      </w:r>
      <w:proofErr w:type="spellStart"/>
      <w:r w:rsidRPr="00462B94">
        <w:rPr>
          <w:rFonts w:ascii="Book Antiqua" w:hAnsi="Book Antiqua"/>
        </w:rPr>
        <w:t>Akinjero</w:t>
      </w:r>
      <w:proofErr w:type="spellEnd"/>
      <w:r w:rsidRPr="00462B94">
        <w:rPr>
          <w:rFonts w:ascii="Book Antiqua" w:hAnsi="Book Antiqua"/>
        </w:rPr>
        <w:t xml:space="preserve"> A, </w:t>
      </w:r>
      <w:proofErr w:type="spellStart"/>
      <w:r w:rsidRPr="00462B94">
        <w:rPr>
          <w:rFonts w:ascii="Book Antiqua" w:hAnsi="Book Antiqua"/>
        </w:rPr>
        <w:t>Akintoye</w:t>
      </w:r>
      <w:proofErr w:type="spellEnd"/>
      <w:r w:rsidRPr="00462B94">
        <w:rPr>
          <w:rFonts w:ascii="Book Antiqua" w:hAnsi="Book Antiqua"/>
        </w:rPr>
        <w:t xml:space="preserve"> E, </w:t>
      </w:r>
      <w:proofErr w:type="spellStart"/>
      <w:r w:rsidRPr="00462B94">
        <w:rPr>
          <w:rFonts w:ascii="Book Antiqua" w:hAnsi="Book Antiqua"/>
        </w:rPr>
        <w:t>Alliu</w:t>
      </w:r>
      <w:proofErr w:type="spellEnd"/>
      <w:r w:rsidRPr="00462B94">
        <w:rPr>
          <w:rFonts w:ascii="Book Antiqua" w:hAnsi="Book Antiqua"/>
        </w:rPr>
        <w:t xml:space="preserve"> S, Edo-Osagie E, Chatterjee A. Relation of Cannabis Use and Atrial Fibrillation Among Patients Hospitalized for Heart Failure. </w:t>
      </w:r>
      <w:r w:rsidRPr="00462B94">
        <w:rPr>
          <w:rFonts w:ascii="Book Antiqua" w:hAnsi="Book Antiqua"/>
          <w:i/>
        </w:rPr>
        <w:t>Am J Cardiol</w:t>
      </w:r>
      <w:r w:rsidRPr="00462B94">
        <w:rPr>
          <w:rFonts w:ascii="Book Antiqua" w:hAnsi="Book Antiqua"/>
        </w:rPr>
        <w:t xml:space="preserve"> 2018; </w:t>
      </w:r>
      <w:r w:rsidRPr="00462B94">
        <w:rPr>
          <w:rFonts w:ascii="Book Antiqua" w:hAnsi="Book Antiqua"/>
          <w:b/>
        </w:rPr>
        <w:t>122</w:t>
      </w:r>
      <w:r w:rsidRPr="00462B94">
        <w:rPr>
          <w:rFonts w:ascii="Book Antiqua" w:hAnsi="Book Antiqua"/>
        </w:rPr>
        <w:t>: 129-134 [PMID: 29685570 DOI: 10.1016/j.amjcard.2018.03.015]</w:t>
      </w:r>
    </w:p>
    <w:p w14:paraId="6E831873"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19 </w:t>
      </w:r>
      <w:proofErr w:type="spellStart"/>
      <w:r w:rsidRPr="00462B94">
        <w:rPr>
          <w:rFonts w:ascii="Book Antiqua" w:hAnsi="Book Antiqua"/>
          <w:b/>
        </w:rPr>
        <w:t>Pagidipati</w:t>
      </w:r>
      <w:proofErr w:type="spellEnd"/>
      <w:r w:rsidRPr="00462B94">
        <w:rPr>
          <w:rFonts w:ascii="Book Antiqua" w:hAnsi="Book Antiqua"/>
          <w:b/>
        </w:rPr>
        <w:t xml:space="preserve"> NJ</w:t>
      </w:r>
      <w:r w:rsidRPr="00462B94">
        <w:rPr>
          <w:rFonts w:ascii="Book Antiqua" w:hAnsi="Book Antiqua"/>
        </w:rPr>
        <w:t xml:space="preserve">, Hess CN, Clare RM, </w:t>
      </w:r>
      <w:proofErr w:type="spellStart"/>
      <w:r w:rsidRPr="00462B94">
        <w:rPr>
          <w:rFonts w:ascii="Book Antiqua" w:hAnsi="Book Antiqua"/>
        </w:rPr>
        <w:t>Akerblom</w:t>
      </w:r>
      <w:proofErr w:type="spellEnd"/>
      <w:r w:rsidRPr="00462B94">
        <w:rPr>
          <w:rFonts w:ascii="Book Antiqua" w:hAnsi="Book Antiqua"/>
        </w:rPr>
        <w:t xml:space="preserve"> A, </w:t>
      </w:r>
      <w:proofErr w:type="spellStart"/>
      <w:r w:rsidRPr="00462B94">
        <w:rPr>
          <w:rFonts w:ascii="Book Antiqua" w:hAnsi="Book Antiqua"/>
        </w:rPr>
        <w:t>Tricoci</w:t>
      </w:r>
      <w:proofErr w:type="spellEnd"/>
      <w:r w:rsidRPr="00462B94">
        <w:rPr>
          <w:rFonts w:ascii="Book Antiqua" w:hAnsi="Book Antiqua"/>
        </w:rPr>
        <w:t xml:space="preserve"> P, </w:t>
      </w:r>
      <w:proofErr w:type="spellStart"/>
      <w:r w:rsidRPr="00462B94">
        <w:rPr>
          <w:rFonts w:ascii="Book Antiqua" w:hAnsi="Book Antiqua"/>
        </w:rPr>
        <w:t>Wojdyla</w:t>
      </w:r>
      <w:proofErr w:type="spellEnd"/>
      <w:r w:rsidRPr="00462B94">
        <w:rPr>
          <w:rFonts w:ascii="Book Antiqua" w:hAnsi="Book Antiqua"/>
        </w:rPr>
        <w:t xml:space="preserve"> D, Keenan RT, James S, Held C, Mahaffey KW, Klein AB, </w:t>
      </w:r>
      <w:proofErr w:type="spellStart"/>
      <w:r w:rsidRPr="00462B94">
        <w:rPr>
          <w:rFonts w:ascii="Book Antiqua" w:hAnsi="Book Antiqua"/>
        </w:rPr>
        <w:t>Wallentin</w:t>
      </w:r>
      <w:proofErr w:type="spellEnd"/>
      <w:r w:rsidRPr="00462B94">
        <w:rPr>
          <w:rFonts w:ascii="Book Antiqua" w:hAnsi="Book Antiqua"/>
        </w:rPr>
        <w:t xml:space="preserve"> L, Roe MT. An examination of the relationship between serum uric acid level, a clinical history of gout, and cardiovascular outcomes among patients with acute coronary syndrome. </w:t>
      </w:r>
      <w:r w:rsidRPr="00462B94">
        <w:rPr>
          <w:rFonts w:ascii="Book Antiqua" w:hAnsi="Book Antiqua"/>
          <w:i/>
        </w:rPr>
        <w:t>Am Heart J</w:t>
      </w:r>
      <w:r w:rsidRPr="00462B94">
        <w:rPr>
          <w:rFonts w:ascii="Book Antiqua" w:hAnsi="Book Antiqua"/>
        </w:rPr>
        <w:t xml:space="preserve"> 2017; </w:t>
      </w:r>
      <w:r w:rsidRPr="00462B94">
        <w:rPr>
          <w:rFonts w:ascii="Book Antiqua" w:hAnsi="Book Antiqua"/>
          <w:b/>
        </w:rPr>
        <w:t>187</w:t>
      </w:r>
      <w:r w:rsidRPr="00462B94">
        <w:rPr>
          <w:rFonts w:ascii="Book Antiqua" w:hAnsi="Book Antiqua"/>
        </w:rPr>
        <w:t>: 53-61 [PMID: 28454808 DOI: 10.1016/j.ahj.2017.02.023]</w:t>
      </w:r>
    </w:p>
    <w:p w14:paraId="364DEAFD"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20 </w:t>
      </w:r>
      <w:proofErr w:type="spellStart"/>
      <w:r w:rsidRPr="00462B94">
        <w:rPr>
          <w:rFonts w:ascii="Book Antiqua" w:hAnsi="Book Antiqua"/>
          <w:b/>
        </w:rPr>
        <w:t>Pillinger</w:t>
      </w:r>
      <w:proofErr w:type="spellEnd"/>
      <w:r w:rsidRPr="00462B94">
        <w:rPr>
          <w:rFonts w:ascii="Book Antiqua" w:hAnsi="Book Antiqua"/>
          <w:b/>
        </w:rPr>
        <w:t xml:space="preserve"> MH</w:t>
      </w:r>
      <w:r w:rsidRPr="00462B94">
        <w:rPr>
          <w:rFonts w:ascii="Book Antiqua" w:hAnsi="Book Antiqua"/>
        </w:rPr>
        <w:t xml:space="preserve">, Bangalore S, Klein AB, Baumgartner S, Morlock R. Cardiovascular Disease and Gout: Real-World Experience Evaluating Patient Characteristics, Treatment Patterns, and Health Care Utilization. </w:t>
      </w:r>
      <w:r w:rsidRPr="00462B94">
        <w:rPr>
          <w:rFonts w:ascii="Book Antiqua" w:hAnsi="Book Antiqua"/>
          <w:i/>
        </w:rPr>
        <w:t xml:space="preserve">J </w:t>
      </w:r>
      <w:proofErr w:type="spellStart"/>
      <w:r w:rsidRPr="00462B94">
        <w:rPr>
          <w:rFonts w:ascii="Book Antiqua" w:hAnsi="Book Antiqua"/>
          <w:i/>
        </w:rPr>
        <w:t>Manag</w:t>
      </w:r>
      <w:proofErr w:type="spellEnd"/>
      <w:r w:rsidRPr="00462B94">
        <w:rPr>
          <w:rFonts w:ascii="Book Antiqua" w:hAnsi="Book Antiqua"/>
          <w:i/>
        </w:rPr>
        <w:t xml:space="preserve"> Care Spec Pharm</w:t>
      </w:r>
      <w:r w:rsidRPr="00462B94">
        <w:rPr>
          <w:rFonts w:ascii="Book Antiqua" w:hAnsi="Book Antiqua"/>
        </w:rPr>
        <w:t xml:space="preserve"> 2017; </w:t>
      </w:r>
      <w:r w:rsidRPr="00462B94">
        <w:rPr>
          <w:rFonts w:ascii="Book Antiqua" w:hAnsi="Book Antiqua"/>
          <w:b/>
        </w:rPr>
        <w:t>23</w:t>
      </w:r>
      <w:r w:rsidRPr="00462B94">
        <w:rPr>
          <w:rFonts w:ascii="Book Antiqua" w:hAnsi="Book Antiqua"/>
        </w:rPr>
        <w:t>: 677-683 [PMID: 28530520 DOI: 10.18553/jmcp.2017.23.6.677]</w:t>
      </w:r>
    </w:p>
    <w:p w14:paraId="663CC573"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21 </w:t>
      </w:r>
      <w:r w:rsidRPr="00462B94">
        <w:rPr>
          <w:rFonts w:ascii="Book Antiqua" w:hAnsi="Book Antiqua"/>
          <w:b/>
        </w:rPr>
        <w:t>Singh JA</w:t>
      </w:r>
      <w:r w:rsidRPr="00462B94">
        <w:rPr>
          <w:rFonts w:ascii="Book Antiqua" w:hAnsi="Book Antiqua"/>
        </w:rPr>
        <w:t xml:space="preserve">, Yu S. Gout-related inpatient utilization: a study of predictors of outcomes and time trends. </w:t>
      </w:r>
      <w:r w:rsidRPr="00462B94">
        <w:rPr>
          <w:rFonts w:ascii="Book Antiqua" w:hAnsi="Book Antiqua"/>
          <w:i/>
        </w:rPr>
        <w:t xml:space="preserve">Arthritis Res </w:t>
      </w:r>
      <w:proofErr w:type="spellStart"/>
      <w:r w:rsidRPr="00462B94">
        <w:rPr>
          <w:rFonts w:ascii="Book Antiqua" w:hAnsi="Book Antiqua"/>
          <w:i/>
        </w:rPr>
        <w:t>Ther</w:t>
      </w:r>
      <w:proofErr w:type="spellEnd"/>
      <w:r w:rsidRPr="00462B94">
        <w:rPr>
          <w:rFonts w:ascii="Book Antiqua" w:hAnsi="Book Antiqua"/>
        </w:rPr>
        <w:t xml:space="preserve"> 2016; </w:t>
      </w:r>
      <w:r w:rsidRPr="00462B94">
        <w:rPr>
          <w:rFonts w:ascii="Book Antiqua" w:hAnsi="Book Antiqua"/>
          <w:b/>
        </w:rPr>
        <w:t>18</w:t>
      </w:r>
      <w:r w:rsidRPr="00462B94">
        <w:rPr>
          <w:rFonts w:ascii="Book Antiqua" w:hAnsi="Book Antiqua"/>
        </w:rPr>
        <w:t>: 57 [PMID: 26935737 DOI: 10.1186/s13075-016-0936-y]</w:t>
      </w:r>
    </w:p>
    <w:p w14:paraId="446FA8F0"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22 </w:t>
      </w:r>
      <w:r w:rsidRPr="00462B94">
        <w:rPr>
          <w:rFonts w:ascii="Book Antiqua" w:hAnsi="Book Antiqua"/>
          <w:b/>
        </w:rPr>
        <w:t>Harrold LR</w:t>
      </w:r>
      <w:r w:rsidRPr="00462B94">
        <w:rPr>
          <w:rFonts w:ascii="Book Antiqua" w:hAnsi="Book Antiqua"/>
        </w:rPr>
        <w:t xml:space="preserve">, </w:t>
      </w:r>
      <w:proofErr w:type="spellStart"/>
      <w:r w:rsidRPr="00462B94">
        <w:rPr>
          <w:rFonts w:ascii="Book Antiqua" w:hAnsi="Book Antiqua"/>
        </w:rPr>
        <w:t>Yood</w:t>
      </w:r>
      <w:proofErr w:type="spellEnd"/>
      <w:r w:rsidRPr="00462B94">
        <w:rPr>
          <w:rFonts w:ascii="Book Antiqua" w:hAnsi="Book Antiqua"/>
        </w:rPr>
        <w:t xml:space="preserve"> RA, </w:t>
      </w:r>
      <w:proofErr w:type="spellStart"/>
      <w:r w:rsidRPr="00462B94">
        <w:rPr>
          <w:rFonts w:ascii="Book Antiqua" w:hAnsi="Book Antiqua"/>
        </w:rPr>
        <w:t>Mikuls</w:t>
      </w:r>
      <w:proofErr w:type="spellEnd"/>
      <w:r w:rsidRPr="00462B94">
        <w:rPr>
          <w:rFonts w:ascii="Book Antiqua" w:hAnsi="Book Antiqua"/>
        </w:rPr>
        <w:t xml:space="preserve"> TR, Andrade SE, Davis J, Fuller J, Chan KA, Roblin D, </w:t>
      </w:r>
      <w:proofErr w:type="spellStart"/>
      <w:r w:rsidRPr="00462B94">
        <w:rPr>
          <w:rFonts w:ascii="Book Antiqua" w:hAnsi="Book Antiqua"/>
        </w:rPr>
        <w:t>Raebel</w:t>
      </w:r>
      <w:proofErr w:type="spellEnd"/>
      <w:r w:rsidRPr="00462B94">
        <w:rPr>
          <w:rFonts w:ascii="Book Antiqua" w:hAnsi="Book Antiqua"/>
        </w:rPr>
        <w:t xml:space="preserve"> MA, Von Worley A, Platt R, </w:t>
      </w:r>
      <w:proofErr w:type="spellStart"/>
      <w:r w:rsidRPr="00462B94">
        <w:rPr>
          <w:rFonts w:ascii="Book Antiqua" w:hAnsi="Book Antiqua"/>
        </w:rPr>
        <w:t>Saag</w:t>
      </w:r>
      <w:proofErr w:type="spellEnd"/>
      <w:r w:rsidRPr="00462B94">
        <w:rPr>
          <w:rFonts w:ascii="Book Antiqua" w:hAnsi="Book Antiqua"/>
        </w:rPr>
        <w:t xml:space="preserve"> KG. Sex differences in gout epidemiology: evaluation and treatment. </w:t>
      </w:r>
      <w:r w:rsidRPr="00462B94">
        <w:rPr>
          <w:rFonts w:ascii="Book Antiqua" w:hAnsi="Book Antiqua"/>
          <w:i/>
        </w:rPr>
        <w:t>Ann Rheum Dis</w:t>
      </w:r>
      <w:r w:rsidRPr="00462B94">
        <w:rPr>
          <w:rFonts w:ascii="Book Antiqua" w:hAnsi="Book Antiqua"/>
        </w:rPr>
        <w:t xml:space="preserve"> 2006; </w:t>
      </w:r>
      <w:r w:rsidRPr="00462B94">
        <w:rPr>
          <w:rFonts w:ascii="Book Antiqua" w:hAnsi="Book Antiqua"/>
          <w:b/>
        </w:rPr>
        <w:t>65</w:t>
      </w:r>
      <w:r w:rsidRPr="00462B94">
        <w:rPr>
          <w:rFonts w:ascii="Book Antiqua" w:hAnsi="Book Antiqua"/>
        </w:rPr>
        <w:t>: 1368-1372 [PMID: 16644784 DOI: 10.1136/ard.2006.051649]</w:t>
      </w:r>
    </w:p>
    <w:p w14:paraId="0AB0E911" w14:textId="77777777" w:rsidR="007942F9" w:rsidRPr="00462B94" w:rsidRDefault="007942F9" w:rsidP="00462B94">
      <w:pPr>
        <w:spacing w:line="360" w:lineRule="auto"/>
        <w:jc w:val="both"/>
        <w:rPr>
          <w:rFonts w:ascii="Book Antiqua" w:hAnsi="Book Antiqua"/>
        </w:rPr>
      </w:pPr>
      <w:r w:rsidRPr="00462B94">
        <w:rPr>
          <w:rFonts w:ascii="Book Antiqua" w:hAnsi="Book Antiqua"/>
        </w:rPr>
        <w:lastRenderedPageBreak/>
        <w:t xml:space="preserve">23 </w:t>
      </w:r>
      <w:r w:rsidRPr="00462B94">
        <w:rPr>
          <w:rFonts w:ascii="Book Antiqua" w:hAnsi="Book Antiqua"/>
          <w:b/>
        </w:rPr>
        <w:t>Roger VL</w:t>
      </w:r>
      <w:r w:rsidRPr="00462B94">
        <w:rPr>
          <w:rFonts w:ascii="Book Antiqua" w:hAnsi="Book Antiqua"/>
        </w:rPr>
        <w:t xml:space="preserve">, Go AS, Lloyd-Jones DM, Benjamin EJ, Berry JD, Borden WB, </w:t>
      </w:r>
      <w:proofErr w:type="spellStart"/>
      <w:r w:rsidRPr="00462B94">
        <w:rPr>
          <w:rFonts w:ascii="Book Antiqua" w:hAnsi="Book Antiqua"/>
        </w:rPr>
        <w:t>Bravata</w:t>
      </w:r>
      <w:proofErr w:type="spellEnd"/>
      <w:r w:rsidRPr="00462B94">
        <w:rPr>
          <w:rFonts w:ascii="Book Antiqua" w:hAnsi="Book Antiqua"/>
        </w:rPr>
        <w:t xml:space="preserve"> DM, Dai S, Ford ES, Fox CS, Fullerton HJ, Gillespie C, </w:t>
      </w:r>
      <w:proofErr w:type="spellStart"/>
      <w:r w:rsidRPr="00462B94">
        <w:rPr>
          <w:rFonts w:ascii="Book Antiqua" w:hAnsi="Book Antiqua"/>
        </w:rPr>
        <w:t>Hailpern</w:t>
      </w:r>
      <w:proofErr w:type="spellEnd"/>
      <w:r w:rsidRPr="00462B94">
        <w:rPr>
          <w:rFonts w:ascii="Book Antiqua" w:hAnsi="Book Antiqua"/>
        </w:rPr>
        <w:t xml:space="preserve"> SM, </w:t>
      </w:r>
      <w:proofErr w:type="spellStart"/>
      <w:r w:rsidRPr="00462B94">
        <w:rPr>
          <w:rFonts w:ascii="Book Antiqua" w:hAnsi="Book Antiqua"/>
        </w:rPr>
        <w:t>Heit</w:t>
      </w:r>
      <w:proofErr w:type="spellEnd"/>
      <w:r w:rsidRPr="00462B94">
        <w:rPr>
          <w:rFonts w:ascii="Book Antiqua" w:hAnsi="Book Antiqua"/>
        </w:rPr>
        <w:t xml:space="preserve"> JA, Howard VJ, </w:t>
      </w:r>
      <w:proofErr w:type="spellStart"/>
      <w:r w:rsidRPr="00462B94">
        <w:rPr>
          <w:rFonts w:ascii="Book Antiqua" w:hAnsi="Book Antiqua"/>
        </w:rPr>
        <w:t>Kissela</w:t>
      </w:r>
      <w:proofErr w:type="spellEnd"/>
      <w:r w:rsidRPr="00462B94">
        <w:rPr>
          <w:rFonts w:ascii="Book Antiqua" w:hAnsi="Book Antiqua"/>
        </w:rPr>
        <w:t xml:space="preserve"> BM, </w:t>
      </w:r>
      <w:proofErr w:type="spellStart"/>
      <w:r w:rsidRPr="00462B94">
        <w:rPr>
          <w:rFonts w:ascii="Book Antiqua" w:hAnsi="Book Antiqua"/>
        </w:rPr>
        <w:t>Kittner</w:t>
      </w:r>
      <w:proofErr w:type="spellEnd"/>
      <w:r w:rsidRPr="00462B94">
        <w:rPr>
          <w:rFonts w:ascii="Book Antiqua" w:hAnsi="Book Antiqua"/>
        </w:rPr>
        <w:t xml:space="preserve"> SJ, Lackland DT, Lichtman JH, Lisabeth LD, </w:t>
      </w:r>
      <w:proofErr w:type="spellStart"/>
      <w:r w:rsidRPr="00462B94">
        <w:rPr>
          <w:rFonts w:ascii="Book Antiqua" w:hAnsi="Book Antiqua"/>
        </w:rPr>
        <w:t>Makuc</w:t>
      </w:r>
      <w:proofErr w:type="spellEnd"/>
      <w:r w:rsidRPr="00462B94">
        <w:rPr>
          <w:rFonts w:ascii="Book Antiqua" w:hAnsi="Book Antiqua"/>
        </w:rPr>
        <w:t xml:space="preserve"> DM, Marcus GM, Marelli A, </w:t>
      </w:r>
      <w:proofErr w:type="spellStart"/>
      <w:r w:rsidRPr="00462B94">
        <w:rPr>
          <w:rFonts w:ascii="Book Antiqua" w:hAnsi="Book Antiqua"/>
        </w:rPr>
        <w:t>Matchar</w:t>
      </w:r>
      <w:proofErr w:type="spellEnd"/>
      <w:r w:rsidRPr="00462B94">
        <w:rPr>
          <w:rFonts w:ascii="Book Antiqua" w:hAnsi="Book Antiqua"/>
        </w:rPr>
        <w:t xml:space="preserve"> DB, Moy CS, </w:t>
      </w:r>
      <w:proofErr w:type="spellStart"/>
      <w:r w:rsidRPr="00462B94">
        <w:rPr>
          <w:rFonts w:ascii="Book Antiqua" w:hAnsi="Book Antiqua"/>
        </w:rPr>
        <w:t>Mozaffarian</w:t>
      </w:r>
      <w:proofErr w:type="spellEnd"/>
      <w:r w:rsidRPr="00462B94">
        <w:rPr>
          <w:rFonts w:ascii="Book Antiqua" w:hAnsi="Book Antiqua"/>
        </w:rPr>
        <w:t xml:space="preserve"> D, </w:t>
      </w:r>
      <w:proofErr w:type="spellStart"/>
      <w:r w:rsidRPr="00462B94">
        <w:rPr>
          <w:rFonts w:ascii="Book Antiqua" w:hAnsi="Book Antiqua"/>
        </w:rPr>
        <w:t>Mussolino</w:t>
      </w:r>
      <w:proofErr w:type="spellEnd"/>
      <w:r w:rsidRPr="00462B94">
        <w:rPr>
          <w:rFonts w:ascii="Book Antiqua" w:hAnsi="Book Antiqua"/>
        </w:rPr>
        <w:t xml:space="preserve"> ME, Nichol G, Paynter NP, Soliman EZ, </w:t>
      </w:r>
      <w:proofErr w:type="spellStart"/>
      <w:r w:rsidRPr="00462B94">
        <w:rPr>
          <w:rFonts w:ascii="Book Antiqua" w:hAnsi="Book Antiqua"/>
        </w:rPr>
        <w:t>Sorlie</w:t>
      </w:r>
      <w:proofErr w:type="spellEnd"/>
      <w:r w:rsidRPr="00462B94">
        <w:rPr>
          <w:rFonts w:ascii="Book Antiqua" w:hAnsi="Book Antiqua"/>
        </w:rPr>
        <w:t xml:space="preserve"> PD, </w:t>
      </w:r>
      <w:proofErr w:type="spellStart"/>
      <w:r w:rsidRPr="00462B94">
        <w:rPr>
          <w:rFonts w:ascii="Book Antiqua" w:hAnsi="Book Antiqua"/>
        </w:rPr>
        <w:t>Sotoodehnia</w:t>
      </w:r>
      <w:proofErr w:type="spellEnd"/>
      <w:r w:rsidRPr="00462B94">
        <w:rPr>
          <w:rFonts w:ascii="Book Antiqua" w:hAnsi="Book Antiqua"/>
        </w:rPr>
        <w:t xml:space="preserve"> N, </w:t>
      </w:r>
      <w:proofErr w:type="spellStart"/>
      <w:r w:rsidRPr="00462B94">
        <w:rPr>
          <w:rFonts w:ascii="Book Antiqua" w:hAnsi="Book Antiqua"/>
        </w:rPr>
        <w:t>Turan</w:t>
      </w:r>
      <w:proofErr w:type="spellEnd"/>
      <w:r w:rsidRPr="00462B94">
        <w:rPr>
          <w:rFonts w:ascii="Book Antiqua" w:hAnsi="Book Antiqua"/>
        </w:rPr>
        <w:t xml:space="preserve"> TN, Virani SS, Wong ND, Woo D, Turner MB; American Heart Association Statistics Committee and Stroke Statistics Subcommittee. Heart disease and stroke statistics--2012 update: a report from the American Heart Association. </w:t>
      </w:r>
      <w:r w:rsidRPr="00462B94">
        <w:rPr>
          <w:rFonts w:ascii="Book Antiqua" w:hAnsi="Book Antiqua"/>
          <w:i/>
        </w:rPr>
        <w:t>Circulation</w:t>
      </w:r>
      <w:r w:rsidRPr="00462B94">
        <w:rPr>
          <w:rFonts w:ascii="Book Antiqua" w:hAnsi="Book Antiqua"/>
        </w:rPr>
        <w:t xml:space="preserve"> 2012; </w:t>
      </w:r>
      <w:r w:rsidRPr="00462B94">
        <w:rPr>
          <w:rFonts w:ascii="Book Antiqua" w:hAnsi="Book Antiqua"/>
          <w:b/>
        </w:rPr>
        <w:t>125</w:t>
      </w:r>
      <w:r w:rsidRPr="00462B94">
        <w:rPr>
          <w:rFonts w:ascii="Book Antiqua" w:hAnsi="Book Antiqua"/>
        </w:rPr>
        <w:t>: e2-e220 [PMID: 22179539 DOI: 10.1161/CIR.0b013e31823ac046]</w:t>
      </w:r>
    </w:p>
    <w:p w14:paraId="3FE9D78A"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24 </w:t>
      </w:r>
      <w:proofErr w:type="spellStart"/>
      <w:r w:rsidRPr="00462B94">
        <w:rPr>
          <w:rFonts w:ascii="Book Antiqua" w:hAnsi="Book Antiqua"/>
          <w:b/>
        </w:rPr>
        <w:t>LaMori</w:t>
      </w:r>
      <w:proofErr w:type="spellEnd"/>
      <w:r w:rsidRPr="00462B94">
        <w:rPr>
          <w:rFonts w:ascii="Book Antiqua" w:hAnsi="Book Antiqua"/>
          <w:b/>
        </w:rPr>
        <w:t xml:space="preserve"> JC</w:t>
      </w:r>
      <w:r w:rsidRPr="00462B94">
        <w:rPr>
          <w:rFonts w:ascii="Book Antiqua" w:hAnsi="Book Antiqua"/>
        </w:rPr>
        <w:t xml:space="preserve">, </w:t>
      </w:r>
      <w:proofErr w:type="spellStart"/>
      <w:r w:rsidRPr="00462B94">
        <w:rPr>
          <w:rFonts w:ascii="Book Antiqua" w:hAnsi="Book Antiqua"/>
        </w:rPr>
        <w:t>Shoheiber</w:t>
      </w:r>
      <w:proofErr w:type="spellEnd"/>
      <w:r w:rsidRPr="00462B94">
        <w:rPr>
          <w:rFonts w:ascii="Book Antiqua" w:hAnsi="Book Antiqua"/>
        </w:rPr>
        <w:t xml:space="preserve"> O, </w:t>
      </w:r>
      <w:proofErr w:type="spellStart"/>
      <w:r w:rsidRPr="00462B94">
        <w:rPr>
          <w:rFonts w:ascii="Book Antiqua" w:hAnsi="Book Antiqua"/>
        </w:rPr>
        <w:t>Dudash</w:t>
      </w:r>
      <w:proofErr w:type="spellEnd"/>
      <w:r w:rsidRPr="00462B94">
        <w:rPr>
          <w:rFonts w:ascii="Book Antiqua" w:hAnsi="Book Antiqua"/>
        </w:rPr>
        <w:t xml:space="preserve"> K, </w:t>
      </w:r>
      <w:proofErr w:type="spellStart"/>
      <w:r w:rsidRPr="00462B94">
        <w:rPr>
          <w:rFonts w:ascii="Book Antiqua" w:hAnsi="Book Antiqua"/>
        </w:rPr>
        <w:t>Crivera</w:t>
      </w:r>
      <w:proofErr w:type="spellEnd"/>
      <w:r w:rsidRPr="00462B94">
        <w:rPr>
          <w:rFonts w:ascii="Book Antiqua" w:hAnsi="Book Antiqua"/>
        </w:rPr>
        <w:t xml:space="preserve"> C, </w:t>
      </w:r>
      <w:proofErr w:type="spellStart"/>
      <w:r w:rsidRPr="00462B94">
        <w:rPr>
          <w:rFonts w:ascii="Book Antiqua" w:hAnsi="Book Antiqua"/>
        </w:rPr>
        <w:t>Mody</w:t>
      </w:r>
      <w:proofErr w:type="spellEnd"/>
      <w:r w:rsidRPr="00462B94">
        <w:rPr>
          <w:rFonts w:ascii="Book Antiqua" w:hAnsi="Book Antiqua"/>
        </w:rPr>
        <w:t xml:space="preserve"> SH. The economic impact of acute coronary syndrome on length of stay: an analysis using the Healthcare Cost and Utilization Project (HCUP) databases. </w:t>
      </w:r>
      <w:r w:rsidRPr="00462B94">
        <w:rPr>
          <w:rFonts w:ascii="Book Antiqua" w:hAnsi="Book Antiqua"/>
          <w:i/>
        </w:rPr>
        <w:t>J Med Econ</w:t>
      </w:r>
      <w:r w:rsidRPr="00462B94">
        <w:rPr>
          <w:rFonts w:ascii="Book Antiqua" w:hAnsi="Book Antiqua"/>
        </w:rPr>
        <w:t xml:space="preserve"> 2014; </w:t>
      </w:r>
      <w:r w:rsidRPr="00462B94">
        <w:rPr>
          <w:rFonts w:ascii="Book Antiqua" w:hAnsi="Book Antiqua"/>
          <w:b/>
        </w:rPr>
        <w:t>17</w:t>
      </w:r>
      <w:r w:rsidRPr="00462B94">
        <w:rPr>
          <w:rFonts w:ascii="Book Antiqua" w:hAnsi="Book Antiqua"/>
        </w:rPr>
        <w:t>: 191-197 [PMID: 24451040 DOI: 10.3111/13696998.2014.885907]</w:t>
      </w:r>
    </w:p>
    <w:p w14:paraId="08FEA2FA"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25 </w:t>
      </w:r>
      <w:r w:rsidRPr="00462B94">
        <w:rPr>
          <w:rFonts w:ascii="Book Antiqua" w:hAnsi="Book Antiqua"/>
          <w:b/>
        </w:rPr>
        <w:t>Kim SY</w:t>
      </w:r>
      <w:r w:rsidRPr="00462B94">
        <w:rPr>
          <w:rFonts w:ascii="Book Antiqua" w:hAnsi="Book Antiqua"/>
        </w:rPr>
        <w:t xml:space="preserve">, Guevara JP, Kim KM, Choi HK, </w:t>
      </w:r>
      <w:proofErr w:type="spellStart"/>
      <w:r w:rsidRPr="00462B94">
        <w:rPr>
          <w:rFonts w:ascii="Book Antiqua" w:hAnsi="Book Antiqua"/>
        </w:rPr>
        <w:t>Heitjan</w:t>
      </w:r>
      <w:proofErr w:type="spellEnd"/>
      <w:r w:rsidRPr="00462B94">
        <w:rPr>
          <w:rFonts w:ascii="Book Antiqua" w:hAnsi="Book Antiqua"/>
        </w:rPr>
        <w:t xml:space="preserve"> DF, Albert DA. Hyperuricemia and coronary heart disease: a systematic review and meta-analysis. </w:t>
      </w:r>
      <w:r w:rsidRPr="00462B94">
        <w:rPr>
          <w:rFonts w:ascii="Book Antiqua" w:hAnsi="Book Antiqua"/>
          <w:i/>
        </w:rPr>
        <w:t>Arthritis Care Res (Hoboken)</w:t>
      </w:r>
      <w:r w:rsidRPr="00462B94">
        <w:rPr>
          <w:rFonts w:ascii="Book Antiqua" w:hAnsi="Book Antiqua"/>
        </w:rPr>
        <w:t xml:space="preserve"> 2010; </w:t>
      </w:r>
      <w:r w:rsidRPr="00462B94">
        <w:rPr>
          <w:rFonts w:ascii="Book Antiqua" w:hAnsi="Book Antiqua"/>
          <w:b/>
        </w:rPr>
        <w:t>62</w:t>
      </w:r>
      <w:r w:rsidRPr="00462B94">
        <w:rPr>
          <w:rFonts w:ascii="Book Antiqua" w:hAnsi="Book Antiqua"/>
        </w:rPr>
        <w:t>: 170-180 [PMID: 20191515 DOI: 10.1002/acr.20065]</w:t>
      </w:r>
    </w:p>
    <w:p w14:paraId="2BBEFC21"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26 </w:t>
      </w:r>
      <w:r w:rsidRPr="00462B94">
        <w:rPr>
          <w:rFonts w:ascii="Book Antiqua" w:hAnsi="Book Antiqua"/>
          <w:b/>
        </w:rPr>
        <w:t>Choi HK</w:t>
      </w:r>
      <w:r w:rsidRPr="00462B94">
        <w:rPr>
          <w:rFonts w:ascii="Book Antiqua" w:hAnsi="Book Antiqua"/>
        </w:rPr>
        <w:t xml:space="preserve">, </w:t>
      </w:r>
      <w:proofErr w:type="spellStart"/>
      <w:r w:rsidRPr="00462B94">
        <w:rPr>
          <w:rFonts w:ascii="Book Antiqua" w:hAnsi="Book Antiqua"/>
        </w:rPr>
        <w:t>Curhan</w:t>
      </w:r>
      <w:proofErr w:type="spellEnd"/>
      <w:r w:rsidRPr="00462B94">
        <w:rPr>
          <w:rFonts w:ascii="Book Antiqua" w:hAnsi="Book Antiqua"/>
        </w:rPr>
        <w:t xml:space="preserve"> G. Independent impact of gout on mortality and risk for coronary heart disease. </w:t>
      </w:r>
      <w:r w:rsidRPr="00462B94">
        <w:rPr>
          <w:rFonts w:ascii="Book Antiqua" w:hAnsi="Book Antiqua"/>
          <w:i/>
        </w:rPr>
        <w:t>Circulation</w:t>
      </w:r>
      <w:r w:rsidRPr="00462B94">
        <w:rPr>
          <w:rFonts w:ascii="Book Antiqua" w:hAnsi="Book Antiqua"/>
        </w:rPr>
        <w:t xml:space="preserve"> 2007; </w:t>
      </w:r>
      <w:r w:rsidRPr="00462B94">
        <w:rPr>
          <w:rFonts w:ascii="Book Antiqua" w:hAnsi="Book Antiqua"/>
          <w:b/>
        </w:rPr>
        <w:t>116</w:t>
      </w:r>
      <w:r w:rsidRPr="00462B94">
        <w:rPr>
          <w:rFonts w:ascii="Book Antiqua" w:hAnsi="Book Antiqua"/>
        </w:rPr>
        <w:t>: 894-900 [PMID: 17698728 DOI: 10.1161/CIRCULATIONAHA.107.703389]</w:t>
      </w:r>
    </w:p>
    <w:p w14:paraId="58DB5760"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27 </w:t>
      </w:r>
      <w:r w:rsidRPr="00462B94">
        <w:rPr>
          <w:rFonts w:ascii="Book Antiqua" w:hAnsi="Book Antiqua"/>
          <w:b/>
        </w:rPr>
        <w:t>Krishnan E</w:t>
      </w:r>
      <w:r w:rsidRPr="00462B94">
        <w:rPr>
          <w:rFonts w:ascii="Book Antiqua" w:hAnsi="Book Antiqua"/>
        </w:rPr>
        <w:t xml:space="preserve">, Svendsen K, </w:t>
      </w:r>
      <w:proofErr w:type="spellStart"/>
      <w:r w:rsidRPr="00462B94">
        <w:rPr>
          <w:rFonts w:ascii="Book Antiqua" w:hAnsi="Book Antiqua"/>
        </w:rPr>
        <w:t>Neaton</w:t>
      </w:r>
      <w:proofErr w:type="spellEnd"/>
      <w:r w:rsidRPr="00462B94">
        <w:rPr>
          <w:rFonts w:ascii="Book Antiqua" w:hAnsi="Book Antiqua"/>
        </w:rPr>
        <w:t xml:space="preserve"> JD, </w:t>
      </w:r>
      <w:proofErr w:type="spellStart"/>
      <w:r w:rsidRPr="00462B94">
        <w:rPr>
          <w:rFonts w:ascii="Book Antiqua" w:hAnsi="Book Antiqua"/>
        </w:rPr>
        <w:t>Grandits</w:t>
      </w:r>
      <w:proofErr w:type="spellEnd"/>
      <w:r w:rsidRPr="00462B94">
        <w:rPr>
          <w:rFonts w:ascii="Book Antiqua" w:hAnsi="Book Antiqua"/>
        </w:rPr>
        <w:t xml:space="preserve"> G, </w:t>
      </w:r>
      <w:proofErr w:type="spellStart"/>
      <w:r w:rsidRPr="00462B94">
        <w:rPr>
          <w:rFonts w:ascii="Book Antiqua" w:hAnsi="Book Antiqua"/>
        </w:rPr>
        <w:t>Kuller</w:t>
      </w:r>
      <w:proofErr w:type="spellEnd"/>
      <w:r w:rsidRPr="00462B94">
        <w:rPr>
          <w:rFonts w:ascii="Book Antiqua" w:hAnsi="Book Antiqua"/>
        </w:rPr>
        <w:t xml:space="preserve"> LH; MRFIT Research Group. Long-term cardiovascular mortality among middle-aged men with gout. </w:t>
      </w:r>
      <w:r w:rsidRPr="00462B94">
        <w:rPr>
          <w:rFonts w:ascii="Book Antiqua" w:hAnsi="Book Antiqua"/>
          <w:i/>
        </w:rPr>
        <w:t>Arch Intern Med</w:t>
      </w:r>
      <w:r w:rsidRPr="00462B94">
        <w:rPr>
          <w:rFonts w:ascii="Book Antiqua" w:hAnsi="Book Antiqua"/>
        </w:rPr>
        <w:t xml:space="preserve"> 2008; </w:t>
      </w:r>
      <w:r w:rsidRPr="00462B94">
        <w:rPr>
          <w:rFonts w:ascii="Book Antiqua" w:hAnsi="Book Antiqua"/>
          <w:b/>
        </w:rPr>
        <w:t>168</w:t>
      </w:r>
      <w:r w:rsidRPr="00462B94">
        <w:rPr>
          <w:rFonts w:ascii="Book Antiqua" w:hAnsi="Book Antiqua"/>
        </w:rPr>
        <w:t>: 1104-1110 [PMID: 18504339 DOI: 10.1001/archinte.168.10.1104]</w:t>
      </w:r>
    </w:p>
    <w:p w14:paraId="71B3F276"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28 </w:t>
      </w:r>
      <w:r w:rsidRPr="00462B94">
        <w:rPr>
          <w:rFonts w:ascii="Book Antiqua" w:hAnsi="Book Antiqua"/>
          <w:b/>
        </w:rPr>
        <w:t>De Vera MA</w:t>
      </w:r>
      <w:r w:rsidRPr="00462B94">
        <w:rPr>
          <w:rFonts w:ascii="Book Antiqua" w:hAnsi="Book Antiqua"/>
        </w:rPr>
        <w:t xml:space="preserve">, Rahman MM, </w:t>
      </w:r>
      <w:proofErr w:type="spellStart"/>
      <w:r w:rsidRPr="00462B94">
        <w:rPr>
          <w:rFonts w:ascii="Book Antiqua" w:hAnsi="Book Antiqua"/>
        </w:rPr>
        <w:t>Bhole</w:t>
      </w:r>
      <w:proofErr w:type="spellEnd"/>
      <w:r w:rsidRPr="00462B94">
        <w:rPr>
          <w:rFonts w:ascii="Book Antiqua" w:hAnsi="Book Antiqua"/>
        </w:rPr>
        <w:t xml:space="preserve"> V, </w:t>
      </w:r>
      <w:proofErr w:type="spellStart"/>
      <w:r w:rsidRPr="00462B94">
        <w:rPr>
          <w:rFonts w:ascii="Book Antiqua" w:hAnsi="Book Antiqua"/>
        </w:rPr>
        <w:t>Kopec</w:t>
      </w:r>
      <w:proofErr w:type="spellEnd"/>
      <w:r w:rsidRPr="00462B94">
        <w:rPr>
          <w:rFonts w:ascii="Book Antiqua" w:hAnsi="Book Antiqua"/>
        </w:rPr>
        <w:t xml:space="preserve"> JA, Choi HK. Independent impact of gout on the risk of acute myocardial infarction among elderly women: a population-based study. </w:t>
      </w:r>
      <w:r w:rsidRPr="00462B94">
        <w:rPr>
          <w:rFonts w:ascii="Book Antiqua" w:hAnsi="Book Antiqua"/>
          <w:i/>
        </w:rPr>
        <w:t>Ann Rheum Dis</w:t>
      </w:r>
      <w:r w:rsidRPr="00462B94">
        <w:rPr>
          <w:rFonts w:ascii="Book Antiqua" w:hAnsi="Book Antiqua"/>
        </w:rPr>
        <w:t xml:space="preserve"> 2010; </w:t>
      </w:r>
      <w:r w:rsidRPr="00462B94">
        <w:rPr>
          <w:rFonts w:ascii="Book Antiqua" w:hAnsi="Book Antiqua"/>
          <w:b/>
        </w:rPr>
        <w:t>69</w:t>
      </w:r>
      <w:r w:rsidRPr="00462B94">
        <w:rPr>
          <w:rFonts w:ascii="Book Antiqua" w:hAnsi="Book Antiqua"/>
        </w:rPr>
        <w:t>: 1162-1164 [PMID: 20124358 DOI: 10.1136/ard.2009.122770]</w:t>
      </w:r>
    </w:p>
    <w:p w14:paraId="1F698AFC"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29 </w:t>
      </w:r>
      <w:proofErr w:type="spellStart"/>
      <w:r w:rsidRPr="00462B94">
        <w:rPr>
          <w:rFonts w:ascii="Book Antiqua" w:hAnsi="Book Antiqua"/>
          <w:b/>
        </w:rPr>
        <w:t>Ndrepepa</w:t>
      </w:r>
      <w:proofErr w:type="spellEnd"/>
      <w:r w:rsidRPr="00462B94">
        <w:rPr>
          <w:rFonts w:ascii="Book Antiqua" w:hAnsi="Book Antiqua"/>
          <w:b/>
        </w:rPr>
        <w:t xml:space="preserve"> G</w:t>
      </w:r>
      <w:r w:rsidRPr="00462B94">
        <w:rPr>
          <w:rFonts w:ascii="Book Antiqua" w:hAnsi="Book Antiqua"/>
        </w:rPr>
        <w:t xml:space="preserve">, Braun S, </w:t>
      </w:r>
      <w:proofErr w:type="spellStart"/>
      <w:r w:rsidRPr="00462B94">
        <w:rPr>
          <w:rFonts w:ascii="Book Antiqua" w:hAnsi="Book Antiqua"/>
        </w:rPr>
        <w:t>Haase</w:t>
      </w:r>
      <w:proofErr w:type="spellEnd"/>
      <w:r w:rsidRPr="00462B94">
        <w:rPr>
          <w:rFonts w:ascii="Book Antiqua" w:hAnsi="Book Antiqua"/>
        </w:rPr>
        <w:t xml:space="preserve"> HU, Schulz S, </w:t>
      </w:r>
      <w:proofErr w:type="spellStart"/>
      <w:r w:rsidRPr="00462B94">
        <w:rPr>
          <w:rFonts w:ascii="Book Antiqua" w:hAnsi="Book Antiqua"/>
        </w:rPr>
        <w:t>Ranftl</w:t>
      </w:r>
      <w:proofErr w:type="spellEnd"/>
      <w:r w:rsidRPr="00462B94">
        <w:rPr>
          <w:rFonts w:ascii="Book Antiqua" w:hAnsi="Book Antiqua"/>
        </w:rPr>
        <w:t xml:space="preserve"> S, </w:t>
      </w:r>
      <w:proofErr w:type="spellStart"/>
      <w:r w:rsidRPr="00462B94">
        <w:rPr>
          <w:rFonts w:ascii="Book Antiqua" w:hAnsi="Book Antiqua"/>
        </w:rPr>
        <w:t>Hadamitzky</w:t>
      </w:r>
      <w:proofErr w:type="spellEnd"/>
      <w:r w:rsidRPr="00462B94">
        <w:rPr>
          <w:rFonts w:ascii="Book Antiqua" w:hAnsi="Book Antiqua"/>
        </w:rPr>
        <w:t xml:space="preserve"> M, </w:t>
      </w:r>
      <w:proofErr w:type="spellStart"/>
      <w:r w:rsidRPr="00462B94">
        <w:rPr>
          <w:rFonts w:ascii="Book Antiqua" w:hAnsi="Book Antiqua"/>
        </w:rPr>
        <w:t>Mehilli</w:t>
      </w:r>
      <w:proofErr w:type="spellEnd"/>
      <w:r w:rsidRPr="00462B94">
        <w:rPr>
          <w:rFonts w:ascii="Book Antiqua" w:hAnsi="Book Antiqua"/>
        </w:rPr>
        <w:t xml:space="preserve"> J, </w:t>
      </w:r>
      <w:proofErr w:type="spellStart"/>
      <w:r w:rsidRPr="00462B94">
        <w:rPr>
          <w:rFonts w:ascii="Book Antiqua" w:hAnsi="Book Antiqua"/>
        </w:rPr>
        <w:t>Schömig</w:t>
      </w:r>
      <w:proofErr w:type="spellEnd"/>
      <w:r w:rsidRPr="00462B94">
        <w:rPr>
          <w:rFonts w:ascii="Book Antiqua" w:hAnsi="Book Antiqua"/>
        </w:rPr>
        <w:t xml:space="preserve"> A, </w:t>
      </w:r>
      <w:proofErr w:type="spellStart"/>
      <w:r w:rsidRPr="00462B94">
        <w:rPr>
          <w:rFonts w:ascii="Book Antiqua" w:hAnsi="Book Antiqua"/>
        </w:rPr>
        <w:t>Kastrati</w:t>
      </w:r>
      <w:proofErr w:type="spellEnd"/>
      <w:r w:rsidRPr="00462B94">
        <w:rPr>
          <w:rFonts w:ascii="Book Antiqua" w:hAnsi="Book Antiqua"/>
        </w:rPr>
        <w:t xml:space="preserve"> A. Prognostic value of uric acid in patients with acute coronary syndromes. </w:t>
      </w:r>
      <w:r w:rsidRPr="00462B94">
        <w:rPr>
          <w:rFonts w:ascii="Book Antiqua" w:hAnsi="Book Antiqua"/>
          <w:i/>
        </w:rPr>
        <w:t>Am J Cardiol</w:t>
      </w:r>
      <w:r w:rsidRPr="00462B94">
        <w:rPr>
          <w:rFonts w:ascii="Book Antiqua" w:hAnsi="Book Antiqua"/>
        </w:rPr>
        <w:t xml:space="preserve"> 2012; </w:t>
      </w:r>
      <w:r w:rsidRPr="00462B94">
        <w:rPr>
          <w:rFonts w:ascii="Book Antiqua" w:hAnsi="Book Antiqua"/>
          <w:b/>
        </w:rPr>
        <w:t>109</w:t>
      </w:r>
      <w:r w:rsidRPr="00462B94">
        <w:rPr>
          <w:rFonts w:ascii="Book Antiqua" w:hAnsi="Book Antiqua"/>
        </w:rPr>
        <w:t>: 1260-1265 [PMID: 22325088 DOI: 10.1016/j.amjcard.2011.12.018]</w:t>
      </w:r>
    </w:p>
    <w:p w14:paraId="2F05B19A" w14:textId="1775F829" w:rsidR="007942F9" w:rsidRPr="00462B94" w:rsidRDefault="007942F9" w:rsidP="00462B94">
      <w:pPr>
        <w:spacing w:line="360" w:lineRule="auto"/>
        <w:jc w:val="both"/>
        <w:rPr>
          <w:rFonts w:ascii="Book Antiqua" w:hAnsi="Book Antiqua"/>
        </w:rPr>
      </w:pPr>
      <w:r w:rsidRPr="00462B94">
        <w:rPr>
          <w:rFonts w:ascii="Book Antiqua" w:hAnsi="Book Antiqua"/>
        </w:rPr>
        <w:lastRenderedPageBreak/>
        <w:t xml:space="preserve">30 </w:t>
      </w:r>
      <w:r w:rsidRPr="00462B94">
        <w:rPr>
          <w:rFonts w:ascii="Book Antiqua" w:hAnsi="Book Antiqua"/>
          <w:b/>
        </w:rPr>
        <w:t>Li Z</w:t>
      </w:r>
      <w:r w:rsidRPr="00462B94">
        <w:rPr>
          <w:rFonts w:ascii="Book Antiqua" w:hAnsi="Book Antiqua"/>
        </w:rPr>
        <w:t xml:space="preserve">, Guo X, Liu Y, Chang Y, Sun Y, Zhu G, Abraham MR. The Relation of Moderate Alcohol Consumption to Hyperuricemia in a Rural General Population. </w:t>
      </w:r>
      <w:r w:rsidRPr="00462B94">
        <w:rPr>
          <w:rFonts w:ascii="Book Antiqua" w:hAnsi="Book Antiqua"/>
          <w:i/>
        </w:rPr>
        <w:t>Int J Environ Res Public Health</w:t>
      </w:r>
      <w:r w:rsidRPr="00462B94">
        <w:rPr>
          <w:rFonts w:ascii="Book Antiqua" w:hAnsi="Book Antiqua"/>
        </w:rPr>
        <w:t xml:space="preserve"> 2016; </w:t>
      </w:r>
      <w:r w:rsidRPr="00462B94">
        <w:rPr>
          <w:rFonts w:ascii="Book Antiqua" w:hAnsi="Book Antiqua"/>
          <w:b/>
        </w:rPr>
        <w:t>13</w:t>
      </w:r>
      <w:r w:rsidRPr="00462B94">
        <w:rPr>
          <w:rFonts w:ascii="Book Antiqua" w:hAnsi="Book Antiqua"/>
        </w:rPr>
        <w:t xml:space="preserve">: </w:t>
      </w:r>
      <w:proofErr w:type="spellStart"/>
      <w:r w:rsidR="000D2E6F" w:rsidRPr="00462B94">
        <w:rPr>
          <w:rFonts w:ascii="Book Antiqua" w:hAnsi="Book Antiqua"/>
        </w:rPr>
        <w:t>pii</w:t>
      </w:r>
      <w:proofErr w:type="spellEnd"/>
      <w:r w:rsidR="000D2E6F" w:rsidRPr="00462B94">
        <w:rPr>
          <w:rFonts w:ascii="Book Antiqua" w:hAnsi="Book Antiqua"/>
        </w:rPr>
        <w:t>: E732</w:t>
      </w:r>
      <w:r w:rsidRPr="00462B94">
        <w:rPr>
          <w:rFonts w:ascii="Book Antiqua" w:hAnsi="Book Antiqua"/>
        </w:rPr>
        <w:t xml:space="preserve"> [PMID: 27447659 DOI: 10.3390/ijerph13070732]</w:t>
      </w:r>
    </w:p>
    <w:p w14:paraId="087B2270"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31 </w:t>
      </w:r>
      <w:r w:rsidRPr="00462B94">
        <w:rPr>
          <w:rFonts w:ascii="Book Antiqua" w:hAnsi="Book Antiqua"/>
          <w:b/>
        </w:rPr>
        <w:t>Peng TC</w:t>
      </w:r>
      <w:r w:rsidRPr="00462B94">
        <w:rPr>
          <w:rFonts w:ascii="Book Antiqua" w:hAnsi="Book Antiqua"/>
        </w:rPr>
        <w:t xml:space="preserve">, Wang CC, Kao TW, Chan JY, Yang YH, Chang YW, Chen WL. Relationship between hyperuricemia and lipid profiles in US adults. </w:t>
      </w:r>
      <w:r w:rsidRPr="00462B94">
        <w:rPr>
          <w:rFonts w:ascii="Book Antiqua" w:hAnsi="Book Antiqua"/>
          <w:i/>
        </w:rPr>
        <w:t>Biomed Res Int</w:t>
      </w:r>
      <w:r w:rsidRPr="00462B94">
        <w:rPr>
          <w:rFonts w:ascii="Book Antiqua" w:hAnsi="Book Antiqua"/>
        </w:rPr>
        <w:t xml:space="preserve"> 2015; </w:t>
      </w:r>
      <w:r w:rsidRPr="00462B94">
        <w:rPr>
          <w:rFonts w:ascii="Book Antiqua" w:hAnsi="Book Antiqua"/>
          <w:b/>
        </w:rPr>
        <w:t>2015</w:t>
      </w:r>
      <w:r w:rsidRPr="00462B94">
        <w:rPr>
          <w:rFonts w:ascii="Book Antiqua" w:hAnsi="Book Antiqua"/>
        </w:rPr>
        <w:t>: 127596 [PMID: 25629033 DOI: 10.1155/2015/127596]</w:t>
      </w:r>
    </w:p>
    <w:p w14:paraId="76E4CCB8"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32 </w:t>
      </w:r>
      <w:proofErr w:type="spellStart"/>
      <w:r w:rsidRPr="00462B94">
        <w:rPr>
          <w:rFonts w:ascii="Book Antiqua" w:hAnsi="Book Antiqua"/>
          <w:b/>
        </w:rPr>
        <w:t>Kanellis</w:t>
      </w:r>
      <w:proofErr w:type="spellEnd"/>
      <w:r w:rsidRPr="00462B94">
        <w:rPr>
          <w:rFonts w:ascii="Book Antiqua" w:hAnsi="Book Antiqua"/>
          <w:b/>
        </w:rPr>
        <w:t xml:space="preserve"> J</w:t>
      </w:r>
      <w:r w:rsidRPr="00462B94">
        <w:rPr>
          <w:rFonts w:ascii="Book Antiqua" w:hAnsi="Book Antiqua"/>
        </w:rPr>
        <w:t xml:space="preserve">, Kang DH. Uric acid as a mediator of endothelial dysfunction, inflammation, and vascular disease. </w:t>
      </w:r>
      <w:proofErr w:type="spellStart"/>
      <w:r w:rsidRPr="00462B94">
        <w:rPr>
          <w:rFonts w:ascii="Book Antiqua" w:hAnsi="Book Antiqua"/>
          <w:i/>
        </w:rPr>
        <w:t>Semin</w:t>
      </w:r>
      <w:proofErr w:type="spellEnd"/>
      <w:r w:rsidRPr="00462B94">
        <w:rPr>
          <w:rFonts w:ascii="Book Antiqua" w:hAnsi="Book Antiqua"/>
          <w:i/>
        </w:rPr>
        <w:t xml:space="preserve"> </w:t>
      </w:r>
      <w:proofErr w:type="spellStart"/>
      <w:r w:rsidRPr="00462B94">
        <w:rPr>
          <w:rFonts w:ascii="Book Antiqua" w:hAnsi="Book Antiqua"/>
          <w:i/>
        </w:rPr>
        <w:t>Nephrol</w:t>
      </w:r>
      <w:proofErr w:type="spellEnd"/>
      <w:r w:rsidRPr="00462B94">
        <w:rPr>
          <w:rFonts w:ascii="Book Antiqua" w:hAnsi="Book Antiqua"/>
        </w:rPr>
        <w:t xml:space="preserve"> 2005; </w:t>
      </w:r>
      <w:r w:rsidRPr="00462B94">
        <w:rPr>
          <w:rFonts w:ascii="Book Antiqua" w:hAnsi="Book Antiqua"/>
          <w:b/>
        </w:rPr>
        <w:t>25</w:t>
      </w:r>
      <w:r w:rsidRPr="00462B94">
        <w:rPr>
          <w:rFonts w:ascii="Book Antiqua" w:hAnsi="Book Antiqua"/>
        </w:rPr>
        <w:t>: 39-42 [PMID: 15660333 DOI: 10.1016/j.semnephrol.2004.09.007]</w:t>
      </w:r>
    </w:p>
    <w:p w14:paraId="428EAB3A"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33 </w:t>
      </w:r>
      <w:r w:rsidRPr="00462B94">
        <w:rPr>
          <w:rFonts w:ascii="Book Antiqua" w:hAnsi="Book Antiqua"/>
          <w:b/>
        </w:rPr>
        <w:t>Feig DI</w:t>
      </w:r>
      <w:r w:rsidRPr="00462B94">
        <w:rPr>
          <w:rFonts w:ascii="Book Antiqua" w:hAnsi="Book Antiqua"/>
        </w:rPr>
        <w:t xml:space="preserve">, Kang DH, Johnson RJ. Uric acid and cardiovascular risk. </w:t>
      </w:r>
      <w:r w:rsidRPr="00462B94">
        <w:rPr>
          <w:rFonts w:ascii="Book Antiqua" w:hAnsi="Book Antiqua"/>
          <w:i/>
        </w:rPr>
        <w:t>N Engl J Med</w:t>
      </w:r>
      <w:r w:rsidRPr="00462B94">
        <w:rPr>
          <w:rFonts w:ascii="Book Antiqua" w:hAnsi="Book Antiqua"/>
        </w:rPr>
        <w:t xml:space="preserve"> 2008; </w:t>
      </w:r>
      <w:r w:rsidRPr="00462B94">
        <w:rPr>
          <w:rFonts w:ascii="Book Antiqua" w:hAnsi="Book Antiqua"/>
          <w:b/>
        </w:rPr>
        <w:t>359</w:t>
      </w:r>
      <w:r w:rsidRPr="00462B94">
        <w:rPr>
          <w:rFonts w:ascii="Book Antiqua" w:hAnsi="Book Antiqua"/>
        </w:rPr>
        <w:t>: 1811-1821 [PMID: 18946066 DOI: 10.1056/NEJMra0800885]</w:t>
      </w:r>
    </w:p>
    <w:p w14:paraId="764B97A0"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34 </w:t>
      </w:r>
      <w:r w:rsidRPr="00462B94">
        <w:rPr>
          <w:rFonts w:ascii="Book Antiqua" w:hAnsi="Book Antiqua"/>
          <w:b/>
        </w:rPr>
        <w:t>Johnson RJ</w:t>
      </w:r>
      <w:r w:rsidRPr="00462B94">
        <w:rPr>
          <w:rFonts w:ascii="Book Antiqua" w:hAnsi="Book Antiqua"/>
        </w:rPr>
        <w:t xml:space="preserve">, Kang DH, Feig D, </w:t>
      </w:r>
      <w:proofErr w:type="spellStart"/>
      <w:r w:rsidRPr="00462B94">
        <w:rPr>
          <w:rFonts w:ascii="Book Antiqua" w:hAnsi="Book Antiqua"/>
        </w:rPr>
        <w:t>Kivlighn</w:t>
      </w:r>
      <w:proofErr w:type="spellEnd"/>
      <w:r w:rsidRPr="00462B94">
        <w:rPr>
          <w:rFonts w:ascii="Book Antiqua" w:hAnsi="Book Antiqua"/>
        </w:rPr>
        <w:t xml:space="preserve"> S, </w:t>
      </w:r>
      <w:proofErr w:type="spellStart"/>
      <w:r w:rsidRPr="00462B94">
        <w:rPr>
          <w:rFonts w:ascii="Book Antiqua" w:hAnsi="Book Antiqua"/>
        </w:rPr>
        <w:t>Kanellis</w:t>
      </w:r>
      <w:proofErr w:type="spellEnd"/>
      <w:r w:rsidRPr="00462B94">
        <w:rPr>
          <w:rFonts w:ascii="Book Antiqua" w:hAnsi="Book Antiqua"/>
        </w:rPr>
        <w:t xml:space="preserve"> J, Watanabe S, Tuttle KR, Rodriguez-</w:t>
      </w:r>
      <w:proofErr w:type="spellStart"/>
      <w:r w:rsidRPr="00462B94">
        <w:rPr>
          <w:rFonts w:ascii="Book Antiqua" w:hAnsi="Book Antiqua"/>
        </w:rPr>
        <w:t>Iturbe</w:t>
      </w:r>
      <w:proofErr w:type="spellEnd"/>
      <w:r w:rsidRPr="00462B94">
        <w:rPr>
          <w:rFonts w:ascii="Book Antiqua" w:hAnsi="Book Antiqua"/>
        </w:rPr>
        <w:t xml:space="preserve"> B, Herrera-Acosta J, </w:t>
      </w:r>
      <w:proofErr w:type="spellStart"/>
      <w:r w:rsidRPr="00462B94">
        <w:rPr>
          <w:rFonts w:ascii="Book Antiqua" w:hAnsi="Book Antiqua"/>
        </w:rPr>
        <w:t>Mazzali</w:t>
      </w:r>
      <w:proofErr w:type="spellEnd"/>
      <w:r w:rsidRPr="00462B94">
        <w:rPr>
          <w:rFonts w:ascii="Book Antiqua" w:hAnsi="Book Antiqua"/>
        </w:rPr>
        <w:t xml:space="preserve"> M. Is there a pathogenetic role for uric acid in hypertension and cardiovascular and renal disease? </w:t>
      </w:r>
      <w:r w:rsidRPr="00462B94">
        <w:rPr>
          <w:rFonts w:ascii="Book Antiqua" w:hAnsi="Book Antiqua"/>
          <w:i/>
        </w:rPr>
        <w:t>Hypertension</w:t>
      </w:r>
      <w:r w:rsidRPr="00462B94">
        <w:rPr>
          <w:rFonts w:ascii="Book Antiqua" w:hAnsi="Book Antiqua"/>
        </w:rPr>
        <w:t xml:space="preserve"> 2003; </w:t>
      </w:r>
      <w:r w:rsidRPr="00462B94">
        <w:rPr>
          <w:rFonts w:ascii="Book Antiqua" w:hAnsi="Book Antiqua"/>
          <w:b/>
        </w:rPr>
        <w:t>41</w:t>
      </w:r>
      <w:r w:rsidRPr="00462B94">
        <w:rPr>
          <w:rFonts w:ascii="Book Antiqua" w:hAnsi="Book Antiqua"/>
        </w:rPr>
        <w:t>: 1183-1190 [PMID: 12707287 DOI: 10.1161/01.HYP.</w:t>
      </w:r>
      <w:proofErr w:type="gramStart"/>
      <w:r w:rsidRPr="00462B94">
        <w:rPr>
          <w:rFonts w:ascii="Book Antiqua" w:hAnsi="Book Antiqua"/>
        </w:rPr>
        <w:t>0000069700.62727.C</w:t>
      </w:r>
      <w:proofErr w:type="gramEnd"/>
      <w:r w:rsidRPr="00462B94">
        <w:rPr>
          <w:rFonts w:ascii="Book Antiqua" w:hAnsi="Book Antiqua"/>
        </w:rPr>
        <w:t>5]</w:t>
      </w:r>
    </w:p>
    <w:p w14:paraId="4D04C0DF"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35 </w:t>
      </w:r>
      <w:proofErr w:type="spellStart"/>
      <w:r w:rsidRPr="00462B94">
        <w:rPr>
          <w:rFonts w:ascii="Book Antiqua" w:hAnsi="Book Antiqua"/>
          <w:b/>
        </w:rPr>
        <w:t>Kuo</w:t>
      </w:r>
      <w:proofErr w:type="spellEnd"/>
      <w:r w:rsidRPr="00462B94">
        <w:rPr>
          <w:rFonts w:ascii="Book Antiqua" w:hAnsi="Book Antiqua"/>
          <w:b/>
        </w:rPr>
        <w:t xml:space="preserve"> CF</w:t>
      </w:r>
      <w:r w:rsidRPr="00462B94">
        <w:rPr>
          <w:rFonts w:ascii="Book Antiqua" w:hAnsi="Book Antiqua"/>
        </w:rPr>
        <w:t xml:space="preserve">, See LC, Luo SF, Ko YS, Lin YS, Hwang JS, Lin CM, Chen HW, Yu KH. Gout: an independent risk factor for all-cause and cardiovascular mortality. </w:t>
      </w:r>
      <w:r w:rsidRPr="00462B94">
        <w:rPr>
          <w:rFonts w:ascii="Book Antiqua" w:hAnsi="Book Antiqua"/>
          <w:i/>
        </w:rPr>
        <w:t xml:space="preserve">Rheumatology </w:t>
      </w:r>
      <w:r w:rsidRPr="00462B94">
        <w:rPr>
          <w:rFonts w:ascii="Book Antiqua" w:hAnsi="Book Antiqua"/>
        </w:rPr>
        <w:t xml:space="preserve">(Oxford) 2010; </w:t>
      </w:r>
      <w:r w:rsidRPr="00462B94">
        <w:rPr>
          <w:rFonts w:ascii="Book Antiqua" w:hAnsi="Book Antiqua"/>
          <w:b/>
        </w:rPr>
        <w:t>49</w:t>
      </w:r>
      <w:r w:rsidRPr="00462B94">
        <w:rPr>
          <w:rFonts w:ascii="Book Antiqua" w:hAnsi="Book Antiqua"/>
        </w:rPr>
        <w:t>: 141-146 [PMID: 19933595 DOI: 10.1093/rheumatology/kep364]</w:t>
      </w:r>
    </w:p>
    <w:p w14:paraId="4A680CA5"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36 </w:t>
      </w:r>
      <w:r w:rsidRPr="00462B94">
        <w:rPr>
          <w:rFonts w:ascii="Book Antiqua" w:hAnsi="Book Antiqua"/>
          <w:b/>
        </w:rPr>
        <w:t>Stack AG</w:t>
      </w:r>
      <w:r w:rsidRPr="00462B94">
        <w:rPr>
          <w:rFonts w:ascii="Book Antiqua" w:hAnsi="Book Antiqua"/>
        </w:rPr>
        <w:t xml:space="preserve">, Hanley A, Casserly LF, Cronin CJ, Abdalla AA, Kiernan TJ, Murthy BV, Hegarty A, Hannigan A, Nguyen HT. Independent and conjoint associations of gout and </w:t>
      </w:r>
      <w:proofErr w:type="spellStart"/>
      <w:r w:rsidRPr="00462B94">
        <w:rPr>
          <w:rFonts w:ascii="Book Antiqua" w:hAnsi="Book Antiqua"/>
        </w:rPr>
        <w:t>hyperuricaemia</w:t>
      </w:r>
      <w:proofErr w:type="spellEnd"/>
      <w:r w:rsidRPr="00462B94">
        <w:rPr>
          <w:rFonts w:ascii="Book Antiqua" w:hAnsi="Book Antiqua"/>
        </w:rPr>
        <w:t xml:space="preserve"> with total and cardiovascular mortality. </w:t>
      </w:r>
      <w:r w:rsidRPr="00462B94">
        <w:rPr>
          <w:rFonts w:ascii="Book Antiqua" w:hAnsi="Book Antiqua"/>
          <w:i/>
        </w:rPr>
        <w:t>QJM</w:t>
      </w:r>
      <w:r w:rsidRPr="00462B94">
        <w:rPr>
          <w:rFonts w:ascii="Book Antiqua" w:hAnsi="Book Antiqua"/>
        </w:rPr>
        <w:t xml:space="preserve"> 2013; </w:t>
      </w:r>
      <w:r w:rsidRPr="00462B94">
        <w:rPr>
          <w:rFonts w:ascii="Book Antiqua" w:hAnsi="Book Antiqua"/>
          <w:b/>
        </w:rPr>
        <w:t>106</w:t>
      </w:r>
      <w:r w:rsidRPr="00462B94">
        <w:rPr>
          <w:rFonts w:ascii="Book Antiqua" w:hAnsi="Book Antiqua"/>
        </w:rPr>
        <w:t>: 647-658 [PMID: 23564632 DOI: 10.1093/</w:t>
      </w:r>
      <w:proofErr w:type="spellStart"/>
      <w:r w:rsidRPr="00462B94">
        <w:rPr>
          <w:rFonts w:ascii="Book Antiqua" w:hAnsi="Book Antiqua"/>
        </w:rPr>
        <w:t>qjmed</w:t>
      </w:r>
      <w:proofErr w:type="spellEnd"/>
      <w:r w:rsidRPr="00462B94">
        <w:rPr>
          <w:rFonts w:ascii="Book Antiqua" w:hAnsi="Book Antiqua"/>
        </w:rPr>
        <w:t>/hct083]</w:t>
      </w:r>
    </w:p>
    <w:p w14:paraId="14B9E36C"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37 </w:t>
      </w:r>
      <w:r w:rsidRPr="00462B94">
        <w:rPr>
          <w:rFonts w:ascii="Book Antiqua" w:hAnsi="Book Antiqua"/>
          <w:b/>
        </w:rPr>
        <w:t>Demir B</w:t>
      </w:r>
      <w:r w:rsidRPr="00462B94">
        <w:rPr>
          <w:rFonts w:ascii="Book Antiqua" w:hAnsi="Book Antiqua"/>
        </w:rPr>
        <w:t xml:space="preserve">, </w:t>
      </w:r>
      <w:proofErr w:type="spellStart"/>
      <w:r w:rsidRPr="00462B94">
        <w:rPr>
          <w:rFonts w:ascii="Book Antiqua" w:hAnsi="Book Antiqua"/>
        </w:rPr>
        <w:t>Caglar</w:t>
      </w:r>
      <w:proofErr w:type="spellEnd"/>
      <w:r w:rsidRPr="00462B94">
        <w:rPr>
          <w:rFonts w:ascii="Book Antiqua" w:hAnsi="Book Antiqua"/>
        </w:rPr>
        <w:t xml:space="preserve"> IM, </w:t>
      </w:r>
      <w:proofErr w:type="spellStart"/>
      <w:r w:rsidRPr="00462B94">
        <w:rPr>
          <w:rFonts w:ascii="Book Antiqua" w:hAnsi="Book Antiqua"/>
        </w:rPr>
        <w:t>Ugurlucan</w:t>
      </w:r>
      <w:proofErr w:type="spellEnd"/>
      <w:r w:rsidRPr="00462B94">
        <w:rPr>
          <w:rFonts w:ascii="Book Antiqua" w:hAnsi="Book Antiqua"/>
        </w:rPr>
        <w:t xml:space="preserve"> M, </w:t>
      </w:r>
      <w:proofErr w:type="spellStart"/>
      <w:r w:rsidRPr="00462B94">
        <w:rPr>
          <w:rFonts w:ascii="Book Antiqua" w:hAnsi="Book Antiqua"/>
        </w:rPr>
        <w:t>Ozde</w:t>
      </w:r>
      <w:proofErr w:type="spellEnd"/>
      <w:r w:rsidRPr="00462B94">
        <w:rPr>
          <w:rFonts w:ascii="Book Antiqua" w:hAnsi="Book Antiqua"/>
        </w:rPr>
        <w:t xml:space="preserve"> C, </w:t>
      </w:r>
      <w:proofErr w:type="spellStart"/>
      <w:r w:rsidRPr="00462B94">
        <w:rPr>
          <w:rFonts w:ascii="Book Antiqua" w:hAnsi="Book Antiqua"/>
        </w:rPr>
        <w:t>Tureli</w:t>
      </w:r>
      <w:proofErr w:type="spellEnd"/>
      <w:r w:rsidRPr="00462B94">
        <w:rPr>
          <w:rFonts w:ascii="Book Antiqua" w:hAnsi="Book Antiqua"/>
        </w:rPr>
        <w:t xml:space="preserve"> HO, </w:t>
      </w:r>
      <w:proofErr w:type="spellStart"/>
      <w:r w:rsidRPr="00462B94">
        <w:rPr>
          <w:rFonts w:ascii="Book Antiqua" w:hAnsi="Book Antiqua"/>
        </w:rPr>
        <w:t>Cifci</w:t>
      </w:r>
      <w:proofErr w:type="spellEnd"/>
      <w:r w:rsidRPr="00462B94">
        <w:rPr>
          <w:rFonts w:ascii="Book Antiqua" w:hAnsi="Book Antiqua"/>
        </w:rPr>
        <w:t xml:space="preserve"> S, </w:t>
      </w:r>
      <w:proofErr w:type="spellStart"/>
      <w:r w:rsidRPr="00462B94">
        <w:rPr>
          <w:rFonts w:ascii="Book Antiqua" w:hAnsi="Book Antiqua"/>
        </w:rPr>
        <w:t>Vural</w:t>
      </w:r>
      <w:proofErr w:type="spellEnd"/>
      <w:r w:rsidRPr="00462B94">
        <w:rPr>
          <w:rFonts w:ascii="Book Antiqua" w:hAnsi="Book Antiqua"/>
        </w:rPr>
        <w:t xml:space="preserve"> A, </w:t>
      </w:r>
      <w:proofErr w:type="spellStart"/>
      <w:r w:rsidRPr="00462B94">
        <w:rPr>
          <w:rFonts w:ascii="Book Antiqua" w:hAnsi="Book Antiqua"/>
        </w:rPr>
        <w:t>Karakaya</w:t>
      </w:r>
      <w:proofErr w:type="spellEnd"/>
      <w:r w:rsidRPr="00462B94">
        <w:rPr>
          <w:rFonts w:ascii="Book Antiqua" w:hAnsi="Book Antiqua"/>
        </w:rPr>
        <w:t xml:space="preserve"> O. The relationship between severity of calcific aortic stenosis and serum uric acid levels. </w:t>
      </w:r>
      <w:r w:rsidRPr="00462B94">
        <w:rPr>
          <w:rFonts w:ascii="Book Antiqua" w:hAnsi="Book Antiqua"/>
          <w:i/>
        </w:rPr>
        <w:t>Angiology</w:t>
      </w:r>
      <w:r w:rsidRPr="00462B94">
        <w:rPr>
          <w:rFonts w:ascii="Book Antiqua" w:hAnsi="Book Antiqua"/>
        </w:rPr>
        <w:t xml:space="preserve"> 2012; </w:t>
      </w:r>
      <w:r w:rsidRPr="00462B94">
        <w:rPr>
          <w:rFonts w:ascii="Book Antiqua" w:hAnsi="Book Antiqua"/>
          <w:b/>
        </w:rPr>
        <w:t>63</w:t>
      </w:r>
      <w:r w:rsidRPr="00462B94">
        <w:rPr>
          <w:rFonts w:ascii="Book Antiqua" w:hAnsi="Book Antiqua"/>
        </w:rPr>
        <w:t>: 603-608 [PMID: 22261436 DOI: 10.1177/0003319711433198]</w:t>
      </w:r>
    </w:p>
    <w:p w14:paraId="3A5652AB"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38 </w:t>
      </w:r>
      <w:proofErr w:type="spellStart"/>
      <w:r w:rsidRPr="00462B94">
        <w:rPr>
          <w:rFonts w:ascii="Book Antiqua" w:hAnsi="Book Antiqua"/>
          <w:b/>
        </w:rPr>
        <w:t>Misra</w:t>
      </w:r>
      <w:proofErr w:type="spellEnd"/>
      <w:r w:rsidRPr="00462B94">
        <w:rPr>
          <w:rFonts w:ascii="Book Antiqua" w:hAnsi="Book Antiqua"/>
          <w:b/>
        </w:rPr>
        <w:t xml:space="preserve"> D</w:t>
      </w:r>
      <w:r w:rsidRPr="00462B94">
        <w:rPr>
          <w:rFonts w:ascii="Book Antiqua" w:hAnsi="Book Antiqua"/>
        </w:rPr>
        <w:t xml:space="preserve">, Zhu Y, Zhang Y, Choi HK. The independent impact of congestive heart failure status and diuretic use on serum uric acid among men with a high cardiovascular risk profile: a prospective longitudinal study. </w:t>
      </w:r>
      <w:proofErr w:type="spellStart"/>
      <w:r w:rsidRPr="00462B94">
        <w:rPr>
          <w:rFonts w:ascii="Book Antiqua" w:hAnsi="Book Antiqua"/>
          <w:i/>
        </w:rPr>
        <w:t>Semin</w:t>
      </w:r>
      <w:proofErr w:type="spellEnd"/>
      <w:r w:rsidRPr="00462B94">
        <w:rPr>
          <w:rFonts w:ascii="Book Antiqua" w:hAnsi="Book Antiqua"/>
          <w:i/>
        </w:rPr>
        <w:t xml:space="preserve"> Arthritis Rheum</w:t>
      </w:r>
      <w:r w:rsidRPr="00462B94">
        <w:rPr>
          <w:rFonts w:ascii="Book Antiqua" w:hAnsi="Book Antiqua"/>
        </w:rPr>
        <w:t xml:space="preserve"> 2011; </w:t>
      </w:r>
      <w:r w:rsidRPr="00462B94">
        <w:rPr>
          <w:rFonts w:ascii="Book Antiqua" w:hAnsi="Book Antiqua"/>
          <w:b/>
        </w:rPr>
        <w:t>41</w:t>
      </w:r>
      <w:r w:rsidRPr="00462B94">
        <w:rPr>
          <w:rFonts w:ascii="Book Antiqua" w:hAnsi="Book Antiqua"/>
        </w:rPr>
        <w:t>: 471-476 [PMID: 21435695 DOI: 10.1016/j.semarthrit.2011.02.002]</w:t>
      </w:r>
    </w:p>
    <w:p w14:paraId="1CAE38F3" w14:textId="77777777" w:rsidR="007942F9" w:rsidRPr="00462B94" w:rsidRDefault="007942F9" w:rsidP="00462B94">
      <w:pPr>
        <w:spacing w:line="360" w:lineRule="auto"/>
        <w:jc w:val="both"/>
        <w:rPr>
          <w:rFonts w:ascii="Book Antiqua" w:hAnsi="Book Antiqua"/>
        </w:rPr>
      </w:pPr>
      <w:r w:rsidRPr="00462B94">
        <w:rPr>
          <w:rFonts w:ascii="Book Antiqua" w:hAnsi="Book Antiqua"/>
        </w:rPr>
        <w:lastRenderedPageBreak/>
        <w:t xml:space="preserve">39 </w:t>
      </w:r>
      <w:r w:rsidRPr="00462B94">
        <w:rPr>
          <w:rFonts w:ascii="Book Antiqua" w:hAnsi="Book Antiqua"/>
          <w:b/>
        </w:rPr>
        <w:t>Ejaz AA</w:t>
      </w:r>
      <w:r w:rsidRPr="00462B94">
        <w:rPr>
          <w:rFonts w:ascii="Book Antiqua" w:hAnsi="Book Antiqua"/>
        </w:rPr>
        <w:t xml:space="preserve">, </w:t>
      </w:r>
      <w:proofErr w:type="spellStart"/>
      <w:r w:rsidRPr="00462B94">
        <w:rPr>
          <w:rFonts w:ascii="Book Antiqua" w:hAnsi="Book Antiqua"/>
        </w:rPr>
        <w:t>Kambhampati</w:t>
      </w:r>
      <w:proofErr w:type="spellEnd"/>
      <w:r w:rsidRPr="00462B94">
        <w:rPr>
          <w:rFonts w:ascii="Book Antiqua" w:hAnsi="Book Antiqua"/>
        </w:rPr>
        <w:t xml:space="preserve"> G, Ejaz NI, </w:t>
      </w:r>
      <w:proofErr w:type="spellStart"/>
      <w:r w:rsidRPr="00462B94">
        <w:rPr>
          <w:rFonts w:ascii="Book Antiqua" w:hAnsi="Book Antiqua"/>
        </w:rPr>
        <w:t>Dass</w:t>
      </w:r>
      <w:proofErr w:type="spellEnd"/>
      <w:r w:rsidRPr="00462B94">
        <w:rPr>
          <w:rFonts w:ascii="Book Antiqua" w:hAnsi="Book Antiqua"/>
        </w:rPr>
        <w:t xml:space="preserve"> B, </w:t>
      </w:r>
      <w:proofErr w:type="spellStart"/>
      <w:r w:rsidRPr="00462B94">
        <w:rPr>
          <w:rFonts w:ascii="Book Antiqua" w:hAnsi="Book Antiqua"/>
        </w:rPr>
        <w:t>Lapsia</w:t>
      </w:r>
      <w:proofErr w:type="spellEnd"/>
      <w:r w:rsidRPr="00462B94">
        <w:rPr>
          <w:rFonts w:ascii="Book Antiqua" w:hAnsi="Book Antiqua"/>
        </w:rPr>
        <w:t xml:space="preserve"> V, </w:t>
      </w:r>
      <w:proofErr w:type="spellStart"/>
      <w:r w:rsidRPr="00462B94">
        <w:rPr>
          <w:rFonts w:ascii="Book Antiqua" w:hAnsi="Book Antiqua"/>
        </w:rPr>
        <w:t>Arif</w:t>
      </w:r>
      <w:proofErr w:type="spellEnd"/>
      <w:r w:rsidRPr="00462B94">
        <w:rPr>
          <w:rFonts w:ascii="Book Antiqua" w:hAnsi="Book Antiqua"/>
        </w:rPr>
        <w:t xml:space="preserve"> AA, </w:t>
      </w:r>
      <w:proofErr w:type="spellStart"/>
      <w:r w:rsidRPr="00462B94">
        <w:rPr>
          <w:rFonts w:ascii="Book Antiqua" w:hAnsi="Book Antiqua"/>
        </w:rPr>
        <w:t>Asmar</w:t>
      </w:r>
      <w:proofErr w:type="spellEnd"/>
      <w:r w:rsidRPr="00462B94">
        <w:rPr>
          <w:rFonts w:ascii="Book Antiqua" w:hAnsi="Book Antiqua"/>
        </w:rPr>
        <w:t xml:space="preserve"> A, Shimada M, </w:t>
      </w:r>
      <w:proofErr w:type="spellStart"/>
      <w:r w:rsidRPr="00462B94">
        <w:rPr>
          <w:rFonts w:ascii="Book Antiqua" w:hAnsi="Book Antiqua"/>
        </w:rPr>
        <w:t>Alsabbagh</w:t>
      </w:r>
      <w:proofErr w:type="spellEnd"/>
      <w:r w:rsidRPr="00462B94">
        <w:rPr>
          <w:rFonts w:ascii="Book Antiqua" w:hAnsi="Book Antiqua"/>
        </w:rPr>
        <w:t xml:space="preserve"> MM, </w:t>
      </w:r>
      <w:proofErr w:type="spellStart"/>
      <w:r w:rsidRPr="00462B94">
        <w:rPr>
          <w:rFonts w:ascii="Book Antiqua" w:hAnsi="Book Antiqua"/>
        </w:rPr>
        <w:t>Aiyer</w:t>
      </w:r>
      <w:proofErr w:type="spellEnd"/>
      <w:r w:rsidRPr="00462B94">
        <w:rPr>
          <w:rFonts w:ascii="Book Antiqua" w:hAnsi="Book Antiqua"/>
        </w:rPr>
        <w:t xml:space="preserve"> R, Johnson RJ. Post-operative serum uric acid and acute kidney injury. </w:t>
      </w:r>
      <w:r w:rsidRPr="00462B94">
        <w:rPr>
          <w:rFonts w:ascii="Book Antiqua" w:hAnsi="Book Antiqua"/>
          <w:i/>
        </w:rPr>
        <w:t xml:space="preserve">J </w:t>
      </w:r>
      <w:proofErr w:type="spellStart"/>
      <w:r w:rsidRPr="00462B94">
        <w:rPr>
          <w:rFonts w:ascii="Book Antiqua" w:hAnsi="Book Antiqua"/>
          <w:i/>
        </w:rPr>
        <w:t>Nephrol</w:t>
      </w:r>
      <w:proofErr w:type="spellEnd"/>
      <w:r w:rsidRPr="00462B94">
        <w:rPr>
          <w:rFonts w:ascii="Book Antiqua" w:hAnsi="Book Antiqua"/>
        </w:rPr>
        <w:t xml:space="preserve"> 2012; </w:t>
      </w:r>
      <w:r w:rsidRPr="00462B94">
        <w:rPr>
          <w:rFonts w:ascii="Book Antiqua" w:hAnsi="Book Antiqua"/>
          <w:b/>
        </w:rPr>
        <w:t>25</w:t>
      </w:r>
      <w:r w:rsidRPr="00462B94">
        <w:rPr>
          <w:rFonts w:ascii="Book Antiqua" w:hAnsi="Book Antiqua"/>
        </w:rPr>
        <w:t>: 497-505 [PMID: 22684655 DOI: 10.5301/jn.5000173]</w:t>
      </w:r>
    </w:p>
    <w:p w14:paraId="62CB790C"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40 </w:t>
      </w:r>
      <w:proofErr w:type="spellStart"/>
      <w:r w:rsidRPr="00462B94">
        <w:rPr>
          <w:rFonts w:ascii="Book Antiqua" w:hAnsi="Book Antiqua"/>
          <w:b/>
        </w:rPr>
        <w:t>Seminog</w:t>
      </w:r>
      <w:proofErr w:type="spellEnd"/>
      <w:r w:rsidRPr="00462B94">
        <w:rPr>
          <w:rFonts w:ascii="Book Antiqua" w:hAnsi="Book Antiqua"/>
          <w:b/>
        </w:rPr>
        <w:t xml:space="preserve"> OO</w:t>
      </w:r>
      <w:r w:rsidRPr="00462B94">
        <w:rPr>
          <w:rFonts w:ascii="Book Antiqua" w:hAnsi="Book Antiqua"/>
        </w:rPr>
        <w:t xml:space="preserve">, </w:t>
      </w:r>
      <w:proofErr w:type="spellStart"/>
      <w:r w:rsidRPr="00462B94">
        <w:rPr>
          <w:rFonts w:ascii="Book Antiqua" w:hAnsi="Book Antiqua"/>
        </w:rPr>
        <w:t>Goldacre</w:t>
      </w:r>
      <w:proofErr w:type="spellEnd"/>
      <w:r w:rsidRPr="00462B94">
        <w:rPr>
          <w:rFonts w:ascii="Book Antiqua" w:hAnsi="Book Antiqua"/>
        </w:rPr>
        <w:t xml:space="preserve"> MJ. Gout as a risk factor for myocardial infarction and stroke in England: evidence from record linkage studies. </w:t>
      </w:r>
      <w:r w:rsidRPr="00462B94">
        <w:rPr>
          <w:rFonts w:ascii="Book Antiqua" w:hAnsi="Book Antiqua"/>
          <w:i/>
        </w:rPr>
        <w:t>Rheumatology</w:t>
      </w:r>
      <w:r w:rsidRPr="00462B94">
        <w:rPr>
          <w:rFonts w:ascii="Book Antiqua" w:hAnsi="Book Antiqua"/>
        </w:rPr>
        <w:t xml:space="preserve"> (Oxford) 2013; </w:t>
      </w:r>
      <w:r w:rsidRPr="00462B94">
        <w:rPr>
          <w:rFonts w:ascii="Book Antiqua" w:hAnsi="Book Antiqua"/>
          <w:b/>
        </w:rPr>
        <w:t>52</w:t>
      </w:r>
      <w:r w:rsidRPr="00462B94">
        <w:rPr>
          <w:rFonts w:ascii="Book Antiqua" w:hAnsi="Book Antiqua"/>
        </w:rPr>
        <w:t>: 2251-2259 [PMID: 24046469 DOI: 10.1093/rheumatology/ket293]</w:t>
      </w:r>
    </w:p>
    <w:p w14:paraId="32EFB919"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41 </w:t>
      </w:r>
      <w:r w:rsidRPr="00462B94">
        <w:rPr>
          <w:rFonts w:ascii="Book Antiqua" w:hAnsi="Book Antiqua"/>
          <w:b/>
        </w:rPr>
        <w:t>Huang CC</w:t>
      </w:r>
      <w:r w:rsidRPr="00462B94">
        <w:rPr>
          <w:rFonts w:ascii="Book Antiqua" w:hAnsi="Book Antiqua"/>
        </w:rPr>
        <w:t xml:space="preserve">, Huang PH, Chen JH, Lan JL, </w:t>
      </w:r>
      <w:proofErr w:type="spellStart"/>
      <w:r w:rsidRPr="00462B94">
        <w:rPr>
          <w:rFonts w:ascii="Book Antiqua" w:hAnsi="Book Antiqua"/>
        </w:rPr>
        <w:t>Tsay</w:t>
      </w:r>
      <w:proofErr w:type="spellEnd"/>
      <w:r w:rsidRPr="00462B94">
        <w:rPr>
          <w:rFonts w:ascii="Book Antiqua" w:hAnsi="Book Antiqua"/>
        </w:rPr>
        <w:t xml:space="preserve"> GJ, Lin HY, Tseng CH, Lin CL, Hsu CY. An Independent Risk of Gout on the Development of Deep Vein Thrombosis and Pulmonary Embolism: A Nationwide, Population-Based Cohort Study. </w:t>
      </w:r>
      <w:r w:rsidRPr="00462B94">
        <w:rPr>
          <w:rFonts w:ascii="Book Antiqua" w:hAnsi="Book Antiqua"/>
          <w:i/>
        </w:rPr>
        <w:t>Medicine (Baltimore)</w:t>
      </w:r>
      <w:r w:rsidRPr="00462B94">
        <w:rPr>
          <w:rFonts w:ascii="Book Antiqua" w:hAnsi="Book Antiqua"/>
        </w:rPr>
        <w:t xml:space="preserve"> 2015; </w:t>
      </w:r>
      <w:r w:rsidRPr="00462B94">
        <w:rPr>
          <w:rFonts w:ascii="Book Antiqua" w:hAnsi="Book Antiqua"/>
          <w:b/>
        </w:rPr>
        <w:t>94</w:t>
      </w:r>
      <w:r w:rsidRPr="00462B94">
        <w:rPr>
          <w:rFonts w:ascii="Book Antiqua" w:hAnsi="Book Antiqua"/>
        </w:rPr>
        <w:t>: e2140 [PMID: 26705202 DOI: 10.1097/MD.0000000000002140]</w:t>
      </w:r>
    </w:p>
    <w:p w14:paraId="319CB199"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42 </w:t>
      </w:r>
      <w:proofErr w:type="spellStart"/>
      <w:r w:rsidRPr="00462B94">
        <w:rPr>
          <w:rFonts w:ascii="Book Antiqua" w:hAnsi="Book Antiqua"/>
          <w:b/>
        </w:rPr>
        <w:t>Gigante</w:t>
      </w:r>
      <w:proofErr w:type="spellEnd"/>
      <w:r w:rsidRPr="00462B94">
        <w:rPr>
          <w:rFonts w:ascii="Book Antiqua" w:hAnsi="Book Antiqua"/>
          <w:b/>
        </w:rPr>
        <w:t xml:space="preserve"> A</w:t>
      </w:r>
      <w:r w:rsidRPr="00462B94">
        <w:rPr>
          <w:rFonts w:ascii="Book Antiqua" w:hAnsi="Book Antiqua"/>
        </w:rPr>
        <w:t xml:space="preserve">, </w:t>
      </w:r>
      <w:proofErr w:type="spellStart"/>
      <w:r w:rsidRPr="00462B94">
        <w:rPr>
          <w:rFonts w:ascii="Book Antiqua" w:hAnsi="Book Antiqua"/>
        </w:rPr>
        <w:t>Barbano</w:t>
      </w:r>
      <w:proofErr w:type="spellEnd"/>
      <w:r w:rsidRPr="00462B94">
        <w:rPr>
          <w:rFonts w:ascii="Book Antiqua" w:hAnsi="Book Antiqua"/>
        </w:rPr>
        <w:t xml:space="preserve"> B, </w:t>
      </w:r>
      <w:proofErr w:type="spellStart"/>
      <w:r w:rsidRPr="00462B94">
        <w:rPr>
          <w:rFonts w:ascii="Book Antiqua" w:hAnsi="Book Antiqua"/>
        </w:rPr>
        <w:t>Barilaro</w:t>
      </w:r>
      <w:proofErr w:type="spellEnd"/>
      <w:r w:rsidRPr="00462B94">
        <w:rPr>
          <w:rFonts w:ascii="Book Antiqua" w:hAnsi="Book Antiqua"/>
        </w:rPr>
        <w:t xml:space="preserve"> G, </w:t>
      </w:r>
      <w:proofErr w:type="spellStart"/>
      <w:r w:rsidRPr="00462B94">
        <w:rPr>
          <w:rFonts w:ascii="Book Antiqua" w:hAnsi="Book Antiqua"/>
        </w:rPr>
        <w:t>Quarta</w:t>
      </w:r>
      <w:proofErr w:type="spellEnd"/>
      <w:r w:rsidRPr="00462B94">
        <w:rPr>
          <w:rFonts w:ascii="Book Antiqua" w:hAnsi="Book Antiqua"/>
        </w:rPr>
        <w:t xml:space="preserve"> S, </w:t>
      </w:r>
      <w:proofErr w:type="spellStart"/>
      <w:r w:rsidRPr="00462B94">
        <w:rPr>
          <w:rFonts w:ascii="Book Antiqua" w:hAnsi="Book Antiqua"/>
        </w:rPr>
        <w:t>Gasperini</w:t>
      </w:r>
      <w:proofErr w:type="spellEnd"/>
      <w:r w:rsidRPr="00462B94">
        <w:rPr>
          <w:rFonts w:ascii="Book Antiqua" w:hAnsi="Book Antiqua"/>
        </w:rPr>
        <w:t xml:space="preserve"> ML, Di Mario F, </w:t>
      </w:r>
      <w:proofErr w:type="spellStart"/>
      <w:r w:rsidRPr="00462B94">
        <w:rPr>
          <w:rFonts w:ascii="Book Antiqua" w:hAnsi="Book Antiqua"/>
        </w:rPr>
        <w:t>Romaniello</w:t>
      </w:r>
      <w:proofErr w:type="spellEnd"/>
      <w:r w:rsidRPr="00462B94">
        <w:rPr>
          <w:rFonts w:ascii="Book Antiqua" w:hAnsi="Book Antiqua"/>
        </w:rPr>
        <w:t xml:space="preserve"> A, Amoroso A, </w:t>
      </w:r>
      <w:proofErr w:type="spellStart"/>
      <w:r w:rsidRPr="00462B94">
        <w:rPr>
          <w:rFonts w:ascii="Book Antiqua" w:hAnsi="Book Antiqua"/>
        </w:rPr>
        <w:t>Cianci</w:t>
      </w:r>
      <w:proofErr w:type="spellEnd"/>
      <w:r w:rsidRPr="00462B94">
        <w:rPr>
          <w:rFonts w:ascii="Book Antiqua" w:hAnsi="Book Antiqua"/>
        </w:rPr>
        <w:t xml:space="preserve"> R, </w:t>
      </w:r>
      <w:proofErr w:type="spellStart"/>
      <w:r w:rsidRPr="00462B94">
        <w:rPr>
          <w:rFonts w:ascii="Book Antiqua" w:hAnsi="Book Antiqua"/>
        </w:rPr>
        <w:t>Rosato</w:t>
      </w:r>
      <w:proofErr w:type="spellEnd"/>
      <w:r w:rsidRPr="00462B94">
        <w:rPr>
          <w:rFonts w:ascii="Book Antiqua" w:hAnsi="Book Antiqua"/>
        </w:rPr>
        <w:t xml:space="preserve"> E. Serum uric acid as a marker of microvascular damage in systemic sclerosis patients. </w:t>
      </w:r>
      <w:proofErr w:type="spellStart"/>
      <w:r w:rsidRPr="00462B94">
        <w:rPr>
          <w:rFonts w:ascii="Book Antiqua" w:hAnsi="Book Antiqua"/>
          <w:i/>
        </w:rPr>
        <w:t>Microvasc</w:t>
      </w:r>
      <w:proofErr w:type="spellEnd"/>
      <w:r w:rsidRPr="00462B94">
        <w:rPr>
          <w:rFonts w:ascii="Book Antiqua" w:hAnsi="Book Antiqua"/>
          <w:i/>
        </w:rPr>
        <w:t xml:space="preserve"> Res</w:t>
      </w:r>
      <w:r w:rsidRPr="00462B94">
        <w:rPr>
          <w:rFonts w:ascii="Book Antiqua" w:hAnsi="Book Antiqua"/>
        </w:rPr>
        <w:t xml:space="preserve"> 2016; </w:t>
      </w:r>
      <w:r w:rsidRPr="00462B94">
        <w:rPr>
          <w:rFonts w:ascii="Book Antiqua" w:hAnsi="Book Antiqua"/>
          <w:b/>
        </w:rPr>
        <w:t>106</w:t>
      </w:r>
      <w:r w:rsidRPr="00462B94">
        <w:rPr>
          <w:rFonts w:ascii="Book Antiqua" w:hAnsi="Book Antiqua"/>
        </w:rPr>
        <w:t>: 39-43 [PMID: 27003713 DOI: 10.1016/j.mvr.2016.03.007]</w:t>
      </w:r>
    </w:p>
    <w:p w14:paraId="6356194A" w14:textId="77777777" w:rsidR="007942F9" w:rsidRPr="00462B94" w:rsidRDefault="007942F9" w:rsidP="00462B94">
      <w:pPr>
        <w:spacing w:line="360" w:lineRule="auto"/>
        <w:jc w:val="both"/>
        <w:rPr>
          <w:rFonts w:ascii="Book Antiqua" w:hAnsi="Book Antiqua"/>
        </w:rPr>
      </w:pPr>
      <w:r w:rsidRPr="00462B94">
        <w:rPr>
          <w:rFonts w:ascii="Book Antiqua" w:hAnsi="Book Antiqua"/>
        </w:rPr>
        <w:t xml:space="preserve">43 </w:t>
      </w:r>
      <w:proofErr w:type="spellStart"/>
      <w:r w:rsidRPr="00462B94">
        <w:rPr>
          <w:rFonts w:ascii="Book Antiqua" w:hAnsi="Book Antiqua"/>
          <w:b/>
        </w:rPr>
        <w:t>Jebakumar</w:t>
      </w:r>
      <w:proofErr w:type="spellEnd"/>
      <w:r w:rsidRPr="00462B94">
        <w:rPr>
          <w:rFonts w:ascii="Book Antiqua" w:hAnsi="Book Antiqua"/>
          <w:b/>
        </w:rPr>
        <w:t xml:space="preserve"> AJ</w:t>
      </w:r>
      <w:r w:rsidRPr="00462B94">
        <w:rPr>
          <w:rFonts w:ascii="Book Antiqua" w:hAnsi="Book Antiqua"/>
        </w:rPr>
        <w:t xml:space="preserve">, </w:t>
      </w:r>
      <w:proofErr w:type="spellStart"/>
      <w:r w:rsidRPr="00462B94">
        <w:rPr>
          <w:rFonts w:ascii="Book Antiqua" w:hAnsi="Book Antiqua"/>
        </w:rPr>
        <w:t>Udayakumar</w:t>
      </w:r>
      <w:proofErr w:type="spellEnd"/>
      <w:r w:rsidRPr="00462B94">
        <w:rPr>
          <w:rFonts w:ascii="Book Antiqua" w:hAnsi="Book Antiqua"/>
        </w:rPr>
        <w:t xml:space="preserve"> PD, Crowson CS, Matteson EL. Occurrence of gout in rheumatoid arthritis: it does happen! A population-based study. </w:t>
      </w:r>
      <w:r w:rsidRPr="00462B94">
        <w:rPr>
          <w:rFonts w:ascii="Book Antiqua" w:hAnsi="Book Antiqua"/>
          <w:i/>
        </w:rPr>
        <w:t xml:space="preserve">Int J Clin </w:t>
      </w:r>
      <w:proofErr w:type="spellStart"/>
      <w:r w:rsidRPr="00462B94">
        <w:rPr>
          <w:rFonts w:ascii="Book Antiqua" w:hAnsi="Book Antiqua"/>
          <w:i/>
        </w:rPr>
        <w:t>Rheumtol</w:t>
      </w:r>
      <w:proofErr w:type="spellEnd"/>
      <w:r w:rsidRPr="00462B94">
        <w:rPr>
          <w:rFonts w:ascii="Book Antiqua" w:hAnsi="Book Antiqua"/>
        </w:rPr>
        <w:t xml:space="preserve"> 2013; </w:t>
      </w:r>
      <w:r w:rsidRPr="00462B94">
        <w:rPr>
          <w:rFonts w:ascii="Book Antiqua" w:hAnsi="Book Antiqua"/>
          <w:b/>
        </w:rPr>
        <w:t>8</w:t>
      </w:r>
      <w:r w:rsidRPr="00462B94">
        <w:rPr>
          <w:rFonts w:ascii="Book Antiqua" w:hAnsi="Book Antiqua"/>
        </w:rPr>
        <w:t>: 433-437 [PMID: 24443656 DOI: 10.2217/ijr.13.45]</w:t>
      </w:r>
    </w:p>
    <w:p w14:paraId="29C7B47F" w14:textId="6FB604E1" w:rsidR="00867287" w:rsidRPr="00462B94" w:rsidRDefault="00867287" w:rsidP="00462B94">
      <w:pPr>
        <w:spacing w:line="360" w:lineRule="auto"/>
        <w:jc w:val="both"/>
        <w:rPr>
          <w:rFonts w:ascii="Book Antiqua" w:hAnsi="Book Antiqua" w:cs="Times New Roman"/>
        </w:rPr>
      </w:pPr>
    </w:p>
    <w:p w14:paraId="578DB2E8" w14:textId="39BE82D0" w:rsidR="00787C12" w:rsidRPr="00462B94" w:rsidRDefault="00787C12" w:rsidP="00462B94">
      <w:pPr>
        <w:pStyle w:val="PlainText"/>
        <w:spacing w:line="360" w:lineRule="auto"/>
        <w:jc w:val="right"/>
        <w:rPr>
          <w:rFonts w:ascii="Book Antiqua" w:hAnsi="Book Antiqua"/>
          <w:b/>
          <w:sz w:val="24"/>
          <w:szCs w:val="24"/>
        </w:rPr>
      </w:pPr>
      <w:r w:rsidRPr="00462B94">
        <w:rPr>
          <w:rFonts w:ascii="Book Antiqua" w:hAnsi="Book Antiqua"/>
          <w:b/>
          <w:sz w:val="24"/>
          <w:szCs w:val="24"/>
        </w:rPr>
        <w:t xml:space="preserve">P-Reviewer: </w:t>
      </w:r>
      <w:proofErr w:type="spellStart"/>
      <w:r w:rsidR="001413BF" w:rsidRPr="00462B94">
        <w:rPr>
          <w:rFonts w:ascii="Book Antiqua" w:hAnsi="Book Antiqua"/>
          <w:color w:val="000000"/>
          <w:sz w:val="24"/>
          <w:szCs w:val="24"/>
        </w:rPr>
        <w:t>Altarabsheh</w:t>
      </w:r>
      <w:proofErr w:type="spellEnd"/>
      <w:r w:rsidR="001413BF" w:rsidRPr="00462B94">
        <w:rPr>
          <w:rFonts w:ascii="Book Antiqua" w:hAnsi="Book Antiqua"/>
          <w:color w:val="000000"/>
          <w:sz w:val="24"/>
          <w:szCs w:val="24"/>
        </w:rPr>
        <w:t xml:space="preserve"> SE, Ciccone MM, </w:t>
      </w:r>
      <w:proofErr w:type="spellStart"/>
      <w:r w:rsidR="001413BF" w:rsidRPr="00462B94">
        <w:rPr>
          <w:rFonts w:ascii="Book Antiqua" w:hAnsi="Book Antiqua"/>
          <w:color w:val="000000"/>
          <w:sz w:val="24"/>
          <w:szCs w:val="24"/>
        </w:rPr>
        <w:t>Karatza</w:t>
      </w:r>
      <w:proofErr w:type="spellEnd"/>
      <w:r w:rsidR="001413BF" w:rsidRPr="00462B94">
        <w:rPr>
          <w:rFonts w:ascii="Book Antiqua" w:hAnsi="Book Antiqua"/>
          <w:color w:val="000000"/>
          <w:sz w:val="24"/>
          <w:szCs w:val="24"/>
        </w:rPr>
        <w:t xml:space="preserve"> AA, Vidal-Perez R </w:t>
      </w:r>
      <w:r w:rsidRPr="00462B94">
        <w:rPr>
          <w:rFonts w:ascii="Book Antiqua" w:hAnsi="Book Antiqua"/>
          <w:b/>
          <w:sz w:val="24"/>
          <w:szCs w:val="24"/>
        </w:rPr>
        <w:t xml:space="preserve">S-Editor: </w:t>
      </w:r>
      <w:r w:rsidRPr="00462B94">
        <w:rPr>
          <w:rFonts w:ascii="Book Antiqua" w:hAnsi="Book Antiqua"/>
          <w:sz w:val="24"/>
          <w:szCs w:val="24"/>
        </w:rPr>
        <w:t>Ji FF</w:t>
      </w:r>
      <w:r w:rsidRPr="00462B94">
        <w:rPr>
          <w:rFonts w:ascii="Book Antiqua" w:hAnsi="Book Antiqua"/>
          <w:b/>
          <w:sz w:val="24"/>
          <w:szCs w:val="24"/>
        </w:rPr>
        <w:t xml:space="preserve"> L-Editor: E-Editor: </w:t>
      </w:r>
    </w:p>
    <w:p w14:paraId="72154951" w14:textId="77777777" w:rsidR="00787C12" w:rsidRPr="00462B94" w:rsidRDefault="00787C12" w:rsidP="00462B94">
      <w:pPr>
        <w:pStyle w:val="PlainText"/>
        <w:spacing w:line="360" w:lineRule="auto"/>
        <w:rPr>
          <w:rFonts w:ascii="Book Antiqua" w:hAnsi="Book Antiqua"/>
          <w:b/>
          <w:sz w:val="24"/>
          <w:szCs w:val="24"/>
        </w:rPr>
      </w:pPr>
      <w:r w:rsidRPr="00462B94">
        <w:rPr>
          <w:rFonts w:ascii="Book Antiqua" w:hAnsi="Book Antiqua"/>
          <w:b/>
          <w:sz w:val="24"/>
          <w:szCs w:val="24"/>
        </w:rPr>
        <w:t xml:space="preserve"> </w:t>
      </w:r>
    </w:p>
    <w:p w14:paraId="35AA9CDE" w14:textId="1B6BFE56" w:rsidR="00787C12" w:rsidRPr="00462B94" w:rsidRDefault="00787C12" w:rsidP="00462B94">
      <w:pPr>
        <w:snapToGrid w:val="0"/>
        <w:spacing w:line="360" w:lineRule="auto"/>
        <w:jc w:val="both"/>
        <w:rPr>
          <w:rFonts w:ascii="Book Antiqua" w:eastAsia="SimSun" w:hAnsi="Book Antiqua" w:cs="Helvetica"/>
          <w:b/>
        </w:rPr>
      </w:pPr>
      <w:r w:rsidRPr="00462B94">
        <w:rPr>
          <w:rFonts w:ascii="Book Antiqua" w:eastAsia="SimSun" w:hAnsi="Book Antiqua" w:cs="Helvetica"/>
          <w:b/>
        </w:rPr>
        <w:t xml:space="preserve">Specialty type: </w:t>
      </w:r>
      <w:r w:rsidR="001413BF" w:rsidRPr="00462B94">
        <w:rPr>
          <w:rFonts w:ascii="Book Antiqua" w:eastAsia="Microsoft YaHei" w:hAnsi="Book Antiqua" w:cs="SimSun"/>
        </w:rPr>
        <w:t>Cardiac and cardiovascular systems</w:t>
      </w:r>
    </w:p>
    <w:p w14:paraId="6D50AE9D" w14:textId="200E5B33" w:rsidR="00787C12" w:rsidRPr="00462B94" w:rsidRDefault="00787C12" w:rsidP="00462B94">
      <w:pPr>
        <w:snapToGrid w:val="0"/>
        <w:spacing w:line="360" w:lineRule="auto"/>
        <w:jc w:val="both"/>
        <w:rPr>
          <w:rFonts w:ascii="Book Antiqua" w:eastAsia="SimSun" w:hAnsi="Book Antiqua" w:cs="Helvetica"/>
          <w:b/>
        </w:rPr>
      </w:pPr>
      <w:r w:rsidRPr="00462B94">
        <w:rPr>
          <w:rFonts w:ascii="Book Antiqua" w:eastAsia="SimSun" w:hAnsi="Book Antiqua" w:cs="Helvetica"/>
          <w:b/>
        </w:rPr>
        <w:t xml:space="preserve">Country of origin: </w:t>
      </w:r>
      <w:r w:rsidR="001413BF" w:rsidRPr="00462B94">
        <w:rPr>
          <w:rFonts w:ascii="Book Antiqua" w:eastAsia="SimSun" w:hAnsi="Book Antiqua"/>
        </w:rPr>
        <w:t>United States</w:t>
      </w:r>
    </w:p>
    <w:p w14:paraId="4B479F31" w14:textId="77777777" w:rsidR="00787C12" w:rsidRPr="00462B94" w:rsidRDefault="00787C12" w:rsidP="00462B94">
      <w:pPr>
        <w:snapToGrid w:val="0"/>
        <w:spacing w:line="360" w:lineRule="auto"/>
        <w:jc w:val="both"/>
        <w:rPr>
          <w:rFonts w:ascii="Book Antiqua" w:eastAsia="SimSun" w:hAnsi="Book Antiqua" w:cs="Helvetica"/>
          <w:b/>
        </w:rPr>
      </w:pPr>
      <w:r w:rsidRPr="00462B94">
        <w:rPr>
          <w:rFonts w:ascii="Book Antiqua" w:eastAsia="SimSun" w:hAnsi="Book Antiqua" w:cs="Helvetica"/>
          <w:b/>
        </w:rPr>
        <w:t>Peer-review report classification</w:t>
      </w:r>
    </w:p>
    <w:p w14:paraId="15B2F2D8" w14:textId="7CDF15A1" w:rsidR="00787C12" w:rsidRPr="00462B94" w:rsidRDefault="00787C12" w:rsidP="00462B94">
      <w:pPr>
        <w:snapToGrid w:val="0"/>
        <w:spacing w:line="360" w:lineRule="auto"/>
        <w:jc w:val="both"/>
        <w:rPr>
          <w:rFonts w:ascii="Book Antiqua" w:eastAsia="SimSun" w:hAnsi="Book Antiqua" w:cs="Helvetica"/>
          <w:lang w:eastAsia="zh-CN"/>
        </w:rPr>
      </w:pPr>
      <w:r w:rsidRPr="00462B94">
        <w:rPr>
          <w:rFonts w:ascii="Book Antiqua" w:eastAsia="SimSun" w:hAnsi="Book Antiqua" w:cs="Helvetica"/>
        </w:rPr>
        <w:t xml:space="preserve">Grade A (Excellent): </w:t>
      </w:r>
      <w:r w:rsidR="001413BF" w:rsidRPr="00462B94">
        <w:rPr>
          <w:rFonts w:ascii="Book Antiqua" w:eastAsia="SimSun" w:hAnsi="Book Antiqua" w:cs="Helvetica"/>
          <w:lang w:eastAsia="zh-CN"/>
        </w:rPr>
        <w:t>0</w:t>
      </w:r>
    </w:p>
    <w:p w14:paraId="0D1B0C5B" w14:textId="305FEEEF" w:rsidR="00787C12" w:rsidRPr="00462B94" w:rsidRDefault="00787C12" w:rsidP="00462B94">
      <w:pPr>
        <w:snapToGrid w:val="0"/>
        <w:spacing w:line="360" w:lineRule="auto"/>
        <w:jc w:val="both"/>
        <w:rPr>
          <w:rFonts w:ascii="Book Antiqua" w:eastAsia="SimSun" w:hAnsi="Book Antiqua" w:cs="Helvetica"/>
          <w:lang w:eastAsia="zh-CN"/>
        </w:rPr>
      </w:pPr>
      <w:r w:rsidRPr="00462B94">
        <w:rPr>
          <w:rFonts w:ascii="Book Antiqua" w:eastAsia="SimSun" w:hAnsi="Book Antiqua" w:cs="Helvetica"/>
        </w:rPr>
        <w:t>Grade B (Very good): B</w:t>
      </w:r>
      <w:r w:rsidR="001413BF" w:rsidRPr="00462B94">
        <w:rPr>
          <w:rFonts w:ascii="Book Antiqua" w:eastAsia="SimSun" w:hAnsi="Book Antiqua" w:cs="Helvetica"/>
          <w:lang w:eastAsia="zh-CN"/>
        </w:rPr>
        <w:t>, B, B</w:t>
      </w:r>
    </w:p>
    <w:p w14:paraId="61B5C843" w14:textId="620F806D" w:rsidR="00787C12" w:rsidRPr="00462B94" w:rsidRDefault="00787C12" w:rsidP="00462B94">
      <w:pPr>
        <w:snapToGrid w:val="0"/>
        <w:spacing w:line="360" w:lineRule="auto"/>
        <w:jc w:val="both"/>
        <w:rPr>
          <w:rFonts w:ascii="Book Antiqua" w:eastAsia="SimSun" w:hAnsi="Book Antiqua" w:cs="Helvetica"/>
          <w:lang w:eastAsia="zh-CN"/>
        </w:rPr>
      </w:pPr>
      <w:r w:rsidRPr="00462B94">
        <w:rPr>
          <w:rFonts w:ascii="Book Antiqua" w:eastAsia="SimSun" w:hAnsi="Book Antiqua" w:cs="Helvetica"/>
        </w:rPr>
        <w:t xml:space="preserve">Grade C (Good): </w:t>
      </w:r>
      <w:r w:rsidR="001413BF" w:rsidRPr="00462B94">
        <w:rPr>
          <w:rFonts w:ascii="Book Antiqua" w:eastAsia="SimSun" w:hAnsi="Book Antiqua" w:cs="Helvetica"/>
          <w:lang w:eastAsia="zh-CN"/>
        </w:rPr>
        <w:t>0</w:t>
      </w:r>
    </w:p>
    <w:p w14:paraId="15D09DF1" w14:textId="3CF2241B" w:rsidR="00787C12" w:rsidRPr="00462B94" w:rsidRDefault="00787C12" w:rsidP="00462B94">
      <w:pPr>
        <w:snapToGrid w:val="0"/>
        <w:spacing w:line="360" w:lineRule="auto"/>
        <w:jc w:val="both"/>
        <w:rPr>
          <w:rFonts w:ascii="Book Antiqua" w:eastAsia="SimSun" w:hAnsi="Book Antiqua" w:cs="Helvetica"/>
        </w:rPr>
      </w:pPr>
      <w:r w:rsidRPr="00462B94">
        <w:rPr>
          <w:rFonts w:ascii="Book Antiqua" w:eastAsia="SimSun" w:hAnsi="Book Antiqua" w:cs="Helvetica"/>
        </w:rPr>
        <w:t xml:space="preserve">Grade D (Fair): </w:t>
      </w:r>
      <w:r w:rsidR="001413BF" w:rsidRPr="00462B94">
        <w:rPr>
          <w:rFonts w:ascii="Book Antiqua" w:eastAsia="SimSun" w:hAnsi="Book Antiqua" w:cs="Helvetica"/>
          <w:lang w:eastAsia="zh-CN"/>
        </w:rPr>
        <w:t>D</w:t>
      </w:r>
      <w:r w:rsidRPr="00462B94">
        <w:rPr>
          <w:rFonts w:ascii="Book Antiqua" w:eastAsia="SimSun" w:hAnsi="Book Antiqua" w:cs="Helvetica"/>
        </w:rPr>
        <w:t xml:space="preserve"> </w:t>
      </w:r>
    </w:p>
    <w:p w14:paraId="6D643125" w14:textId="7F47D3BB" w:rsidR="00FC17C8" w:rsidRPr="00462B94" w:rsidRDefault="00787C12" w:rsidP="00462B94">
      <w:pPr>
        <w:spacing w:line="360" w:lineRule="auto"/>
        <w:jc w:val="both"/>
        <w:rPr>
          <w:rFonts w:ascii="Book Antiqua" w:hAnsi="Book Antiqua" w:cs="Times New Roman"/>
        </w:rPr>
      </w:pPr>
      <w:r w:rsidRPr="00462B94">
        <w:rPr>
          <w:rFonts w:ascii="Book Antiqua" w:eastAsia="SimSun" w:hAnsi="Book Antiqua" w:cs="Helvetica"/>
        </w:rPr>
        <w:t>Grade E (Poor): 0</w:t>
      </w:r>
    </w:p>
    <w:p w14:paraId="4B3D955A" w14:textId="77777777" w:rsidR="00462B94" w:rsidRDefault="00462B94">
      <w:pPr>
        <w:rPr>
          <w:rFonts w:ascii="Book Antiqua" w:eastAsia="Times New Roman" w:hAnsi="Book Antiqua" w:cs="Arial"/>
          <w:b/>
        </w:rPr>
      </w:pPr>
      <w:r>
        <w:rPr>
          <w:rFonts w:ascii="Book Antiqua" w:eastAsia="Times New Roman" w:hAnsi="Book Antiqua" w:cs="Arial"/>
          <w:b/>
        </w:rPr>
        <w:br w:type="page"/>
      </w:r>
    </w:p>
    <w:p w14:paraId="37BE3D72" w14:textId="044E4F1C" w:rsidR="00FC17C8" w:rsidRPr="00462B94" w:rsidRDefault="001644C4" w:rsidP="00462B94">
      <w:pPr>
        <w:spacing w:line="360" w:lineRule="auto"/>
        <w:jc w:val="both"/>
        <w:rPr>
          <w:rFonts w:ascii="Book Antiqua" w:hAnsi="Book Antiqua" w:cs="Times New Roman"/>
          <w:b/>
        </w:rPr>
      </w:pPr>
      <w:r w:rsidRPr="00462B94">
        <w:rPr>
          <w:rFonts w:ascii="Book Antiqua" w:eastAsia="Times New Roman" w:hAnsi="Book Antiqua" w:cs="Arial"/>
          <w:b/>
        </w:rPr>
        <w:lastRenderedPageBreak/>
        <w:t xml:space="preserve">Table 1 Baseline characteristics of acute coronary syndrome hospitalizations without </w:t>
      </w:r>
      <w:r w:rsidRPr="00462B94">
        <w:rPr>
          <w:rFonts w:ascii="Book Antiqua" w:hAnsi="Book Antiqua" w:cs="Times New Roman"/>
          <w:b/>
          <w:bCs/>
          <w:i/>
          <w:noProof/>
        </w:rPr>
        <w:t>vs</w:t>
      </w:r>
      <w:r w:rsidRPr="00462B94">
        <w:rPr>
          <w:rFonts w:ascii="Book Antiqua" w:eastAsia="Times New Roman" w:hAnsi="Book Antiqua" w:cs="Arial"/>
          <w:b/>
        </w:rPr>
        <w:t xml:space="preserve"> with gout (</w:t>
      </w:r>
      <w:r w:rsidRPr="00462B94">
        <w:rPr>
          <w:rFonts w:ascii="Book Antiqua" w:hAnsi="Book Antiqua" w:cs="Arial"/>
          <w:b/>
          <w:i/>
        </w:rPr>
        <w:t>n</w:t>
      </w:r>
      <w:r w:rsidRPr="00462B94">
        <w:rPr>
          <w:rFonts w:ascii="Book Antiqua" w:hAnsi="Book Antiqua" w:cs="Arial" w:hint="eastAsia"/>
          <w:b/>
          <w:lang w:eastAsia="zh-CN"/>
        </w:rPr>
        <w:t xml:space="preserve"> </w:t>
      </w:r>
      <w:r w:rsidRPr="00462B94">
        <w:rPr>
          <w:rFonts w:ascii="Book Antiqua" w:hAnsi="Book Antiqua" w:cs="Arial"/>
          <w:b/>
        </w:rPr>
        <w:t>=</w:t>
      </w:r>
      <w:r w:rsidRPr="00462B94">
        <w:rPr>
          <w:rFonts w:ascii="Book Antiqua" w:hAnsi="Book Antiqua" w:cs="Arial" w:hint="eastAsia"/>
          <w:b/>
          <w:lang w:eastAsia="zh-CN"/>
        </w:rPr>
        <w:t xml:space="preserve"> </w:t>
      </w:r>
      <w:r w:rsidRPr="00462B94">
        <w:rPr>
          <w:rFonts w:ascii="Book Antiqua" w:hAnsi="Book Antiqua" w:cs="Arial"/>
          <w:b/>
        </w:rPr>
        <w:t>3144744)</w:t>
      </w:r>
    </w:p>
    <w:tbl>
      <w:tblPr>
        <w:tblStyle w:val="PlainTable41"/>
        <w:tblW w:w="0" w:type="auto"/>
        <w:jc w:val="center"/>
        <w:tblLook w:val="04A0" w:firstRow="1" w:lastRow="0" w:firstColumn="1" w:lastColumn="0" w:noHBand="0" w:noVBand="1"/>
      </w:tblPr>
      <w:tblGrid>
        <w:gridCol w:w="5537"/>
        <w:gridCol w:w="1512"/>
        <w:gridCol w:w="1337"/>
        <w:gridCol w:w="974"/>
      </w:tblGrid>
      <w:tr w:rsidR="00BA6A48" w:rsidRPr="00462B94" w14:paraId="19DDA4AC" w14:textId="77777777" w:rsidTr="00BA6A48">
        <w:trPr>
          <w:cnfStyle w:val="100000000000" w:firstRow="1" w:lastRow="0" w:firstColumn="0" w:lastColumn="0" w:oddVBand="0" w:evenVBand="0" w:oddHBand="0"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noWrap/>
            <w:vAlign w:val="center"/>
            <w:hideMark/>
          </w:tcPr>
          <w:p w14:paraId="40EF2538" w14:textId="77777777" w:rsidR="00FC17C8" w:rsidRPr="00462B94" w:rsidRDefault="00FC17C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Variables</w:t>
            </w:r>
          </w:p>
        </w:tc>
        <w:tc>
          <w:tcPr>
            <w:tcW w:w="0" w:type="auto"/>
            <w:tcBorders>
              <w:top w:val="single" w:sz="4" w:space="0" w:color="auto"/>
              <w:bottom w:val="single" w:sz="4" w:space="0" w:color="auto"/>
            </w:tcBorders>
            <w:shd w:val="clear" w:color="auto" w:fill="auto"/>
            <w:vAlign w:val="center"/>
          </w:tcPr>
          <w:p w14:paraId="3173AD76" w14:textId="229E9B52" w:rsidR="00FC17C8" w:rsidRPr="00462B94" w:rsidRDefault="00FC17C8" w:rsidP="00462B94">
            <w:pPr>
              <w:tabs>
                <w:tab w:val="left" w:pos="8184"/>
              </w:tabs>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sz w:val="24"/>
                <w:szCs w:val="24"/>
              </w:rPr>
            </w:pPr>
            <w:r w:rsidRPr="00462B94">
              <w:rPr>
                <w:rFonts w:ascii="Book Antiqua" w:eastAsia="Times New Roman" w:hAnsi="Book Antiqua" w:cs="Arial"/>
                <w:sz w:val="24"/>
                <w:szCs w:val="24"/>
              </w:rPr>
              <w:t xml:space="preserve">Without </w:t>
            </w:r>
            <w:r w:rsidR="001644C4" w:rsidRPr="00462B94">
              <w:rPr>
                <w:rFonts w:ascii="Book Antiqua" w:eastAsia="Times New Roman" w:hAnsi="Book Antiqua" w:cs="Arial"/>
                <w:sz w:val="24"/>
                <w:szCs w:val="24"/>
              </w:rPr>
              <w:t>g</w:t>
            </w:r>
            <w:r w:rsidRPr="00462B94">
              <w:rPr>
                <w:rFonts w:ascii="Book Antiqua" w:eastAsia="Times New Roman" w:hAnsi="Book Antiqua" w:cs="Arial"/>
                <w:sz w:val="24"/>
                <w:szCs w:val="24"/>
              </w:rPr>
              <w:t xml:space="preserve">out </w:t>
            </w:r>
          </w:p>
          <w:p w14:paraId="3DD252B9" w14:textId="113C553B" w:rsidR="00FC17C8" w:rsidRPr="00462B94" w:rsidRDefault="00FC17C8" w:rsidP="00462B94">
            <w:pPr>
              <w:tabs>
                <w:tab w:val="left" w:pos="8184"/>
              </w:tabs>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sz w:val="24"/>
                <w:szCs w:val="24"/>
              </w:rPr>
            </w:pPr>
            <w:r w:rsidRPr="00462B94">
              <w:rPr>
                <w:rFonts w:ascii="Book Antiqua" w:eastAsia="Times New Roman" w:hAnsi="Book Antiqua" w:cs="Arial"/>
                <w:i/>
                <w:sz w:val="24"/>
                <w:szCs w:val="24"/>
              </w:rPr>
              <w:t>(n</w:t>
            </w:r>
            <w:r w:rsidR="001644C4"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w:t>
            </w:r>
            <w:r w:rsidR="001644C4" w:rsidRPr="00462B94">
              <w:rPr>
                <w:rFonts w:ascii="Book Antiqua" w:hAnsi="Book Antiqua" w:cs="Arial" w:hint="eastAsia"/>
                <w:sz w:val="24"/>
                <w:szCs w:val="24"/>
                <w:lang w:eastAsia="zh-CN"/>
              </w:rPr>
              <w:t xml:space="preserve"> </w:t>
            </w:r>
            <w:r w:rsidR="001644C4" w:rsidRPr="00462B94">
              <w:rPr>
                <w:rFonts w:ascii="Book Antiqua" w:eastAsia="Times New Roman" w:hAnsi="Book Antiqua" w:cs="Arial"/>
                <w:sz w:val="24"/>
                <w:szCs w:val="24"/>
              </w:rPr>
              <w:t>3039</w:t>
            </w:r>
            <w:r w:rsidRPr="00462B94">
              <w:rPr>
                <w:rFonts w:ascii="Book Antiqua" w:eastAsia="Times New Roman" w:hAnsi="Book Antiqua" w:cs="Arial"/>
                <w:sz w:val="24"/>
                <w:szCs w:val="24"/>
              </w:rPr>
              <w:t>546)</w:t>
            </w:r>
          </w:p>
        </w:tc>
        <w:tc>
          <w:tcPr>
            <w:tcW w:w="0" w:type="auto"/>
            <w:tcBorders>
              <w:top w:val="single" w:sz="4" w:space="0" w:color="auto"/>
              <w:bottom w:val="single" w:sz="4" w:space="0" w:color="auto"/>
            </w:tcBorders>
            <w:shd w:val="clear" w:color="auto" w:fill="auto"/>
            <w:vAlign w:val="center"/>
          </w:tcPr>
          <w:p w14:paraId="48BC484A" w14:textId="149E5F27" w:rsidR="00FC17C8" w:rsidRPr="00462B94" w:rsidRDefault="00FC17C8" w:rsidP="00462B94">
            <w:pPr>
              <w:tabs>
                <w:tab w:val="left" w:pos="8184"/>
              </w:tabs>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sz w:val="24"/>
                <w:szCs w:val="24"/>
              </w:rPr>
            </w:pPr>
            <w:r w:rsidRPr="00462B94">
              <w:rPr>
                <w:rFonts w:ascii="Book Antiqua" w:eastAsia="Times New Roman" w:hAnsi="Book Antiqua" w:cs="Arial"/>
                <w:sz w:val="24"/>
                <w:szCs w:val="24"/>
              </w:rPr>
              <w:t xml:space="preserve">With </w:t>
            </w:r>
            <w:r w:rsidR="001644C4" w:rsidRPr="00462B94">
              <w:rPr>
                <w:rFonts w:ascii="Book Antiqua" w:eastAsia="Times New Roman" w:hAnsi="Book Antiqua" w:cs="Arial"/>
                <w:sz w:val="24"/>
                <w:szCs w:val="24"/>
              </w:rPr>
              <w:t>g</w:t>
            </w:r>
            <w:r w:rsidRPr="00462B94">
              <w:rPr>
                <w:rFonts w:ascii="Book Antiqua" w:eastAsia="Times New Roman" w:hAnsi="Book Antiqua" w:cs="Arial"/>
                <w:sz w:val="24"/>
                <w:szCs w:val="24"/>
              </w:rPr>
              <w:t xml:space="preserve">out </w:t>
            </w:r>
          </w:p>
          <w:p w14:paraId="7A2E2ADA" w14:textId="218FE640" w:rsidR="00FC17C8" w:rsidRPr="00462B94" w:rsidRDefault="00FC17C8" w:rsidP="00462B94">
            <w:pPr>
              <w:tabs>
                <w:tab w:val="left" w:pos="8184"/>
              </w:tabs>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sz w:val="24"/>
                <w:szCs w:val="24"/>
              </w:rPr>
            </w:pPr>
            <w:r w:rsidRPr="00462B94">
              <w:rPr>
                <w:rFonts w:ascii="Book Antiqua" w:eastAsia="Times New Roman" w:hAnsi="Book Antiqua" w:cs="Arial"/>
                <w:sz w:val="24"/>
                <w:szCs w:val="24"/>
              </w:rPr>
              <w:t>(</w:t>
            </w:r>
            <w:r w:rsidR="001644C4" w:rsidRPr="00462B94">
              <w:rPr>
                <w:rFonts w:ascii="Book Antiqua" w:eastAsia="Times New Roman" w:hAnsi="Book Antiqua" w:cs="Arial"/>
                <w:i/>
                <w:sz w:val="24"/>
                <w:szCs w:val="24"/>
              </w:rPr>
              <w:t>n</w:t>
            </w:r>
            <w:r w:rsidR="001644C4" w:rsidRPr="00462B94">
              <w:rPr>
                <w:rFonts w:ascii="Book Antiqua" w:hAnsi="Book Antiqua" w:cs="Arial" w:hint="eastAsia"/>
                <w:sz w:val="24"/>
                <w:szCs w:val="24"/>
                <w:lang w:eastAsia="zh-CN"/>
              </w:rPr>
              <w:t xml:space="preserve"> </w:t>
            </w:r>
            <w:r w:rsidR="001644C4" w:rsidRPr="00462B94">
              <w:rPr>
                <w:rFonts w:ascii="Book Antiqua" w:eastAsia="Times New Roman" w:hAnsi="Book Antiqua" w:cs="Arial"/>
                <w:sz w:val="24"/>
                <w:szCs w:val="24"/>
              </w:rPr>
              <w:t>=</w:t>
            </w:r>
            <w:r w:rsidR="001644C4" w:rsidRPr="00462B94">
              <w:rPr>
                <w:rFonts w:ascii="Book Antiqua" w:hAnsi="Book Antiqua" w:cs="Arial" w:hint="eastAsia"/>
                <w:sz w:val="24"/>
                <w:szCs w:val="24"/>
                <w:lang w:eastAsia="zh-CN"/>
              </w:rPr>
              <w:t xml:space="preserve"> </w:t>
            </w:r>
            <w:r w:rsidR="001644C4" w:rsidRPr="00462B94">
              <w:rPr>
                <w:rFonts w:ascii="Book Antiqua" w:eastAsia="Times New Roman" w:hAnsi="Book Antiqua" w:cs="Arial"/>
                <w:sz w:val="24"/>
                <w:szCs w:val="24"/>
              </w:rPr>
              <w:t>105</w:t>
            </w:r>
            <w:r w:rsidRPr="00462B94">
              <w:rPr>
                <w:rFonts w:ascii="Book Antiqua" w:eastAsia="Times New Roman" w:hAnsi="Book Antiqua" w:cs="Arial"/>
                <w:sz w:val="24"/>
                <w:szCs w:val="24"/>
              </w:rPr>
              <w:t>198)</w:t>
            </w:r>
          </w:p>
        </w:tc>
        <w:tc>
          <w:tcPr>
            <w:tcW w:w="0" w:type="auto"/>
            <w:tcBorders>
              <w:top w:val="single" w:sz="4" w:space="0" w:color="auto"/>
              <w:bottom w:val="single" w:sz="4" w:space="0" w:color="auto"/>
            </w:tcBorders>
            <w:shd w:val="clear" w:color="auto" w:fill="auto"/>
            <w:vAlign w:val="center"/>
          </w:tcPr>
          <w:p w14:paraId="582EE395" w14:textId="1AB526EC" w:rsidR="00FC17C8" w:rsidRPr="00462B94" w:rsidRDefault="00FC17C8" w:rsidP="00462B94">
            <w:pPr>
              <w:tabs>
                <w:tab w:val="left" w:pos="8184"/>
              </w:tabs>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i/>
                <w:iCs/>
                <w:sz w:val="24"/>
                <w:szCs w:val="24"/>
                <w:lang w:eastAsia="zh-CN"/>
              </w:rPr>
            </w:pPr>
            <w:r w:rsidRPr="00462B94">
              <w:rPr>
                <w:rFonts w:ascii="Book Antiqua" w:eastAsia="Times New Roman" w:hAnsi="Book Antiqua" w:cs="Arial"/>
                <w:i/>
                <w:iCs/>
                <w:sz w:val="24"/>
                <w:szCs w:val="24"/>
              </w:rPr>
              <w:t>P</w:t>
            </w:r>
            <w:r w:rsidR="001644C4" w:rsidRPr="00462B94">
              <w:rPr>
                <w:rFonts w:ascii="Book Antiqua" w:hAnsi="Book Antiqua" w:cs="Arial" w:hint="eastAsia"/>
                <w:iCs/>
                <w:sz w:val="24"/>
                <w:szCs w:val="24"/>
                <w:lang w:eastAsia="zh-CN"/>
              </w:rPr>
              <w:t xml:space="preserve"> value</w:t>
            </w:r>
          </w:p>
        </w:tc>
      </w:tr>
      <w:tr w:rsidR="00062EC4" w:rsidRPr="00462B94" w14:paraId="66C88A0E" w14:textId="77777777" w:rsidTr="00307DC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noWrap/>
            <w:vAlign w:val="center"/>
          </w:tcPr>
          <w:p w14:paraId="67031048" w14:textId="4163B867" w:rsidR="00062EC4" w:rsidRPr="00462B94" w:rsidRDefault="00062EC4"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Age (</w:t>
            </w:r>
            <w:proofErr w:type="spellStart"/>
            <w:r w:rsidRPr="00462B94">
              <w:rPr>
                <w:rFonts w:ascii="Book Antiqua" w:eastAsia="Times New Roman" w:hAnsi="Book Antiqua" w:cs="Arial"/>
                <w:sz w:val="24"/>
                <w:szCs w:val="24"/>
              </w:rPr>
              <w:t>yr</w:t>
            </w:r>
            <w:proofErr w:type="spellEnd"/>
            <w:r w:rsidRPr="00462B94">
              <w:rPr>
                <w:rFonts w:ascii="Book Antiqua" w:eastAsia="Times New Roman" w:hAnsi="Book Antiqua" w:cs="Arial"/>
                <w:sz w:val="24"/>
                <w:szCs w:val="24"/>
              </w:rPr>
              <w:t>) at hospitalization</w:t>
            </w:r>
          </w:p>
        </w:tc>
        <w:tc>
          <w:tcPr>
            <w:tcW w:w="0" w:type="auto"/>
            <w:tcBorders>
              <w:top w:val="single" w:sz="4" w:space="0" w:color="auto"/>
            </w:tcBorders>
            <w:shd w:val="clear" w:color="auto" w:fill="auto"/>
            <w:vAlign w:val="center"/>
          </w:tcPr>
          <w:p w14:paraId="0B99F3A3" w14:textId="77777777" w:rsidR="00062EC4" w:rsidRPr="00462B94" w:rsidRDefault="00062EC4"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0" w:type="auto"/>
            <w:tcBorders>
              <w:top w:val="single" w:sz="4" w:space="0" w:color="auto"/>
            </w:tcBorders>
            <w:shd w:val="clear" w:color="auto" w:fill="auto"/>
            <w:vAlign w:val="center"/>
          </w:tcPr>
          <w:p w14:paraId="0BAAC2FA" w14:textId="77777777" w:rsidR="00062EC4" w:rsidRPr="00462B94" w:rsidRDefault="00062EC4"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0" w:type="auto"/>
            <w:tcBorders>
              <w:top w:val="single" w:sz="4" w:space="0" w:color="auto"/>
            </w:tcBorders>
            <w:shd w:val="clear" w:color="auto" w:fill="auto"/>
            <w:vAlign w:val="center"/>
          </w:tcPr>
          <w:p w14:paraId="3106A3D9" w14:textId="46057942" w:rsidR="00062EC4" w:rsidRPr="00462B94" w:rsidRDefault="00062EC4"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BA6A48" w:rsidRPr="00462B94" w14:paraId="63F652BD"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6652D34" w14:textId="2E8F60C5" w:rsidR="00FC17C8" w:rsidRPr="00462B94" w:rsidRDefault="00062EC4"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m</w:t>
            </w:r>
            <w:r w:rsidR="00FC17C8" w:rsidRPr="00462B94">
              <w:rPr>
                <w:rFonts w:ascii="Book Antiqua" w:eastAsia="Times New Roman" w:hAnsi="Book Antiqua" w:cs="Arial"/>
                <w:b w:val="0"/>
                <w:bCs w:val="0"/>
                <w:sz w:val="24"/>
                <w:szCs w:val="24"/>
              </w:rPr>
              <w:t>ean (±</w:t>
            </w:r>
            <w:r w:rsidR="001644C4" w:rsidRPr="00462B94">
              <w:rPr>
                <w:rFonts w:ascii="Book Antiqua" w:hAnsi="Book Antiqua" w:cs="Arial" w:hint="eastAsia"/>
                <w:b w:val="0"/>
                <w:bCs w:val="0"/>
                <w:sz w:val="24"/>
                <w:szCs w:val="24"/>
                <w:lang w:eastAsia="zh-CN"/>
              </w:rPr>
              <w:t xml:space="preserve"> </w:t>
            </w:r>
            <w:r w:rsidR="00FC17C8" w:rsidRPr="00462B94">
              <w:rPr>
                <w:rFonts w:ascii="Book Antiqua" w:eastAsia="Times New Roman" w:hAnsi="Book Antiqua" w:cs="Arial"/>
                <w:b w:val="0"/>
                <w:bCs w:val="0"/>
                <w:sz w:val="24"/>
                <w:szCs w:val="24"/>
              </w:rPr>
              <w:t>SD)</w:t>
            </w:r>
          </w:p>
        </w:tc>
        <w:tc>
          <w:tcPr>
            <w:tcW w:w="0" w:type="auto"/>
            <w:shd w:val="clear" w:color="auto" w:fill="auto"/>
            <w:vAlign w:val="center"/>
          </w:tcPr>
          <w:p w14:paraId="6283EFDE" w14:textId="77777777" w:rsidR="00FC17C8" w:rsidRPr="00462B94" w:rsidRDefault="00FC17C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eastAsia="Times New Roman" w:hAnsi="Book Antiqua" w:cs="Arial"/>
                <w:sz w:val="24"/>
                <w:szCs w:val="24"/>
              </w:rPr>
              <w:t>66.9 (± 14.2)</w:t>
            </w:r>
          </w:p>
        </w:tc>
        <w:tc>
          <w:tcPr>
            <w:tcW w:w="0" w:type="auto"/>
            <w:shd w:val="clear" w:color="auto" w:fill="auto"/>
            <w:vAlign w:val="center"/>
          </w:tcPr>
          <w:p w14:paraId="7A95F887" w14:textId="2694A88C" w:rsidR="00FC17C8" w:rsidRPr="00462B94" w:rsidRDefault="00FC17C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eastAsia="Times New Roman" w:hAnsi="Book Antiqua" w:cs="Arial"/>
                <w:sz w:val="24"/>
                <w:szCs w:val="24"/>
              </w:rPr>
              <w:t>71.3 (±</w:t>
            </w:r>
            <w:r w:rsidR="00BA6A48"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12.5)</w:t>
            </w:r>
          </w:p>
        </w:tc>
        <w:tc>
          <w:tcPr>
            <w:tcW w:w="0" w:type="auto"/>
            <w:shd w:val="clear" w:color="auto" w:fill="auto"/>
            <w:vAlign w:val="center"/>
          </w:tcPr>
          <w:p w14:paraId="666C4DEC" w14:textId="77777777" w:rsidR="00FC17C8" w:rsidRPr="00462B94" w:rsidRDefault="00FC17C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152C62EC"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BD10E19"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18-44</w:t>
            </w:r>
          </w:p>
        </w:tc>
        <w:tc>
          <w:tcPr>
            <w:tcW w:w="0" w:type="auto"/>
            <w:shd w:val="clear" w:color="auto" w:fill="auto"/>
            <w:vAlign w:val="center"/>
          </w:tcPr>
          <w:p w14:paraId="6D06E301" w14:textId="42A55243"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171857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(5.7)</w:t>
            </w:r>
          </w:p>
        </w:tc>
        <w:tc>
          <w:tcPr>
            <w:tcW w:w="0" w:type="auto"/>
            <w:shd w:val="clear" w:color="auto" w:fill="auto"/>
            <w:vAlign w:val="center"/>
          </w:tcPr>
          <w:p w14:paraId="6F4A7852" w14:textId="3170BBCE"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2337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(2.2)</w:t>
            </w:r>
          </w:p>
        </w:tc>
        <w:tc>
          <w:tcPr>
            <w:tcW w:w="0" w:type="auto"/>
            <w:shd w:val="clear" w:color="auto" w:fill="auto"/>
            <w:vAlign w:val="center"/>
          </w:tcPr>
          <w:p w14:paraId="16F6CD3D"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3AE5E904"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2DBAF54"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45-64</w:t>
            </w:r>
          </w:p>
        </w:tc>
        <w:tc>
          <w:tcPr>
            <w:tcW w:w="0" w:type="auto"/>
            <w:shd w:val="clear" w:color="auto" w:fill="auto"/>
            <w:vAlign w:val="center"/>
          </w:tcPr>
          <w:p w14:paraId="1E1F9843" w14:textId="74506F9B"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1178621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(38.8)</w:t>
            </w:r>
          </w:p>
        </w:tc>
        <w:tc>
          <w:tcPr>
            <w:tcW w:w="0" w:type="auto"/>
            <w:shd w:val="clear" w:color="auto" w:fill="auto"/>
            <w:vAlign w:val="center"/>
          </w:tcPr>
          <w:p w14:paraId="35DC1514" w14:textId="36B0157E"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28567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(27.2)</w:t>
            </w:r>
          </w:p>
        </w:tc>
        <w:tc>
          <w:tcPr>
            <w:tcW w:w="0" w:type="auto"/>
            <w:shd w:val="clear" w:color="auto" w:fill="auto"/>
            <w:vAlign w:val="center"/>
          </w:tcPr>
          <w:p w14:paraId="57217DDA"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73A7394B"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129099C"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65-84</w:t>
            </w:r>
          </w:p>
        </w:tc>
        <w:tc>
          <w:tcPr>
            <w:tcW w:w="0" w:type="auto"/>
            <w:shd w:val="clear" w:color="auto" w:fill="auto"/>
            <w:vAlign w:val="center"/>
          </w:tcPr>
          <w:p w14:paraId="5F13EC30" w14:textId="147F7639"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1288783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(42.4)</w:t>
            </w:r>
          </w:p>
        </w:tc>
        <w:tc>
          <w:tcPr>
            <w:tcW w:w="0" w:type="auto"/>
            <w:shd w:val="clear" w:color="auto" w:fill="auto"/>
            <w:vAlign w:val="center"/>
          </w:tcPr>
          <w:p w14:paraId="5F626C9B" w14:textId="3159FEE2"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57054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(54.2)</w:t>
            </w:r>
          </w:p>
        </w:tc>
        <w:tc>
          <w:tcPr>
            <w:tcW w:w="0" w:type="auto"/>
            <w:shd w:val="clear" w:color="auto" w:fill="auto"/>
            <w:vAlign w:val="center"/>
          </w:tcPr>
          <w:p w14:paraId="5DED4CC6"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716F8EA8"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14DEBA1" w14:textId="29A6270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w:t>
            </w:r>
            <w:r w:rsidRPr="00462B94">
              <w:rPr>
                <w:rFonts w:ascii="Book Antiqua" w:hAnsi="Book Antiqua" w:cs="Arial" w:hint="eastAsia"/>
                <w:b w:val="0"/>
                <w:bCs w:val="0"/>
                <w:sz w:val="24"/>
                <w:szCs w:val="24"/>
                <w:lang w:eastAsia="zh-CN"/>
              </w:rPr>
              <w:t xml:space="preserve"> </w:t>
            </w:r>
            <w:r w:rsidRPr="00462B94">
              <w:rPr>
                <w:rFonts w:ascii="Book Antiqua" w:eastAsia="Times New Roman" w:hAnsi="Book Antiqua" w:cs="Arial"/>
                <w:b w:val="0"/>
                <w:bCs w:val="0"/>
                <w:sz w:val="24"/>
                <w:szCs w:val="24"/>
              </w:rPr>
              <w:t>85</w:t>
            </w:r>
          </w:p>
        </w:tc>
        <w:tc>
          <w:tcPr>
            <w:tcW w:w="0" w:type="auto"/>
            <w:shd w:val="clear" w:color="auto" w:fill="auto"/>
            <w:vAlign w:val="center"/>
          </w:tcPr>
          <w:p w14:paraId="47CC2C31" w14:textId="21DA9D3A"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400285</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(13.2)</w:t>
            </w:r>
          </w:p>
        </w:tc>
        <w:tc>
          <w:tcPr>
            <w:tcW w:w="0" w:type="auto"/>
            <w:shd w:val="clear" w:color="auto" w:fill="auto"/>
            <w:vAlign w:val="center"/>
          </w:tcPr>
          <w:p w14:paraId="607D5EE5" w14:textId="47B5557B"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17240</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(16.4)</w:t>
            </w:r>
          </w:p>
        </w:tc>
        <w:tc>
          <w:tcPr>
            <w:tcW w:w="0" w:type="auto"/>
            <w:shd w:val="clear" w:color="auto" w:fill="auto"/>
            <w:vAlign w:val="center"/>
          </w:tcPr>
          <w:p w14:paraId="44AE6543"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3A48640C" w14:textId="77777777" w:rsidTr="00AF7FC5">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FC0C2A2" w14:textId="77777777" w:rsidR="00BA6A48" w:rsidRPr="00462B94" w:rsidRDefault="00BA6A4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Sex</w:t>
            </w:r>
          </w:p>
        </w:tc>
        <w:tc>
          <w:tcPr>
            <w:tcW w:w="0" w:type="auto"/>
            <w:shd w:val="clear" w:color="auto" w:fill="auto"/>
            <w:vAlign w:val="center"/>
          </w:tcPr>
          <w:p w14:paraId="37E4B3BB"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4F067765"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461F4FE2" w14:textId="7414B024"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BA6A48" w:rsidRPr="00462B94" w14:paraId="12BF2D41"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632FD20"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Male</w:t>
            </w:r>
          </w:p>
        </w:tc>
        <w:tc>
          <w:tcPr>
            <w:tcW w:w="0" w:type="auto"/>
            <w:shd w:val="clear" w:color="auto" w:fill="auto"/>
            <w:vAlign w:val="center"/>
          </w:tcPr>
          <w:p w14:paraId="4E59C7A7" w14:textId="16F8EA9A"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1830228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(60.2)</w:t>
            </w:r>
          </w:p>
        </w:tc>
        <w:tc>
          <w:tcPr>
            <w:tcW w:w="0" w:type="auto"/>
            <w:shd w:val="clear" w:color="auto" w:fill="auto"/>
            <w:vAlign w:val="center"/>
          </w:tcPr>
          <w:p w14:paraId="5CFDE6B9" w14:textId="7115A8AE"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77834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(74.0)</w:t>
            </w:r>
          </w:p>
        </w:tc>
        <w:tc>
          <w:tcPr>
            <w:tcW w:w="0" w:type="auto"/>
            <w:shd w:val="clear" w:color="auto" w:fill="auto"/>
            <w:vAlign w:val="center"/>
          </w:tcPr>
          <w:p w14:paraId="13893B93"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0CCC718E"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B37C897"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Female</w:t>
            </w:r>
          </w:p>
        </w:tc>
        <w:tc>
          <w:tcPr>
            <w:tcW w:w="0" w:type="auto"/>
            <w:shd w:val="clear" w:color="auto" w:fill="auto"/>
            <w:vAlign w:val="center"/>
          </w:tcPr>
          <w:p w14:paraId="317DEE1F" w14:textId="2B4FC086"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1209120</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(39.8)</w:t>
            </w:r>
          </w:p>
        </w:tc>
        <w:tc>
          <w:tcPr>
            <w:tcW w:w="0" w:type="auto"/>
            <w:shd w:val="clear" w:color="auto" w:fill="auto"/>
            <w:vAlign w:val="center"/>
          </w:tcPr>
          <w:p w14:paraId="6CFEB918" w14:textId="4C6BD1C1"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27355</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(26.0)</w:t>
            </w:r>
          </w:p>
        </w:tc>
        <w:tc>
          <w:tcPr>
            <w:tcW w:w="0" w:type="auto"/>
            <w:shd w:val="clear" w:color="auto" w:fill="auto"/>
            <w:vAlign w:val="center"/>
          </w:tcPr>
          <w:p w14:paraId="030FB62C"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0FA09885"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1A2D1794" w14:textId="77777777" w:rsidR="00BA6A48" w:rsidRPr="00462B94" w:rsidRDefault="00BA6A4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lastRenderedPageBreak/>
              <w:t>Race</w:t>
            </w:r>
          </w:p>
        </w:tc>
        <w:tc>
          <w:tcPr>
            <w:tcW w:w="0" w:type="auto"/>
            <w:shd w:val="clear" w:color="auto" w:fill="auto"/>
            <w:vAlign w:val="center"/>
          </w:tcPr>
          <w:p w14:paraId="24756D21"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35467AAB"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6BDCC5E3" w14:textId="2B57FD4A"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BA6A48" w:rsidRPr="00462B94" w14:paraId="0834A4AB"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1F07CDF5"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White</w:t>
            </w:r>
          </w:p>
        </w:tc>
        <w:tc>
          <w:tcPr>
            <w:tcW w:w="0" w:type="auto"/>
            <w:shd w:val="clear" w:color="auto" w:fill="auto"/>
            <w:vAlign w:val="center"/>
          </w:tcPr>
          <w:p w14:paraId="64C91189" w14:textId="4B1250E9"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2102509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(75.4)</w:t>
            </w:r>
          </w:p>
        </w:tc>
        <w:tc>
          <w:tcPr>
            <w:tcW w:w="0" w:type="auto"/>
            <w:shd w:val="clear" w:color="auto" w:fill="auto"/>
            <w:vAlign w:val="center"/>
          </w:tcPr>
          <w:p w14:paraId="2DF8DE21" w14:textId="05F89C50"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69431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(71.8)</w:t>
            </w:r>
          </w:p>
        </w:tc>
        <w:tc>
          <w:tcPr>
            <w:tcW w:w="0" w:type="auto"/>
            <w:shd w:val="clear" w:color="auto" w:fill="auto"/>
            <w:vAlign w:val="center"/>
          </w:tcPr>
          <w:p w14:paraId="3F6E5EB9"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7CB6544D"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669DF635"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African American</w:t>
            </w:r>
          </w:p>
        </w:tc>
        <w:tc>
          <w:tcPr>
            <w:tcW w:w="0" w:type="auto"/>
            <w:shd w:val="clear" w:color="auto" w:fill="auto"/>
            <w:vAlign w:val="center"/>
          </w:tcPr>
          <w:p w14:paraId="439501AF" w14:textId="578A8449"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302121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(10.8)</w:t>
            </w:r>
          </w:p>
        </w:tc>
        <w:tc>
          <w:tcPr>
            <w:tcW w:w="0" w:type="auto"/>
            <w:shd w:val="clear" w:color="auto" w:fill="auto"/>
            <w:vAlign w:val="center"/>
          </w:tcPr>
          <w:p w14:paraId="1390FE91" w14:textId="34AA7D28"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14798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(15.3)</w:t>
            </w:r>
          </w:p>
        </w:tc>
        <w:tc>
          <w:tcPr>
            <w:tcW w:w="0" w:type="auto"/>
            <w:shd w:val="clear" w:color="auto" w:fill="auto"/>
            <w:vAlign w:val="center"/>
          </w:tcPr>
          <w:p w14:paraId="3C82B068"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2BB04857"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79CD1BF5"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Hispanic</w:t>
            </w:r>
          </w:p>
        </w:tc>
        <w:tc>
          <w:tcPr>
            <w:tcW w:w="0" w:type="auto"/>
            <w:shd w:val="clear" w:color="auto" w:fill="auto"/>
            <w:vAlign w:val="center"/>
          </w:tcPr>
          <w:p w14:paraId="127DE309" w14:textId="58F48D3C"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218605</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(7.8)</w:t>
            </w:r>
          </w:p>
        </w:tc>
        <w:tc>
          <w:tcPr>
            <w:tcW w:w="0" w:type="auto"/>
            <w:shd w:val="clear" w:color="auto" w:fill="auto"/>
            <w:vAlign w:val="center"/>
          </w:tcPr>
          <w:p w14:paraId="5ABE826C" w14:textId="19D9B829"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4833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(5.0)</w:t>
            </w:r>
          </w:p>
        </w:tc>
        <w:tc>
          <w:tcPr>
            <w:tcW w:w="0" w:type="auto"/>
            <w:shd w:val="clear" w:color="auto" w:fill="auto"/>
            <w:vAlign w:val="center"/>
          </w:tcPr>
          <w:p w14:paraId="599E5F06"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78397D8E"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24D3FF4F"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Asian and Pacific Islander</w:t>
            </w:r>
          </w:p>
        </w:tc>
        <w:tc>
          <w:tcPr>
            <w:tcW w:w="0" w:type="auto"/>
            <w:shd w:val="clear" w:color="auto" w:fill="auto"/>
            <w:vAlign w:val="center"/>
          </w:tcPr>
          <w:p w14:paraId="4843B118" w14:textId="3E1F3096"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61156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(2.2)</w:t>
            </w:r>
          </w:p>
        </w:tc>
        <w:tc>
          <w:tcPr>
            <w:tcW w:w="0" w:type="auto"/>
            <w:shd w:val="clear" w:color="auto" w:fill="auto"/>
            <w:vAlign w:val="center"/>
          </w:tcPr>
          <w:p w14:paraId="27871ADD" w14:textId="02738100"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4799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(5.0)</w:t>
            </w:r>
          </w:p>
        </w:tc>
        <w:tc>
          <w:tcPr>
            <w:tcW w:w="0" w:type="auto"/>
            <w:shd w:val="clear" w:color="auto" w:fill="auto"/>
            <w:vAlign w:val="center"/>
          </w:tcPr>
          <w:p w14:paraId="051E5898"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1852B8C4"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5092B595"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Native American</w:t>
            </w:r>
          </w:p>
        </w:tc>
        <w:tc>
          <w:tcPr>
            <w:tcW w:w="0" w:type="auto"/>
            <w:shd w:val="clear" w:color="auto" w:fill="auto"/>
            <w:vAlign w:val="center"/>
          </w:tcPr>
          <w:p w14:paraId="4FD9D659" w14:textId="583BA1B8"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16624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(0.6)</w:t>
            </w:r>
          </w:p>
        </w:tc>
        <w:tc>
          <w:tcPr>
            <w:tcW w:w="0" w:type="auto"/>
            <w:shd w:val="clear" w:color="auto" w:fill="auto"/>
            <w:vAlign w:val="center"/>
          </w:tcPr>
          <w:p w14:paraId="06FA116F" w14:textId="783AF919"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394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(0.4)</w:t>
            </w:r>
          </w:p>
        </w:tc>
        <w:tc>
          <w:tcPr>
            <w:tcW w:w="0" w:type="auto"/>
            <w:shd w:val="clear" w:color="auto" w:fill="auto"/>
            <w:vAlign w:val="center"/>
          </w:tcPr>
          <w:p w14:paraId="427B8965"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204BDD6F"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3886FF36"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Others</w:t>
            </w:r>
          </w:p>
        </w:tc>
        <w:tc>
          <w:tcPr>
            <w:tcW w:w="0" w:type="auto"/>
            <w:shd w:val="clear" w:color="auto" w:fill="auto"/>
            <w:vAlign w:val="center"/>
          </w:tcPr>
          <w:p w14:paraId="58349B88" w14:textId="5B6F3FAF"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88091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(3.2)</w:t>
            </w:r>
          </w:p>
        </w:tc>
        <w:tc>
          <w:tcPr>
            <w:tcW w:w="0" w:type="auto"/>
            <w:shd w:val="clear" w:color="auto" w:fill="auto"/>
            <w:vAlign w:val="center"/>
          </w:tcPr>
          <w:p w14:paraId="23CC6BDC" w14:textId="3CB487F2"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2477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(2.6)</w:t>
            </w:r>
          </w:p>
        </w:tc>
        <w:tc>
          <w:tcPr>
            <w:tcW w:w="0" w:type="auto"/>
            <w:shd w:val="clear" w:color="auto" w:fill="auto"/>
            <w:vAlign w:val="center"/>
          </w:tcPr>
          <w:p w14:paraId="74529C87"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3A0119A6"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97A9E81" w14:textId="77777777" w:rsidR="00BA6A48" w:rsidRPr="00462B94" w:rsidRDefault="00BA6A4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Admission type</w:t>
            </w:r>
          </w:p>
        </w:tc>
        <w:tc>
          <w:tcPr>
            <w:tcW w:w="0" w:type="auto"/>
            <w:shd w:val="clear" w:color="auto" w:fill="auto"/>
            <w:vAlign w:val="center"/>
          </w:tcPr>
          <w:p w14:paraId="2131ED45"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20F11196"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5B3C792A" w14:textId="32926DA5"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00062EC4"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p>
        </w:tc>
      </w:tr>
      <w:tr w:rsidR="00BA6A48" w:rsidRPr="00462B94" w14:paraId="2C8044AE"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741C387"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Non-elective</w:t>
            </w:r>
          </w:p>
        </w:tc>
        <w:tc>
          <w:tcPr>
            <w:tcW w:w="0" w:type="auto"/>
            <w:shd w:val="clear" w:color="auto" w:fill="auto"/>
            <w:vAlign w:val="center"/>
          </w:tcPr>
          <w:p w14:paraId="6F6764DF" w14:textId="218D1AE6"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2847182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(93.9)</w:t>
            </w:r>
          </w:p>
        </w:tc>
        <w:tc>
          <w:tcPr>
            <w:tcW w:w="0" w:type="auto"/>
            <w:shd w:val="clear" w:color="auto" w:fill="auto"/>
            <w:vAlign w:val="center"/>
          </w:tcPr>
          <w:p w14:paraId="4323E8C9" w14:textId="33B6BE44"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98886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(94.1)</w:t>
            </w:r>
          </w:p>
        </w:tc>
        <w:tc>
          <w:tcPr>
            <w:tcW w:w="0" w:type="auto"/>
            <w:shd w:val="clear" w:color="auto" w:fill="auto"/>
            <w:vAlign w:val="center"/>
          </w:tcPr>
          <w:p w14:paraId="53A643B4"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1E994B1B"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FD79D74"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Elective</w:t>
            </w:r>
          </w:p>
        </w:tc>
        <w:tc>
          <w:tcPr>
            <w:tcW w:w="0" w:type="auto"/>
            <w:shd w:val="clear" w:color="auto" w:fill="auto"/>
            <w:vAlign w:val="center"/>
          </w:tcPr>
          <w:p w14:paraId="7487BE53" w14:textId="68682CBA"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185903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(6.1)</w:t>
            </w:r>
          </w:p>
        </w:tc>
        <w:tc>
          <w:tcPr>
            <w:tcW w:w="0" w:type="auto"/>
            <w:shd w:val="clear" w:color="auto" w:fill="auto"/>
            <w:vAlign w:val="center"/>
          </w:tcPr>
          <w:p w14:paraId="3322A39A" w14:textId="3EAF2042"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6149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(5.9)</w:t>
            </w:r>
          </w:p>
        </w:tc>
        <w:tc>
          <w:tcPr>
            <w:tcW w:w="0" w:type="auto"/>
            <w:shd w:val="clear" w:color="auto" w:fill="auto"/>
            <w:vAlign w:val="center"/>
          </w:tcPr>
          <w:p w14:paraId="52EB0E88"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5EB1BC3F"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9E2FA29" w14:textId="4E5A4BF3" w:rsidR="00BA6A48" w:rsidRPr="00462B94" w:rsidRDefault="00BA6A48" w:rsidP="00462B94">
            <w:pPr>
              <w:tabs>
                <w:tab w:val="left" w:pos="8184"/>
              </w:tabs>
              <w:spacing w:line="360" w:lineRule="auto"/>
              <w:jc w:val="both"/>
              <w:rPr>
                <w:rFonts w:ascii="Book Antiqua" w:hAnsi="Book Antiqua" w:cs="Arial"/>
                <w:sz w:val="24"/>
                <w:szCs w:val="24"/>
                <w:vertAlign w:val="superscript"/>
                <w:lang w:eastAsia="zh-CN"/>
              </w:rPr>
            </w:pPr>
            <w:r w:rsidRPr="00462B94">
              <w:rPr>
                <w:rFonts w:ascii="Book Antiqua" w:eastAsia="Times New Roman" w:hAnsi="Book Antiqua" w:cs="Arial"/>
                <w:sz w:val="24"/>
                <w:szCs w:val="24"/>
              </w:rPr>
              <w:t>Median household income percentile for patient's zip code</w:t>
            </w:r>
            <w:r w:rsidRPr="00462B94">
              <w:rPr>
                <w:rFonts w:ascii="Book Antiqua" w:hAnsi="Book Antiqua" w:cs="Arial" w:hint="eastAsia"/>
                <w:sz w:val="24"/>
                <w:szCs w:val="24"/>
                <w:vertAlign w:val="superscript"/>
                <w:lang w:eastAsia="zh-CN"/>
              </w:rPr>
              <w:t>1</w:t>
            </w:r>
          </w:p>
        </w:tc>
        <w:tc>
          <w:tcPr>
            <w:tcW w:w="0" w:type="auto"/>
            <w:shd w:val="clear" w:color="auto" w:fill="auto"/>
            <w:vAlign w:val="center"/>
          </w:tcPr>
          <w:p w14:paraId="13205948"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3E4D6BE4"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3B30EAF0" w14:textId="4DA4FC84"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BA6A48" w:rsidRPr="00462B94" w14:paraId="6CCEB73F"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38FAC87"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lastRenderedPageBreak/>
              <w:t>0-25</w:t>
            </w:r>
            <w:r w:rsidRPr="00462B94">
              <w:rPr>
                <w:rFonts w:ascii="Book Antiqua" w:eastAsia="Times New Roman" w:hAnsi="Book Antiqua" w:cs="Arial"/>
                <w:b w:val="0"/>
                <w:bCs w:val="0"/>
                <w:sz w:val="24"/>
                <w:szCs w:val="24"/>
                <w:vertAlign w:val="superscript"/>
              </w:rPr>
              <w:t>th</w:t>
            </w:r>
          </w:p>
        </w:tc>
        <w:tc>
          <w:tcPr>
            <w:tcW w:w="0" w:type="auto"/>
            <w:shd w:val="clear" w:color="auto" w:fill="auto"/>
            <w:vAlign w:val="center"/>
          </w:tcPr>
          <w:p w14:paraId="74A99518" w14:textId="20E9B9F0"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894564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(30.1)</w:t>
            </w:r>
          </w:p>
        </w:tc>
        <w:tc>
          <w:tcPr>
            <w:tcW w:w="0" w:type="auto"/>
            <w:shd w:val="clear" w:color="auto" w:fill="auto"/>
            <w:vAlign w:val="center"/>
          </w:tcPr>
          <w:p w14:paraId="5B480300" w14:textId="36745764"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29758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(28.8)</w:t>
            </w:r>
          </w:p>
        </w:tc>
        <w:tc>
          <w:tcPr>
            <w:tcW w:w="0" w:type="auto"/>
            <w:shd w:val="clear" w:color="auto" w:fill="auto"/>
            <w:vAlign w:val="center"/>
          </w:tcPr>
          <w:p w14:paraId="74A804D8"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5D459C7B"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158D190"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26-50</w:t>
            </w:r>
            <w:r w:rsidRPr="00462B94">
              <w:rPr>
                <w:rFonts w:ascii="Book Antiqua" w:eastAsia="Times New Roman" w:hAnsi="Book Antiqua" w:cs="Arial"/>
                <w:b w:val="0"/>
                <w:bCs w:val="0"/>
                <w:sz w:val="24"/>
                <w:szCs w:val="24"/>
                <w:vertAlign w:val="superscript"/>
              </w:rPr>
              <w:t>th</w:t>
            </w:r>
          </w:p>
        </w:tc>
        <w:tc>
          <w:tcPr>
            <w:tcW w:w="0" w:type="auto"/>
            <w:shd w:val="clear" w:color="auto" w:fill="auto"/>
            <w:vAlign w:val="center"/>
          </w:tcPr>
          <w:p w14:paraId="75C05881" w14:textId="247A282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807784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(27.2)</w:t>
            </w:r>
          </w:p>
        </w:tc>
        <w:tc>
          <w:tcPr>
            <w:tcW w:w="0" w:type="auto"/>
            <w:shd w:val="clear" w:color="auto" w:fill="auto"/>
            <w:vAlign w:val="center"/>
          </w:tcPr>
          <w:p w14:paraId="602CCE20" w14:textId="5E0F25F0"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26606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(25.8)</w:t>
            </w:r>
          </w:p>
        </w:tc>
        <w:tc>
          <w:tcPr>
            <w:tcW w:w="0" w:type="auto"/>
            <w:shd w:val="clear" w:color="auto" w:fill="auto"/>
            <w:vAlign w:val="center"/>
          </w:tcPr>
          <w:p w14:paraId="31EC9CBC"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7271405E"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290FFC3"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51-75</w:t>
            </w:r>
            <w:r w:rsidRPr="00462B94">
              <w:rPr>
                <w:rFonts w:ascii="Book Antiqua" w:eastAsia="Times New Roman" w:hAnsi="Book Antiqua" w:cs="Arial"/>
                <w:b w:val="0"/>
                <w:bCs w:val="0"/>
                <w:sz w:val="24"/>
                <w:szCs w:val="24"/>
                <w:vertAlign w:val="superscript"/>
              </w:rPr>
              <w:t>th</w:t>
            </w:r>
          </w:p>
        </w:tc>
        <w:tc>
          <w:tcPr>
            <w:tcW w:w="0" w:type="auto"/>
            <w:shd w:val="clear" w:color="auto" w:fill="auto"/>
            <w:vAlign w:val="center"/>
          </w:tcPr>
          <w:p w14:paraId="596783AF" w14:textId="2ACDED9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701363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(23.6)</w:t>
            </w:r>
          </w:p>
        </w:tc>
        <w:tc>
          <w:tcPr>
            <w:tcW w:w="0" w:type="auto"/>
            <w:shd w:val="clear" w:color="auto" w:fill="auto"/>
            <w:vAlign w:val="center"/>
          </w:tcPr>
          <w:p w14:paraId="210C0B73" w14:textId="60AB39B1"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24152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(23.4)</w:t>
            </w:r>
          </w:p>
        </w:tc>
        <w:tc>
          <w:tcPr>
            <w:tcW w:w="0" w:type="auto"/>
            <w:shd w:val="clear" w:color="auto" w:fill="auto"/>
            <w:vAlign w:val="center"/>
          </w:tcPr>
          <w:p w14:paraId="661FF119"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399389C4"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DBF52C0"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76-100</w:t>
            </w:r>
            <w:r w:rsidRPr="00462B94">
              <w:rPr>
                <w:rFonts w:ascii="Book Antiqua" w:eastAsia="Times New Roman" w:hAnsi="Book Antiqua" w:cs="Arial"/>
                <w:b w:val="0"/>
                <w:bCs w:val="0"/>
                <w:sz w:val="24"/>
                <w:szCs w:val="24"/>
                <w:vertAlign w:val="superscript"/>
              </w:rPr>
              <w:t>th</w:t>
            </w:r>
          </w:p>
        </w:tc>
        <w:tc>
          <w:tcPr>
            <w:tcW w:w="0" w:type="auto"/>
            <w:shd w:val="clear" w:color="auto" w:fill="auto"/>
            <w:vAlign w:val="center"/>
          </w:tcPr>
          <w:p w14:paraId="55C4D0BB" w14:textId="31A0E768"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566069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(19.1)</w:t>
            </w:r>
          </w:p>
        </w:tc>
        <w:tc>
          <w:tcPr>
            <w:tcW w:w="0" w:type="auto"/>
            <w:shd w:val="clear" w:color="auto" w:fill="auto"/>
            <w:vAlign w:val="center"/>
          </w:tcPr>
          <w:p w14:paraId="60F25C8E" w14:textId="46242AD5"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22637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(21.9)</w:t>
            </w:r>
          </w:p>
        </w:tc>
        <w:tc>
          <w:tcPr>
            <w:tcW w:w="0" w:type="auto"/>
            <w:shd w:val="clear" w:color="auto" w:fill="auto"/>
            <w:vAlign w:val="center"/>
          </w:tcPr>
          <w:p w14:paraId="4CD59A76"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69F78D88" w14:textId="77777777" w:rsidTr="00AF7FC5">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C19096E" w14:textId="77777777" w:rsidR="00BA6A48" w:rsidRPr="00462B94" w:rsidRDefault="00BA6A4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Primary expected payer</w:t>
            </w:r>
          </w:p>
        </w:tc>
        <w:tc>
          <w:tcPr>
            <w:tcW w:w="0" w:type="auto"/>
            <w:shd w:val="clear" w:color="auto" w:fill="auto"/>
            <w:vAlign w:val="center"/>
          </w:tcPr>
          <w:p w14:paraId="6406020A"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09DED68D"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44D9935F" w14:textId="47C7505D"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BA6A48" w:rsidRPr="00462B94" w14:paraId="5726232E"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8FD9B6E"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Medicare</w:t>
            </w:r>
          </w:p>
        </w:tc>
        <w:tc>
          <w:tcPr>
            <w:tcW w:w="0" w:type="auto"/>
            <w:shd w:val="clear" w:color="auto" w:fill="auto"/>
            <w:vAlign w:val="center"/>
          </w:tcPr>
          <w:p w14:paraId="1382AA29" w14:textId="2818D0EC"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1709250</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(56.4)</w:t>
            </w:r>
          </w:p>
        </w:tc>
        <w:tc>
          <w:tcPr>
            <w:tcW w:w="0" w:type="auto"/>
            <w:shd w:val="clear" w:color="auto" w:fill="auto"/>
            <w:vAlign w:val="center"/>
          </w:tcPr>
          <w:p w14:paraId="5AFD8D1D" w14:textId="73B9FB63"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72559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(69.1)</w:t>
            </w:r>
          </w:p>
        </w:tc>
        <w:tc>
          <w:tcPr>
            <w:tcW w:w="0" w:type="auto"/>
            <w:shd w:val="clear" w:color="auto" w:fill="auto"/>
            <w:vAlign w:val="center"/>
          </w:tcPr>
          <w:p w14:paraId="4C1B8766"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073BB2EE"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D206E5B"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Medicaid</w:t>
            </w:r>
          </w:p>
        </w:tc>
        <w:tc>
          <w:tcPr>
            <w:tcW w:w="0" w:type="auto"/>
            <w:shd w:val="clear" w:color="auto" w:fill="auto"/>
            <w:vAlign w:val="center"/>
          </w:tcPr>
          <w:p w14:paraId="15E53C3B" w14:textId="7E0D044D"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218428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(7.20)</w:t>
            </w:r>
          </w:p>
        </w:tc>
        <w:tc>
          <w:tcPr>
            <w:tcW w:w="0" w:type="auto"/>
            <w:shd w:val="clear" w:color="auto" w:fill="auto"/>
            <w:vAlign w:val="center"/>
          </w:tcPr>
          <w:p w14:paraId="577C122B" w14:textId="03A2B2E5"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4232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(4.0)</w:t>
            </w:r>
          </w:p>
        </w:tc>
        <w:tc>
          <w:tcPr>
            <w:tcW w:w="0" w:type="auto"/>
            <w:shd w:val="clear" w:color="auto" w:fill="auto"/>
            <w:vAlign w:val="center"/>
          </w:tcPr>
          <w:p w14:paraId="4DD1DDED"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1A6B83AD"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84C022C"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Private including HMO</w:t>
            </w:r>
          </w:p>
        </w:tc>
        <w:tc>
          <w:tcPr>
            <w:tcW w:w="0" w:type="auto"/>
            <w:shd w:val="clear" w:color="auto" w:fill="auto"/>
            <w:vAlign w:val="center"/>
          </w:tcPr>
          <w:p w14:paraId="7C451EBA" w14:textId="47CA9C0E"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803459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(26.5)</w:t>
            </w:r>
          </w:p>
        </w:tc>
        <w:tc>
          <w:tcPr>
            <w:tcW w:w="0" w:type="auto"/>
            <w:shd w:val="clear" w:color="auto" w:fill="auto"/>
            <w:vAlign w:val="center"/>
          </w:tcPr>
          <w:p w14:paraId="0537924D" w14:textId="393A677A"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22757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(21.7)</w:t>
            </w:r>
          </w:p>
        </w:tc>
        <w:tc>
          <w:tcPr>
            <w:tcW w:w="0" w:type="auto"/>
            <w:shd w:val="clear" w:color="auto" w:fill="auto"/>
            <w:vAlign w:val="center"/>
          </w:tcPr>
          <w:p w14:paraId="3FF44E45"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4C380D38"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9A74D81" w14:textId="04A68724"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Self</w:t>
            </w:r>
            <w:r w:rsidR="00062EC4" w:rsidRPr="00462B94">
              <w:rPr>
                <w:rFonts w:ascii="Book Antiqua" w:hAnsi="Book Antiqua" w:cs="Arial" w:hint="eastAsia"/>
                <w:b w:val="0"/>
                <w:bCs w:val="0"/>
                <w:sz w:val="24"/>
                <w:szCs w:val="24"/>
                <w:lang w:eastAsia="zh-CN"/>
              </w:rPr>
              <w:t>-</w:t>
            </w:r>
            <w:r w:rsidR="00062EC4" w:rsidRPr="00462B94">
              <w:rPr>
                <w:rFonts w:ascii="Book Antiqua" w:eastAsia="Times New Roman" w:hAnsi="Book Antiqua" w:cs="Arial"/>
                <w:b w:val="0"/>
                <w:bCs w:val="0"/>
                <w:sz w:val="24"/>
                <w:szCs w:val="24"/>
              </w:rPr>
              <w:t>p</w:t>
            </w:r>
            <w:r w:rsidRPr="00462B94">
              <w:rPr>
                <w:rFonts w:ascii="Book Antiqua" w:eastAsia="Times New Roman" w:hAnsi="Book Antiqua" w:cs="Arial"/>
                <w:b w:val="0"/>
                <w:bCs w:val="0"/>
                <w:sz w:val="24"/>
                <w:szCs w:val="24"/>
              </w:rPr>
              <w:t>ay/no charge/others</w:t>
            </w:r>
          </w:p>
        </w:tc>
        <w:tc>
          <w:tcPr>
            <w:tcW w:w="0" w:type="auto"/>
            <w:shd w:val="clear" w:color="auto" w:fill="auto"/>
            <w:vAlign w:val="center"/>
          </w:tcPr>
          <w:p w14:paraId="654EB3AD" w14:textId="62303562"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301827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(10.0)</w:t>
            </w:r>
          </w:p>
        </w:tc>
        <w:tc>
          <w:tcPr>
            <w:tcW w:w="0" w:type="auto"/>
            <w:shd w:val="clear" w:color="auto" w:fill="auto"/>
            <w:vAlign w:val="center"/>
          </w:tcPr>
          <w:p w14:paraId="6EF3E3AE" w14:textId="7C177B42"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5433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(5.2)</w:t>
            </w:r>
          </w:p>
        </w:tc>
        <w:tc>
          <w:tcPr>
            <w:tcW w:w="0" w:type="auto"/>
            <w:shd w:val="clear" w:color="auto" w:fill="auto"/>
            <w:vAlign w:val="center"/>
          </w:tcPr>
          <w:p w14:paraId="1D727D27"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4A9BB8CB"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D600532" w14:textId="77777777" w:rsidR="00BA6A48" w:rsidRPr="00462B94" w:rsidRDefault="00BA6A4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Control/ownership of hospital</w:t>
            </w:r>
          </w:p>
        </w:tc>
        <w:tc>
          <w:tcPr>
            <w:tcW w:w="0" w:type="auto"/>
            <w:shd w:val="clear" w:color="auto" w:fill="auto"/>
            <w:vAlign w:val="center"/>
          </w:tcPr>
          <w:p w14:paraId="242BAD55"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74FE5711"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5C5F2F05" w14:textId="18884F7F"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BA6A48" w:rsidRPr="00462B94" w14:paraId="3EE89CBB"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30D25C0"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 xml:space="preserve">Government, nonfederal </w:t>
            </w:r>
          </w:p>
        </w:tc>
        <w:tc>
          <w:tcPr>
            <w:tcW w:w="0" w:type="auto"/>
            <w:shd w:val="clear" w:color="auto" w:fill="auto"/>
            <w:vAlign w:val="center"/>
          </w:tcPr>
          <w:p w14:paraId="2EDD9BBB" w14:textId="1D439C4B"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305519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(10.1)</w:t>
            </w:r>
          </w:p>
        </w:tc>
        <w:tc>
          <w:tcPr>
            <w:tcW w:w="0" w:type="auto"/>
            <w:shd w:val="clear" w:color="auto" w:fill="auto"/>
            <w:vAlign w:val="center"/>
          </w:tcPr>
          <w:p w14:paraId="152C8362" w14:textId="20214C7C"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9697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(9.3)</w:t>
            </w:r>
          </w:p>
        </w:tc>
        <w:tc>
          <w:tcPr>
            <w:tcW w:w="0" w:type="auto"/>
            <w:shd w:val="clear" w:color="auto" w:fill="auto"/>
            <w:vAlign w:val="center"/>
          </w:tcPr>
          <w:p w14:paraId="67B8FDAC"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BA6A48" w:rsidRPr="00462B94" w14:paraId="2AC0014D"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CD18553"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lastRenderedPageBreak/>
              <w:t>Private, non-profit</w:t>
            </w:r>
          </w:p>
        </w:tc>
        <w:tc>
          <w:tcPr>
            <w:tcW w:w="0" w:type="auto"/>
            <w:shd w:val="clear" w:color="auto" w:fill="auto"/>
            <w:vAlign w:val="center"/>
          </w:tcPr>
          <w:p w14:paraId="259EE6BD" w14:textId="4C2EAF2D"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2258936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(74.7)</w:t>
            </w:r>
          </w:p>
        </w:tc>
        <w:tc>
          <w:tcPr>
            <w:tcW w:w="0" w:type="auto"/>
            <w:shd w:val="clear" w:color="auto" w:fill="auto"/>
            <w:vAlign w:val="center"/>
          </w:tcPr>
          <w:p w14:paraId="085BBB9E" w14:textId="32AB01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81175</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(77.4)</w:t>
            </w:r>
          </w:p>
        </w:tc>
        <w:tc>
          <w:tcPr>
            <w:tcW w:w="0" w:type="auto"/>
            <w:shd w:val="clear" w:color="auto" w:fill="auto"/>
            <w:vAlign w:val="center"/>
          </w:tcPr>
          <w:p w14:paraId="4239495B"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BA6A48" w:rsidRPr="00462B94" w14:paraId="7B0F51C7"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2FEA743"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Private, invest-own</w:t>
            </w:r>
          </w:p>
        </w:tc>
        <w:tc>
          <w:tcPr>
            <w:tcW w:w="0" w:type="auto"/>
            <w:shd w:val="clear" w:color="auto" w:fill="auto"/>
            <w:vAlign w:val="center"/>
          </w:tcPr>
          <w:p w14:paraId="6B987378" w14:textId="26A17EFA"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459942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(15.2)</w:t>
            </w:r>
          </w:p>
        </w:tc>
        <w:tc>
          <w:tcPr>
            <w:tcW w:w="0" w:type="auto"/>
            <w:shd w:val="clear" w:color="auto" w:fill="auto"/>
            <w:vAlign w:val="center"/>
          </w:tcPr>
          <w:p w14:paraId="5FA487C2" w14:textId="4708248D"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13962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(13.3)</w:t>
            </w:r>
          </w:p>
        </w:tc>
        <w:tc>
          <w:tcPr>
            <w:tcW w:w="0" w:type="auto"/>
            <w:shd w:val="clear" w:color="auto" w:fill="auto"/>
            <w:vAlign w:val="center"/>
          </w:tcPr>
          <w:p w14:paraId="45F8F657"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BA6A48" w:rsidRPr="00462B94" w14:paraId="0DBBFAFF" w14:textId="77777777" w:rsidTr="00AF7FC5">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5C127E5" w14:textId="77777777" w:rsidR="00BA6A48" w:rsidRPr="00462B94" w:rsidRDefault="00BA6A4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Bed size of hospital</w:t>
            </w:r>
          </w:p>
        </w:tc>
        <w:tc>
          <w:tcPr>
            <w:tcW w:w="0" w:type="auto"/>
            <w:shd w:val="clear" w:color="auto" w:fill="auto"/>
            <w:vAlign w:val="center"/>
          </w:tcPr>
          <w:p w14:paraId="408CDF08"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131C3D27"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3D62AE0D"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eastAsia="Times New Roman" w:hAnsi="Book Antiqua" w:cs="Arial"/>
                <w:sz w:val="24"/>
                <w:szCs w:val="24"/>
              </w:rPr>
              <w:t>0.157</w:t>
            </w:r>
          </w:p>
        </w:tc>
      </w:tr>
      <w:tr w:rsidR="00BA6A48" w:rsidRPr="00462B94" w14:paraId="39FA79DB"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F98CD0B"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Small</w:t>
            </w:r>
          </w:p>
        </w:tc>
        <w:tc>
          <w:tcPr>
            <w:tcW w:w="0" w:type="auto"/>
            <w:shd w:val="clear" w:color="auto" w:fill="auto"/>
            <w:vAlign w:val="center"/>
          </w:tcPr>
          <w:p w14:paraId="0C6E23F0" w14:textId="68E8740C"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351544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(11.6)</w:t>
            </w:r>
          </w:p>
        </w:tc>
        <w:tc>
          <w:tcPr>
            <w:tcW w:w="0" w:type="auto"/>
            <w:shd w:val="clear" w:color="auto" w:fill="auto"/>
            <w:vAlign w:val="center"/>
          </w:tcPr>
          <w:p w14:paraId="63D3AEC4" w14:textId="5297F02C"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12101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(11.5)</w:t>
            </w:r>
          </w:p>
        </w:tc>
        <w:tc>
          <w:tcPr>
            <w:tcW w:w="0" w:type="auto"/>
            <w:shd w:val="clear" w:color="auto" w:fill="auto"/>
            <w:vAlign w:val="center"/>
          </w:tcPr>
          <w:p w14:paraId="4AE478C8"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BA6A48" w:rsidRPr="00462B94" w14:paraId="05FB2E07"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921A14C"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Medium</w:t>
            </w:r>
          </w:p>
        </w:tc>
        <w:tc>
          <w:tcPr>
            <w:tcW w:w="0" w:type="auto"/>
            <w:shd w:val="clear" w:color="auto" w:fill="auto"/>
            <w:vAlign w:val="center"/>
          </w:tcPr>
          <w:p w14:paraId="7A0DC1A5" w14:textId="277EF22E"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767625</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(25.4)</w:t>
            </w:r>
          </w:p>
        </w:tc>
        <w:tc>
          <w:tcPr>
            <w:tcW w:w="0" w:type="auto"/>
            <w:shd w:val="clear" w:color="auto" w:fill="auto"/>
            <w:vAlign w:val="center"/>
          </w:tcPr>
          <w:p w14:paraId="0B9E4459" w14:textId="7FFF17FA"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26387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(25.2)</w:t>
            </w:r>
          </w:p>
        </w:tc>
        <w:tc>
          <w:tcPr>
            <w:tcW w:w="0" w:type="auto"/>
            <w:shd w:val="clear" w:color="auto" w:fill="auto"/>
            <w:vAlign w:val="center"/>
          </w:tcPr>
          <w:p w14:paraId="51B0C826"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BA6A48" w:rsidRPr="00462B94" w14:paraId="21AFFBEA"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0217C51"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Large</w:t>
            </w:r>
          </w:p>
        </w:tc>
        <w:tc>
          <w:tcPr>
            <w:tcW w:w="0" w:type="auto"/>
            <w:shd w:val="clear" w:color="auto" w:fill="auto"/>
            <w:vAlign w:val="center"/>
          </w:tcPr>
          <w:p w14:paraId="0A11A69E" w14:textId="256E2236"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1905229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(63.0)</w:t>
            </w:r>
          </w:p>
        </w:tc>
        <w:tc>
          <w:tcPr>
            <w:tcW w:w="0" w:type="auto"/>
            <w:shd w:val="clear" w:color="auto" w:fill="auto"/>
            <w:vAlign w:val="center"/>
          </w:tcPr>
          <w:p w14:paraId="2A0B36A6" w14:textId="1C0770B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66346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(63.3)</w:t>
            </w:r>
          </w:p>
        </w:tc>
        <w:tc>
          <w:tcPr>
            <w:tcW w:w="0" w:type="auto"/>
            <w:shd w:val="clear" w:color="auto" w:fill="auto"/>
            <w:vAlign w:val="center"/>
          </w:tcPr>
          <w:p w14:paraId="0B3C41AB"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BA6A48" w:rsidRPr="00462B94" w14:paraId="7C5D2058" w14:textId="77777777" w:rsidTr="00AF7FC5">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75FFBB9" w14:textId="77777777" w:rsidR="00BA6A48" w:rsidRPr="00462B94" w:rsidRDefault="00BA6A4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 xml:space="preserve">Location/teaching status </w:t>
            </w:r>
          </w:p>
        </w:tc>
        <w:tc>
          <w:tcPr>
            <w:tcW w:w="0" w:type="auto"/>
            <w:shd w:val="clear" w:color="auto" w:fill="auto"/>
            <w:vAlign w:val="center"/>
          </w:tcPr>
          <w:p w14:paraId="5EB2C534"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573D8585"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6E382E82" w14:textId="56CE2B1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BA6A48" w:rsidRPr="00462B94" w14:paraId="7CA197E9"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BAEB832"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Rural</w:t>
            </w:r>
          </w:p>
        </w:tc>
        <w:tc>
          <w:tcPr>
            <w:tcW w:w="0" w:type="auto"/>
            <w:shd w:val="clear" w:color="auto" w:fill="auto"/>
            <w:vAlign w:val="center"/>
          </w:tcPr>
          <w:p w14:paraId="7698FE47" w14:textId="68F92AB0"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312292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(10.3)</w:t>
            </w:r>
          </w:p>
        </w:tc>
        <w:tc>
          <w:tcPr>
            <w:tcW w:w="0" w:type="auto"/>
            <w:shd w:val="clear" w:color="auto" w:fill="auto"/>
            <w:vAlign w:val="center"/>
          </w:tcPr>
          <w:p w14:paraId="058D10D3" w14:textId="69DED7BD"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10030</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(9.6)</w:t>
            </w:r>
          </w:p>
        </w:tc>
        <w:tc>
          <w:tcPr>
            <w:tcW w:w="0" w:type="auto"/>
            <w:shd w:val="clear" w:color="auto" w:fill="auto"/>
            <w:vAlign w:val="center"/>
          </w:tcPr>
          <w:p w14:paraId="0FCB12EC"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4B78C9EC"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E4DBDFA"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Urban non-teaching</w:t>
            </w:r>
          </w:p>
        </w:tc>
        <w:tc>
          <w:tcPr>
            <w:tcW w:w="0" w:type="auto"/>
            <w:shd w:val="clear" w:color="auto" w:fill="auto"/>
            <w:vAlign w:val="center"/>
          </w:tcPr>
          <w:p w14:paraId="6B016A79" w14:textId="63E90126"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1183544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(39.1)</w:t>
            </w:r>
          </w:p>
        </w:tc>
        <w:tc>
          <w:tcPr>
            <w:tcW w:w="0" w:type="auto"/>
            <w:shd w:val="clear" w:color="auto" w:fill="auto"/>
            <w:vAlign w:val="center"/>
          </w:tcPr>
          <w:p w14:paraId="36AD6E98" w14:textId="296A84D2"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37858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(36.1)</w:t>
            </w:r>
          </w:p>
        </w:tc>
        <w:tc>
          <w:tcPr>
            <w:tcW w:w="0" w:type="auto"/>
            <w:shd w:val="clear" w:color="auto" w:fill="auto"/>
            <w:vAlign w:val="center"/>
          </w:tcPr>
          <w:p w14:paraId="36789855"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695986CA"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3E742CA"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Urban teaching</w:t>
            </w:r>
          </w:p>
        </w:tc>
        <w:tc>
          <w:tcPr>
            <w:tcW w:w="0" w:type="auto"/>
            <w:shd w:val="clear" w:color="auto" w:fill="auto"/>
            <w:vAlign w:val="center"/>
          </w:tcPr>
          <w:p w14:paraId="5F9CF84A" w14:textId="6FE9539B"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1528562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(50.5)</w:t>
            </w:r>
          </w:p>
        </w:tc>
        <w:tc>
          <w:tcPr>
            <w:tcW w:w="0" w:type="auto"/>
            <w:shd w:val="clear" w:color="auto" w:fill="auto"/>
            <w:vAlign w:val="center"/>
          </w:tcPr>
          <w:p w14:paraId="01C8253B" w14:textId="2FD80F68"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56946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(54.3)</w:t>
            </w:r>
          </w:p>
        </w:tc>
        <w:tc>
          <w:tcPr>
            <w:tcW w:w="0" w:type="auto"/>
            <w:shd w:val="clear" w:color="auto" w:fill="auto"/>
            <w:vAlign w:val="center"/>
          </w:tcPr>
          <w:p w14:paraId="7648FE87"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p>
        </w:tc>
      </w:tr>
      <w:tr w:rsidR="00BA6A48" w:rsidRPr="00462B94" w14:paraId="2014A44E" w14:textId="77777777" w:rsidTr="00AF7FC5">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A94ECFE" w14:textId="77777777" w:rsidR="00BA6A48" w:rsidRPr="00462B94" w:rsidRDefault="00BA6A48" w:rsidP="00462B94">
            <w:pPr>
              <w:tabs>
                <w:tab w:val="left" w:pos="8184"/>
              </w:tabs>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sz w:val="24"/>
                <w:szCs w:val="24"/>
              </w:rPr>
              <w:t>Region of hospital</w:t>
            </w:r>
          </w:p>
        </w:tc>
        <w:tc>
          <w:tcPr>
            <w:tcW w:w="0" w:type="auto"/>
            <w:shd w:val="clear" w:color="auto" w:fill="auto"/>
            <w:vAlign w:val="center"/>
          </w:tcPr>
          <w:p w14:paraId="7F532544"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58667DB0"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c>
          <w:tcPr>
            <w:tcW w:w="0" w:type="auto"/>
            <w:shd w:val="clear" w:color="auto" w:fill="auto"/>
            <w:vAlign w:val="center"/>
          </w:tcPr>
          <w:p w14:paraId="6EF09F1A" w14:textId="783BB3FF"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lang w:eastAsia="zh-CN"/>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BA6A48" w:rsidRPr="00462B94" w14:paraId="3E34CFA3"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2F0018D"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lastRenderedPageBreak/>
              <w:t>Northeast</w:t>
            </w:r>
          </w:p>
        </w:tc>
        <w:tc>
          <w:tcPr>
            <w:tcW w:w="0" w:type="auto"/>
            <w:shd w:val="clear" w:color="auto" w:fill="auto"/>
            <w:vAlign w:val="center"/>
          </w:tcPr>
          <w:p w14:paraId="122474FA" w14:textId="00FD6AE5"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575864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(18.9)</w:t>
            </w:r>
          </w:p>
        </w:tc>
        <w:tc>
          <w:tcPr>
            <w:tcW w:w="0" w:type="auto"/>
            <w:shd w:val="clear" w:color="auto" w:fill="auto"/>
            <w:vAlign w:val="center"/>
          </w:tcPr>
          <w:p w14:paraId="229FAD7B" w14:textId="560F0C9E"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19077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(18.1)</w:t>
            </w:r>
          </w:p>
        </w:tc>
        <w:tc>
          <w:tcPr>
            <w:tcW w:w="0" w:type="auto"/>
            <w:shd w:val="clear" w:color="auto" w:fill="auto"/>
            <w:vAlign w:val="center"/>
          </w:tcPr>
          <w:p w14:paraId="62CF1A67"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BA6A48" w:rsidRPr="00462B94" w14:paraId="2DB4A2E8"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B0E817A"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Midwest</w:t>
            </w:r>
          </w:p>
        </w:tc>
        <w:tc>
          <w:tcPr>
            <w:tcW w:w="0" w:type="auto"/>
            <w:shd w:val="clear" w:color="auto" w:fill="auto"/>
            <w:vAlign w:val="center"/>
          </w:tcPr>
          <w:p w14:paraId="2FFBAB0B" w14:textId="46D6AE7A"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705042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(23.2)</w:t>
            </w:r>
          </w:p>
        </w:tc>
        <w:tc>
          <w:tcPr>
            <w:tcW w:w="0" w:type="auto"/>
            <w:shd w:val="clear" w:color="auto" w:fill="auto"/>
            <w:vAlign w:val="center"/>
          </w:tcPr>
          <w:p w14:paraId="2334DFA9" w14:textId="040618DD"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24946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(23.7)</w:t>
            </w:r>
          </w:p>
        </w:tc>
        <w:tc>
          <w:tcPr>
            <w:tcW w:w="0" w:type="auto"/>
            <w:shd w:val="clear" w:color="auto" w:fill="auto"/>
            <w:vAlign w:val="center"/>
          </w:tcPr>
          <w:p w14:paraId="3E751BB4"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BA6A48" w:rsidRPr="00462B94" w14:paraId="0BDEC58F" w14:textId="77777777" w:rsidTr="00BA6A48">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5DA61F2"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South</w:t>
            </w:r>
          </w:p>
        </w:tc>
        <w:tc>
          <w:tcPr>
            <w:tcW w:w="0" w:type="auto"/>
            <w:shd w:val="clear" w:color="auto" w:fill="auto"/>
            <w:vAlign w:val="center"/>
          </w:tcPr>
          <w:p w14:paraId="71C25093" w14:textId="67BC7C3A"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1219352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(40.1)</w:t>
            </w:r>
          </w:p>
        </w:tc>
        <w:tc>
          <w:tcPr>
            <w:tcW w:w="0" w:type="auto"/>
            <w:shd w:val="clear" w:color="auto" w:fill="auto"/>
            <w:vAlign w:val="center"/>
          </w:tcPr>
          <w:p w14:paraId="1F6BD3C9" w14:textId="583630EF"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39502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(37.5)</w:t>
            </w:r>
          </w:p>
        </w:tc>
        <w:tc>
          <w:tcPr>
            <w:tcW w:w="0" w:type="auto"/>
            <w:shd w:val="clear" w:color="auto" w:fill="auto"/>
            <w:vAlign w:val="center"/>
          </w:tcPr>
          <w:p w14:paraId="06A89167" w14:textId="77777777" w:rsidR="00BA6A48" w:rsidRPr="00462B94" w:rsidRDefault="00BA6A48" w:rsidP="00462B94">
            <w:pPr>
              <w:tabs>
                <w:tab w:val="left" w:pos="818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BA6A48" w:rsidRPr="00462B94" w14:paraId="219959F5" w14:textId="77777777" w:rsidTr="00BA6A48">
        <w:trPr>
          <w:trHeight w:val="1134"/>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vAlign w:val="center"/>
            <w:hideMark/>
          </w:tcPr>
          <w:p w14:paraId="7C4DA7B5" w14:textId="77777777" w:rsidR="00BA6A48" w:rsidRPr="00462B94" w:rsidRDefault="00BA6A48" w:rsidP="00462B94">
            <w:pPr>
              <w:tabs>
                <w:tab w:val="left" w:pos="8184"/>
              </w:tabs>
              <w:spacing w:line="360" w:lineRule="auto"/>
              <w:ind w:firstLineChars="50" w:firstLine="120"/>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West</w:t>
            </w:r>
          </w:p>
        </w:tc>
        <w:tc>
          <w:tcPr>
            <w:tcW w:w="0" w:type="auto"/>
            <w:tcBorders>
              <w:bottom w:val="single" w:sz="4" w:space="0" w:color="auto"/>
            </w:tcBorders>
            <w:shd w:val="clear" w:color="auto" w:fill="auto"/>
            <w:vAlign w:val="center"/>
          </w:tcPr>
          <w:p w14:paraId="728DF72A" w14:textId="795C22C3"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539288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(17.7)</w:t>
            </w:r>
          </w:p>
        </w:tc>
        <w:tc>
          <w:tcPr>
            <w:tcW w:w="0" w:type="auto"/>
            <w:tcBorders>
              <w:bottom w:val="single" w:sz="4" w:space="0" w:color="auto"/>
            </w:tcBorders>
            <w:shd w:val="clear" w:color="auto" w:fill="auto"/>
            <w:vAlign w:val="center"/>
          </w:tcPr>
          <w:p w14:paraId="551AF0F6" w14:textId="4A08B20C"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21672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(20.6)</w:t>
            </w:r>
          </w:p>
        </w:tc>
        <w:tc>
          <w:tcPr>
            <w:tcW w:w="0" w:type="auto"/>
            <w:tcBorders>
              <w:bottom w:val="single" w:sz="4" w:space="0" w:color="auto"/>
            </w:tcBorders>
            <w:shd w:val="clear" w:color="auto" w:fill="auto"/>
            <w:vAlign w:val="center"/>
          </w:tcPr>
          <w:p w14:paraId="059AE03E" w14:textId="77777777" w:rsidR="00BA6A48" w:rsidRPr="00462B94" w:rsidRDefault="00BA6A48" w:rsidP="00462B94">
            <w:pPr>
              <w:tabs>
                <w:tab w:val="left" w:pos="8184"/>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bl>
    <w:p w14:paraId="6FCCADE7" w14:textId="77777777" w:rsidR="00FC17C8" w:rsidRPr="00462B94" w:rsidRDefault="00FC17C8" w:rsidP="00462B94">
      <w:pPr>
        <w:spacing w:line="360" w:lineRule="auto"/>
        <w:jc w:val="both"/>
        <w:rPr>
          <w:rFonts w:ascii="Book Antiqua" w:hAnsi="Book Antiqua"/>
        </w:rPr>
      </w:pPr>
    </w:p>
    <w:p w14:paraId="14D62EB0" w14:textId="1751C91D" w:rsidR="00DE4739" w:rsidRPr="00462B94" w:rsidRDefault="00DE4739" w:rsidP="00462B94">
      <w:pPr>
        <w:tabs>
          <w:tab w:val="left" w:pos="8184"/>
        </w:tabs>
        <w:spacing w:line="360" w:lineRule="auto"/>
        <w:jc w:val="both"/>
        <w:rPr>
          <w:rFonts w:ascii="Book Antiqua" w:hAnsi="Book Antiqua" w:cs="Arial"/>
          <w:bCs/>
          <w:lang w:eastAsia="zh-CN"/>
        </w:rPr>
      </w:pPr>
      <w:proofErr w:type="spellStart"/>
      <w:r w:rsidRPr="00462B94">
        <w:rPr>
          <w:rFonts w:ascii="Book Antiqua" w:hAnsi="Book Antiqua" w:cs="Arial" w:hint="eastAsia"/>
          <w:bCs/>
          <w:vertAlign w:val="superscript"/>
          <w:lang w:eastAsia="zh-CN"/>
        </w:rPr>
        <w:t>a</w:t>
      </w:r>
      <w:r w:rsidRPr="00462B94">
        <w:rPr>
          <w:rFonts w:ascii="Book Antiqua" w:eastAsia="Times New Roman" w:hAnsi="Book Antiqua" w:cs="Arial"/>
          <w:bCs/>
          <w:i/>
        </w:rPr>
        <w:t>P</w:t>
      </w:r>
      <w:proofErr w:type="spellEnd"/>
      <w:r w:rsidRPr="00462B94">
        <w:rPr>
          <w:rFonts w:ascii="Book Antiqua" w:eastAsia="Times New Roman" w:hAnsi="Book Antiqua" w:cs="Arial"/>
          <w:bCs/>
          <w:i/>
        </w:rPr>
        <w:t xml:space="preserve"> &lt; </w:t>
      </w:r>
      <w:r w:rsidRPr="00462B94">
        <w:rPr>
          <w:rFonts w:ascii="Book Antiqua" w:eastAsia="Times New Roman" w:hAnsi="Book Antiqua" w:cs="Arial"/>
        </w:rPr>
        <w:t>0.05 indicates clinical significance.</w:t>
      </w:r>
      <w:r w:rsidRPr="00462B94">
        <w:rPr>
          <w:rFonts w:ascii="Book Antiqua" w:hAnsi="Book Antiqua" w:cs="Arial" w:hint="eastAsia"/>
          <w:bCs/>
          <w:lang w:eastAsia="zh-CN"/>
        </w:rPr>
        <w:t xml:space="preserve"> </w:t>
      </w:r>
      <w:r w:rsidRPr="00462B94">
        <w:rPr>
          <w:rFonts w:ascii="Book Antiqua" w:eastAsia="Times New Roman" w:hAnsi="Book Antiqua" w:cs="Arial"/>
        </w:rPr>
        <w:t xml:space="preserve">The bed size cutoff points are derived from </w:t>
      </w:r>
      <w:hyperlink r:id="rId7" w:history="1">
        <w:r w:rsidRPr="00462B94">
          <w:rPr>
            <w:rStyle w:val="Hyperlink"/>
            <w:rFonts w:ascii="Book Antiqua" w:eastAsia="Times New Roman" w:hAnsi="Book Antiqua" w:cs="Arial"/>
            <w:color w:val="auto"/>
            <w:u w:val="none"/>
          </w:rPr>
          <w:t>https://www.hcup-us.ahrq.gov/db/vars/hosp_bedsize/nisnote.jsp</w:t>
        </w:r>
      </w:hyperlink>
      <w:r w:rsidRPr="00462B94">
        <w:rPr>
          <w:rStyle w:val="Hyperlink"/>
          <w:rFonts w:ascii="Book Antiqua" w:hAnsi="Book Antiqua" w:cs="Arial" w:hint="eastAsia"/>
          <w:color w:val="auto"/>
          <w:u w:val="none"/>
          <w:lang w:eastAsia="zh-CN"/>
        </w:rPr>
        <w:t>.</w:t>
      </w:r>
      <w:r w:rsidRPr="00462B94">
        <w:rPr>
          <w:rFonts w:ascii="Book Antiqua" w:hAnsi="Book Antiqua" w:cs="Arial" w:hint="eastAsia"/>
          <w:bCs/>
          <w:lang w:eastAsia="zh-CN"/>
        </w:rPr>
        <w:t xml:space="preserve"> </w:t>
      </w:r>
      <w:r w:rsidRPr="00462B94">
        <w:rPr>
          <w:rFonts w:ascii="Book Antiqua" w:hAnsi="Book Antiqua" w:cs="Arial" w:hint="eastAsia"/>
          <w:vertAlign w:val="superscript"/>
          <w:lang w:eastAsia="zh-CN"/>
        </w:rPr>
        <w:t>1</w:t>
      </w:r>
      <w:r w:rsidRPr="00462B94">
        <w:rPr>
          <w:rFonts w:ascii="Book Antiqua" w:eastAsia="Times New Roman" w:hAnsi="Book Antiqua" w:cs="Arial"/>
        </w:rPr>
        <w:t>Represents a quartile classiﬁcation of the estimated median household income of residents in the patient’s ZIP Code, derived from https://www.hcup-us.ahrq.gov/db/vars/zipinc_qrtl/nisnote.jsp</w:t>
      </w:r>
      <w:r w:rsidRPr="00462B94">
        <w:rPr>
          <w:rFonts w:ascii="Book Antiqua" w:hAnsi="Book Antiqua" w:cs="Arial" w:hint="eastAsia"/>
          <w:bCs/>
          <w:lang w:eastAsia="zh-CN"/>
        </w:rPr>
        <w:t>.</w:t>
      </w:r>
      <w:r w:rsidRPr="00462B94">
        <w:rPr>
          <w:rFonts w:ascii="Book Antiqua" w:eastAsia="Times New Roman" w:hAnsi="Book Antiqua" w:cs="Arial"/>
          <w:bCs/>
        </w:rPr>
        <w:t xml:space="preserve"> </w:t>
      </w:r>
      <w:r w:rsidRPr="00462B94">
        <w:rPr>
          <w:rFonts w:ascii="Book Antiqua" w:eastAsia="Times New Roman" w:hAnsi="Book Antiqua" w:cs="Arial"/>
        </w:rPr>
        <w:t>HMO</w:t>
      </w:r>
      <w:r w:rsidRPr="00462B94">
        <w:rPr>
          <w:rFonts w:ascii="Book Antiqua" w:hAnsi="Book Antiqua" w:cs="Arial" w:hint="eastAsia"/>
          <w:bCs/>
          <w:lang w:eastAsia="zh-CN"/>
        </w:rPr>
        <w:t>:</w:t>
      </w:r>
      <w:r w:rsidRPr="00462B94">
        <w:rPr>
          <w:rFonts w:ascii="Book Antiqua" w:eastAsia="Times New Roman" w:hAnsi="Book Antiqua" w:cs="Arial"/>
        </w:rPr>
        <w:t xml:space="preserve"> </w:t>
      </w:r>
      <w:r w:rsidRPr="00462B94">
        <w:rPr>
          <w:rFonts w:ascii="Book Antiqua" w:eastAsia="Times New Roman" w:hAnsi="Book Antiqua" w:cs="Arial"/>
          <w:bCs/>
        </w:rPr>
        <w:t xml:space="preserve">Health </w:t>
      </w:r>
      <w:r w:rsidRPr="00462B94">
        <w:rPr>
          <w:rFonts w:ascii="Book Antiqua" w:eastAsia="Times New Roman" w:hAnsi="Book Antiqua" w:cs="Arial"/>
        </w:rPr>
        <w:t>maintenance organization</w:t>
      </w:r>
      <w:r w:rsidRPr="00462B94">
        <w:rPr>
          <w:rFonts w:ascii="Book Antiqua" w:hAnsi="Book Antiqua" w:cs="Arial" w:hint="eastAsia"/>
          <w:bCs/>
          <w:lang w:eastAsia="zh-CN"/>
        </w:rPr>
        <w:t>;</w:t>
      </w:r>
      <w:r w:rsidRPr="00462B94">
        <w:rPr>
          <w:rFonts w:ascii="Book Antiqua" w:eastAsia="Times New Roman" w:hAnsi="Book Antiqua" w:cs="Arial"/>
        </w:rPr>
        <w:t xml:space="preserve"> SNF</w:t>
      </w:r>
      <w:r w:rsidRPr="00462B94">
        <w:rPr>
          <w:rFonts w:ascii="Book Antiqua" w:hAnsi="Book Antiqua" w:cs="Arial" w:hint="eastAsia"/>
          <w:bCs/>
          <w:lang w:eastAsia="zh-CN"/>
        </w:rPr>
        <w:t>:</w:t>
      </w:r>
      <w:r w:rsidRPr="00462B94">
        <w:rPr>
          <w:rFonts w:ascii="Book Antiqua" w:eastAsia="Times New Roman" w:hAnsi="Book Antiqua" w:cs="Arial"/>
        </w:rPr>
        <w:t xml:space="preserve"> </w:t>
      </w:r>
      <w:r w:rsidRPr="00462B94">
        <w:rPr>
          <w:rFonts w:ascii="Book Antiqua" w:eastAsia="Times New Roman" w:hAnsi="Book Antiqua" w:cs="Arial"/>
          <w:bCs/>
        </w:rPr>
        <w:t xml:space="preserve">Skilled </w:t>
      </w:r>
      <w:r w:rsidRPr="00462B94">
        <w:rPr>
          <w:rFonts w:ascii="Book Antiqua" w:eastAsia="Times New Roman" w:hAnsi="Book Antiqua" w:cs="Arial"/>
        </w:rPr>
        <w:t>nursing facility</w:t>
      </w:r>
      <w:r w:rsidRPr="00462B94">
        <w:rPr>
          <w:rFonts w:ascii="Book Antiqua" w:hAnsi="Book Antiqua" w:cs="Arial" w:hint="eastAsia"/>
          <w:bCs/>
          <w:lang w:eastAsia="zh-CN"/>
        </w:rPr>
        <w:t>;</w:t>
      </w:r>
      <w:r w:rsidRPr="00462B94">
        <w:rPr>
          <w:rFonts w:ascii="Book Antiqua" w:eastAsia="Times New Roman" w:hAnsi="Book Antiqua" w:cs="Arial"/>
        </w:rPr>
        <w:t xml:space="preserve"> ICF</w:t>
      </w:r>
      <w:r w:rsidRPr="00462B94">
        <w:rPr>
          <w:rFonts w:ascii="Book Antiqua" w:hAnsi="Book Antiqua" w:cs="Arial" w:hint="eastAsia"/>
          <w:bCs/>
          <w:lang w:eastAsia="zh-CN"/>
        </w:rPr>
        <w:t xml:space="preserve">: </w:t>
      </w:r>
      <w:r w:rsidRPr="00462B94">
        <w:rPr>
          <w:rFonts w:ascii="Book Antiqua" w:eastAsia="Times New Roman" w:hAnsi="Book Antiqua" w:cs="Arial"/>
          <w:bCs/>
        </w:rPr>
        <w:t xml:space="preserve">Intermediate </w:t>
      </w:r>
      <w:r w:rsidRPr="00462B94">
        <w:rPr>
          <w:rFonts w:ascii="Book Antiqua" w:eastAsia="Times New Roman" w:hAnsi="Book Antiqua" w:cs="Arial"/>
        </w:rPr>
        <w:t>care facility</w:t>
      </w:r>
      <w:r w:rsidRPr="00462B94">
        <w:rPr>
          <w:rFonts w:ascii="Book Antiqua" w:hAnsi="Book Antiqua" w:cs="Arial" w:hint="eastAsia"/>
          <w:bCs/>
          <w:lang w:eastAsia="zh-CN"/>
        </w:rPr>
        <w:t>.</w:t>
      </w:r>
    </w:p>
    <w:p w14:paraId="1A386990" w14:textId="77777777" w:rsidR="00FC17C8" w:rsidRPr="00462B94" w:rsidRDefault="00FC17C8" w:rsidP="00462B94">
      <w:pPr>
        <w:spacing w:line="360" w:lineRule="auto"/>
        <w:jc w:val="both"/>
        <w:rPr>
          <w:rFonts w:ascii="Book Antiqua" w:hAnsi="Book Antiqua"/>
        </w:rPr>
      </w:pPr>
    </w:p>
    <w:p w14:paraId="7FCB5253" w14:textId="77777777" w:rsidR="00BA6A48" w:rsidRPr="00462B94" w:rsidRDefault="00BA6A48" w:rsidP="00462B94">
      <w:pPr>
        <w:spacing w:line="360" w:lineRule="auto"/>
        <w:rPr>
          <w:rFonts w:ascii="Book Antiqua" w:hAnsi="Book Antiqua" w:cs="Arial"/>
          <w:b/>
        </w:rPr>
      </w:pPr>
      <w:r w:rsidRPr="00462B94">
        <w:rPr>
          <w:rFonts w:ascii="Book Antiqua" w:hAnsi="Book Antiqua" w:cs="Arial"/>
          <w:b/>
        </w:rPr>
        <w:br w:type="page"/>
      </w:r>
    </w:p>
    <w:p w14:paraId="24FD808B" w14:textId="75134858" w:rsidR="00FC17C8" w:rsidRPr="00462B94" w:rsidRDefault="00BA6A48" w:rsidP="00462B94">
      <w:pPr>
        <w:spacing w:line="360" w:lineRule="auto"/>
        <w:jc w:val="both"/>
        <w:rPr>
          <w:rFonts w:ascii="Book Antiqua" w:hAnsi="Book Antiqua" w:cs="Arial"/>
          <w:b/>
          <w:lang w:eastAsia="zh-CN"/>
        </w:rPr>
      </w:pPr>
      <w:r w:rsidRPr="00462B94">
        <w:rPr>
          <w:rFonts w:ascii="Book Antiqua" w:hAnsi="Book Antiqua" w:cs="Arial"/>
          <w:b/>
        </w:rPr>
        <w:lastRenderedPageBreak/>
        <w:t xml:space="preserve">Table 2 Comorbidities in acute coronary syndrome without </w:t>
      </w:r>
      <w:r w:rsidRPr="00462B94">
        <w:rPr>
          <w:rFonts w:ascii="Book Antiqua" w:hAnsi="Book Antiqua" w:cs="Times New Roman"/>
          <w:b/>
          <w:bCs/>
          <w:i/>
          <w:noProof/>
        </w:rPr>
        <w:t>vs</w:t>
      </w:r>
      <w:r w:rsidRPr="00462B94">
        <w:rPr>
          <w:rFonts w:ascii="Book Antiqua" w:hAnsi="Book Antiqua" w:cs="Arial"/>
          <w:b/>
        </w:rPr>
        <w:t xml:space="preserve"> with gout</w:t>
      </w:r>
    </w:p>
    <w:p w14:paraId="01283387" w14:textId="6E0A9D7E" w:rsidR="00BA6A48" w:rsidRPr="00462B94" w:rsidRDefault="00BA6A48" w:rsidP="00462B94">
      <w:pPr>
        <w:spacing w:line="360" w:lineRule="auto"/>
        <w:jc w:val="both"/>
        <w:rPr>
          <w:rFonts w:ascii="Book Antiqua" w:hAnsi="Book Antiqua" w:cs="Arial"/>
        </w:rPr>
      </w:pPr>
    </w:p>
    <w:tbl>
      <w:tblPr>
        <w:tblStyle w:val="PlainTable41"/>
        <w:tblW w:w="9398" w:type="dxa"/>
        <w:jc w:val="center"/>
        <w:tblLook w:val="04A0" w:firstRow="1" w:lastRow="0" w:firstColumn="1" w:lastColumn="0" w:noHBand="0" w:noVBand="1"/>
      </w:tblPr>
      <w:tblGrid>
        <w:gridCol w:w="3756"/>
        <w:gridCol w:w="2514"/>
        <w:gridCol w:w="2142"/>
        <w:gridCol w:w="986"/>
      </w:tblGrid>
      <w:tr w:rsidR="00AB738D" w:rsidRPr="00462B94" w14:paraId="72678202" w14:textId="77777777" w:rsidTr="004C5BB6">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tcBorders>
              <w:top w:val="single" w:sz="4" w:space="0" w:color="auto"/>
              <w:bottom w:val="single" w:sz="4" w:space="0" w:color="auto"/>
            </w:tcBorders>
            <w:shd w:val="clear" w:color="auto" w:fill="auto"/>
          </w:tcPr>
          <w:p w14:paraId="77208619" w14:textId="77777777"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t>Comorbidities</w:t>
            </w:r>
          </w:p>
        </w:tc>
        <w:tc>
          <w:tcPr>
            <w:tcW w:w="2514" w:type="dxa"/>
            <w:tcBorders>
              <w:top w:val="single" w:sz="4" w:space="0" w:color="auto"/>
              <w:bottom w:val="single" w:sz="4" w:space="0" w:color="auto"/>
            </w:tcBorders>
            <w:shd w:val="clear" w:color="auto" w:fill="auto"/>
            <w:noWrap/>
          </w:tcPr>
          <w:p w14:paraId="35C55E86" w14:textId="7BE8FD85"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sz w:val="24"/>
                <w:szCs w:val="24"/>
              </w:rPr>
            </w:pPr>
            <w:r w:rsidRPr="00462B94">
              <w:rPr>
                <w:rFonts w:ascii="Book Antiqua" w:hAnsi="Book Antiqua" w:cs="Arial"/>
                <w:sz w:val="24"/>
                <w:szCs w:val="24"/>
              </w:rPr>
              <w:t xml:space="preserve">ACS + </w:t>
            </w:r>
            <w:r w:rsidR="00746EDE" w:rsidRPr="00462B94">
              <w:rPr>
                <w:rFonts w:ascii="Book Antiqua" w:hAnsi="Book Antiqua" w:cs="Arial"/>
                <w:sz w:val="24"/>
                <w:szCs w:val="24"/>
              </w:rPr>
              <w:t>n</w:t>
            </w:r>
            <w:r w:rsidRPr="00462B94">
              <w:rPr>
                <w:rFonts w:ascii="Book Antiqua" w:hAnsi="Book Antiqua" w:cs="Arial"/>
                <w:sz w:val="24"/>
                <w:szCs w:val="24"/>
              </w:rPr>
              <w:t xml:space="preserve">o </w:t>
            </w:r>
            <w:r w:rsidR="00BA6A48" w:rsidRPr="00462B94">
              <w:rPr>
                <w:rFonts w:ascii="Book Antiqua" w:hAnsi="Book Antiqua" w:cs="Arial"/>
                <w:sz w:val="24"/>
                <w:szCs w:val="24"/>
              </w:rPr>
              <w:t>g</w:t>
            </w:r>
            <w:r w:rsidRPr="00462B94">
              <w:rPr>
                <w:rFonts w:ascii="Book Antiqua" w:hAnsi="Book Antiqua" w:cs="Arial"/>
                <w:sz w:val="24"/>
                <w:szCs w:val="24"/>
              </w:rPr>
              <w:t>out</w:t>
            </w:r>
          </w:p>
        </w:tc>
        <w:tc>
          <w:tcPr>
            <w:tcW w:w="2142" w:type="dxa"/>
            <w:tcBorders>
              <w:top w:val="single" w:sz="4" w:space="0" w:color="auto"/>
              <w:bottom w:val="single" w:sz="4" w:space="0" w:color="auto"/>
            </w:tcBorders>
            <w:shd w:val="clear" w:color="auto" w:fill="auto"/>
            <w:noWrap/>
          </w:tcPr>
          <w:p w14:paraId="6FC814D1" w14:textId="3496E71B"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sz w:val="24"/>
                <w:szCs w:val="24"/>
              </w:rPr>
            </w:pPr>
            <w:r w:rsidRPr="00462B94">
              <w:rPr>
                <w:rFonts w:ascii="Book Antiqua" w:hAnsi="Book Antiqua" w:cs="Arial"/>
                <w:sz w:val="24"/>
                <w:szCs w:val="24"/>
              </w:rPr>
              <w:t xml:space="preserve">ACS + </w:t>
            </w:r>
            <w:r w:rsidR="00746EDE" w:rsidRPr="00462B94">
              <w:rPr>
                <w:rFonts w:ascii="Book Antiqua" w:hAnsi="Book Antiqua" w:cs="Arial"/>
                <w:sz w:val="24"/>
                <w:szCs w:val="24"/>
              </w:rPr>
              <w:t>g</w:t>
            </w:r>
            <w:r w:rsidRPr="00462B94">
              <w:rPr>
                <w:rFonts w:ascii="Book Antiqua" w:hAnsi="Book Antiqua" w:cs="Arial"/>
                <w:sz w:val="24"/>
                <w:szCs w:val="24"/>
              </w:rPr>
              <w:t>out</w:t>
            </w:r>
          </w:p>
        </w:tc>
        <w:tc>
          <w:tcPr>
            <w:tcW w:w="986" w:type="dxa"/>
            <w:tcBorders>
              <w:top w:val="single" w:sz="4" w:space="0" w:color="auto"/>
              <w:bottom w:val="single" w:sz="4" w:space="0" w:color="auto"/>
            </w:tcBorders>
            <w:shd w:val="clear" w:color="auto" w:fill="auto"/>
            <w:noWrap/>
          </w:tcPr>
          <w:p w14:paraId="69D38378" w14:textId="57F7DFE5"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iCs/>
                <w:sz w:val="24"/>
                <w:szCs w:val="24"/>
                <w:lang w:eastAsia="zh-CN"/>
              </w:rPr>
            </w:pPr>
            <w:r w:rsidRPr="00462B94">
              <w:rPr>
                <w:rFonts w:ascii="Book Antiqua" w:hAnsi="Book Antiqua" w:cs="Arial"/>
                <w:i/>
                <w:iCs/>
                <w:sz w:val="24"/>
                <w:szCs w:val="24"/>
              </w:rPr>
              <w:t>P</w:t>
            </w:r>
            <w:r w:rsidR="00BA6A48" w:rsidRPr="00462B94">
              <w:rPr>
                <w:rFonts w:ascii="Book Antiqua" w:hAnsi="Book Antiqua" w:cs="Arial" w:hint="eastAsia"/>
                <w:i/>
                <w:iCs/>
                <w:sz w:val="24"/>
                <w:szCs w:val="24"/>
                <w:lang w:eastAsia="zh-CN"/>
              </w:rPr>
              <w:t xml:space="preserve"> </w:t>
            </w:r>
            <w:r w:rsidR="00BA6A48" w:rsidRPr="00462B94">
              <w:rPr>
                <w:rFonts w:ascii="Book Antiqua" w:hAnsi="Book Antiqua" w:cs="Arial" w:hint="eastAsia"/>
                <w:iCs/>
                <w:sz w:val="24"/>
                <w:szCs w:val="24"/>
                <w:lang w:eastAsia="zh-CN"/>
              </w:rPr>
              <w:t>value</w:t>
            </w:r>
          </w:p>
        </w:tc>
      </w:tr>
      <w:tr w:rsidR="00414938" w:rsidRPr="00462B94" w14:paraId="27D1632E"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tcBorders>
              <w:top w:val="single" w:sz="4" w:space="0" w:color="auto"/>
            </w:tcBorders>
            <w:shd w:val="clear" w:color="auto" w:fill="auto"/>
          </w:tcPr>
          <w:p w14:paraId="07F38AC1"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Alcohol abuse</w:t>
            </w:r>
          </w:p>
        </w:tc>
        <w:tc>
          <w:tcPr>
            <w:tcW w:w="2514" w:type="dxa"/>
            <w:tcBorders>
              <w:top w:val="single" w:sz="4" w:space="0" w:color="auto"/>
            </w:tcBorders>
            <w:shd w:val="clear" w:color="auto" w:fill="auto"/>
            <w:noWrap/>
          </w:tcPr>
          <w:p w14:paraId="28460BE8" w14:textId="0BB89A29"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95449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(3.1)</w:t>
            </w:r>
          </w:p>
        </w:tc>
        <w:tc>
          <w:tcPr>
            <w:tcW w:w="2142" w:type="dxa"/>
            <w:tcBorders>
              <w:top w:val="single" w:sz="4" w:space="0" w:color="auto"/>
            </w:tcBorders>
            <w:shd w:val="clear" w:color="auto" w:fill="auto"/>
            <w:noWrap/>
          </w:tcPr>
          <w:p w14:paraId="16D2C13B" w14:textId="6703DA0A"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3768</w:t>
            </w:r>
            <w:r w:rsidRPr="00462B94">
              <w:rPr>
                <w:rFonts w:ascii="Book Antiqua" w:hAnsi="Book Antiqua" w:cs="Arial" w:hint="eastAsia"/>
                <w:lang w:eastAsia="zh-CN"/>
              </w:rPr>
              <w:t xml:space="preserve"> </w:t>
            </w:r>
            <w:r w:rsidRPr="00462B94">
              <w:rPr>
                <w:rFonts w:ascii="Book Antiqua" w:hAnsi="Book Antiqua" w:cs="Arial"/>
                <w:sz w:val="24"/>
                <w:szCs w:val="24"/>
              </w:rPr>
              <w:t>(3.6)</w:t>
            </w:r>
          </w:p>
        </w:tc>
        <w:tc>
          <w:tcPr>
            <w:tcW w:w="986" w:type="dxa"/>
            <w:tcBorders>
              <w:top w:val="single" w:sz="4" w:space="0" w:color="auto"/>
            </w:tcBorders>
            <w:shd w:val="clear" w:color="auto" w:fill="auto"/>
            <w:noWrap/>
          </w:tcPr>
          <w:p w14:paraId="2E4BAA4F" w14:textId="220423AC"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6076836B"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26D6A451"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Deficiency anemias</w:t>
            </w:r>
          </w:p>
        </w:tc>
        <w:tc>
          <w:tcPr>
            <w:tcW w:w="2514" w:type="dxa"/>
            <w:shd w:val="clear" w:color="auto" w:fill="auto"/>
            <w:noWrap/>
            <w:hideMark/>
          </w:tcPr>
          <w:p w14:paraId="7A620EBA" w14:textId="43FED6F5"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487126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(16.0)</w:t>
            </w:r>
          </w:p>
        </w:tc>
        <w:tc>
          <w:tcPr>
            <w:tcW w:w="2142" w:type="dxa"/>
            <w:shd w:val="clear" w:color="auto" w:fill="auto"/>
            <w:noWrap/>
            <w:hideMark/>
          </w:tcPr>
          <w:p w14:paraId="7448C317" w14:textId="19D09FA1"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28065</w:t>
            </w:r>
            <w:r w:rsidRPr="00462B94">
              <w:rPr>
                <w:rFonts w:ascii="Book Antiqua" w:hAnsi="Book Antiqua" w:cs="Arial" w:hint="eastAsia"/>
                <w:lang w:eastAsia="zh-CN"/>
              </w:rPr>
              <w:t xml:space="preserve"> </w:t>
            </w:r>
            <w:r w:rsidRPr="00462B94">
              <w:rPr>
                <w:rFonts w:ascii="Book Antiqua" w:hAnsi="Book Antiqua" w:cs="Arial"/>
                <w:sz w:val="24"/>
                <w:szCs w:val="24"/>
              </w:rPr>
              <w:t>(26.7)</w:t>
            </w:r>
          </w:p>
        </w:tc>
        <w:tc>
          <w:tcPr>
            <w:tcW w:w="986" w:type="dxa"/>
            <w:shd w:val="clear" w:color="auto" w:fill="auto"/>
            <w:noWrap/>
            <w:hideMark/>
          </w:tcPr>
          <w:p w14:paraId="267137CD" w14:textId="11FB13B8"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1D360ADD" w14:textId="77777777" w:rsidTr="005A3A36">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3D9C98CE"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Rheumatoid arthritis/collagen vascular diseases</w:t>
            </w:r>
          </w:p>
        </w:tc>
        <w:tc>
          <w:tcPr>
            <w:tcW w:w="2514" w:type="dxa"/>
            <w:shd w:val="clear" w:color="auto" w:fill="auto"/>
            <w:noWrap/>
            <w:hideMark/>
          </w:tcPr>
          <w:p w14:paraId="5C7B2365" w14:textId="22895A75"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72214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(2.4</w:t>
            </w:r>
            <w:r w:rsidRPr="00462B94">
              <w:rPr>
                <w:rFonts w:ascii="Book Antiqua" w:hAnsi="Book Antiqua" w:cs="Arial" w:hint="eastAsia"/>
                <w:sz w:val="24"/>
                <w:szCs w:val="24"/>
                <w:lang w:eastAsia="zh-CN"/>
              </w:rPr>
              <w:t>)</w:t>
            </w:r>
          </w:p>
        </w:tc>
        <w:tc>
          <w:tcPr>
            <w:tcW w:w="2142" w:type="dxa"/>
            <w:shd w:val="clear" w:color="auto" w:fill="auto"/>
            <w:noWrap/>
            <w:hideMark/>
          </w:tcPr>
          <w:p w14:paraId="4289086B" w14:textId="7388AFD6"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3343</w:t>
            </w:r>
            <w:r w:rsidRPr="00462B94">
              <w:rPr>
                <w:rFonts w:ascii="Book Antiqua" w:hAnsi="Book Antiqua" w:cs="Arial" w:hint="eastAsia"/>
                <w:lang w:eastAsia="zh-CN"/>
              </w:rPr>
              <w:t xml:space="preserve"> </w:t>
            </w:r>
            <w:r w:rsidRPr="00462B94">
              <w:rPr>
                <w:rFonts w:ascii="Book Antiqua" w:hAnsi="Book Antiqua" w:cs="Arial"/>
                <w:sz w:val="24"/>
                <w:szCs w:val="24"/>
              </w:rPr>
              <w:t>(3.2)</w:t>
            </w:r>
          </w:p>
        </w:tc>
        <w:tc>
          <w:tcPr>
            <w:tcW w:w="986" w:type="dxa"/>
            <w:shd w:val="clear" w:color="auto" w:fill="auto"/>
            <w:noWrap/>
            <w:hideMark/>
          </w:tcPr>
          <w:p w14:paraId="1E14C0D2" w14:textId="1B4A5456"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57875392"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3D4B7A35"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Congestive heart failure</w:t>
            </w:r>
          </w:p>
        </w:tc>
        <w:tc>
          <w:tcPr>
            <w:tcW w:w="2514" w:type="dxa"/>
            <w:shd w:val="clear" w:color="auto" w:fill="auto"/>
            <w:noWrap/>
            <w:hideMark/>
          </w:tcPr>
          <w:p w14:paraId="63ADFA93" w14:textId="0A601219"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24213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(0.8)</w:t>
            </w:r>
          </w:p>
        </w:tc>
        <w:tc>
          <w:tcPr>
            <w:tcW w:w="2142" w:type="dxa"/>
            <w:shd w:val="clear" w:color="auto" w:fill="auto"/>
            <w:noWrap/>
            <w:hideMark/>
          </w:tcPr>
          <w:p w14:paraId="62699FA1" w14:textId="5DCEA877"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811</w:t>
            </w:r>
            <w:r w:rsidRPr="00462B94">
              <w:rPr>
                <w:rFonts w:ascii="Book Antiqua" w:hAnsi="Book Antiqua" w:cs="Arial" w:hint="eastAsia"/>
                <w:lang w:eastAsia="zh-CN"/>
              </w:rPr>
              <w:t xml:space="preserve"> </w:t>
            </w:r>
            <w:r w:rsidRPr="00462B94">
              <w:rPr>
                <w:rFonts w:ascii="Book Antiqua" w:hAnsi="Book Antiqua" w:cs="Arial"/>
                <w:sz w:val="24"/>
                <w:szCs w:val="24"/>
              </w:rPr>
              <w:t>(0.8)</w:t>
            </w:r>
          </w:p>
        </w:tc>
        <w:tc>
          <w:tcPr>
            <w:tcW w:w="986" w:type="dxa"/>
            <w:shd w:val="clear" w:color="auto" w:fill="auto"/>
            <w:noWrap/>
            <w:hideMark/>
          </w:tcPr>
          <w:p w14:paraId="091DCE7D" w14:textId="77777777"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0.357</w:t>
            </w:r>
          </w:p>
        </w:tc>
      </w:tr>
      <w:tr w:rsidR="00414938" w:rsidRPr="00462B94" w14:paraId="116EFD33"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7D9DF0C9"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Chronic pulmonary disease</w:t>
            </w:r>
          </w:p>
        </w:tc>
        <w:tc>
          <w:tcPr>
            <w:tcW w:w="2514" w:type="dxa"/>
            <w:shd w:val="clear" w:color="auto" w:fill="auto"/>
            <w:noWrap/>
            <w:hideMark/>
          </w:tcPr>
          <w:p w14:paraId="2B2953DA" w14:textId="22A30986"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634046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(20.9)</w:t>
            </w:r>
          </w:p>
        </w:tc>
        <w:tc>
          <w:tcPr>
            <w:tcW w:w="2142" w:type="dxa"/>
            <w:shd w:val="clear" w:color="auto" w:fill="auto"/>
            <w:noWrap/>
            <w:hideMark/>
          </w:tcPr>
          <w:p w14:paraId="0E0912B7" w14:textId="5C21C3A8"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22789</w:t>
            </w:r>
            <w:r w:rsidRPr="00462B94">
              <w:rPr>
                <w:rFonts w:ascii="Book Antiqua" w:hAnsi="Book Antiqua" w:cs="Arial" w:hint="eastAsia"/>
                <w:lang w:eastAsia="zh-CN"/>
              </w:rPr>
              <w:t xml:space="preserve"> </w:t>
            </w:r>
            <w:r w:rsidRPr="00462B94">
              <w:rPr>
                <w:rFonts w:ascii="Book Antiqua" w:hAnsi="Book Antiqua" w:cs="Arial"/>
                <w:sz w:val="24"/>
                <w:szCs w:val="24"/>
              </w:rPr>
              <w:t>(21.7)</w:t>
            </w:r>
          </w:p>
        </w:tc>
        <w:tc>
          <w:tcPr>
            <w:tcW w:w="986" w:type="dxa"/>
            <w:shd w:val="clear" w:color="auto" w:fill="auto"/>
            <w:noWrap/>
            <w:hideMark/>
          </w:tcPr>
          <w:p w14:paraId="0D1FA0F8" w14:textId="7A02221A"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3BFCA7C4"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69F43C5B"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Coagulopathy</w:t>
            </w:r>
          </w:p>
        </w:tc>
        <w:tc>
          <w:tcPr>
            <w:tcW w:w="2514" w:type="dxa"/>
            <w:shd w:val="clear" w:color="auto" w:fill="auto"/>
            <w:noWrap/>
            <w:hideMark/>
          </w:tcPr>
          <w:p w14:paraId="2A4AAE71" w14:textId="63B1153F"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152932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(5.0)</w:t>
            </w:r>
          </w:p>
        </w:tc>
        <w:tc>
          <w:tcPr>
            <w:tcW w:w="2142" w:type="dxa"/>
            <w:shd w:val="clear" w:color="auto" w:fill="auto"/>
            <w:noWrap/>
            <w:hideMark/>
          </w:tcPr>
          <w:p w14:paraId="04909EA4" w14:textId="165BE97D"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7283</w:t>
            </w:r>
            <w:r w:rsidRPr="00462B94">
              <w:rPr>
                <w:rFonts w:ascii="Book Antiqua" w:hAnsi="Book Antiqua" w:cs="Arial" w:hint="eastAsia"/>
                <w:lang w:eastAsia="zh-CN"/>
              </w:rPr>
              <w:t xml:space="preserve"> </w:t>
            </w:r>
            <w:r w:rsidRPr="00462B94">
              <w:rPr>
                <w:rFonts w:ascii="Book Antiqua" w:hAnsi="Book Antiqua" w:cs="Arial"/>
                <w:sz w:val="24"/>
                <w:szCs w:val="24"/>
              </w:rPr>
              <w:t>(6.9)</w:t>
            </w:r>
          </w:p>
        </w:tc>
        <w:tc>
          <w:tcPr>
            <w:tcW w:w="986" w:type="dxa"/>
            <w:shd w:val="clear" w:color="auto" w:fill="auto"/>
            <w:noWrap/>
            <w:hideMark/>
          </w:tcPr>
          <w:p w14:paraId="3B22AABB" w14:textId="2B4D803F"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4981563D"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66BCF041"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Diabetes, uncomplicated</w:t>
            </w:r>
          </w:p>
        </w:tc>
        <w:tc>
          <w:tcPr>
            <w:tcW w:w="2514" w:type="dxa"/>
            <w:shd w:val="clear" w:color="auto" w:fill="auto"/>
            <w:noWrap/>
            <w:hideMark/>
          </w:tcPr>
          <w:p w14:paraId="068A24B1" w14:textId="1B88FB3D"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911629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(30.0)</w:t>
            </w:r>
          </w:p>
        </w:tc>
        <w:tc>
          <w:tcPr>
            <w:tcW w:w="2142" w:type="dxa"/>
            <w:shd w:val="clear" w:color="auto" w:fill="auto"/>
            <w:noWrap/>
            <w:hideMark/>
          </w:tcPr>
          <w:p w14:paraId="479409D3" w14:textId="5F1911A3"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36556</w:t>
            </w:r>
            <w:r w:rsidRPr="00462B94">
              <w:rPr>
                <w:rFonts w:ascii="Book Antiqua" w:hAnsi="Book Antiqua" w:cs="Arial" w:hint="eastAsia"/>
                <w:lang w:eastAsia="zh-CN"/>
              </w:rPr>
              <w:t xml:space="preserve"> </w:t>
            </w:r>
            <w:r w:rsidRPr="00462B94">
              <w:rPr>
                <w:rFonts w:ascii="Book Antiqua" w:hAnsi="Book Antiqua" w:cs="Arial"/>
                <w:sz w:val="24"/>
                <w:szCs w:val="24"/>
              </w:rPr>
              <w:t>(34.7)</w:t>
            </w:r>
          </w:p>
        </w:tc>
        <w:tc>
          <w:tcPr>
            <w:tcW w:w="986" w:type="dxa"/>
            <w:shd w:val="clear" w:color="auto" w:fill="auto"/>
            <w:noWrap/>
            <w:hideMark/>
          </w:tcPr>
          <w:p w14:paraId="1549C117" w14:textId="78DEF002"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320A8536" w14:textId="77777777" w:rsidTr="005A3A36">
        <w:trPr>
          <w:trHeight w:val="358"/>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01D6358F"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Diabetes with chronic complications</w:t>
            </w:r>
          </w:p>
        </w:tc>
        <w:tc>
          <w:tcPr>
            <w:tcW w:w="2514" w:type="dxa"/>
            <w:shd w:val="clear" w:color="auto" w:fill="auto"/>
            <w:noWrap/>
            <w:hideMark/>
          </w:tcPr>
          <w:p w14:paraId="29AE1648" w14:textId="711B1578"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200881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(6.6)</w:t>
            </w:r>
          </w:p>
        </w:tc>
        <w:tc>
          <w:tcPr>
            <w:tcW w:w="2142" w:type="dxa"/>
            <w:shd w:val="clear" w:color="auto" w:fill="auto"/>
            <w:noWrap/>
            <w:hideMark/>
          </w:tcPr>
          <w:p w14:paraId="1BC96944" w14:textId="5FC68104"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12597</w:t>
            </w:r>
            <w:r w:rsidRPr="00462B94">
              <w:rPr>
                <w:rFonts w:ascii="Book Antiqua" w:hAnsi="Book Antiqua" w:cs="Arial" w:hint="eastAsia"/>
                <w:lang w:eastAsia="zh-CN"/>
              </w:rPr>
              <w:t xml:space="preserve"> </w:t>
            </w:r>
            <w:r w:rsidRPr="00462B94">
              <w:rPr>
                <w:rFonts w:ascii="Book Antiqua" w:hAnsi="Book Antiqua" w:cs="Arial"/>
                <w:sz w:val="24"/>
                <w:szCs w:val="24"/>
              </w:rPr>
              <w:t>(12.0)</w:t>
            </w:r>
          </w:p>
        </w:tc>
        <w:tc>
          <w:tcPr>
            <w:tcW w:w="986" w:type="dxa"/>
            <w:shd w:val="clear" w:color="auto" w:fill="auto"/>
            <w:noWrap/>
            <w:hideMark/>
          </w:tcPr>
          <w:p w14:paraId="18D8037D" w14:textId="72855673"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5D140197"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58A5484D"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Drug abuse</w:t>
            </w:r>
          </w:p>
        </w:tc>
        <w:tc>
          <w:tcPr>
            <w:tcW w:w="2514" w:type="dxa"/>
            <w:shd w:val="clear" w:color="auto" w:fill="auto"/>
            <w:noWrap/>
            <w:hideMark/>
          </w:tcPr>
          <w:p w14:paraId="69655F35" w14:textId="37139348"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95449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(3.1)</w:t>
            </w:r>
          </w:p>
        </w:tc>
        <w:tc>
          <w:tcPr>
            <w:tcW w:w="2142" w:type="dxa"/>
            <w:shd w:val="clear" w:color="auto" w:fill="auto"/>
            <w:noWrap/>
            <w:hideMark/>
          </w:tcPr>
          <w:p w14:paraId="031E4201" w14:textId="5D505862"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1519</w:t>
            </w:r>
            <w:r w:rsidRPr="00462B94">
              <w:rPr>
                <w:rFonts w:ascii="Book Antiqua" w:hAnsi="Book Antiqua" w:cs="Arial" w:hint="eastAsia"/>
                <w:lang w:eastAsia="zh-CN"/>
              </w:rPr>
              <w:t xml:space="preserve"> </w:t>
            </w:r>
            <w:r w:rsidRPr="00462B94">
              <w:rPr>
                <w:rFonts w:ascii="Book Antiqua" w:hAnsi="Book Antiqua" w:cs="Arial"/>
                <w:sz w:val="24"/>
                <w:szCs w:val="24"/>
              </w:rPr>
              <w:t>(1.4)</w:t>
            </w:r>
          </w:p>
        </w:tc>
        <w:tc>
          <w:tcPr>
            <w:tcW w:w="986" w:type="dxa"/>
            <w:shd w:val="clear" w:color="auto" w:fill="auto"/>
            <w:noWrap/>
            <w:hideMark/>
          </w:tcPr>
          <w:p w14:paraId="3AD6CA19" w14:textId="756697CA"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1B582458"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638DECE6"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 xml:space="preserve">Hypertension </w:t>
            </w:r>
          </w:p>
        </w:tc>
        <w:tc>
          <w:tcPr>
            <w:tcW w:w="2514" w:type="dxa"/>
            <w:shd w:val="clear" w:color="auto" w:fill="auto"/>
            <w:noWrap/>
            <w:hideMark/>
          </w:tcPr>
          <w:p w14:paraId="081660B1" w14:textId="29EEF789"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75189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(2.5)</w:t>
            </w:r>
          </w:p>
        </w:tc>
        <w:tc>
          <w:tcPr>
            <w:tcW w:w="2142" w:type="dxa"/>
            <w:shd w:val="clear" w:color="auto" w:fill="auto"/>
            <w:noWrap/>
            <w:hideMark/>
          </w:tcPr>
          <w:p w14:paraId="4BF81A72" w14:textId="6E5B90F3"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87598</w:t>
            </w:r>
            <w:r w:rsidRPr="00462B94">
              <w:rPr>
                <w:rFonts w:ascii="Book Antiqua" w:hAnsi="Book Antiqua" w:cs="Arial" w:hint="eastAsia"/>
                <w:lang w:eastAsia="zh-CN"/>
              </w:rPr>
              <w:t xml:space="preserve"> </w:t>
            </w:r>
            <w:r w:rsidRPr="00462B94">
              <w:rPr>
                <w:rFonts w:ascii="Book Antiqua" w:hAnsi="Book Antiqua" w:cs="Arial"/>
                <w:sz w:val="24"/>
                <w:szCs w:val="24"/>
              </w:rPr>
              <w:t>(83.3)</w:t>
            </w:r>
          </w:p>
        </w:tc>
        <w:tc>
          <w:tcPr>
            <w:tcW w:w="986" w:type="dxa"/>
            <w:shd w:val="clear" w:color="auto" w:fill="auto"/>
            <w:noWrap/>
            <w:hideMark/>
          </w:tcPr>
          <w:p w14:paraId="081B5352" w14:textId="78E7A8A5"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1C6EAFC8"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1F76F63F"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Hypothyroidism</w:t>
            </w:r>
          </w:p>
        </w:tc>
        <w:tc>
          <w:tcPr>
            <w:tcW w:w="2514" w:type="dxa"/>
            <w:shd w:val="clear" w:color="auto" w:fill="auto"/>
            <w:noWrap/>
            <w:hideMark/>
          </w:tcPr>
          <w:p w14:paraId="52936121" w14:textId="36C468F4"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2170519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(71.4)</w:t>
            </w:r>
          </w:p>
        </w:tc>
        <w:tc>
          <w:tcPr>
            <w:tcW w:w="2142" w:type="dxa"/>
            <w:shd w:val="clear" w:color="auto" w:fill="auto"/>
            <w:noWrap/>
            <w:hideMark/>
          </w:tcPr>
          <w:p w14:paraId="1B35BADE" w14:textId="49D4A2F4"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15366</w:t>
            </w:r>
            <w:r w:rsidRPr="00462B94">
              <w:rPr>
                <w:rFonts w:ascii="Book Antiqua" w:hAnsi="Book Antiqua" w:cs="Arial" w:hint="eastAsia"/>
                <w:lang w:eastAsia="zh-CN"/>
              </w:rPr>
              <w:t xml:space="preserve"> </w:t>
            </w:r>
            <w:r w:rsidRPr="00462B94">
              <w:rPr>
                <w:rFonts w:ascii="Book Antiqua" w:hAnsi="Book Antiqua" w:cs="Arial"/>
                <w:sz w:val="24"/>
                <w:szCs w:val="24"/>
              </w:rPr>
              <w:t>(14.6)</w:t>
            </w:r>
          </w:p>
        </w:tc>
        <w:tc>
          <w:tcPr>
            <w:tcW w:w="986" w:type="dxa"/>
            <w:shd w:val="clear" w:color="auto" w:fill="auto"/>
            <w:noWrap/>
            <w:hideMark/>
          </w:tcPr>
          <w:p w14:paraId="774E931D" w14:textId="5BDB3361"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7365748F"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5D5A4307"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Liver disease</w:t>
            </w:r>
          </w:p>
        </w:tc>
        <w:tc>
          <w:tcPr>
            <w:tcW w:w="2514" w:type="dxa"/>
            <w:shd w:val="clear" w:color="auto" w:fill="auto"/>
            <w:noWrap/>
            <w:hideMark/>
          </w:tcPr>
          <w:p w14:paraId="6CF7BAE2" w14:textId="0194A86D"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334044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(11.0)</w:t>
            </w:r>
          </w:p>
        </w:tc>
        <w:tc>
          <w:tcPr>
            <w:tcW w:w="2142" w:type="dxa"/>
            <w:shd w:val="clear" w:color="auto" w:fill="auto"/>
            <w:noWrap/>
            <w:hideMark/>
          </w:tcPr>
          <w:p w14:paraId="24572697" w14:textId="7D7C3B09"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2013</w:t>
            </w:r>
            <w:r w:rsidRPr="00462B94">
              <w:rPr>
                <w:rFonts w:ascii="Book Antiqua" w:hAnsi="Book Antiqua" w:cs="Arial" w:hint="eastAsia"/>
                <w:lang w:eastAsia="zh-CN"/>
              </w:rPr>
              <w:t xml:space="preserve"> </w:t>
            </w:r>
            <w:r w:rsidRPr="00462B94">
              <w:rPr>
                <w:rFonts w:ascii="Book Antiqua" w:hAnsi="Book Antiqua" w:cs="Arial"/>
                <w:sz w:val="24"/>
                <w:szCs w:val="24"/>
              </w:rPr>
              <w:t>(1.9)</w:t>
            </w:r>
          </w:p>
        </w:tc>
        <w:tc>
          <w:tcPr>
            <w:tcW w:w="986" w:type="dxa"/>
            <w:shd w:val="clear" w:color="auto" w:fill="auto"/>
            <w:noWrap/>
            <w:hideMark/>
          </w:tcPr>
          <w:p w14:paraId="3E704074" w14:textId="08D80C04"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145C3185"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16358AA9"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Fluid and electrolyte disorders</w:t>
            </w:r>
          </w:p>
        </w:tc>
        <w:tc>
          <w:tcPr>
            <w:tcW w:w="2514" w:type="dxa"/>
            <w:shd w:val="clear" w:color="auto" w:fill="auto"/>
            <w:noWrap/>
            <w:hideMark/>
          </w:tcPr>
          <w:p w14:paraId="0D659B4D" w14:textId="5F1746D6"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43749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(1.4)</w:t>
            </w:r>
          </w:p>
        </w:tc>
        <w:tc>
          <w:tcPr>
            <w:tcW w:w="2142" w:type="dxa"/>
            <w:shd w:val="clear" w:color="auto" w:fill="auto"/>
            <w:noWrap/>
            <w:hideMark/>
          </w:tcPr>
          <w:p w14:paraId="3CB680D7" w14:textId="21F1C4A7"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26081</w:t>
            </w:r>
            <w:r w:rsidRPr="00462B94">
              <w:rPr>
                <w:rFonts w:ascii="Book Antiqua" w:hAnsi="Book Antiqua" w:cs="Arial" w:hint="eastAsia"/>
                <w:lang w:eastAsia="zh-CN"/>
              </w:rPr>
              <w:t xml:space="preserve"> </w:t>
            </w:r>
            <w:r w:rsidRPr="00462B94">
              <w:rPr>
                <w:rFonts w:ascii="Book Antiqua" w:hAnsi="Book Antiqua" w:cs="Arial"/>
                <w:sz w:val="24"/>
                <w:szCs w:val="24"/>
              </w:rPr>
              <w:t>(24.8)</w:t>
            </w:r>
          </w:p>
        </w:tc>
        <w:tc>
          <w:tcPr>
            <w:tcW w:w="986" w:type="dxa"/>
            <w:shd w:val="clear" w:color="auto" w:fill="auto"/>
            <w:noWrap/>
            <w:hideMark/>
          </w:tcPr>
          <w:p w14:paraId="40799BD6" w14:textId="4CCDD204"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05390EB8"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2FE46773"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lastRenderedPageBreak/>
              <w:t>Other neurological disorders</w:t>
            </w:r>
          </w:p>
        </w:tc>
        <w:tc>
          <w:tcPr>
            <w:tcW w:w="2514" w:type="dxa"/>
            <w:shd w:val="clear" w:color="auto" w:fill="auto"/>
            <w:noWrap/>
            <w:hideMark/>
          </w:tcPr>
          <w:p w14:paraId="7F7BDFF9" w14:textId="28ABC47D"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636496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(20.9)</w:t>
            </w:r>
          </w:p>
        </w:tc>
        <w:tc>
          <w:tcPr>
            <w:tcW w:w="2142" w:type="dxa"/>
            <w:shd w:val="clear" w:color="auto" w:fill="auto"/>
            <w:noWrap/>
            <w:hideMark/>
          </w:tcPr>
          <w:p w14:paraId="5FB3FD6A" w14:textId="53120239"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6138</w:t>
            </w:r>
            <w:r w:rsidRPr="00462B94">
              <w:rPr>
                <w:rFonts w:ascii="Book Antiqua" w:hAnsi="Book Antiqua" w:cs="Arial" w:hint="eastAsia"/>
                <w:lang w:eastAsia="zh-CN"/>
              </w:rPr>
              <w:t xml:space="preserve"> </w:t>
            </w:r>
            <w:r w:rsidRPr="00462B94">
              <w:rPr>
                <w:rFonts w:ascii="Book Antiqua" w:hAnsi="Book Antiqua" w:cs="Arial"/>
                <w:sz w:val="24"/>
                <w:szCs w:val="24"/>
              </w:rPr>
              <w:t>(5.8)</w:t>
            </w:r>
          </w:p>
        </w:tc>
        <w:tc>
          <w:tcPr>
            <w:tcW w:w="986" w:type="dxa"/>
            <w:shd w:val="clear" w:color="auto" w:fill="auto"/>
            <w:noWrap/>
            <w:hideMark/>
          </w:tcPr>
          <w:p w14:paraId="170DBDDA" w14:textId="5FCD1F9A"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595E38A8"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78F656FF"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Obesity</w:t>
            </w:r>
          </w:p>
        </w:tc>
        <w:tc>
          <w:tcPr>
            <w:tcW w:w="2514" w:type="dxa"/>
            <w:shd w:val="clear" w:color="auto" w:fill="auto"/>
            <w:noWrap/>
            <w:hideMark/>
          </w:tcPr>
          <w:p w14:paraId="17123519" w14:textId="0B7BF960"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186097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(6.1)</w:t>
            </w:r>
          </w:p>
        </w:tc>
        <w:tc>
          <w:tcPr>
            <w:tcW w:w="2142" w:type="dxa"/>
            <w:shd w:val="clear" w:color="auto" w:fill="auto"/>
            <w:noWrap/>
            <w:hideMark/>
          </w:tcPr>
          <w:p w14:paraId="7B855A55" w14:textId="74EC3073"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23082</w:t>
            </w:r>
            <w:r w:rsidRPr="00462B94">
              <w:rPr>
                <w:rFonts w:ascii="Book Antiqua" w:hAnsi="Book Antiqua" w:cs="Arial" w:hint="eastAsia"/>
                <w:lang w:eastAsia="zh-CN"/>
              </w:rPr>
              <w:t xml:space="preserve"> </w:t>
            </w:r>
            <w:r w:rsidRPr="00462B94">
              <w:rPr>
                <w:rFonts w:ascii="Book Antiqua" w:hAnsi="Book Antiqua" w:cs="Arial"/>
                <w:sz w:val="24"/>
                <w:szCs w:val="24"/>
              </w:rPr>
              <w:t>(21.9)</w:t>
            </w:r>
          </w:p>
        </w:tc>
        <w:tc>
          <w:tcPr>
            <w:tcW w:w="986" w:type="dxa"/>
            <w:shd w:val="clear" w:color="auto" w:fill="auto"/>
            <w:noWrap/>
            <w:hideMark/>
          </w:tcPr>
          <w:p w14:paraId="45E766C4" w14:textId="19E56C30"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435C74D0"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0EB05B80"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Peripheral vascular disorders</w:t>
            </w:r>
          </w:p>
        </w:tc>
        <w:tc>
          <w:tcPr>
            <w:tcW w:w="2514" w:type="dxa"/>
            <w:shd w:val="clear" w:color="auto" w:fill="auto"/>
            <w:noWrap/>
            <w:hideMark/>
          </w:tcPr>
          <w:p w14:paraId="555A0FE2" w14:textId="2B98408A"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443723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(14.6)</w:t>
            </w:r>
          </w:p>
        </w:tc>
        <w:tc>
          <w:tcPr>
            <w:tcW w:w="2142" w:type="dxa"/>
            <w:shd w:val="clear" w:color="auto" w:fill="auto"/>
            <w:noWrap/>
            <w:hideMark/>
          </w:tcPr>
          <w:p w14:paraId="1D97A027" w14:textId="240BB3A0"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16964</w:t>
            </w:r>
            <w:r w:rsidRPr="00462B94">
              <w:rPr>
                <w:rFonts w:ascii="Book Antiqua" w:hAnsi="Book Antiqua" w:cs="Arial" w:hint="eastAsia"/>
                <w:lang w:eastAsia="zh-CN"/>
              </w:rPr>
              <w:t xml:space="preserve"> </w:t>
            </w:r>
            <w:r w:rsidRPr="00462B94">
              <w:rPr>
                <w:rFonts w:ascii="Book Antiqua" w:hAnsi="Book Antiqua" w:cs="Arial"/>
                <w:sz w:val="24"/>
                <w:szCs w:val="24"/>
              </w:rPr>
              <w:t>(16.1)</w:t>
            </w:r>
          </w:p>
        </w:tc>
        <w:tc>
          <w:tcPr>
            <w:tcW w:w="986" w:type="dxa"/>
            <w:shd w:val="clear" w:color="auto" w:fill="auto"/>
            <w:noWrap/>
            <w:hideMark/>
          </w:tcPr>
          <w:p w14:paraId="5CE7CAD0" w14:textId="314769DA"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12E35B18"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4CFA34F1"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Renal failure</w:t>
            </w:r>
          </w:p>
        </w:tc>
        <w:tc>
          <w:tcPr>
            <w:tcW w:w="2514" w:type="dxa"/>
            <w:shd w:val="clear" w:color="auto" w:fill="auto"/>
            <w:noWrap/>
            <w:hideMark/>
          </w:tcPr>
          <w:p w14:paraId="3404CCE8" w14:textId="30FCF4D8"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355484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(11.7)</w:t>
            </w:r>
          </w:p>
        </w:tc>
        <w:tc>
          <w:tcPr>
            <w:tcW w:w="2142" w:type="dxa"/>
            <w:shd w:val="clear" w:color="auto" w:fill="auto"/>
            <w:noWrap/>
            <w:hideMark/>
          </w:tcPr>
          <w:p w14:paraId="245A1B9D" w14:textId="6FF6C0BD"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47359</w:t>
            </w:r>
            <w:r w:rsidRPr="00462B94">
              <w:rPr>
                <w:rFonts w:ascii="Book Antiqua" w:hAnsi="Book Antiqua" w:cs="Arial" w:hint="eastAsia"/>
                <w:lang w:eastAsia="zh-CN"/>
              </w:rPr>
              <w:t xml:space="preserve"> </w:t>
            </w:r>
            <w:r w:rsidRPr="00462B94">
              <w:rPr>
                <w:rFonts w:ascii="Book Antiqua" w:hAnsi="Book Antiqua" w:cs="Arial"/>
                <w:sz w:val="24"/>
                <w:szCs w:val="24"/>
              </w:rPr>
              <w:t>(45.0)</w:t>
            </w:r>
          </w:p>
        </w:tc>
        <w:tc>
          <w:tcPr>
            <w:tcW w:w="986" w:type="dxa"/>
            <w:shd w:val="clear" w:color="auto" w:fill="auto"/>
            <w:noWrap/>
            <w:hideMark/>
          </w:tcPr>
          <w:p w14:paraId="2FE22CF4" w14:textId="7942D719"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7268DE2E"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372A6204"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Valvular disease</w:t>
            </w:r>
          </w:p>
        </w:tc>
        <w:tc>
          <w:tcPr>
            <w:tcW w:w="2514" w:type="dxa"/>
            <w:shd w:val="clear" w:color="auto" w:fill="auto"/>
            <w:noWrap/>
            <w:hideMark/>
          </w:tcPr>
          <w:p w14:paraId="22BFB52F" w14:textId="665BBD9C"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568903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(18.7)</w:t>
            </w:r>
          </w:p>
        </w:tc>
        <w:tc>
          <w:tcPr>
            <w:tcW w:w="2142" w:type="dxa"/>
            <w:shd w:val="clear" w:color="auto" w:fill="auto"/>
            <w:noWrap/>
            <w:hideMark/>
          </w:tcPr>
          <w:p w14:paraId="3F066F19" w14:textId="684CF4AA"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327</w:t>
            </w:r>
            <w:r w:rsidRPr="00462B94">
              <w:rPr>
                <w:rFonts w:ascii="Book Antiqua" w:hAnsi="Book Antiqua" w:cs="Arial" w:hint="eastAsia"/>
                <w:lang w:eastAsia="zh-CN"/>
              </w:rPr>
              <w:t xml:space="preserve"> </w:t>
            </w:r>
            <w:r w:rsidRPr="00462B94">
              <w:rPr>
                <w:rFonts w:ascii="Book Antiqua" w:hAnsi="Book Antiqua" w:cs="Arial"/>
                <w:sz w:val="24"/>
                <w:szCs w:val="24"/>
              </w:rPr>
              <w:t>(0.3)</w:t>
            </w:r>
          </w:p>
        </w:tc>
        <w:tc>
          <w:tcPr>
            <w:tcW w:w="986" w:type="dxa"/>
            <w:shd w:val="clear" w:color="auto" w:fill="auto"/>
            <w:noWrap/>
            <w:hideMark/>
          </w:tcPr>
          <w:p w14:paraId="74E0E2C7" w14:textId="63C873BF"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6A044D2D"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3C208E83"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Dyslipidemia</w:t>
            </w:r>
          </w:p>
        </w:tc>
        <w:tc>
          <w:tcPr>
            <w:tcW w:w="2514" w:type="dxa"/>
            <w:shd w:val="clear" w:color="auto" w:fill="auto"/>
            <w:noWrap/>
            <w:hideMark/>
          </w:tcPr>
          <w:p w14:paraId="75BD1B38" w14:textId="43C3E194"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7101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(0.2)</w:t>
            </w:r>
          </w:p>
        </w:tc>
        <w:tc>
          <w:tcPr>
            <w:tcW w:w="2142" w:type="dxa"/>
            <w:shd w:val="clear" w:color="auto" w:fill="auto"/>
            <w:noWrap/>
            <w:hideMark/>
          </w:tcPr>
          <w:p w14:paraId="527E8FBA" w14:textId="6B530E13"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74674</w:t>
            </w:r>
            <w:r w:rsidRPr="00462B94">
              <w:rPr>
                <w:rFonts w:ascii="Book Antiqua" w:hAnsi="Book Antiqua" w:cs="Arial" w:hint="eastAsia"/>
                <w:lang w:eastAsia="zh-CN"/>
              </w:rPr>
              <w:t xml:space="preserve"> </w:t>
            </w:r>
            <w:r w:rsidRPr="00462B94">
              <w:rPr>
                <w:rFonts w:ascii="Book Antiqua" w:hAnsi="Book Antiqua" w:cs="Arial"/>
                <w:sz w:val="24"/>
                <w:szCs w:val="24"/>
              </w:rPr>
              <w:t>(71.0)</w:t>
            </w:r>
          </w:p>
        </w:tc>
        <w:tc>
          <w:tcPr>
            <w:tcW w:w="986" w:type="dxa"/>
            <w:shd w:val="clear" w:color="auto" w:fill="auto"/>
            <w:noWrap/>
            <w:hideMark/>
          </w:tcPr>
          <w:p w14:paraId="5C5CAA76" w14:textId="47A731BA"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63E05396"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4211AF28"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Coronary atherosclerosis</w:t>
            </w:r>
          </w:p>
        </w:tc>
        <w:tc>
          <w:tcPr>
            <w:tcW w:w="2514" w:type="dxa"/>
            <w:shd w:val="clear" w:color="auto" w:fill="auto"/>
            <w:noWrap/>
            <w:hideMark/>
          </w:tcPr>
          <w:p w14:paraId="3EA56FD4" w14:textId="63F117B1"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1879620</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(61.8)</w:t>
            </w:r>
          </w:p>
        </w:tc>
        <w:tc>
          <w:tcPr>
            <w:tcW w:w="2142" w:type="dxa"/>
            <w:shd w:val="clear" w:color="auto" w:fill="auto"/>
            <w:noWrap/>
            <w:hideMark/>
          </w:tcPr>
          <w:p w14:paraId="3B66AA7C" w14:textId="6C4FD374"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89777</w:t>
            </w:r>
            <w:r w:rsidRPr="00462B94">
              <w:rPr>
                <w:rFonts w:ascii="Book Antiqua" w:hAnsi="Book Antiqua" w:cs="Arial" w:hint="eastAsia"/>
                <w:lang w:eastAsia="zh-CN"/>
              </w:rPr>
              <w:t xml:space="preserve"> </w:t>
            </w:r>
            <w:r w:rsidRPr="00462B94">
              <w:rPr>
                <w:rFonts w:ascii="Book Antiqua" w:hAnsi="Book Antiqua" w:cs="Arial"/>
                <w:sz w:val="24"/>
                <w:szCs w:val="24"/>
              </w:rPr>
              <w:t>(85.3)</w:t>
            </w:r>
          </w:p>
        </w:tc>
        <w:tc>
          <w:tcPr>
            <w:tcW w:w="986" w:type="dxa"/>
            <w:shd w:val="clear" w:color="auto" w:fill="auto"/>
            <w:noWrap/>
            <w:hideMark/>
          </w:tcPr>
          <w:p w14:paraId="6CA72917" w14:textId="46658995"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60C730AB"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2FF381A0"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Previous history of MI</w:t>
            </w:r>
          </w:p>
        </w:tc>
        <w:tc>
          <w:tcPr>
            <w:tcW w:w="2514" w:type="dxa"/>
            <w:shd w:val="clear" w:color="auto" w:fill="auto"/>
            <w:noWrap/>
            <w:hideMark/>
          </w:tcPr>
          <w:p w14:paraId="1A93E26E" w14:textId="7BB5C4CE"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2500606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(82.3)</w:t>
            </w:r>
          </w:p>
        </w:tc>
        <w:tc>
          <w:tcPr>
            <w:tcW w:w="2142" w:type="dxa"/>
            <w:shd w:val="clear" w:color="auto" w:fill="auto"/>
            <w:noWrap/>
            <w:hideMark/>
          </w:tcPr>
          <w:p w14:paraId="76A1DD16" w14:textId="4D70005A"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16972</w:t>
            </w:r>
            <w:r w:rsidRPr="00462B94">
              <w:rPr>
                <w:rFonts w:ascii="Book Antiqua" w:hAnsi="Book Antiqua" w:cs="Arial" w:hint="eastAsia"/>
                <w:lang w:eastAsia="zh-CN"/>
              </w:rPr>
              <w:t xml:space="preserve"> </w:t>
            </w:r>
            <w:r w:rsidRPr="00462B94">
              <w:rPr>
                <w:rFonts w:ascii="Book Antiqua" w:hAnsi="Book Antiqua" w:cs="Arial"/>
                <w:sz w:val="24"/>
                <w:szCs w:val="24"/>
              </w:rPr>
              <w:t>(16.1)</w:t>
            </w:r>
          </w:p>
        </w:tc>
        <w:tc>
          <w:tcPr>
            <w:tcW w:w="986" w:type="dxa"/>
            <w:shd w:val="clear" w:color="auto" w:fill="auto"/>
            <w:noWrap/>
            <w:hideMark/>
          </w:tcPr>
          <w:p w14:paraId="3AAB82D6" w14:textId="219EF01D"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4B6F3653"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54A303A9"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Family history of CAD</w:t>
            </w:r>
          </w:p>
        </w:tc>
        <w:tc>
          <w:tcPr>
            <w:tcW w:w="2514" w:type="dxa"/>
            <w:shd w:val="clear" w:color="auto" w:fill="auto"/>
            <w:noWrap/>
            <w:hideMark/>
          </w:tcPr>
          <w:p w14:paraId="2D5ABD85" w14:textId="04F28977"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359298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(11.8)</w:t>
            </w:r>
          </w:p>
        </w:tc>
        <w:tc>
          <w:tcPr>
            <w:tcW w:w="2142" w:type="dxa"/>
            <w:shd w:val="clear" w:color="auto" w:fill="auto"/>
            <w:noWrap/>
            <w:hideMark/>
          </w:tcPr>
          <w:p w14:paraId="70B7DA19" w14:textId="5CCA563C"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8442</w:t>
            </w:r>
            <w:r w:rsidRPr="00462B94">
              <w:rPr>
                <w:rFonts w:ascii="Book Antiqua" w:hAnsi="Book Antiqua" w:cs="Arial" w:hint="eastAsia"/>
                <w:lang w:eastAsia="zh-CN"/>
              </w:rPr>
              <w:t xml:space="preserve"> </w:t>
            </w:r>
            <w:r w:rsidRPr="00462B94">
              <w:rPr>
                <w:rFonts w:ascii="Book Antiqua" w:hAnsi="Book Antiqua" w:cs="Arial"/>
                <w:sz w:val="24"/>
                <w:szCs w:val="24"/>
              </w:rPr>
              <w:t>(8.0)</w:t>
            </w:r>
          </w:p>
        </w:tc>
        <w:tc>
          <w:tcPr>
            <w:tcW w:w="986" w:type="dxa"/>
            <w:shd w:val="clear" w:color="auto" w:fill="auto"/>
            <w:noWrap/>
            <w:hideMark/>
          </w:tcPr>
          <w:p w14:paraId="5836DAA8" w14:textId="4859AA39"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0B07B151"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0483D916"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Previous PCI</w:t>
            </w:r>
          </w:p>
        </w:tc>
        <w:tc>
          <w:tcPr>
            <w:tcW w:w="2514" w:type="dxa"/>
            <w:shd w:val="clear" w:color="auto" w:fill="auto"/>
            <w:noWrap/>
            <w:hideMark/>
          </w:tcPr>
          <w:p w14:paraId="1771E910" w14:textId="24B8FF48"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298852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(9.8)</w:t>
            </w:r>
          </w:p>
        </w:tc>
        <w:tc>
          <w:tcPr>
            <w:tcW w:w="2142" w:type="dxa"/>
            <w:shd w:val="clear" w:color="auto" w:fill="auto"/>
            <w:noWrap/>
            <w:hideMark/>
          </w:tcPr>
          <w:p w14:paraId="0A147CA3" w14:textId="595B17F5"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18591</w:t>
            </w:r>
            <w:r w:rsidRPr="00462B94">
              <w:rPr>
                <w:rFonts w:ascii="Book Antiqua" w:hAnsi="Book Antiqua" w:cs="Arial" w:hint="eastAsia"/>
                <w:lang w:eastAsia="zh-CN"/>
              </w:rPr>
              <w:t xml:space="preserve"> </w:t>
            </w:r>
            <w:r w:rsidRPr="00462B94">
              <w:rPr>
                <w:rFonts w:ascii="Book Antiqua" w:hAnsi="Book Antiqua" w:cs="Arial"/>
                <w:sz w:val="24"/>
                <w:szCs w:val="24"/>
              </w:rPr>
              <w:t>(17.7)</w:t>
            </w:r>
          </w:p>
        </w:tc>
        <w:tc>
          <w:tcPr>
            <w:tcW w:w="986" w:type="dxa"/>
            <w:shd w:val="clear" w:color="auto" w:fill="auto"/>
            <w:noWrap/>
            <w:hideMark/>
          </w:tcPr>
          <w:p w14:paraId="4EFE40C5" w14:textId="75851C15"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0B63C990"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412A2B8B"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Previous CABG</w:t>
            </w:r>
          </w:p>
        </w:tc>
        <w:tc>
          <w:tcPr>
            <w:tcW w:w="2514" w:type="dxa"/>
            <w:shd w:val="clear" w:color="auto" w:fill="auto"/>
            <w:noWrap/>
            <w:hideMark/>
          </w:tcPr>
          <w:p w14:paraId="58D37917" w14:textId="47D3A527"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439722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(14.5)</w:t>
            </w:r>
          </w:p>
        </w:tc>
        <w:tc>
          <w:tcPr>
            <w:tcW w:w="2142" w:type="dxa"/>
            <w:shd w:val="clear" w:color="auto" w:fill="auto"/>
            <w:noWrap/>
            <w:hideMark/>
          </w:tcPr>
          <w:p w14:paraId="04A35EEE" w14:textId="16B2FBE1"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13165</w:t>
            </w:r>
            <w:r w:rsidRPr="00462B94">
              <w:rPr>
                <w:rFonts w:ascii="Book Antiqua" w:hAnsi="Book Antiqua" w:cs="Arial" w:hint="eastAsia"/>
                <w:lang w:eastAsia="zh-CN"/>
              </w:rPr>
              <w:t xml:space="preserve"> </w:t>
            </w:r>
            <w:r w:rsidRPr="00462B94">
              <w:rPr>
                <w:rFonts w:ascii="Book Antiqua" w:hAnsi="Book Antiqua" w:cs="Arial"/>
                <w:sz w:val="24"/>
                <w:szCs w:val="24"/>
              </w:rPr>
              <w:t>(12.5)</w:t>
            </w:r>
          </w:p>
        </w:tc>
        <w:tc>
          <w:tcPr>
            <w:tcW w:w="986" w:type="dxa"/>
            <w:shd w:val="clear" w:color="auto" w:fill="auto"/>
            <w:noWrap/>
            <w:hideMark/>
          </w:tcPr>
          <w:p w14:paraId="0A7D7E52" w14:textId="66A0BAE3"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3985EB86"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0E384E84"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Previous history of cardiac arrest</w:t>
            </w:r>
          </w:p>
        </w:tc>
        <w:tc>
          <w:tcPr>
            <w:tcW w:w="2514" w:type="dxa"/>
            <w:shd w:val="clear" w:color="auto" w:fill="auto"/>
            <w:noWrap/>
            <w:hideMark/>
          </w:tcPr>
          <w:p w14:paraId="35C37CF6" w14:textId="45B93707"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247161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(8.1)</w:t>
            </w:r>
          </w:p>
        </w:tc>
        <w:tc>
          <w:tcPr>
            <w:tcW w:w="2142" w:type="dxa"/>
            <w:shd w:val="clear" w:color="auto" w:fill="auto"/>
            <w:noWrap/>
            <w:hideMark/>
          </w:tcPr>
          <w:p w14:paraId="69E39F19" w14:textId="6B75B376"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405</w:t>
            </w:r>
            <w:r w:rsidRPr="00462B94">
              <w:rPr>
                <w:rFonts w:ascii="Book Antiqua" w:hAnsi="Book Antiqua" w:cs="Arial" w:hint="eastAsia"/>
                <w:lang w:eastAsia="zh-CN"/>
              </w:rPr>
              <w:t xml:space="preserve"> </w:t>
            </w:r>
            <w:r w:rsidRPr="00462B94">
              <w:rPr>
                <w:rFonts w:ascii="Book Antiqua" w:hAnsi="Book Antiqua" w:cs="Arial"/>
                <w:sz w:val="24"/>
                <w:szCs w:val="24"/>
              </w:rPr>
              <w:t>(0.4)</w:t>
            </w:r>
          </w:p>
        </w:tc>
        <w:tc>
          <w:tcPr>
            <w:tcW w:w="986" w:type="dxa"/>
            <w:shd w:val="clear" w:color="auto" w:fill="auto"/>
            <w:noWrap/>
            <w:hideMark/>
          </w:tcPr>
          <w:p w14:paraId="5C5B66DC" w14:textId="77777777"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0.786</w:t>
            </w:r>
          </w:p>
        </w:tc>
      </w:tr>
      <w:tr w:rsidR="00414938" w:rsidRPr="00462B94" w14:paraId="0715C27C"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61A95935"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Smoking</w:t>
            </w:r>
          </w:p>
        </w:tc>
        <w:tc>
          <w:tcPr>
            <w:tcW w:w="2514" w:type="dxa"/>
            <w:shd w:val="clear" w:color="auto" w:fill="auto"/>
            <w:noWrap/>
            <w:hideMark/>
          </w:tcPr>
          <w:p w14:paraId="2421223F" w14:textId="6D49CA05"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11543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(0.4)</w:t>
            </w:r>
          </w:p>
        </w:tc>
        <w:tc>
          <w:tcPr>
            <w:tcW w:w="2142" w:type="dxa"/>
            <w:shd w:val="clear" w:color="auto" w:fill="auto"/>
            <w:noWrap/>
            <w:hideMark/>
          </w:tcPr>
          <w:p w14:paraId="6EE058D7" w14:textId="1D72B612"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34019</w:t>
            </w:r>
            <w:r w:rsidRPr="00462B94">
              <w:rPr>
                <w:rFonts w:ascii="Book Antiqua" w:hAnsi="Book Antiqua" w:cs="Arial" w:hint="eastAsia"/>
                <w:lang w:eastAsia="zh-CN"/>
              </w:rPr>
              <w:t xml:space="preserve"> </w:t>
            </w:r>
            <w:r w:rsidRPr="00462B94">
              <w:rPr>
                <w:rFonts w:ascii="Book Antiqua" w:hAnsi="Book Antiqua" w:cs="Arial"/>
                <w:sz w:val="24"/>
                <w:szCs w:val="24"/>
              </w:rPr>
              <w:t>(32.3)</w:t>
            </w:r>
          </w:p>
        </w:tc>
        <w:tc>
          <w:tcPr>
            <w:tcW w:w="986" w:type="dxa"/>
            <w:shd w:val="clear" w:color="auto" w:fill="auto"/>
            <w:noWrap/>
            <w:hideMark/>
          </w:tcPr>
          <w:p w14:paraId="2FBD2A8A" w14:textId="5A047789"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336E0986"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68D2B40F"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History of venous thromboembolism</w:t>
            </w:r>
          </w:p>
        </w:tc>
        <w:tc>
          <w:tcPr>
            <w:tcW w:w="2514" w:type="dxa"/>
            <w:shd w:val="clear" w:color="auto" w:fill="auto"/>
            <w:noWrap/>
            <w:hideMark/>
          </w:tcPr>
          <w:p w14:paraId="59D0612F" w14:textId="2399D717"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1210142</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(39.8)</w:t>
            </w:r>
          </w:p>
        </w:tc>
        <w:tc>
          <w:tcPr>
            <w:tcW w:w="2142" w:type="dxa"/>
            <w:shd w:val="clear" w:color="auto" w:fill="auto"/>
            <w:noWrap/>
            <w:hideMark/>
          </w:tcPr>
          <w:p w14:paraId="4D77735A" w14:textId="54BFA249"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3146</w:t>
            </w:r>
            <w:r w:rsidRPr="00462B94">
              <w:rPr>
                <w:rFonts w:ascii="Book Antiqua" w:hAnsi="Book Antiqua" w:cs="Arial" w:hint="eastAsia"/>
                <w:lang w:eastAsia="zh-CN"/>
              </w:rPr>
              <w:t xml:space="preserve"> </w:t>
            </w:r>
            <w:r w:rsidRPr="00462B94">
              <w:rPr>
                <w:rFonts w:ascii="Book Antiqua" w:hAnsi="Book Antiqua" w:cs="Arial"/>
                <w:sz w:val="24"/>
                <w:szCs w:val="24"/>
              </w:rPr>
              <w:t>(3.0)</w:t>
            </w:r>
          </w:p>
        </w:tc>
        <w:tc>
          <w:tcPr>
            <w:tcW w:w="986" w:type="dxa"/>
            <w:shd w:val="clear" w:color="auto" w:fill="auto"/>
            <w:noWrap/>
            <w:hideMark/>
          </w:tcPr>
          <w:p w14:paraId="5750021D" w14:textId="2EFB07D8"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1CB7F45F" w14:textId="77777777" w:rsidTr="005A3A36">
        <w:trPr>
          <w:trHeight w:val="375"/>
          <w:jc w:val="center"/>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hideMark/>
          </w:tcPr>
          <w:p w14:paraId="1F701E3E"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Chronic kidney disease</w:t>
            </w:r>
          </w:p>
        </w:tc>
        <w:tc>
          <w:tcPr>
            <w:tcW w:w="2514" w:type="dxa"/>
            <w:shd w:val="clear" w:color="auto" w:fill="auto"/>
            <w:noWrap/>
            <w:hideMark/>
          </w:tcPr>
          <w:p w14:paraId="0E13B85B" w14:textId="0EBD529B"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66017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(2.2)</w:t>
            </w:r>
          </w:p>
        </w:tc>
        <w:tc>
          <w:tcPr>
            <w:tcW w:w="2142" w:type="dxa"/>
            <w:shd w:val="clear" w:color="auto" w:fill="auto"/>
            <w:noWrap/>
            <w:hideMark/>
          </w:tcPr>
          <w:p w14:paraId="4059F47C" w14:textId="56C1AAE0"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47909</w:t>
            </w:r>
            <w:r w:rsidRPr="00462B94">
              <w:rPr>
                <w:rFonts w:ascii="Book Antiqua" w:hAnsi="Book Antiqua" w:cs="Arial" w:hint="eastAsia"/>
                <w:lang w:eastAsia="zh-CN"/>
              </w:rPr>
              <w:t xml:space="preserve"> </w:t>
            </w:r>
            <w:r w:rsidRPr="00462B94">
              <w:rPr>
                <w:rFonts w:ascii="Book Antiqua" w:hAnsi="Book Antiqua" w:cs="Arial"/>
                <w:sz w:val="24"/>
                <w:szCs w:val="24"/>
              </w:rPr>
              <w:t>(45.5)</w:t>
            </w:r>
          </w:p>
        </w:tc>
        <w:tc>
          <w:tcPr>
            <w:tcW w:w="986" w:type="dxa"/>
            <w:shd w:val="clear" w:color="auto" w:fill="auto"/>
            <w:noWrap/>
            <w:hideMark/>
          </w:tcPr>
          <w:p w14:paraId="560519B4" w14:textId="1D0EADEE" w:rsidR="00414938" w:rsidRPr="00462B94" w:rsidRDefault="004149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14938" w:rsidRPr="00462B94" w14:paraId="061BDCCB" w14:textId="77777777" w:rsidTr="005A3A3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56" w:type="dxa"/>
            <w:tcBorders>
              <w:bottom w:val="single" w:sz="4" w:space="0" w:color="auto"/>
            </w:tcBorders>
            <w:shd w:val="clear" w:color="auto" w:fill="auto"/>
            <w:hideMark/>
          </w:tcPr>
          <w:p w14:paraId="58269C27" w14:textId="77777777" w:rsidR="00414938" w:rsidRPr="00462B94" w:rsidRDefault="00414938"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lastRenderedPageBreak/>
              <w:t xml:space="preserve">Dialysis status </w:t>
            </w:r>
          </w:p>
        </w:tc>
        <w:tc>
          <w:tcPr>
            <w:tcW w:w="2514" w:type="dxa"/>
            <w:tcBorders>
              <w:bottom w:val="single" w:sz="4" w:space="0" w:color="auto"/>
            </w:tcBorders>
            <w:shd w:val="clear" w:color="auto" w:fill="auto"/>
            <w:noWrap/>
            <w:hideMark/>
          </w:tcPr>
          <w:p w14:paraId="561E9D9A" w14:textId="1D0FD025"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576268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(19.0)</w:t>
            </w:r>
          </w:p>
        </w:tc>
        <w:tc>
          <w:tcPr>
            <w:tcW w:w="2142" w:type="dxa"/>
            <w:tcBorders>
              <w:bottom w:val="single" w:sz="4" w:space="0" w:color="auto"/>
            </w:tcBorders>
            <w:shd w:val="clear" w:color="auto" w:fill="auto"/>
            <w:noWrap/>
            <w:hideMark/>
          </w:tcPr>
          <w:p w14:paraId="25F99E79" w14:textId="5EC543D7"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4388</w:t>
            </w:r>
            <w:r w:rsidRPr="00462B94">
              <w:rPr>
                <w:rFonts w:ascii="Book Antiqua" w:hAnsi="Book Antiqua" w:cs="Arial" w:hint="eastAsia"/>
                <w:lang w:eastAsia="zh-CN"/>
              </w:rPr>
              <w:t xml:space="preserve"> </w:t>
            </w:r>
            <w:r w:rsidRPr="00462B94">
              <w:rPr>
                <w:rFonts w:ascii="Book Antiqua" w:hAnsi="Book Antiqua" w:cs="Arial"/>
                <w:sz w:val="24"/>
                <w:szCs w:val="24"/>
              </w:rPr>
              <w:t>(4.2)</w:t>
            </w:r>
          </w:p>
        </w:tc>
        <w:tc>
          <w:tcPr>
            <w:tcW w:w="986" w:type="dxa"/>
            <w:tcBorders>
              <w:bottom w:val="single" w:sz="4" w:space="0" w:color="auto"/>
            </w:tcBorders>
            <w:shd w:val="clear" w:color="auto" w:fill="auto"/>
            <w:noWrap/>
            <w:hideMark/>
          </w:tcPr>
          <w:p w14:paraId="74413F07" w14:textId="4AFF3209" w:rsidR="00414938" w:rsidRPr="00462B94" w:rsidRDefault="004149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lang w:eastAsia="zh-CN"/>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bl>
    <w:p w14:paraId="13650978" w14:textId="77777777" w:rsidR="00372F38" w:rsidRPr="00462B94" w:rsidRDefault="00372F38" w:rsidP="00462B94">
      <w:pPr>
        <w:spacing w:line="360" w:lineRule="auto"/>
        <w:jc w:val="both"/>
        <w:rPr>
          <w:rFonts w:ascii="Book Antiqua" w:hAnsi="Book Antiqua" w:cs="Arial"/>
          <w:vertAlign w:val="superscript"/>
          <w:lang w:eastAsia="zh-CN"/>
        </w:rPr>
      </w:pPr>
    </w:p>
    <w:p w14:paraId="75F204ED" w14:textId="304E7405" w:rsidR="00746EDE" w:rsidRPr="00462B94" w:rsidRDefault="00372F38" w:rsidP="00462B94">
      <w:pPr>
        <w:spacing w:line="360" w:lineRule="auto"/>
        <w:jc w:val="both"/>
        <w:rPr>
          <w:rFonts w:ascii="Book Antiqua" w:hAnsi="Book Antiqua" w:cs="Arial"/>
          <w:lang w:eastAsia="zh-CN"/>
        </w:rPr>
      </w:pPr>
      <w:proofErr w:type="spellStart"/>
      <w:r w:rsidRPr="00462B94">
        <w:rPr>
          <w:rFonts w:ascii="Book Antiqua" w:hAnsi="Book Antiqua" w:cs="Arial" w:hint="eastAsia"/>
          <w:vertAlign w:val="superscript"/>
          <w:lang w:eastAsia="zh-CN"/>
        </w:rPr>
        <w:t>a</w:t>
      </w:r>
      <w:r w:rsidR="00742FE4" w:rsidRPr="00462B94">
        <w:rPr>
          <w:rFonts w:ascii="Book Antiqua" w:hAnsi="Book Antiqua" w:cs="Arial"/>
          <w:i/>
        </w:rPr>
        <w:t>P</w:t>
      </w:r>
      <w:proofErr w:type="spellEnd"/>
      <w:r w:rsidR="00742FE4" w:rsidRPr="00462B94">
        <w:rPr>
          <w:rFonts w:ascii="Book Antiqua" w:hAnsi="Book Antiqua" w:cs="Arial"/>
          <w:i/>
        </w:rPr>
        <w:t xml:space="preserve"> &lt; </w:t>
      </w:r>
      <w:r w:rsidR="00FC17C8" w:rsidRPr="00462B94">
        <w:rPr>
          <w:rFonts w:ascii="Book Antiqua" w:hAnsi="Book Antiqua" w:cs="Arial"/>
        </w:rPr>
        <w:t>0.05 (bold value) indicates clinical significance.</w:t>
      </w:r>
      <w:r w:rsidRPr="00462B94">
        <w:rPr>
          <w:rFonts w:ascii="Book Antiqua" w:hAnsi="Book Antiqua" w:cs="Arial"/>
        </w:rPr>
        <w:t xml:space="preserve"> ACS</w:t>
      </w:r>
      <w:r w:rsidRPr="00462B94">
        <w:rPr>
          <w:rFonts w:ascii="Book Antiqua" w:hAnsi="Book Antiqua" w:cs="Arial" w:hint="eastAsia"/>
          <w:lang w:eastAsia="zh-CN"/>
        </w:rPr>
        <w:t xml:space="preserve">: </w:t>
      </w:r>
      <w:r w:rsidRPr="00462B94">
        <w:rPr>
          <w:rFonts w:ascii="Book Antiqua" w:hAnsi="Book Antiqua" w:cs="Arial"/>
        </w:rPr>
        <w:t>Acute coronary syndrome</w:t>
      </w:r>
      <w:r w:rsidRPr="00462B94">
        <w:rPr>
          <w:rFonts w:ascii="Book Antiqua" w:hAnsi="Book Antiqua" w:cs="Arial" w:hint="eastAsia"/>
          <w:lang w:eastAsia="zh-CN"/>
        </w:rPr>
        <w:t>;</w:t>
      </w:r>
      <w:r w:rsidRPr="00462B94">
        <w:rPr>
          <w:rFonts w:ascii="Book Antiqua" w:hAnsi="Book Antiqua" w:cs="Arial"/>
        </w:rPr>
        <w:t xml:space="preserve"> MI</w:t>
      </w:r>
      <w:r w:rsidRPr="00462B94">
        <w:rPr>
          <w:rFonts w:ascii="Book Antiqua" w:hAnsi="Book Antiqua" w:cs="Arial" w:hint="eastAsia"/>
          <w:lang w:eastAsia="zh-CN"/>
        </w:rPr>
        <w:t xml:space="preserve">: </w:t>
      </w:r>
      <w:r w:rsidRPr="00462B94">
        <w:rPr>
          <w:rFonts w:ascii="Book Antiqua" w:hAnsi="Book Antiqua" w:cs="Arial"/>
        </w:rPr>
        <w:t>Myocardial infarction</w:t>
      </w:r>
      <w:r w:rsidRPr="00462B94">
        <w:rPr>
          <w:rFonts w:ascii="Book Antiqua" w:hAnsi="Book Antiqua" w:cs="Arial" w:hint="eastAsia"/>
          <w:lang w:eastAsia="zh-CN"/>
        </w:rPr>
        <w:t>;</w:t>
      </w:r>
      <w:r w:rsidRPr="00462B94">
        <w:rPr>
          <w:rFonts w:ascii="Book Antiqua" w:hAnsi="Book Antiqua" w:cs="Arial"/>
        </w:rPr>
        <w:t xml:space="preserve"> CAD</w:t>
      </w:r>
      <w:r w:rsidRPr="00462B94">
        <w:rPr>
          <w:rFonts w:ascii="Book Antiqua" w:hAnsi="Book Antiqua" w:cs="Arial" w:hint="eastAsia"/>
          <w:lang w:eastAsia="zh-CN"/>
        </w:rPr>
        <w:t>:</w:t>
      </w:r>
      <w:r w:rsidRPr="00462B94">
        <w:rPr>
          <w:rFonts w:ascii="Book Antiqua" w:hAnsi="Book Antiqua" w:cs="Arial"/>
        </w:rPr>
        <w:t xml:space="preserve"> Coronary artery disease</w:t>
      </w:r>
      <w:r w:rsidRPr="00462B94">
        <w:rPr>
          <w:rFonts w:ascii="Book Antiqua" w:hAnsi="Book Antiqua" w:cs="Arial" w:hint="eastAsia"/>
          <w:lang w:eastAsia="zh-CN"/>
        </w:rPr>
        <w:t>;</w:t>
      </w:r>
      <w:r w:rsidRPr="00462B94">
        <w:rPr>
          <w:rFonts w:ascii="Book Antiqua" w:hAnsi="Book Antiqua" w:cs="Arial"/>
        </w:rPr>
        <w:t xml:space="preserve"> PCI</w:t>
      </w:r>
      <w:r w:rsidRPr="00462B94">
        <w:rPr>
          <w:rFonts w:ascii="Book Antiqua" w:hAnsi="Book Antiqua" w:cs="Arial" w:hint="eastAsia"/>
          <w:lang w:eastAsia="zh-CN"/>
        </w:rPr>
        <w:t xml:space="preserve">: </w:t>
      </w:r>
      <w:r w:rsidRPr="00462B94">
        <w:rPr>
          <w:rFonts w:ascii="Book Antiqua" w:hAnsi="Book Antiqua" w:cs="Arial"/>
        </w:rPr>
        <w:t>Percutaneous coronary intervention</w:t>
      </w:r>
      <w:r w:rsidRPr="00462B94">
        <w:rPr>
          <w:rFonts w:ascii="Book Antiqua" w:hAnsi="Book Antiqua" w:cs="Arial" w:hint="eastAsia"/>
          <w:lang w:eastAsia="zh-CN"/>
        </w:rPr>
        <w:t>;</w:t>
      </w:r>
      <w:r w:rsidRPr="00462B94">
        <w:rPr>
          <w:rFonts w:ascii="Book Antiqua" w:hAnsi="Book Antiqua" w:cs="Arial"/>
        </w:rPr>
        <w:t xml:space="preserve"> CABG</w:t>
      </w:r>
      <w:r w:rsidRPr="00462B94">
        <w:rPr>
          <w:rFonts w:ascii="Book Antiqua" w:hAnsi="Book Antiqua" w:cs="Arial" w:hint="eastAsia"/>
          <w:lang w:eastAsia="zh-CN"/>
        </w:rPr>
        <w:t xml:space="preserve">: </w:t>
      </w:r>
      <w:r w:rsidRPr="00462B94">
        <w:rPr>
          <w:rFonts w:ascii="Book Antiqua" w:hAnsi="Book Antiqua" w:cs="Arial"/>
        </w:rPr>
        <w:t>Coronary artery bypass grafting</w:t>
      </w:r>
      <w:r w:rsidRPr="00462B94">
        <w:rPr>
          <w:rFonts w:ascii="Book Antiqua" w:hAnsi="Book Antiqua" w:cs="Arial" w:hint="eastAsia"/>
          <w:lang w:eastAsia="zh-CN"/>
        </w:rPr>
        <w:t>.</w:t>
      </w:r>
    </w:p>
    <w:p w14:paraId="4CC5BAE2" w14:textId="77777777" w:rsidR="00746EDE" w:rsidRPr="00462B94" w:rsidRDefault="00746EDE" w:rsidP="00462B94">
      <w:pPr>
        <w:spacing w:line="360" w:lineRule="auto"/>
        <w:rPr>
          <w:rFonts w:ascii="Book Antiqua" w:hAnsi="Book Antiqua" w:cs="Arial"/>
          <w:lang w:eastAsia="zh-CN"/>
        </w:rPr>
      </w:pPr>
      <w:r w:rsidRPr="00462B94">
        <w:rPr>
          <w:rFonts w:ascii="Book Antiqua" w:hAnsi="Book Antiqua" w:cs="Arial"/>
          <w:lang w:eastAsia="zh-CN"/>
        </w:rPr>
        <w:br w:type="page"/>
      </w:r>
    </w:p>
    <w:p w14:paraId="4A1C073C" w14:textId="0CC81BBB" w:rsidR="00FE7095" w:rsidRPr="00462B94" w:rsidRDefault="00746EDE" w:rsidP="00462B94">
      <w:pPr>
        <w:spacing w:line="360" w:lineRule="auto"/>
        <w:jc w:val="both"/>
        <w:rPr>
          <w:rFonts w:ascii="Book Antiqua" w:hAnsi="Book Antiqua" w:cs="Arial"/>
          <w:b/>
        </w:rPr>
      </w:pPr>
      <w:r w:rsidRPr="00462B94">
        <w:rPr>
          <w:rFonts w:ascii="Book Antiqua" w:hAnsi="Book Antiqua" w:cs="Arial"/>
          <w:b/>
        </w:rPr>
        <w:lastRenderedPageBreak/>
        <w:t xml:space="preserve">Table 3 Revascularization rates and outcomes in acute coronary syndrome with </w:t>
      </w:r>
      <w:r w:rsidRPr="00462B94">
        <w:rPr>
          <w:rFonts w:ascii="Book Antiqua" w:hAnsi="Book Antiqua" w:cs="Times New Roman"/>
          <w:b/>
          <w:bCs/>
          <w:i/>
          <w:noProof/>
        </w:rPr>
        <w:t>vs</w:t>
      </w:r>
      <w:r w:rsidRPr="00462B94">
        <w:rPr>
          <w:rFonts w:ascii="Book Antiqua" w:hAnsi="Book Antiqua" w:cs="Arial"/>
          <w:b/>
        </w:rPr>
        <w:t xml:space="preserve"> without gout</w:t>
      </w:r>
    </w:p>
    <w:tbl>
      <w:tblPr>
        <w:tblStyle w:val="PlainTable41"/>
        <w:tblW w:w="0" w:type="auto"/>
        <w:jc w:val="center"/>
        <w:tblLook w:val="04A0" w:firstRow="1" w:lastRow="0" w:firstColumn="1" w:lastColumn="0" w:noHBand="0" w:noVBand="1"/>
      </w:tblPr>
      <w:tblGrid>
        <w:gridCol w:w="3624"/>
        <w:gridCol w:w="2428"/>
        <w:gridCol w:w="2428"/>
        <w:gridCol w:w="880"/>
      </w:tblGrid>
      <w:tr w:rsidR="00AB738D" w:rsidRPr="00462B94" w14:paraId="75F76F4E" w14:textId="77777777" w:rsidTr="00466C13">
        <w:trPr>
          <w:cnfStyle w:val="100000000000" w:firstRow="1" w:lastRow="0" w:firstColumn="0" w:lastColumn="0" w:oddVBand="0" w:evenVBand="0" w:oddHBand="0"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noWrap/>
            <w:vAlign w:val="center"/>
          </w:tcPr>
          <w:p w14:paraId="13A26A6D" w14:textId="77777777" w:rsidR="00FC17C8" w:rsidRPr="00462B94" w:rsidRDefault="00FC17C8" w:rsidP="00462B94">
            <w:pPr>
              <w:spacing w:line="360" w:lineRule="auto"/>
              <w:jc w:val="both"/>
              <w:rPr>
                <w:rFonts w:ascii="Book Antiqua" w:hAnsi="Book Antiqua" w:cs="Arial"/>
                <w:bCs w:val="0"/>
                <w:sz w:val="24"/>
                <w:szCs w:val="24"/>
              </w:rPr>
            </w:pPr>
            <w:r w:rsidRPr="00462B94">
              <w:rPr>
                <w:rFonts w:ascii="Book Antiqua" w:hAnsi="Book Antiqua" w:cs="Arial"/>
                <w:sz w:val="24"/>
                <w:szCs w:val="24"/>
              </w:rPr>
              <w:t>Outcomes</w:t>
            </w:r>
          </w:p>
        </w:tc>
        <w:tc>
          <w:tcPr>
            <w:tcW w:w="0" w:type="auto"/>
            <w:tcBorders>
              <w:top w:val="single" w:sz="4" w:space="0" w:color="auto"/>
              <w:bottom w:val="single" w:sz="4" w:space="0" w:color="auto"/>
            </w:tcBorders>
            <w:shd w:val="clear" w:color="auto" w:fill="auto"/>
            <w:noWrap/>
            <w:vAlign w:val="center"/>
          </w:tcPr>
          <w:p w14:paraId="58D9902B" w14:textId="4621E577"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rPr>
            </w:pPr>
            <w:r w:rsidRPr="00462B94">
              <w:rPr>
                <w:rFonts w:ascii="Book Antiqua" w:hAnsi="Book Antiqua" w:cs="Arial"/>
                <w:bCs w:val="0"/>
                <w:sz w:val="24"/>
                <w:szCs w:val="24"/>
              </w:rPr>
              <w:t>ACS +</w:t>
            </w:r>
            <w:r w:rsidR="00746EDE" w:rsidRPr="00462B94">
              <w:rPr>
                <w:rFonts w:ascii="Book Antiqua" w:hAnsi="Book Antiqua" w:cs="Arial" w:hint="eastAsia"/>
                <w:bCs w:val="0"/>
                <w:sz w:val="24"/>
                <w:szCs w:val="24"/>
                <w:lang w:eastAsia="zh-CN"/>
              </w:rPr>
              <w:t xml:space="preserve"> </w:t>
            </w:r>
            <w:r w:rsidR="00746EDE" w:rsidRPr="00462B94">
              <w:rPr>
                <w:rFonts w:ascii="Book Antiqua" w:hAnsi="Book Antiqua" w:cs="Arial"/>
                <w:bCs w:val="0"/>
                <w:sz w:val="24"/>
                <w:szCs w:val="24"/>
              </w:rPr>
              <w:t>n</w:t>
            </w:r>
            <w:r w:rsidRPr="00462B94">
              <w:rPr>
                <w:rFonts w:ascii="Book Antiqua" w:hAnsi="Book Antiqua" w:cs="Arial"/>
                <w:bCs w:val="0"/>
                <w:sz w:val="24"/>
                <w:szCs w:val="24"/>
              </w:rPr>
              <w:t xml:space="preserve">o </w:t>
            </w:r>
            <w:r w:rsidR="00746EDE" w:rsidRPr="00462B94">
              <w:rPr>
                <w:rFonts w:ascii="Book Antiqua" w:hAnsi="Book Antiqua" w:cs="Arial"/>
                <w:bCs w:val="0"/>
                <w:sz w:val="24"/>
                <w:szCs w:val="24"/>
              </w:rPr>
              <w:t>g</w:t>
            </w:r>
            <w:r w:rsidRPr="00462B94">
              <w:rPr>
                <w:rFonts w:ascii="Book Antiqua" w:hAnsi="Book Antiqua" w:cs="Arial"/>
                <w:bCs w:val="0"/>
                <w:sz w:val="24"/>
                <w:szCs w:val="24"/>
              </w:rPr>
              <w:t xml:space="preserve">out </w:t>
            </w:r>
          </w:p>
          <w:p w14:paraId="2D7CA0C8" w14:textId="0B319FFD" w:rsidR="00FC17C8" w:rsidRPr="00462B94" w:rsidRDefault="00746EDE"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rPr>
            </w:pPr>
            <w:r w:rsidRPr="00462B94">
              <w:rPr>
                <w:rFonts w:ascii="Book Antiqua" w:eastAsia="Times New Roman" w:hAnsi="Book Antiqua" w:cs="Arial"/>
                <w:bCs w:val="0"/>
                <w:sz w:val="24"/>
                <w:szCs w:val="24"/>
              </w:rPr>
              <w:t>(</w:t>
            </w:r>
            <w:r w:rsidRPr="00462B94">
              <w:rPr>
                <w:rFonts w:ascii="Book Antiqua" w:eastAsia="Times New Roman" w:hAnsi="Book Antiqua" w:cs="Arial"/>
                <w:bCs w:val="0"/>
                <w:i/>
                <w:sz w:val="24"/>
                <w:szCs w:val="24"/>
              </w:rPr>
              <w:t>n</w:t>
            </w:r>
            <w:r w:rsidRPr="00462B94">
              <w:rPr>
                <w:rFonts w:ascii="Book Antiqua" w:hAnsi="Book Antiqua" w:cs="Arial" w:hint="eastAsia"/>
                <w:bCs w:val="0"/>
                <w:sz w:val="24"/>
                <w:szCs w:val="24"/>
                <w:lang w:eastAsia="zh-CN"/>
              </w:rPr>
              <w:t xml:space="preserve"> </w:t>
            </w:r>
            <w:r w:rsidRPr="00462B94">
              <w:rPr>
                <w:rFonts w:ascii="Book Antiqua" w:eastAsia="Times New Roman" w:hAnsi="Book Antiqua" w:cs="Arial"/>
                <w:bCs w:val="0"/>
                <w:sz w:val="24"/>
                <w:szCs w:val="24"/>
              </w:rPr>
              <w:t>=</w:t>
            </w:r>
            <w:r w:rsidRPr="00462B94">
              <w:rPr>
                <w:rFonts w:ascii="Book Antiqua" w:hAnsi="Book Antiqua" w:cs="Arial" w:hint="eastAsia"/>
                <w:bCs w:val="0"/>
                <w:sz w:val="24"/>
                <w:szCs w:val="24"/>
                <w:lang w:eastAsia="zh-CN"/>
              </w:rPr>
              <w:t xml:space="preserve"> </w:t>
            </w:r>
            <w:r w:rsidRPr="00462B94">
              <w:rPr>
                <w:rFonts w:ascii="Book Antiqua" w:eastAsia="Times New Roman" w:hAnsi="Book Antiqua" w:cs="Arial"/>
                <w:bCs w:val="0"/>
                <w:sz w:val="24"/>
                <w:szCs w:val="24"/>
              </w:rPr>
              <w:t>3039</w:t>
            </w:r>
            <w:r w:rsidR="00FC17C8" w:rsidRPr="00462B94">
              <w:rPr>
                <w:rFonts w:ascii="Book Antiqua" w:eastAsia="Times New Roman" w:hAnsi="Book Antiqua" w:cs="Arial"/>
                <w:bCs w:val="0"/>
                <w:sz w:val="24"/>
                <w:szCs w:val="24"/>
              </w:rPr>
              <w:t>546)</w:t>
            </w:r>
          </w:p>
        </w:tc>
        <w:tc>
          <w:tcPr>
            <w:tcW w:w="0" w:type="auto"/>
            <w:tcBorders>
              <w:top w:val="single" w:sz="4" w:space="0" w:color="auto"/>
              <w:bottom w:val="single" w:sz="4" w:space="0" w:color="auto"/>
            </w:tcBorders>
            <w:shd w:val="clear" w:color="auto" w:fill="auto"/>
            <w:noWrap/>
            <w:vAlign w:val="center"/>
          </w:tcPr>
          <w:p w14:paraId="2130E65C" w14:textId="757AFD18"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rPr>
            </w:pPr>
            <w:r w:rsidRPr="00462B94">
              <w:rPr>
                <w:rFonts w:ascii="Book Antiqua" w:hAnsi="Book Antiqua" w:cs="Arial"/>
                <w:bCs w:val="0"/>
                <w:sz w:val="24"/>
                <w:szCs w:val="24"/>
              </w:rPr>
              <w:t xml:space="preserve">ACS + </w:t>
            </w:r>
            <w:r w:rsidR="00746EDE" w:rsidRPr="00462B94">
              <w:rPr>
                <w:rFonts w:ascii="Book Antiqua" w:hAnsi="Book Antiqua" w:cs="Arial"/>
                <w:bCs w:val="0"/>
                <w:sz w:val="24"/>
                <w:szCs w:val="24"/>
              </w:rPr>
              <w:t>g</w:t>
            </w:r>
            <w:r w:rsidRPr="00462B94">
              <w:rPr>
                <w:rFonts w:ascii="Book Antiqua" w:hAnsi="Book Antiqua" w:cs="Arial"/>
                <w:bCs w:val="0"/>
                <w:sz w:val="24"/>
                <w:szCs w:val="24"/>
              </w:rPr>
              <w:t>out</w:t>
            </w:r>
          </w:p>
          <w:p w14:paraId="6C0218C2" w14:textId="383AAAE3" w:rsidR="00FC17C8" w:rsidRPr="00462B94" w:rsidRDefault="00FC17C8" w:rsidP="00462B94">
            <w:pPr>
              <w:tabs>
                <w:tab w:val="left" w:pos="1104"/>
              </w:tabs>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rPr>
            </w:pPr>
            <w:r w:rsidRPr="00462B94">
              <w:rPr>
                <w:rFonts w:ascii="Book Antiqua" w:hAnsi="Book Antiqua" w:cs="Arial"/>
                <w:bCs w:val="0"/>
                <w:sz w:val="24"/>
                <w:szCs w:val="24"/>
              </w:rPr>
              <w:t>(</w:t>
            </w:r>
            <w:r w:rsidRPr="00462B94">
              <w:rPr>
                <w:rFonts w:ascii="Book Antiqua" w:hAnsi="Book Antiqua" w:cs="Arial"/>
                <w:bCs w:val="0"/>
                <w:i/>
                <w:sz w:val="24"/>
                <w:szCs w:val="24"/>
              </w:rPr>
              <w:t>n</w:t>
            </w:r>
            <w:r w:rsidR="00746EDE" w:rsidRPr="00462B94">
              <w:rPr>
                <w:rFonts w:ascii="Book Antiqua" w:hAnsi="Book Antiqua" w:cs="Arial" w:hint="eastAsia"/>
                <w:bCs w:val="0"/>
                <w:sz w:val="24"/>
                <w:szCs w:val="24"/>
                <w:lang w:eastAsia="zh-CN"/>
              </w:rPr>
              <w:t xml:space="preserve"> </w:t>
            </w:r>
            <w:r w:rsidRPr="00462B94">
              <w:rPr>
                <w:rFonts w:ascii="Book Antiqua" w:hAnsi="Book Antiqua" w:cs="Arial"/>
                <w:bCs w:val="0"/>
                <w:sz w:val="24"/>
                <w:szCs w:val="24"/>
              </w:rPr>
              <w:t>=</w:t>
            </w:r>
            <w:r w:rsidR="00746EDE" w:rsidRPr="00462B94">
              <w:rPr>
                <w:rFonts w:ascii="Book Antiqua" w:hAnsi="Book Antiqua" w:cs="Arial" w:hint="eastAsia"/>
                <w:bCs w:val="0"/>
                <w:sz w:val="24"/>
                <w:szCs w:val="24"/>
                <w:lang w:eastAsia="zh-CN"/>
              </w:rPr>
              <w:t xml:space="preserve"> </w:t>
            </w:r>
            <w:r w:rsidR="00746EDE" w:rsidRPr="00462B94">
              <w:rPr>
                <w:rFonts w:ascii="Book Antiqua" w:hAnsi="Book Antiqua" w:cs="Arial"/>
                <w:bCs w:val="0"/>
                <w:sz w:val="24"/>
                <w:szCs w:val="24"/>
              </w:rPr>
              <w:t>105</w:t>
            </w:r>
            <w:r w:rsidRPr="00462B94">
              <w:rPr>
                <w:rFonts w:ascii="Book Antiqua" w:hAnsi="Book Antiqua" w:cs="Arial"/>
                <w:bCs w:val="0"/>
                <w:sz w:val="24"/>
                <w:szCs w:val="24"/>
              </w:rPr>
              <w:t>198)</w:t>
            </w:r>
          </w:p>
        </w:tc>
        <w:tc>
          <w:tcPr>
            <w:tcW w:w="0" w:type="auto"/>
            <w:tcBorders>
              <w:top w:val="single" w:sz="4" w:space="0" w:color="auto"/>
              <w:bottom w:val="single" w:sz="4" w:space="0" w:color="auto"/>
            </w:tcBorders>
            <w:shd w:val="clear" w:color="auto" w:fill="auto"/>
            <w:vAlign w:val="center"/>
          </w:tcPr>
          <w:p w14:paraId="277CB34E" w14:textId="73DC8A5B"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i/>
                <w:iCs/>
                <w:sz w:val="24"/>
                <w:szCs w:val="24"/>
                <w:lang w:eastAsia="zh-CN"/>
              </w:rPr>
            </w:pPr>
            <w:r w:rsidRPr="00462B94">
              <w:rPr>
                <w:rFonts w:ascii="Book Antiqua" w:hAnsi="Book Antiqua" w:cs="Arial"/>
                <w:bCs w:val="0"/>
                <w:i/>
                <w:iCs/>
                <w:sz w:val="24"/>
                <w:szCs w:val="24"/>
              </w:rPr>
              <w:t>P</w:t>
            </w:r>
            <w:r w:rsidR="00746EDE" w:rsidRPr="00462B94">
              <w:rPr>
                <w:rFonts w:ascii="Book Antiqua" w:hAnsi="Book Antiqua" w:cs="Arial" w:hint="eastAsia"/>
                <w:bCs w:val="0"/>
                <w:i/>
                <w:iCs/>
                <w:sz w:val="24"/>
                <w:szCs w:val="24"/>
                <w:lang w:eastAsia="zh-CN"/>
              </w:rPr>
              <w:t xml:space="preserve"> </w:t>
            </w:r>
            <w:r w:rsidR="00746EDE" w:rsidRPr="00462B94">
              <w:rPr>
                <w:rFonts w:ascii="Book Antiqua" w:hAnsi="Book Antiqua" w:cs="Arial" w:hint="eastAsia"/>
                <w:bCs w:val="0"/>
                <w:iCs/>
                <w:sz w:val="24"/>
                <w:szCs w:val="24"/>
                <w:lang w:eastAsia="zh-CN"/>
              </w:rPr>
              <w:t>value</w:t>
            </w:r>
          </w:p>
        </w:tc>
      </w:tr>
      <w:tr w:rsidR="00466C13" w:rsidRPr="00462B94" w14:paraId="2FF1978F" w14:textId="77777777" w:rsidTr="00466C13">
        <w:trPr>
          <w:cnfStyle w:val="000000100000" w:firstRow="0" w:lastRow="0" w:firstColumn="0" w:lastColumn="0" w:oddVBand="0" w:evenVBand="0" w:oddHBand="1"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noWrap/>
            <w:vAlign w:val="center"/>
          </w:tcPr>
          <w:p w14:paraId="3075F77A" w14:textId="77777777" w:rsidR="00466C13" w:rsidRPr="00462B94" w:rsidRDefault="00466C13" w:rsidP="00462B94">
            <w:pPr>
              <w:spacing w:line="360" w:lineRule="auto"/>
              <w:jc w:val="both"/>
              <w:rPr>
                <w:rFonts w:ascii="Book Antiqua" w:hAnsi="Book Antiqua" w:cs="Arial"/>
                <w:sz w:val="24"/>
                <w:szCs w:val="24"/>
              </w:rPr>
            </w:pPr>
            <w:r w:rsidRPr="00462B94">
              <w:rPr>
                <w:rFonts w:ascii="Book Antiqua" w:hAnsi="Book Antiqua" w:cs="Arial"/>
                <w:sz w:val="24"/>
                <w:szCs w:val="24"/>
              </w:rPr>
              <w:t>Revascularization</w:t>
            </w:r>
          </w:p>
        </w:tc>
        <w:tc>
          <w:tcPr>
            <w:tcW w:w="0" w:type="auto"/>
            <w:tcBorders>
              <w:top w:val="single" w:sz="4" w:space="0" w:color="auto"/>
            </w:tcBorders>
            <w:shd w:val="clear" w:color="auto" w:fill="auto"/>
            <w:noWrap/>
            <w:vAlign w:val="center"/>
          </w:tcPr>
          <w:p w14:paraId="7ECD5D91" w14:textId="77777777"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p>
        </w:tc>
        <w:tc>
          <w:tcPr>
            <w:tcW w:w="0" w:type="auto"/>
            <w:tcBorders>
              <w:top w:val="single" w:sz="4" w:space="0" w:color="auto"/>
            </w:tcBorders>
            <w:shd w:val="clear" w:color="auto" w:fill="auto"/>
            <w:noWrap/>
            <w:vAlign w:val="center"/>
          </w:tcPr>
          <w:p w14:paraId="2DCAE66F" w14:textId="77777777"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p>
        </w:tc>
        <w:tc>
          <w:tcPr>
            <w:tcW w:w="0" w:type="auto"/>
            <w:tcBorders>
              <w:top w:val="single" w:sz="4" w:space="0" w:color="auto"/>
            </w:tcBorders>
            <w:shd w:val="clear" w:color="auto" w:fill="auto"/>
            <w:vAlign w:val="center"/>
          </w:tcPr>
          <w:p w14:paraId="5BF70E6F" w14:textId="77777777"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p>
        </w:tc>
      </w:tr>
      <w:tr w:rsidR="00466C13" w:rsidRPr="00462B94" w14:paraId="4044C351" w14:textId="77777777" w:rsidTr="00466C13">
        <w:trPr>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62501D9E" w14:textId="77777777" w:rsidR="00466C13" w:rsidRPr="00462B94" w:rsidRDefault="00466C13"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Thrombolysis</w:t>
            </w:r>
          </w:p>
        </w:tc>
        <w:tc>
          <w:tcPr>
            <w:tcW w:w="0" w:type="auto"/>
            <w:shd w:val="clear" w:color="auto" w:fill="auto"/>
            <w:noWrap/>
            <w:vAlign w:val="center"/>
          </w:tcPr>
          <w:p w14:paraId="5E2A7505" w14:textId="160613ED"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56694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(1.9)</w:t>
            </w:r>
          </w:p>
        </w:tc>
        <w:tc>
          <w:tcPr>
            <w:tcW w:w="0" w:type="auto"/>
            <w:shd w:val="clear" w:color="auto" w:fill="auto"/>
            <w:noWrap/>
            <w:vAlign w:val="center"/>
          </w:tcPr>
          <w:p w14:paraId="06A5EF28" w14:textId="175D81EC"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1408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w:t>
            </w:r>
            <w:r w:rsidRPr="00462B94">
              <w:rPr>
                <w:rFonts w:ascii="Book Antiqua" w:hAnsi="Book Antiqua" w:cs="Arial"/>
                <w:i/>
                <w:sz w:val="24"/>
                <w:szCs w:val="24"/>
              </w:rPr>
              <w:t>.</w:t>
            </w:r>
            <w:r w:rsidRPr="00462B94">
              <w:rPr>
                <w:rFonts w:ascii="Book Antiqua" w:hAnsi="Book Antiqua" w:cs="Arial"/>
                <w:sz w:val="24"/>
                <w:szCs w:val="24"/>
              </w:rPr>
              <w:t>3)</w:t>
            </w:r>
          </w:p>
        </w:tc>
        <w:tc>
          <w:tcPr>
            <w:tcW w:w="0" w:type="auto"/>
            <w:shd w:val="clear" w:color="auto" w:fill="auto"/>
            <w:vAlign w:val="center"/>
          </w:tcPr>
          <w:p w14:paraId="26D47978" w14:textId="53F91903"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66C13" w:rsidRPr="00462B94" w14:paraId="7DBBDDD0" w14:textId="77777777" w:rsidTr="00466C13">
        <w:trPr>
          <w:cnfStyle w:val="000000100000" w:firstRow="0" w:lastRow="0" w:firstColumn="0" w:lastColumn="0" w:oddVBand="0" w:evenVBand="0" w:oddHBand="1"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2905C249" w14:textId="77777777" w:rsidR="00466C13" w:rsidRPr="00462B94" w:rsidRDefault="00466C13"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PCI</w:t>
            </w:r>
          </w:p>
        </w:tc>
        <w:tc>
          <w:tcPr>
            <w:tcW w:w="0" w:type="auto"/>
            <w:shd w:val="clear" w:color="auto" w:fill="auto"/>
            <w:noWrap/>
            <w:vAlign w:val="center"/>
          </w:tcPr>
          <w:p w14:paraId="29D72482" w14:textId="056B5376"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1369759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(45.1)</w:t>
            </w:r>
          </w:p>
        </w:tc>
        <w:tc>
          <w:tcPr>
            <w:tcW w:w="0" w:type="auto"/>
            <w:shd w:val="clear" w:color="auto" w:fill="auto"/>
            <w:noWrap/>
            <w:vAlign w:val="center"/>
          </w:tcPr>
          <w:p w14:paraId="4A340DA7" w14:textId="3FBDDF04"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38301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(36.4)</w:t>
            </w:r>
          </w:p>
        </w:tc>
        <w:tc>
          <w:tcPr>
            <w:tcW w:w="0" w:type="auto"/>
            <w:shd w:val="clear" w:color="auto" w:fill="auto"/>
            <w:vAlign w:val="center"/>
          </w:tcPr>
          <w:p w14:paraId="49FCAE69" w14:textId="27C0E43F"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66C13" w:rsidRPr="00462B94" w14:paraId="40DD70C7" w14:textId="77777777" w:rsidTr="00466C13">
        <w:trPr>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2B397571" w14:textId="77777777" w:rsidR="00466C13" w:rsidRPr="00462B94" w:rsidRDefault="00466C13"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CABG</w:t>
            </w:r>
          </w:p>
        </w:tc>
        <w:tc>
          <w:tcPr>
            <w:tcW w:w="0" w:type="auto"/>
            <w:shd w:val="clear" w:color="auto" w:fill="auto"/>
            <w:noWrap/>
            <w:vAlign w:val="center"/>
          </w:tcPr>
          <w:p w14:paraId="03DBA7C9" w14:textId="623AC6A4"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245983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(8.1)</w:t>
            </w:r>
          </w:p>
        </w:tc>
        <w:tc>
          <w:tcPr>
            <w:tcW w:w="0" w:type="auto"/>
            <w:shd w:val="clear" w:color="auto" w:fill="auto"/>
            <w:noWrap/>
            <w:vAlign w:val="center"/>
          </w:tcPr>
          <w:p w14:paraId="1E5F1109" w14:textId="7F7230F3"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9657</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(9.2)</w:t>
            </w:r>
          </w:p>
        </w:tc>
        <w:tc>
          <w:tcPr>
            <w:tcW w:w="0" w:type="auto"/>
            <w:shd w:val="clear" w:color="auto" w:fill="auto"/>
            <w:vAlign w:val="center"/>
          </w:tcPr>
          <w:p w14:paraId="401D589E" w14:textId="5FDD5FBB"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66C13" w:rsidRPr="00462B94" w14:paraId="5310F232" w14:textId="77777777" w:rsidTr="00466C13">
        <w:trPr>
          <w:cnfStyle w:val="000000100000" w:firstRow="0" w:lastRow="0" w:firstColumn="0" w:lastColumn="0" w:oddVBand="0" w:evenVBand="0" w:oddHBand="1"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14:paraId="0A3C51CC" w14:textId="77777777" w:rsidR="00466C13" w:rsidRPr="00462B94" w:rsidRDefault="00466C13" w:rsidP="00462B94">
            <w:pPr>
              <w:spacing w:line="360" w:lineRule="auto"/>
              <w:jc w:val="both"/>
              <w:rPr>
                <w:rFonts w:ascii="Book Antiqua" w:hAnsi="Book Antiqua" w:cs="Arial"/>
                <w:b w:val="0"/>
                <w:bCs w:val="0"/>
                <w:sz w:val="24"/>
                <w:szCs w:val="24"/>
              </w:rPr>
            </w:pPr>
            <w:r w:rsidRPr="00462B94">
              <w:rPr>
                <w:rFonts w:ascii="Book Antiqua" w:hAnsi="Book Antiqua" w:cs="Arial"/>
                <w:sz w:val="24"/>
                <w:szCs w:val="24"/>
              </w:rPr>
              <w:t>All-cause in-hospital mortality</w:t>
            </w:r>
          </w:p>
        </w:tc>
        <w:tc>
          <w:tcPr>
            <w:tcW w:w="0" w:type="auto"/>
            <w:shd w:val="clear" w:color="auto" w:fill="auto"/>
            <w:noWrap/>
            <w:vAlign w:val="center"/>
          </w:tcPr>
          <w:p w14:paraId="64A6E8A8" w14:textId="4425B5C8"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151213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(5.0)</w:t>
            </w:r>
          </w:p>
        </w:tc>
        <w:tc>
          <w:tcPr>
            <w:tcW w:w="0" w:type="auto"/>
            <w:shd w:val="clear" w:color="auto" w:fill="auto"/>
            <w:noWrap/>
            <w:vAlign w:val="center"/>
          </w:tcPr>
          <w:p w14:paraId="77391B88" w14:textId="3A8604BF"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4539</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(4.3)</w:t>
            </w:r>
          </w:p>
        </w:tc>
        <w:tc>
          <w:tcPr>
            <w:tcW w:w="0" w:type="auto"/>
            <w:shd w:val="clear" w:color="auto" w:fill="auto"/>
            <w:vAlign w:val="center"/>
          </w:tcPr>
          <w:p w14:paraId="64E22777" w14:textId="07CCDA23"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66C13" w:rsidRPr="00462B94" w14:paraId="32552033" w14:textId="77777777" w:rsidTr="00466C13">
        <w:trPr>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C284C91" w14:textId="77777777" w:rsidR="00466C13" w:rsidRPr="00462B94" w:rsidRDefault="00466C13" w:rsidP="00462B94">
            <w:pPr>
              <w:spacing w:line="360" w:lineRule="auto"/>
              <w:jc w:val="both"/>
              <w:rPr>
                <w:rFonts w:ascii="Book Antiqua" w:hAnsi="Book Antiqua" w:cs="Arial"/>
                <w:b w:val="0"/>
                <w:bCs w:val="0"/>
                <w:sz w:val="24"/>
                <w:szCs w:val="24"/>
              </w:rPr>
            </w:pPr>
            <w:r w:rsidRPr="00462B94">
              <w:rPr>
                <w:rFonts w:ascii="Book Antiqua" w:hAnsi="Book Antiqua" w:cs="Arial"/>
                <w:sz w:val="24"/>
                <w:szCs w:val="24"/>
              </w:rPr>
              <w:t>Disposition</w:t>
            </w:r>
          </w:p>
        </w:tc>
        <w:tc>
          <w:tcPr>
            <w:tcW w:w="0" w:type="auto"/>
            <w:shd w:val="clear" w:color="auto" w:fill="auto"/>
            <w:noWrap/>
            <w:vAlign w:val="center"/>
            <w:hideMark/>
          </w:tcPr>
          <w:p w14:paraId="5AB26F3E" w14:textId="77777777"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shd w:val="clear" w:color="auto" w:fill="auto"/>
            <w:noWrap/>
            <w:vAlign w:val="center"/>
            <w:hideMark/>
          </w:tcPr>
          <w:p w14:paraId="7EF7378A" w14:textId="77777777"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shd w:val="clear" w:color="auto" w:fill="auto"/>
            <w:vAlign w:val="center"/>
          </w:tcPr>
          <w:p w14:paraId="6D1AA5BC" w14:textId="56B3CC8D"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466C13" w:rsidRPr="00462B94" w14:paraId="084F2A4C" w14:textId="77777777" w:rsidTr="00466C13">
        <w:trPr>
          <w:cnfStyle w:val="000000100000" w:firstRow="0" w:lastRow="0" w:firstColumn="0" w:lastColumn="0" w:oddVBand="0" w:evenVBand="0" w:oddHBand="1"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6C10498" w14:textId="77777777" w:rsidR="00466C13" w:rsidRPr="00462B94" w:rsidRDefault="00466C13"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 xml:space="preserve">Routine </w:t>
            </w:r>
          </w:p>
        </w:tc>
        <w:tc>
          <w:tcPr>
            <w:tcW w:w="0" w:type="auto"/>
            <w:shd w:val="clear" w:color="auto" w:fill="auto"/>
            <w:noWrap/>
            <w:vAlign w:val="center"/>
            <w:hideMark/>
          </w:tcPr>
          <w:p w14:paraId="0664804B" w14:textId="524DB8EF"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1878724</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(61.8)</w:t>
            </w:r>
          </w:p>
        </w:tc>
        <w:tc>
          <w:tcPr>
            <w:tcW w:w="0" w:type="auto"/>
            <w:shd w:val="clear" w:color="auto" w:fill="auto"/>
            <w:noWrap/>
            <w:vAlign w:val="center"/>
            <w:hideMark/>
          </w:tcPr>
          <w:p w14:paraId="39D48482" w14:textId="7DA1CC8D"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59605</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(56.7)</w:t>
            </w:r>
          </w:p>
        </w:tc>
        <w:tc>
          <w:tcPr>
            <w:tcW w:w="0" w:type="auto"/>
            <w:shd w:val="clear" w:color="auto" w:fill="auto"/>
            <w:vAlign w:val="center"/>
          </w:tcPr>
          <w:p w14:paraId="28EC3237" w14:textId="77777777"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p>
        </w:tc>
      </w:tr>
      <w:tr w:rsidR="00466C13" w:rsidRPr="00462B94" w14:paraId="65CF918A" w14:textId="77777777" w:rsidTr="00466C13">
        <w:trPr>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0164F91" w14:textId="77777777" w:rsidR="00466C13" w:rsidRPr="00462B94" w:rsidRDefault="00466C13"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 xml:space="preserve">Transfer to short-term hospital </w:t>
            </w:r>
          </w:p>
        </w:tc>
        <w:tc>
          <w:tcPr>
            <w:tcW w:w="0" w:type="auto"/>
            <w:shd w:val="clear" w:color="auto" w:fill="auto"/>
            <w:noWrap/>
            <w:vAlign w:val="center"/>
            <w:hideMark/>
          </w:tcPr>
          <w:p w14:paraId="77A13508" w14:textId="7DFE9924"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290145</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(9.6)</w:t>
            </w:r>
          </w:p>
        </w:tc>
        <w:tc>
          <w:tcPr>
            <w:tcW w:w="0" w:type="auto"/>
            <w:shd w:val="clear" w:color="auto" w:fill="auto"/>
            <w:noWrap/>
            <w:vAlign w:val="center"/>
            <w:hideMark/>
          </w:tcPr>
          <w:p w14:paraId="04600BE0" w14:textId="15549881"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10506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(10.0)</w:t>
            </w:r>
          </w:p>
        </w:tc>
        <w:tc>
          <w:tcPr>
            <w:tcW w:w="0" w:type="auto"/>
            <w:shd w:val="clear" w:color="auto" w:fill="auto"/>
            <w:vAlign w:val="center"/>
          </w:tcPr>
          <w:p w14:paraId="73B44532" w14:textId="77777777"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p>
        </w:tc>
      </w:tr>
      <w:tr w:rsidR="00466C13" w:rsidRPr="00462B94" w14:paraId="7EFE68C1" w14:textId="77777777" w:rsidTr="00466C13">
        <w:trPr>
          <w:cnfStyle w:val="000000100000" w:firstRow="0" w:lastRow="0" w:firstColumn="0" w:lastColumn="0" w:oddVBand="0" w:evenVBand="0" w:oddHBand="1"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70F3711" w14:textId="77777777" w:rsidR="00466C13" w:rsidRPr="00462B94" w:rsidRDefault="00466C13"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Other transfers (SNF, ICF, other)</w:t>
            </w:r>
          </w:p>
        </w:tc>
        <w:tc>
          <w:tcPr>
            <w:tcW w:w="0" w:type="auto"/>
            <w:shd w:val="clear" w:color="auto" w:fill="auto"/>
            <w:noWrap/>
            <w:vAlign w:val="center"/>
            <w:hideMark/>
          </w:tcPr>
          <w:p w14:paraId="6D5B8E50" w14:textId="35605C2F"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367183</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(12.1)</w:t>
            </w:r>
          </w:p>
        </w:tc>
        <w:tc>
          <w:tcPr>
            <w:tcW w:w="0" w:type="auto"/>
            <w:shd w:val="clear" w:color="auto" w:fill="auto"/>
            <w:noWrap/>
            <w:vAlign w:val="center"/>
            <w:hideMark/>
          </w:tcPr>
          <w:p w14:paraId="0F464B51" w14:textId="518A870C"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15586</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(14.8)</w:t>
            </w:r>
          </w:p>
        </w:tc>
        <w:tc>
          <w:tcPr>
            <w:tcW w:w="0" w:type="auto"/>
            <w:shd w:val="clear" w:color="auto" w:fill="auto"/>
            <w:vAlign w:val="center"/>
          </w:tcPr>
          <w:p w14:paraId="16C42CFB" w14:textId="77777777"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p>
        </w:tc>
      </w:tr>
      <w:tr w:rsidR="00466C13" w:rsidRPr="00462B94" w14:paraId="58ED1E5D" w14:textId="77777777" w:rsidTr="00466C13">
        <w:trPr>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105B093" w14:textId="77777777" w:rsidR="00466C13" w:rsidRPr="00462B94" w:rsidRDefault="00466C13"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Home Health Care</w:t>
            </w:r>
          </w:p>
        </w:tc>
        <w:tc>
          <w:tcPr>
            <w:tcW w:w="0" w:type="auto"/>
            <w:shd w:val="clear" w:color="auto" w:fill="auto"/>
            <w:noWrap/>
            <w:vAlign w:val="center"/>
            <w:hideMark/>
          </w:tcPr>
          <w:p w14:paraId="6D201ECF" w14:textId="7A8BB7E4"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318501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(10.5)</w:t>
            </w:r>
          </w:p>
        </w:tc>
        <w:tc>
          <w:tcPr>
            <w:tcW w:w="0" w:type="auto"/>
            <w:shd w:val="clear" w:color="auto" w:fill="auto"/>
            <w:noWrap/>
            <w:vAlign w:val="center"/>
            <w:hideMark/>
          </w:tcPr>
          <w:p w14:paraId="45C327CB" w14:textId="1F1DF2DA"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14208</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(13.5)</w:t>
            </w:r>
          </w:p>
        </w:tc>
        <w:tc>
          <w:tcPr>
            <w:tcW w:w="0" w:type="auto"/>
            <w:shd w:val="clear" w:color="auto" w:fill="auto"/>
            <w:vAlign w:val="center"/>
          </w:tcPr>
          <w:p w14:paraId="6ADA6F4F" w14:textId="77777777" w:rsidR="00466C13" w:rsidRPr="00462B94" w:rsidRDefault="00466C13"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p>
        </w:tc>
      </w:tr>
      <w:tr w:rsidR="00466C13" w:rsidRPr="00462B94" w14:paraId="1B79A05B" w14:textId="77777777" w:rsidTr="00466C13">
        <w:trPr>
          <w:cnfStyle w:val="000000100000" w:firstRow="0" w:lastRow="0" w:firstColumn="0" w:lastColumn="0" w:oddVBand="0" w:evenVBand="0" w:oddHBand="1"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BB2A895" w14:textId="23401F57" w:rsidR="00466C13" w:rsidRPr="00462B94" w:rsidRDefault="00466C13" w:rsidP="00462B94">
            <w:pPr>
              <w:spacing w:line="360" w:lineRule="auto"/>
              <w:jc w:val="both"/>
              <w:rPr>
                <w:rFonts w:ascii="Book Antiqua" w:hAnsi="Book Antiqua" w:cs="Arial"/>
                <w:b w:val="0"/>
                <w:bCs w:val="0"/>
                <w:sz w:val="24"/>
                <w:szCs w:val="24"/>
              </w:rPr>
            </w:pPr>
            <w:r w:rsidRPr="00462B94">
              <w:rPr>
                <w:rFonts w:ascii="Book Antiqua" w:hAnsi="Book Antiqua" w:cs="Arial"/>
                <w:b w:val="0"/>
                <w:bCs w:val="0"/>
                <w:sz w:val="24"/>
                <w:szCs w:val="24"/>
              </w:rPr>
              <w:t>Against Medical Advice</w:t>
            </w:r>
          </w:p>
        </w:tc>
        <w:tc>
          <w:tcPr>
            <w:tcW w:w="0" w:type="auto"/>
            <w:shd w:val="clear" w:color="auto" w:fill="auto"/>
            <w:noWrap/>
            <w:vAlign w:val="center"/>
          </w:tcPr>
          <w:p w14:paraId="2B4EAFC7" w14:textId="0484D58B"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30531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(1.0)</w:t>
            </w:r>
          </w:p>
        </w:tc>
        <w:tc>
          <w:tcPr>
            <w:tcW w:w="0" w:type="auto"/>
            <w:shd w:val="clear" w:color="auto" w:fill="auto"/>
            <w:noWrap/>
            <w:vAlign w:val="center"/>
          </w:tcPr>
          <w:p w14:paraId="76CFFBA2" w14:textId="4EAEA110"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681</w:t>
            </w:r>
            <w:r w:rsidRPr="00462B94">
              <w:rPr>
                <w:rFonts w:ascii="Book Antiqua" w:hAnsi="Book Antiqua" w:cs="Arial" w:hint="eastAsia"/>
                <w:sz w:val="24"/>
                <w:szCs w:val="24"/>
                <w:lang w:eastAsia="zh-CN"/>
              </w:rPr>
              <w:t xml:space="preserve"> </w:t>
            </w:r>
            <w:r w:rsidRPr="00462B94">
              <w:rPr>
                <w:rFonts w:ascii="Book Antiqua" w:hAnsi="Book Antiqua" w:cs="Arial"/>
                <w:sz w:val="24"/>
                <w:szCs w:val="24"/>
              </w:rPr>
              <w:t>(0.6)</w:t>
            </w:r>
          </w:p>
        </w:tc>
        <w:tc>
          <w:tcPr>
            <w:tcW w:w="0" w:type="auto"/>
            <w:shd w:val="clear" w:color="auto" w:fill="auto"/>
            <w:vAlign w:val="center"/>
          </w:tcPr>
          <w:p w14:paraId="23F57AED" w14:textId="77777777" w:rsidR="00466C13"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p>
        </w:tc>
      </w:tr>
      <w:tr w:rsidR="00AB738D" w:rsidRPr="00462B94" w14:paraId="5C41B9A7" w14:textId="77777777" w:rsidTr="00466C13">
        <w:trPr>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40976C3" w14:textId="77A053CC" w:rsidR="00FC17C8" w:rsidRPr="00462B94" w:rsidRDefault="00FC17C8" w:rsidP="00462B94">
            <w:pPr>
              <w:spacing w:line="360" w:lineRule="auto"/>
              <w:jc w:val="both"/>
              <w:rPr>
                <w:rFonts w:ascii="Book Antiqua" w:hAnsi="Book Antiqua" w:cs="Arial"/>
                <w:b w:val="0"/>
                <w:bCs w:val="0"/>
                <w:sz w:val="24"/>
                <w:szCs w:val="24"/>
              </w:rPr>
            </w:pPr>
            <w:r w:rsidRPr="00462B94">
              <w:rPr>
                <w:rFonts w:ascii="Book Antiqua" w:hAnsi="Book Antiqua" w:cs="Arial"/>
                <w:sz w:val="24"/>
                <w:szCs w:val="24"/>
              </w:rPr>
              <w:t xml:space="preserve">Length of stay (d) </w:t>
            </w:r>
            <w:r w:rsidR="00466C13" w:rsidRPr="00462B94">
              <w:rPr>
                <w:rFonts w:ascii="Book Antiqua" w:hAnsi="Book Antiqua" w:cs="Arial"/>
                <w:sz w:val="24"/>
                <w:szCs w:val="24"/>
              </w:rPr>
              <w:t>m</w:t>
            </w:r>
            <w:r w:rsidRPr="00462B94">
              <w:rPr>
                <w:rFonts w:ascii="Book Antiqua" w:hAnsi="Book Antiqua" w:cs="Arial"/>
                <w:sz w:val="24"/>
                <w:szCs w:val="24"/>
              </w:rPr>
              <w:t>ean (±</w:t>
            </w:r>
            <w:r w:rsidR="00466C13" w:rsidRPr="00462B94">
              <w:rPr>
                <w:rFonts w:ascii="Book Antiqua" w:hAnsi="Book Antiqua" w:cs="Arial" w:hint="eastAsia"/>
                <w:sz w:val="24"/>
                <w:szCs w:val="24"/>
                <w:lang w:eastAsia="zh-CN"/>
              </w:rPr>
              <w:t xml:space="preserve"> </w:t>
            </w:r>
            <w:r w:rsidRPr="00462B94">
              <w:rPr>
                <w:rFonts w:ascii="Book Antiqua" w:hAnsi="Book Antiqua" w:cs="Arial"/>
                <w:sz w:val="24"/>
                <w:szCs w:val="24"/>
              </w:rPr>
              <w:t>SD)</w:t>
            </w:r>
          </w:p>
        </w:tc>
        <w:tc>
          <w:tcPr>
            <w:tcW w:w="0" w:type="auto"/>
            <w:shd w:val="clear" w:color="auto" w:fill="auto"/>
            <w:noWrap/>
            <w:vAlign w:val="center"/>
          </w:tcPr>
          <w:p w14:paraId="1A1DD70E" w14:textId="52633040"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4.5 (±</w:t>
            </w:r>
            <w:r w:rsidR="00466C13" w:rsidRPr="00462B94">
              <w:rPr>
                <w:rFonts w:ascii="Book Antiqua" w:hAnsi="Book Antiqua" w:cs="Arial" w:hint="eastAsia"/>
                <w:sz w:val="24"/>
                <w:szCs w:val="24"/>
                <w:lang w:eastAsia="zh-CN"/>
              </w:rPr>
              <w:t xml:space="preserve"> </w:t>
            </w:r>
            <w:r w:rsidRPr="00462B94">
              <w:rPr>
                <w:rFonts w:ascii="Book Antiqua" w:hAnsi="Book Antiqua" w:cs="Arial"/>
                <w:sz w:val="24"/>
                <w:szCs w:val="24"/>
              </w:rPr>
              <w:t>5.2)</w:t>
            </w:r>
          </w:p>
        </w:tc>
        <w:tc>
          <w:tcPr>
            <w:tcW w:w="0" w:type="auto"/>
            <w:shd w:val="clear" w:color="auto" w:fill="auto"/>
            <w:noWrap/>
            <w:vAlign w:val="center"/>
          </w:tcPr>
          <w:p w14:paraId="05D0011E" w14:textId="41FCDFF3"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5.1 (±</w:t>
            </w:r>
            <w:r w:rsidR="00466C13" w:rsidRPr="00462B94">
              <w:rPr>
                <w:rFonts w:ascii="Book Antiqua" w:hAnsi="Book Antiqua" w:cs="Arial" w:hint="eastAsia"/>
                <w:sz w:val="24"/>
                <w:szCs w:val="24"/>
                <w:lang w:eastAsia="zh-CN"/>
              </w:rPr>
              <w:t xml:space="preserve"> </w:t>
            </w:r>
            <w:r w:rsidRPr="00462B94">
              <w:rPr>
                <w:rFonts w:ascii="Book Antiqua" w:hAnsi="Book Antiqua" w:cs="Arial"/>
                <w:sz w:val="24"/>
                <w:szCs w:val="24"/>
              </w:rPr>
              <w:t>5.0)</w:t>
            </w:r>
          </w:p>
        </w:tc>
        <w:tc>
          <w:tcPr>
            <w:tcW w:w="0" w:type="auto"/>
            <w:shd w:val="clear" w:color="auto" w:fill="auto"/>
            <w:vAlign w:val="center"/>
          </w:tcPr>
          <w:p w14:paraId="17C784E3" w14:textId="69117943"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466C13"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466C13" w:rsidRPr="00462B94">
              <w:rPr>
                <w:rFonts w:ascii="Book Antiqua" w:hAnsi="Book Antiqua" w:cs="Arial" w:hint="eastAsia"/>
                <w:b/>
                <w:bCs/>
                <w:sz w:val="24"/>
                <w:szCs w:val="24"/>
                <w:vertAlign w:val="superscript"/>
                <w:lang w:eastAsia="zh-CN"/>
              </w:rPr>
              <w:t>a</w:t>
            </w:r>
          </w:p>
        </w:tc>
      </w:tr>
      <w:tr w:rsidR="00AB738D" w:rsidRPr="00462B94" w14:paraId="5054F2FF" w14:textId="77777777" w:rsidTr="00466C13">
        <w:trPr>
          <w:cnfStyle w:val="000000100000" w:firstRow="0" w:lastRow="0" w:firstColumn="0" w:lastColumn="0" w:oddVBand="0" w:evenVBand="0" w:oddHBand="1" w:evenHBand="0"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vAlign w:val="center"/>
          </w:tcPr>
          <w:p w14:paraId="607C168E" w14:textId="4303B43F" w:rsidR="00FC17C8" w:rsidRPr="00462B94" w:rsidRDefault="00520B81" w:rsidP="00462B94">
            <w:pPr>
              <w:spacing w:line="360" w:lineRule="auto"/>
              <w:jc w:val="both"/>
              <w:rPr>
                <w:rFonts w:ascii="Book Antiqua" w:hAnsi="Book Antiqua" w:cs="Arial"/>
                <w:b w:val="0"/>
                <w:bCs w:val="0"/>
                <w:sz w:val="24"/>
                <w:szCs w:val="24"/>
              </w:rPr>
            </w:pPr>
            <w:r w:rsidRPr="00462B94">
              <w:rPr>
                <w:rFonts w:ascii="Book Antiqua" w:hAnsi="Book Antiqua" w:cs="Arial"/>
                <w:sz w:val="24"/>
                <w:szCs w:val="24"/>
              </w:rPr>
              <w:t xml:space="preserve">Hospital charges ($) </w:t>
            </w:r>
            <w:r w:rsidR="00466C13" w:rsidRPr="00462B94">
              <w:rPr>
                <w:rFonts w:ascii="Book Antiqua" w:hAnsi="Book Antiqua" w:cs="Arial"/>
                <w:sz w:val="24"/>
                <w:szCs w:val="24"/>
              </w:rPr>
              <w:t>m</w:t>
            </w:r>
            <w:r w:rsidR="00FC17C8" w:rsidRPr="00462B94">
              <w:rPr>
                <w:rFonts w:ascii="Book Antiqua" w:hAnsi="Book Antiqua" w:cs="Arial"/>
                <w:sz w:val="24"/>
                <w:szCs w:val="24"/>
              </w:rPr>
              <w:t>ean (±</w:t>
            </w:r>
            <w:r w:rsidR="00466C13" w:rsidRPr="00462B94">
              <w:rPr>
                <w:rFonts w:ascii="Book Antiqua" w:hAnsi="Book Antiqua" w:cs="Arial" w:hint="eastAsia"/>
                <w:sz w:val="24"/>
                <w:szCs w:val="24"/>
                <w:lang w:eastAsia="zh-CN"/>
              </w:rPr>
              <w:t xml:space="preserve"> </w:t>
            </w:r>
            <w:r w:rsidR="00FC17C8" w:rsidRPr="00462B94">
              <w:rPr>
                <w:rFonts w:ascii="Book Antiqua" w:hAnsi="Book Antiqua" w:cs="Arial"/>
                <w:sz w:val="24"/>
                <w:szCs w:val="24"/>
              </w:rPr>
              <w:t>SD)</w:t>
            </w:r>
          </w:p>
        </w:tc>
        <w:tc>
          <w:tcPr>
            <w:tcW w:w="0" w:type="auto"/>
            <w:tcBorders>
              <w:bottom w:val="single" w:sz="4" w:space="0" w:color="auto"/>
            </w:tcBorders>
            <w:shd w:val="clear" w:color="auto" w:fill="auto"/>
            <w:noWrap/>
            <w:vAlign w:val="center"/>
          </w:tcPr>
          <w:p w14:paraId="137A2C17" w14:textId="4D0BA26E" w:rsidR="00FC17C8"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71</w:t>
            </w:r>
            <w:r w:rsidR="00FC17C8" w:rsidRPr="00462B94">
              <w:rPr>
                <w:rFonts w:ascii="Book Antiqua" w:hAnsi="Book Antiqua" w:cs="Arial"/>
                <w:sz w:val="24"/>
                <w:szCs w:val="24"/>
              </w:rPr>
              <w:t>312.73 (±</w:t>
            </w:r>
            <w:r w:rsidRPr="00462B94">
              <w:rPr>
                <w:rFonts w:ascii="Book Antiqua" w:hAnsi="Book Antiqua" w:cs="Arial" w:hint="eastAsia"/>
                <w:sz w:val="24"/>
                <w:szCs w:val="24"/>
                <w:lang w:eastAsia="zh-CN"/>
              </w:rPr>
              <w:t xml:space="preserve"> </w:t>
            </w:r>
            <w:r w:rsidR="00FC17C8" w:rsidRPr="00462B94">
              <w:rPr>
                <w:rFonts w:ascii="Book Antiqua" w:hAnsi="Book Antiqua" w:cs="Arial"/>
                <w:sz w:val="24"/>
                <w:szCs w:val="24"/>
              </w:rPr>
              <w:t>85186.10)</w:t>
            </w:r>
          </w:p>
        </w:tc>
        <w:tc>
          <w:tcPr>
            <w:tcW w:w="0" w:type="auto"/>
            <w:tcBorders>
              <w:bottom w:val="single" w:sz="4" w:space="0" w:color="auto"/>
            </w:tcBorders>
            <w:shd w:val="clear" w:color="auto" w:fill="auto"/>
            <w:noWrap/>
            <w:vAlign w:val="center"/>
          </w:tcPr>
          <w:p w14:paraId="50FA346A" w14:textId="311B9356" w:rsidR="00FC17C8" w:rsidRPr="00462B94" w:rsidRDefault="00466C13"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72</w:t>
            </w:r>
            <w:r w:rsidR="00FC17C8" w:rsidRPr="00462B94">
              <w:rPr>
                <w:rFonts w:ascii="Book Antiqua" w:hAnsi="Book Antiqua" w:cs="Arial"/>
                <w:sz w:val="24"/>
                <w:szCs w:val="24"/>
              </w:rPr>
              <w:t>328.21 (±</w:t>
            </w:r>
            <w:r w:rsidRPr="00462B94">
              <w:rPr>
                <w:rFonts w:ascii="Book Antiqua" w:hAnsi="Book Antiqua" w:cs="Arial" w:hint="eastAsia"/>
                <w:sz w:val="24"/>
                <w:szCs w:val="24"/>
                <w:lang w:eastAsia="zh-CN"/>
              </w:rPr>
              <w:t xml:space="preserve"> </w:t>
            </w:r>
            <w:r w:rsidR="00FC17C8" w:rsidRPr="00462B94">
              <w:rPr>
                <w:rFonts w:ascii="Book Antiqua" w:hAnsi="Book Antiqua" w:cs="Arial"/>
                <w:sz w:val="24"/>
                <w:szCs w:val="24"/>
              </w:rPr>
              <w:t>86223.92)</w:t>
            </w:r>
          </w:p>
        </w:tc>
        <w:tc>
          <w:tcPr>
            <w:tcW w:w="0" w:type="auto"/>
            <w:tcBorders>
              <w:bottom w:val="single" w:sz="4" w:space="0" w:color="auto"/>
            </w:tcBorders>
            <w:shd w:val="clear" w:color="auto" w:fill="auto"/>
            <w:vAlign w:val="center"/>
          </w:tcPr>
          <w:p w14:paraId="29B999FB" w14:textId="5D1AA009"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lang w:eastAsia="zh-CN"/>
              </w:rPr>
            </w:pPr>
            <w:r w:rsidRPr="00462B94">
              <w:rPr>
                <w:rFonts w:ascii="Book Antiqua" w:hAnsi="Book Antiqua" w:cs="Arial"/>
                <w:b/>
                <w:bCs/>
                <w:sz w:val="24"/>
                <w:szCs w:val="24"/>
              </w:rPr>
              <w:t>&lt;</w:t>
            </w:r>
            <w:r w:rsidR="00466C13"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466C13" w:rsidRPr="00462B94">
              <w:rPr>
                <w:rFonts w:ascii="Book Antiqua" w:hAnsi="Book Antiqua" w:cs="Arial" w:hint="eastAsia"/>
                <w:b/>
                <w:bCs/>
                <w:sz w:val="24"/>
                <w:szCs w:val="24"/>
                <w:vertAlign w:val="superscript"/>
                <w:lang w:eastAsia="zh-CN"/>
              </w:rPr>
              <w:t>a</w:t>
            </w:r>
          </w:p>
        </w:tc>
      </w:tr>
    </w:tbl>
    <w:p w14:paraId="3C9C83FE" w14:textId="77777777" w:rsidR="00FC17C8" w:rsidRPr="00462B94" w:rsidRDefault="00FC17C8" w:rsidP="00462B94">
      <w:pPr>
        <w:spacing w:line="360" w:lineRule="auto"/>
        <w:jc w:val="both"/>
        <w:rPr>
          <w:rFonts w:ascii="Book Antiqua" w:hAnsi="Book Antiqua"/>
        </w:rPr>
      </w:pPr>
    </w:p>
    <w:p w14:paraId="5B808C5A" w14:textId="3ABFA821" w:rsidR="00FC17C8" w:rsidRPr="00462B94" w:rsidRDefault="00466C13" w:rsidP="00462B94">
      <w:pPr>
        <w:spacing w:line="360" w:lineRule="auto"/>
        <w:jc w:val="both"/>
        <w:rPr>
          <w:rFonts w:ascii="Book Antiqua" w:hAnsi="Book Antiqua"/>
        </w:rPr>
      </w:pPr>
      <w:proofErr w:type="spellStart"/>
      <w:r w:rsidRPr="00462B94">
        <w:rPr>
          <w:rFonts w:ascii="Book Antiqua" w:hAnsi="Book Antiqua" w:cs="Arial" w:hint="eastAsia"/>
          <w:bCs/>
          <w:vertAlign w:val="superscript"/>
          <w:lang w:eastAsia="zh-CN"/>
        </w:rPr>
        <w:t>a</w:t>
      </w:r>
      <w:r w:rsidRPr="00462B94">
        <w:rPr>
          <w:rFonts w:ascii="Book Antiqua" w:hAnsi="Book Antiqua" w:cs="Arial"/>
          <w:bCs/>
          <w:i/>
        </w:rPr>
        <w:t>P</w:t>
      </w:r>
      <w:proofErr w:type="spellEnd"/>
      <w:r w:rsidRPr="00462B94">
        <w:rPr>
          <w:rFonts w:ascii="Book Antiqua" w:hAnsi="Book Antiqua" w:cs="Arial"/>
          <w:bCs/>
          <w:i/>
        </w:rPr>
        <w:t xml:space="preserve"> &lt; </w:t>
      </w:r>
      <w:r w:rsidRPr="00462B94">
        <w:rPr>
          <w:rFonts w:ascii="Book Antiqua" w:hAnsi="Book Antiqua" w:cs="Arial"/>
          <w:bCs/>
        </w:rPr>
        <w:t>0.05 indicates clinical significance. ACS</w:t>
      </w:r>
      <w:r w:rsidRPr="00462B94">
        <w:rPr>
          <w:rFonts w:ascii="Book Antiqua" w:hAnsi="Book Antiqua" w:cs="Arial" w:hint="eastAsia"/>
          <w:bCs/>
          <w:lang w:eastAsia="zh-CN"/>
        </w:rPr>
        <w:t xml:space="preserve">: </w:t>
      </w:r>
      <w:r w:rsidRPr="00462B94">
        <w:rPr>
          <w:rFonts w:ascii="Book Antiqua" w:hAnsi="Book Antiqua" w:cs="Arial"/>
          <w:bCs/>
        </w:rPr>
        <w:t>Acute coronary syndrome</w:t>
      </w:r>
      <w:r w:rsidRPr="00462B94">
        <w:rPr>
          <w:rFonts w:ascii="Book Antiqua" w:hAnsi="Book Antiqua" w:cs="Arial" w:hint="eastAsia"/>
          <w:bCs/>
          <w:lang w:eastAsia="zh-CN"/>
        </w:rPr>
        <w:t>;</w:t>
      </w:r>
      <w:r w:rsidRPr="00462B94">
        <w:rPr>
          <w:rFonts w:ascii="Book Antiqua" w:hAnsi="Book Antiqua" w:cs="Arial"/>
          <w:bCs/>
        </w:rPr>
        <w:t xml:space="preserve"> PCI</w:t>
      </w:r>
      <w:r w:rsidRPr="00462B94">
        <w:rPr>
          <w:rFonts w:ascii="Book Antiqua" w:hAnsi="Book Antiqua" w:cs="Arial" w:hint="eastAsia"/>
          <w:bCs/>
          <w:lang w:eastAsia="zh-CN"/>
        </w:rPr>
        <w:t xml:space="preserve">: </w:t>
      </w:r>
      <w:r w:rsidRPr="00462B94">
        <w:rPr>
          <w:rFonts w:ascii="Book Antiqua" w:hAnsi="Book Antiqua" w:cs="Arial"/>
          <w:bCs/>
        </w:rPr>
        <w:t>Percutaneous coronary intervention</w:t>
      </w:r>
      <w:r w:rsidRPr="00462B94">
        <w:rPr>
          <w:rFonts w:ascii="Book Antiqua" w:hAnsi="Book Antiqua" w:cs="Arial" w:hint="eastAsia"/>
          <w:bCs/>
          <w:lang w:eastAsia="zh-CN"/>
        </w:rPr>
        <w:t>;</w:t>
      </w:r>
      <w:r w:rsidRPr="00462B94">
        <w:rPr>
          <w:rFonts w:ascii="Book Antiqua" w:hAnsi="Book Antiqua" w:cs="Arial"/>
          <w:bCs/>
        </w:rPr>
        <w:t xml:space="preserve"> CABG</w:t>
      </w:r>
      <w:r w:rsidRPr="00462B94">
        <w:rPr>
          <w:rFonts w:ascii="Book Antiqua" w:hAnsi="Book Antiqua" w:cs="Arial" w:hint="eastAsia"/>
          <w:bCs/>
          <w:lang w:eastAsia="zh-CN"/>
        </w:rPr>
        <w:t xml:space="preserve">: </w:t>
      </w:r>
      <w:r w:rsidRPr="00462B94">
        <w:rPr>
          <w:rFonts w:ascii="Book Antiqua" w:hAnsi="Book Antiqua" w:cs="Arial"/>
          <w:bCs/>
        </w:rPr>
        <w:t>Coronary artery bypass grafting</w:t>
      </w:r>
      <w:r w:rsidRPr="00462B94">
        <w:rPr>
          <w:rFonts w:ascii="Book Antiqua" w:hAnsi="Book Antiqua" w:cs="Arial" w:hint="eastAsia"/>
          <w:bCs/>
          <w:lang w:eastAsia="zh-CN"/>
        </w:rPr>
        <w:t>;</w:t>
      </w:r>
      <w:r w:rsidRPr="00462B94">
        <w:rPr>
          <w:rFonts w:ascii="Book Antiqua" w:hAnsi="Book Antiqua" w:cs="Arial"/>
          <w:bCs/>
        </w:rPr>
        <w:t xml:space="preserve"> SNF</w:t>
      </w:r>
      <w:r w:rsidRPr="00462B94">
        <w:rPr>
          <w:rFonts w:ascii="Book Antiqua" w:hAnsi="Book Antiqua" w:cs="Arial" w:hint="eastAsia"/>
          <w:bCs/>
          <w:lang w:eastAsia="zh-CN"/>
        </w:rPr>
        <w:t xml:space="preserve">: </w:t>
      </w:r>
      <w:r w:rsidRPr="00462B94">
        <w:rPr>
          <w:rFonts w:ascii="Book Antiqua" w:hAnsi="Book Antiqua" w:cs="Arial"/>
          <w:bCs/>
        </w:rPr>
        <w:t>Skilled nursing facility</w:t>
      </w:r>
      <w:r w:rsidRPr="00462B94">
        <w:rPr>
          <w:rFonts w:ascii="Book Antiqua" w:hAnsi="Book Antiqua" w:cs="Arial" w:hint="eastAsia"/>
          <w:bCs/>
          <w:lang w:eastAsia="zh-CN"/>
        </w:rPr>
        <w:t xml:space="preserve">; </w:t>
      </w:r>
      <w:r w:rsidRPr="00462B94">
        <w:rPr>
          <w:rFonts w:ascii="Book Antiqua" w:hAnsi="Book Antiqua" w:cs="Arial"/>
          <w:bCs/>
        </w:rPr>
        <w:t>ICF</w:t>
      </w:r>
      <w:r w:rsidRPr="00462B94">
        <w:rPr>
          <w:rFonts w:ascii="Book Antiqua" w:hAnsi="Book Antiqua" w:cs="Arial" w:hint="eastAsia"/>
          <w:bCs/>
          <w:lang w:eastAsia="zh-CN"/>
        </w:rPr>
        <w:t xml:space="preserve">: </w:t>
      </w:r>
      <w:r w:rsidRPr="00462B94">
        <w:rPr>
          <w:rFonts w:ascii="Book Antiqua" w:hAnsi="Book Antiqua" w:cs="Arial"/>
          <w:bCs/>
        </w:rPr>
        <w:t>Intermediate care facility.</w:t>
      </w:r>
    </w:p>
    <w:p w14:paraId="6D9533CE" w14:textId="77777777" w:rsidR="00FC17C8" w:rsidRPr="00462B94" w:rsidRDefault="00FC17C8" w:rsidP="00462B94">
      <w:pPr>
        <w:spacing w:line="360" w:lineRule="auto"/>
        <w:jc w:val="both"/>
        <w:rPr>
          <w:rFonts w:ascii="Book Antiqua" w:hAnsi="Book Antiqua"/>
        </w:rPr>
      </w:pPr>
    </w:p>
    <w:p w14:paraId="5BB6583E" w14:textId="77777777" w:rsidR="00FC17C8" w:rsidRPr="00462B94" w:rsidRDefault="00FC17C8" w:rsidP="00462B94">
      <w:pPr>
        <w:spacing w:line="360" w:lineRule="auto"/>
        <w:jc w:val="both"/>
        <w:rPr>
          <w:rFonts w:ascii="Book Antiqua" w:hAnsi="Book Antiqua"/>
        </w:rPr>
      </w:pPr>
    </w:p>
    <w:p w14:paraId="7D64274C" w14:textId="77777777" w:rsidR="00FE7095" w:rsidRPr="00462B94" w:rsidRDefault="00FE7095" w:rsidP="00462B94">
      <w:pPr>
        <w:spacing w:line="360" w:lineRule="auto"/>
        <w:jc w:val="both"/>
        <w:rPr>
          <w:rFonts w:ascii="Book Antiqua" w:hAnsi="Book Antiqua"/>
        </w:rPr>
      </w:pPr>
      <w:r w:rsidRPr="00462B94">
        <w:rPr>
          <w:rFonts w:ascii="Book Antiqua" w:hAnsi="Book Antiqua"/>
        </w:rPr>
        <w:br w:type="page"/>
      </w:r>
    </w:p>
    <w:p w14:paraId="06449A94" w14:textId="2879E726" w:rsidR="00FC17C8" w:rsidRPr="00462B94" w:rsidRDefault="00466C13" w:rsidP="00462B94">
      <w:pPr>
        <w:spacing w:line="360" w:lineRule="auto"/>
        <w:jc w:val="both"/>
        <w:rPr>
          <w:rFonts w:ascii="Book Antiqua" w:hAnsi="Book Antiqua" w:cs="Arial"/>
          <w:b/>
          <w:lang w:eastAsia="zh-CN"/>
        </w:rPr>
      </w:pPr>
      <w:r w:rsidRPr="00462B94">
        <w:rPr>
          <w:rFonts w:ascii="Book Antiqua" w:eastAsia="Times New Roman" w:hAnsi="Book Antiqua" w:cs="Arial"/>
          <w:b/>
        </w:rPr>
        <w:lastRenderedPageBreak/>
        <w:t>Table 4 Post-revascularization (</w:t>
      </w:r>
      <w:r w:rsidRPr="00462B94">
        <w:rPr>
          <w:rFonts w:ascii="Book Antiqua" w:hAnsi="Book Antiqua" w:cs="Arial"/>
          <w:b/>
          <w:bCs/>
        </w:rPr>
        <w:t>percutaneous coronary intervention</w:t>
      </w:r>
      <w:r w:rsidRPr="00462B94">
        <w:rPr>
          <w:rFonts w:ascii="Book Antiqua" w:eastAsia="Times New Roman" w:hAnsi="Book Antiqua" w:cs="Arial"/>
          <w:b/>
        </w:rPr>
        <w:t xml:space="preserve"> or </w:t>
      </w:r>
      <w:r w:rsidRPr="00462B94">
        <w:rPr>
          <w:rFonts w:ascii="Book Antiqua" w:hAnsi="Book Antiqua" w:cs="Arial"/>
          <w:b/>
          <w:bCs/>
        </w:rPr>
        <w:t>coronary artery bypass grafting</w:t>
      </w:r>
      <w:r w:rsidRPr="00462B94">
        <w:rPr>
          <w:rFonts w:ascii="Book Antiqua" w:eastAsia="Times New Roman" w:hAnsi="Book Antiqua" w:cs="Arial"/>
          <w:b/>
        </w:rPr>
        <w:t>) complications in</w:t>
      </w:r>
      <w:r w:rsidRPr="00462B94">
        <w:rPr>
          <w:rFonts w:ascii="Book Antiqua" w:eastAsia="Times New Roman" w:hAnsi="Book Antiqua" w:cs="Arial"/>
          <w:b/>
          <w:bCs/>
        </w:rPr>
        <w:t xml:space="preserve"> </w:t>
      </w:r>
      <w:r w:rsidRPr="00462B94">
        <w:rPr>
          <w:rFonts w:ascii="Book Antiqua" w:hAnsi="Book Antiqua" w:cs="Arial"/>
          <w:b/>
          <w:bCs/>
        </w:rPr>
        <w:t>acute coronary syndrome</w:t>
      </w:r>
      <w:r w:rsidRPr="00462B94">
        <w:rPr>
          <w:rFonts w:ascii="Book Antiqua" w:eastAsia="Times New Roman" w:hAnsi="Book Antiqua" w:cs="Arial"/>
          <w:b/>
        </w:rPr>
        <w:t xml:space="preserve"> patients with </w:t>
      </w:r>
      <w:r w:rsidRPr="00462B94">
        <w:rPr>
          <w:rFonts w:ascii="Book Antiqua" w:hAnsi="Book Antiqua" w:cs="Times New Roman"/>
          <w:b/>
          <w:bCs/>
          <w:i/>
          <w:noProof/>
        </w:rPr>
        <w:t>vs</w:t>
      </w:r>
      <w:r w:rsidRPr="00462B94">
        <w:rPr>
          <w:rFonts w:ascii="Book Antiqua" w:eastAsia="Times New Roman" w:hAnsi="Book Antiqua" w:cs="Arial"/>
          <w:b/>
        </w:rPr>
        <w:t xml:space="preserve"> without gout</w:t>
      </w:r>
    </w:p>
    <w:p w14:paraId="237331A9" w14:textId="73F2513D" w:rsidR="00322E44" w:rsidRPr="00462B94" w:rsidRDefault="00322E44" w:rsidP="00462B94">
      <w:pPr>
        <w:spacing w:line="360" w:lineRule="auto"/>
        <w:jc w:val="both"/>
        <w:rPr>
          <w:rFonts w:ascii="Book Antiqua" w:hAnsi="Book Antiqua"/>
          <w:b/>
          <w:lang w:eastAsia="zh-CN"/>
        </w:rPr>
      </w:pPr>
    </w:p>
    <w:tbl>
      <w:tblPr>
        <w:tblStyle w:val="PlainTable41"/>
        <w:tblW w:w="10120" w:type="dxa"/>
        <w:jc w:val="center"/>
        <w:tblLook w:val="04A0" w:firstRow="1" w:lastRow="0" w:firstColumn="1" w:lastColumn="0" w:noHBand="0" w:noVBand="1"/>
      </w:tblPr>
      <w:tblGrid>
        <w:gridCol w:w="4423"/>
        <w:gridCol w:w="2406"/>
        <w:gridCol w:w="2226"/>
        <w:gridCol w:w="1065"/>
      </w:tblGrid>
      <w:tr w:rsidR="00AB738D" w:rsidRPr="00462B94" w14:paraId="785C1DCE" w14:textId="77777777" w:rsidTr="00FE7095">
        <w:trPr>
          <w:cnfStyle w:val="100000000000" w:firstRow="1" w:lastRow="0" w:firstColumn="0" w:lastColumn="0" w:oddVBand="0" w:evenVBand="0" w:oddHBand="0" w:evenHBand="0" w:firstRowFirstColumn="0" w:firstRowLastColumn="0" w:lastRowFirstColumn="0" w:lastRowLastColumn="0"/>
          <w:trHeight w:hRule="exact" w:val="811"/>
          <w:jc w:val="center"/>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auto"/>
              <w:bottom w:val="single" w:sz="4" w:space="0" w:color="auto"/>
            </w:tcBorders>
            <w:shd w:val="clear" w:color="auto" w:fill="auto"/>
            <w:vAlign w:val="center"/>
          </w:tcPr>
          <w:p w14:paraId="0053B580" w14:textId="77777777" w:rsidR="00FC17C8" w:rsidRPr="00462B94" w:rsidRDefault="00FC17C8" w:rsidP="00462B94">
            <w:pPr>
              <w:spacing w:line="360" w:lineRule="auto"/>
              <w:jc w:val="both"/>
              <w:rPr>
                <w:rFonts w:ascii="Book Antiqua" w:eastAsia="Times New Roman" w:hAnsi="Book Antiqua" w:cs="Arial"/>
                <w:sz w:val="24"/>
                <w:szCs w:val="24"/>
              </w:rPr>
            </w:pPr>
            <w:r w:rsidRPr="00462B94">
              <w:rPr>
                <w:rFonts w:ascii="Book Antiqua" w:eastAsia="Times New Roman" w:hAnsi="Book Antiqua" w:cs="Arial"/>
                <w:sz w:val="24"/>
                <w:szCs w:val="24"/>
              </w:rPr>
              <w:t>Complications</w:t>
            </w:r>
          </w:p>
        </w:tc>
        <w:tc>
          <w:tcPr>
            <w:tcW w:w="2406" w:type="dxa"/>
            <w:tcBorders>
              <w:top w:val="single" w:sz="4" w:space="0" w:color="auto"/>
              <w:bottom w:val="single" w:sz="4" w:space="0" w:color="auto"/>
            </w:tcBorders>
            <w:shd w:val="clear" w:color="auto" w:fill="auto"/>
            <w:noWrap/>
            <w:vAlign w:val="center"/>
          </w:tcPr>
          <w:p w14:paraId="2666AB72" w14:textId="422EFA21"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sz w:val="24"/>
                <w:szCs w:val="24"/>
              </w:rPr>
            </w:pPr>
            <w:r w:rsidRPr="00462B94">
              <w:rPr>
                <w:rFonts w:ascii="Book Antiqua" w:eastAsia="Times New Roman" w:hAnsi="Book Antiqua" w:cs="Arial"/>
                <w:bCs w:val="0"/>
                <w:sz w:val="24"/>
                <w:szCs w:val="24"/>
              </w:rPr>
              <w:t xml:space="preserve">No </w:t>
            </w:r>
            <w:r w:rsidR="00DD2A36" w:rsidRPr="00462B94">
              <w:rPr>
                <w:rFonts w:ascii="Book Antiqua" w:eastAsia="Times New Roman" w:hAnsi="Book Antiqua" w:cs="Arial"/>
                <w:bCs w:val="0"/>
                <w:sz w:val="24"/>
                <w:szCs w:val="24"/>
              </w:rPr>
              <w:t>g</w:t>
            </w:r>
            <w:r w:rsidRPr="00462B94">
              <w:rPr>
                <w:rFonts w:ascii="Book Antiqua" w:eastAsia="Times New Roman" w:hAnsi="Book Antiqua" w:cs="Arial"/>
                <w:bCs w:val="0"/>
                <w:sz w:val="24"/>
                <w:szCs w:val="24"/>
              </w:rPr>
              <w:t>out</w:t>
            </w:r>
          </w:p>
          <w:p w14:paraId="4BCBF3E1" w14:textId="73F42570"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sz w:val="24"/>
                <w:szCs w:val="24"/>
              </w:rPr>
            </w:pPr>
            <w:r w:rsidRPr="00462B94">
              <w:rPr>
                <w:rFonts w:ascii="Book Antiqua" w:eastAsia="Times New Roman" w:hAnsi="Book Antiqua" w:cs="Arial"/>
                <w:bCs w:val="0"/>
                <w:sz w:val="24"/>
                <w:szCs w:val="24"/>
              </w:rPr>
              <w:t>(</w:t>
            </w:r>
            <w:r w:rsidRPr="00462B94">
              <w:rPr>
                <w:rFonts w:ascii="Book Antiqua" w:eastAsia="Times New Roman" w:hAnsi="Book Antiqua" w:cs="Arial"/>
                <w:bCs w:val="0"/>
                <w:i/>
                <w:sz w:val="24"/>
                <w:szCs w:val="24"/>
              </w:rPr>
              <w:t>n</w:t>
            </w:r>
            <w:r w:rsidR="00DD2A36" w:rsidRPr="00462B94">
              <w:rPr>
                <w:rFonts w:ascii="Book Antiqua" w:hAnsi="Book Antiqua" w:cs="Arial" w:hint="eastAsia"/>
                <w:bCs w:val="0"/>
                <w:sz w:val="24"/>
                <w:szCs w:val="24"/>
                <w:lang w:eastAsia="zh-CN"/>
              </w:rPr>
              <w:t xml:space="preserve"> </w:t>
            </w:r>
            <w:r w:rsidRPr="00462B94">
              <w:rPr>
                <w:rFonts w:ascii="Book Antiqua" w:eastAsia="Times New Roman" w:hAnsi="Book Antiqua" w:cs="Arial"/>
                <w:bCs w:val="0"/>
                <w:sz w:val="24"/>
                <w:szCs w:val="24"/>
              </w:rPr>
              <w:t>=</w:t>
            </w:r>
            <w:r w:rsidR="00DD2A36" w:rsidRPr="00462B94">
              <w:rPr>
                <w:rFonts w:ascii="Book Antiqua" w:hAnsi="Book Antiqua" w:cs="Arial" w:hint="eastAsia"/>
                <w:bCs w:val="0"/>
                <w:sz w:val="24"/>
                <w:szCs w:val="24"/>
                <w:lang w:eastAsia="zh-CN"/>
              </w:rPr>
              <w:t xml:space="preserve"> </w:t>
            </w:r>
            <w:r w:rsidR="00DD2A36" w:rsidRPr="00462B94">
              <w:rPr>
                <w:rFonts w:ascii="Book Antiqua" w:eastAsia="Times New Roman" w:hAnsi="Book Antiqua" w:cs="Arial"/>
                <w:bCs w:val="0"/>
                <w:sz w:val="24"/>
                <w:szCs w:val="24"/>
              </w:rPr>
              <w:t>1592</w:t>
            </w:r>
            <w:r w:rsidRPr="00462B94">
              <w:rPr>
                <w:rFonts w:ascii="Book Antiqua" w:eastAsia="Times New Roman" w:hAnsi="Book Antiqua" w:cs="Arial"/>
                <w:bCs w:val="0"/>
                <w:sz w:val="24"/>
                <w:szCs w:val="24"/>
              </w:rPr>
              <w:t>156)</w:t>
            </w:r>
          </w:p>
        </w:tc>
        <w:tc>
          <w:tcPr>
            <w:tcW w:w="2226" w:type="dxa"/>
            <w:tcBorders>
              <w:top w:val="single" w:sz="4" w:space="0" w:color="auto"/>
              <w:bottom w:val="single" w:sz="4" w:space="0" w:color="auto"/>
            </w:tcBorders>
            <w:shd w:val="clear" w:color="auto" w:fill="auto"/>
            <w:noWrap/>
            <w:vAlign w:val="center"/>
          </w:tcPr>
          <w:p w14:paraId="6A57E131" w14:textId="77777777"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sz w:val="24"/>
                <w:szCs w:val="24"/>
              </w:rPr>
            </w:pPr>
            <w:r w:rsidRPr="00462B94">
              <w:rPr>
                <w:rFonts w:ascii="Book Antiqua" w:eastAsia="Times New Roman" w:hAnsi="Book Antiqua" w:cs="Arial"/>
                <w:bCs w:val="0"/>
                <w:sz w:val="24"/>
                <w:szCs w:val="24"/>
              </w:rPr>
              <w:t>Gout</w:t>
            </w:r>
          </w:p>
          <w:p w14:paraId="48670891" w14:textId="3BDC2E4F"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sz w:val="24"/>
                <w:szCs w:val="24"/>
              </w:rPr>
            </w:pPr>
            <w:r w:rsidRPr="00462B94">
              <w:rPr>
                <w:rFonts w:ascii="Book Antiqua" w:eastAsia="Times New Roman" w:hAnsi="Book Antiqua" w:cs="Arial"/>
                <w:bCs w:val="0"/>
                <w:sz w:val="24"/>
                <w:szCs w:val="24"/>
              </w:rPr>
              <w:t>(</w:t>
            </w:r>
            <w:r w:rsidRPr="00462B94">
              <w:rPr>
                <w:rFonts w:ascii="Book Antiqua" w:eastAsia="Times New Roman" w:hAnsi="Book Antiqua" w:cs="Arial"/>
                <w:bCs w:val="0"/>
                <w:i/>
                <w:sz w:val="24"/>
                <w:szCs w:val="24"/>
              </w:rPr>
              <w:t>n</w:t>
            </w:r>
            <w:r w:rsidR="00DD2A36" w:rsidRPr="00462B94">
              <w:rPr>
                <w:rFonts w:ascii="Book Antiqua" w:hAnsi="Book Antiqua" w:cs="Arial" w:hint="eastAsia"/>
                <w:bCs w:val="0"/>
                <w:sz w:val="24"/>
                <w:szCs w:val="24"/>
                <w:lang w:eastAsia="zh-CN"/>
              </w:rPr>
              <w:t xml:space="preserve"> </w:t>
            </w:r>
            <w:r w:rsidRPr="00462B94">
              <w:rPr>
                <w:rFonts w:ascii="Book Antiqua" w:eastAsia="Times New Roman" w:hAnsi="Book Antiqua" w:cs="Arial"/>
                <w:bCs w:val="0"/>
                <w:sz w:val="24"/>
                <w:szCs w:val="24"/>
              </w:rPr>
              <w:t>=</w:t>
            </w:r>
            <w:r w:rsidR="00DD2A36" w:rsidRPr="00462B94">
              <w:rPr>
                <w:rFonts w:ascii="Book Antiqua" w:hAnsi="Book Antiqua" w:cs="Arial" w:hint="eastAsia"/>
                <w:bCs w:val="0"/>
                <w:sz w:val="24"/>
                <w:szCs w:val="24"/>
                <w:lang w:eastAsia="zh-CN"/>
              </w:rPr>
              <w:t xml:space="preserve"> </w:t>
            </w:r>
            <w:r w:rsidR="00DD2A36" w:rsidRPr="00462B94">
              <w:rPr>
                <w:rFonts w:ascii="Book Antiqua" w:eastAsia="Times New Roman" w:hAnsi="Book Antiqua" w:cs="Arial"/>
                <w:bCs w:val="0"/>
                <w:sz w:val="24"/>
                <w:szCs w:val="24"/>
              </w:rPr>
              <w:t>47</w:t>
            </w:r>
            <w:r w:rsidRPr="00462B94">
              <w:rPr>
                <w:rFonts w:ascii="Book Antiqua" w:eastAsia="Times New Roman" w:hAnsi="Book Antiqua" w:cs="Arial"/>
                <w:bCs w:val="0"/>
                <w:sz w:val="24"/>
                <w:szCs w:val="24"/>
              </w:rPr>
              <w:t>307)</w:t>
            </w:r>
          </w:p>
        </w:tc>
        <w:tc>
          <w:tcPr>
            <w:tcW w:w="1065" w:type="dxa"/>
            <w:tcBorders>
              <w:top w:val="single" w:sz="4" w:space="0" w:color="auto"/>
              <w:bottom w:val="single" w:sz="4" w:space="0" w:color="auto"/>
            </w:tcBorders>
            <w:shd w:val="clear" w:color="auto" w:fill="auto"/>
            <w:vAlign w:val="center"/>
          </w:tcPr>
          <w:p w14:paraId="33C06E81" w14:textId="08E95C5A"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iCs/>
                <w:sz w:val="24"/>
                <w:szCs w:val="24"/>
                <w:lang w:eastAsia="zh-CN"/>
              </w:rPr>
            </w:pPr>
            <w:r w:rsidRPr="00462B94">
              <w:rPr>
                <w:rFonts w:ascii="Book Antiqua" w:eastAsia="Times New Roman" w:hAnsi="Book Antiqua" w:cs="Arial"/>
                <w:bCs w:val="0"/>
                <w:i/>
                <w:iCs/>
                <w:sz w:val="24"/>
                <w:szCs w:val="24"/>
              </w:rPr>
              <w:t>P</w:t>
            </w:r>
            <w:r w:rsidR="00DD2A36" w:rsidRPr="00462B94">
              <w:rPr>
                <w:rFonts w:ascii="Book Antiqua" w:hAnsi="Book Antiqua" w:cs="Arial" w:hint="eastAsia"/>
                <w:bCs w:val="0"/>
                <w:iCs/>
                <w:sz w:val="24"/>
                <w:szCs w:val="24"/>
                <w:lang w:eastAsia="zh-CN"/>
              </w:rPr>
              <w:t xml:space="preserve"> value</w:t>
            </w:r>
          </w:p>
        </w:tc>
      </w:tr>
      <w:tr w:rsidR="00525399" w:rsidRPr="00462B94" w14:paraId="283DC440" w14:textId="77777777" w:rsidTr="005A3A36">
        <w:trPr>
          <w:cnfStyle w:val="000000100000" w:firstRow="0" w:lastRow="0" w:firstColumn="0" w:lastColumn="0" w:oddVBand="0" w:evenVBand="0" w:oddHBand="1" w:evenHBand="0" w:firstRowFirstColumn="0" w:firstRowLastColumn="0" w:lastRowFirstColumn="0" w:lastRowLastColumn="0"/>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00F06AF7" w14:textId="77777777" w:rsidR="00525399" w:rsidRPr="00462B94" w:rsidRDefault="00525399" w:rsidP="00462B94">
            <w:pPr>
              <w:spacing w:line="360" w:lineRule="auto"/>
              <w:jc w:val="both"/>
              <w:rPr>
                <w:rFonts w:ascii="Book Antiqua" w:hAnsi="Book Antiqua" w:cs="Arial"/>
                <w:b w:val="0"/>
                <w:bCs w:val="0"/>
                <w:sz w:val="24"/>
                <w:szCs w:val="24"/>
              </w:rPr>
            </w:pPr>
            <w:r w:rsidRPr="00462B94">
              <w:rPr>
                <w:rFonts w:ascii="Book Antiqua" w:eastAsia="Times New Roman" w:hAnsi="Book Antiqua" w:cs="Arial"/>
                <w:b w:val="0"/>
                <w:bCs w:val="0"/>
                <w:sz w:val="24"/>
                <w:szCs w:val="24"/>
              </w:rPr>
              <w:t>All-cause in-hospital mortality</w:t>
            </w:r>
          </w:p>
        </w:tc>
        <w:tc>
          <w:tcPr>
            <w:tcW w:w="2406" w:type="dxa"/>
            <w:shd w:val="clear" w:color="auto" w:fill="auto"/>
            <w:noWrap/>
          </w:tcPr>
          <w:p w14:paraId="2D9B8035" w14:textId="1CCBBE36"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62B94">
              <w:rPr>
                <w:rFonts w:ascii="Book Antiqua" w:hAnsi="Book Antiqua" w:cs="Arial"/>
                <w:sz w:val="24"/>
                <w:szCs w:val="24"/>
              </w:rPr>
              <w:t>47466</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(3.0)</w:t>
            </w:r>
          </w:p>
        </w:tc>
        <w:tc>
          <w:tcPr>
            <w:tcW w:w="2226" w:type="dxa"/>
            <w:shd w:val="clear" w:color="auto" w:fill="auto"/>
            <w:noWrap/>
          </w:tcPr>
          <w:p w14:paraId="1F87F0CF" w14:textId="14B414BF"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1038</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(2.2)</w:t>
            </w:r>
          </w:p>
        </w:tc>
        <w:tc>
          <w:tcPr>
            <w:tcW w:w="1065" w:type="dxa"/>
            <w:shd w:val="clear" w:color="auto" w:fill="auto"/>
          </w:tcPr>
          <w:p w14:paraId="3D2DFC88" w14:textId="7568267A"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525399" w:rsidRPr="00462B94" w14:paraId="338AF1A7" w14:textId="77777777" w:rsidTr="005A3A36">
        <w:trPr>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649E92BB" w14:textId="77777777" w:rsidR="00525399" w:rsidRPr="00462B94" w:rsidRDefault="00525399" w:rsidP="00462B94">
            <w:pPr>
              <w:spacing w:line="360" w:lineRule="auto"/>
              <w:jc w:val="both"/>
              <w:rPr>
                <w:rFonts w:ascii="Book Antiqua" w:hAnsi="Book Antiqua" w:cs="Arial"/>
                <w:b w:val="0"/>
                <w:bCs w:val="0"/>
                <w:sz w:val="24"/>
                <w:szCs w:val="24"/>
              </w:rPr>
            </w:pPr>
            <w:r w:rsidRPr="00462B94">
              <w:rPr>
                <w:rFonts w:ascii="Book Antiqua" w:eastAsia="Times New Roman" w:hAnsi="Book Antiqua" w:cs="Arial"/>
                <w:b w:val="0"/>
                <w:bCs w:val="0"/>
                <w:sz w:val="24"/>
                <w:szCs w:val="24"/>
              </w:rPr>
              <w:t>Hemorrhage</w:t>
            </w:r>
          </w:p>
        </w:tc>
        <w:tc>
          <w:tcPr>
            <w:tcW w:w="2406" w:type="dxa"/>
            <w:shd w:val="clear" w:color="auto" w:fill="auto"/>
            <w:noWrap/>
          </w:tcPr>
          <w:p w14:paraId="0C0BCFB9" w14:textId="4F4CE639"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43541</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(2.7)</w:t>
            </w:r>
          </w:p>
        </w:tc>
        <w:tc>
          <w:tcPr>
            <w:tcW w:w="2226" w:type="dxa"/>
            <w:shd w:val="clear" w:color="auto" w:fill="auto"/>
            <w:noWrap/>
          </w:tcPr>
          <w:p w14:paraId="18B73A13" w14:textId="5B8CAEFD"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1470</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(3.1)</w:t>
            </w:r>
          </w:p>
        </w:tc>
        <w:tc>
          <w:tcPr>
            <w:tcW w:w="1065" w:type="dxa"/>
            <w:shd w:val="clear" w:color="auto" w:fill="auto"/>
          </w:tcPr>
          <w:p w14:paraId="483BA738" w14:textId="07861E7B"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525399" w:rsidRPr="00462B94" w14:paraId="43442283" w14:textId="77777777" w:rsidTr="005A3A36">
        <w:trPr>
          <w:cnfStyle w:val="000000100000" w:firstRow="0" w:lastRow="0" w:firstColumn="0" w:lastColumn="0" w:oddVBand="0" w:evenVBand="0" w:oddHBand="1" w:evenHBand="0" w:firstRowFirstColumn="0" w:firstRowLastColumn="0" w:lastRowFirstColumn="0" w:lastRowLastColumn="0"/>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74655321" w14:textId="77777777" w:rsidR="00525399" w:rsidRPr="00462B94" w:rsidRDefault="00525399"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Blood transfusion</w:t>
            </w:r>
          </w:p>
        </w:tc>
        <w:tc>
          <w:tcPr>
            <w:tcW w:w="2406" w:type="dxa"/>
            <w:shd w:val="clear" w:color="auto" w:fill="auto"/>
            <w:noWrap/>
          </w:tcPr>
          <w:p w14:paraId="387CE895" w14:textId="5428F2EB"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12272</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(0.8)</w:t>
            </w:r>
          </w:p>
        </w:tc>
        <w:tc>
          <w:tcPr>
            <w:tcW w:w="2226" w:type="dxa"/>
            <w:shd w:val="clear" w:color="auto" w:fill="auto"/>
            <w:noWrap/>
          </w:tcPr>
          <w:p w14:paraId="56D99598" w14:textId="3F220450"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524</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(1.1)</w:t>
            </w:r>
          </w:p>
        </w:tc>
        <w:tc>
          <w:tcPr>
            <w:tcW w:w="1065" w:type="dxa"/>
            <w:shd w:val="clear" w:color="auto" w:fill="auto"/>
          </w:tcPr>
          <w:p w14:paraId="744CD995" w14:textId="64322F6F"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E56A48" w:rsidRPr="00462B94" w14:paraId="00365461" w14:textId="77777777" w:rsidTr="005A3A36">
        <w:trPr>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27ECDF52" w14:textId="77777777" w:rsidR="00E56A48" w:rsidRPr="00462B94" w:rsidRDefault="00E56A48"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 xml:space="preserve">Hypotension/shock </w:t>
            </w:r>
          </w:p>
        </w:tc>
        <w:tc>
          <w:tcPr>
            <w:tcW w:w="2406" w:type="dxa"/>
            <w:shd w:val="clear" w:color="auto" w:fill="auto"/>
            <w:noWrap/>
          </w:tcPr>
          <w:p w14:paraId="47BAEFCF" w14:textId="41FC15E3"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7319</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(0.5)</w:t>
            </w:r>
          </w:p>
        </w:tc>
        <w:tc>
          <w:tcPr>
            <w:tcW w:w="2226" w:type="dxa"/>
            <w:shd w:val="clear" w:color="auto" w:fill="auto"/>
            <w:noWrap/>
          </w:tcPr>
          <w:p w14:paraId="223CDC36" w14:textId="170C5A31"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261</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(0.6)</w:t>
            </w:r>
          </w:p>
        </w:tc>
        <w:tc>
          <w:tcPr>
            <w:tcW w:w="1065" w:type="dxa"/>
            <w:shd w:val="clear" w:color="auto" w:fill="auto"/>
            <w:vAlign w:val="center"/>
          </w:tcPr>
          <w:p w14:paraId="13D8D37E" w14:textId="7FF2506E"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lang w:eastAsia="zh-CN"/>
              </w:rPr>
            </w:pPr>
            <w:r w:rsidRPr="00462B94">
              <w:rPr>
                <w:rFonts w:ascii="Book Antiqua" w:eastAsia="Times New Roman" w:hAnsi="Book Antiqua" w:cs="Arial"/>
                <w:b/>
                <w:bCs/>
                <w:sz w:val="24"/>
                <w:szCs w:val="24"/>
              </w:rPr>
              <w:t>0.004</w:t>
            </w:r>
            <w:r w:rsidR="00525399" w:rsidRPr="00462B94">
              <w:rPr>
                <w:rFonts w:ascii="Book Antiqua" w:hAnsi="Book Antiqua" w:cs="Arial" w:hint="eastAsia"/>
                <w:b/>
                <w:bCs/>
                <w:sz w:val="24"/>
                <w:szCs w:val="24"/>
                <w:vertAlign w:val="superscript"/>
                <w:lang w:eastAsia="zh-CN"/>
              </w:rPr>
              <w:t>a</w:t>
            </w:r>
          </w:p>
        </w:tc>
      </w:tr>
      <w:tr w:rsidR="00E56A48" w:rsidRPr="00462B94" w14:paraId="63EC8725" w14:textId="77777777" w:rsidTr="005A3A36">
        <w:trPr>
          <w:cnfStyle w:val="000000100000" w:firstRow="0" w:lastRow="0" w:firstColumn="0" w:lastColumn="0" w:oddVBand="0" w:evenVBand="0" w:oddHBand="1" w:evenHBand="0" w:firstRowFirstColumn="0" w:firstRowLastColumn="0" w:lastRowFirstColumn="0" w:lastRowLastColumn="0"/>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3F4FCB47" w14:textId="77777777" w:rsidR="00E56A48" w:rsidRPr="00462B94" w:rsidRDefault="00E56A48"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 xml:space="preserve">Cardiac complications </w:t>
            </w:r>
          </w:p>
        </w:tc>
        <w:tc>
          <w:tcPr>
            <w:tcW w:w="2406" w:type="dxa"/>
            <w:shd w:val="clear" w:color="auto" w:fill="auto"/>
            <w:noWrap/>
          </w:tcPr>
          <w:p w14:paraId="050B5888" w14:textId="7EE06A3F" w:rsidR="00E56A48" w:rsidRPr="00462B94" w:rsidRDefault="00E56A4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46511</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(2.9)</w:t>
            </w:r>
          </w:p>
        </w:tc>
        <w:tc>
          <w:tcPr>
            <w:tcW w:w="2226" w:type="dxa"/>
            <w:shd w:val="clear" w:color="auto" w:fill="auto"/>
            <w:noWrap/>
          </w:tcPr>
          <w:p w14:paraId="5CC60EE0" w14:textId="4FECB735" w:rsidR="00E56A48" w:rsidRPr="00462B94" w:rsidRDefault="00E56A4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1523</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(3.2)</w:t>
            </w:r>
          </w:p>
        </w:tc>
        <w:tc>
          <w:tcPr>
            <w:tcW w:w="1065" w:type="dxa"/>
            <w:shd w:val="clear" w:color="auto" w:fill="auto"/>
            <w:vAlign w:val="center"/>
          </w:tcPr>
          <w:p w14:paraId="353596F2" w14:textId="40FE899E" w:rsidR="00E56A48"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E56A48" w:rsidRPr="00462B94" w14:paraId="3B5F1196" w14:textId="77777777" w:rsidTr="005A3A36">
        <w:trPr>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0409905B" w14:textId="77777777" w:rsidR="00E56A48" w:rsidRPr="00462B94" w:rsidRDefault="00E56A48"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 xml:space="preserve">Postoperative myocardial infarction </w:t>
            </w:r>
          </w:p>
        </w:tc>
        <w:tc>
          <w:tcPr>
            <w:tcW w:w="2406" w:type="dxa"/>
            <w:shd w:val="clear" w:color="auto" w:fill="auto"/>
            <w:noWrap/>
          </w:tcPr>
          <w:p w14:paraId="0493E69D" w14:textId="0258E95A"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27176</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(1.7)</w:t>
            </w:r>
          </w:p>
        </w:tc>
        <w:tc>
          <w:tcPr>
            <w:tcW w:w="2226" w:type="dxa"/>
            <w:shd w:val="clear" w:color="auto" w:fill="auto"/>
            <w:noWrap/>
          </w:tcPr>
          <w:p w14:paraId="3A20E348" w14:textId="473D48F1"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798</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(1.7)</w:t>
            </w:r>
          </w:p>
        </w:tc>
        <w:tc>
          <w:tcPr>
            <w:tcW w:w="1065" w:type="dxa"/>
            <w:shd w:val="clear" w:color="auto" w:fill="auto"/>
            <w:vAlign w:val="center"/>
          </w:tcPr>
          <w:p w14:paraId="1ABC0D83" w14:textId="77777777"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eastAsia="Times New Roman" w:hAnsi="Book Antiqua" w:cs="Arial"/>
                <w:sz w:val="24"/>
                <w:szCs w:val="24"/>
              </w:rPr>
              <w:t>0.74</w:t>
            </w:r>
          </w:p>
        </w:tc>
      </w:tr>
      <w:tr w:rsidR="00E56A48" w:rsidRPr="00462B94" w14:paraId="1777330F" w14:textId="77777777" w:rsidTr="005A3A36">
        <w:trPr>
          <w:cnfStyle w:val="000000100000" w:firstRow="0" w:lastRow="0" w:firstColumn="0" w:lastColumn="0" w:oddVBand="0" w:evenVBand="0" w:oddHBand="1" w:evenHBand="0" w:firstRowFirstColumn="0" w:firstRowLastColumn="0" w:lastRowFirstColumn="0" w:lastRowLastColumn="0"/>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49328DC5" w14:textId="77777777" w:rsidR="00E56A48" w:rsidRPr="00462B94" w:rsidRDefault="00E56A48"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 xml:space="preserve">Stroke </w:t>
            </w:r>
          </w:p>
        </w:tc>
        <w:tc>
          <w:tcPr>
            <w:tcW w:w="2406" w:type="dxa"/>
            <w:shd w:val="clear" w:color="auto" w:fill="auto"/>
            <w:noWrap/>
          </w:tcPr>
          <w:p w14:paraId="410B8376" w14:textId="27FCDBEB" w:rsidR="00E56A48" w:rsidRPr="00462B94" w:rsidRDefault="00E56A4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3926</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(0.2)</w:t>
            </w:r>
          </w:p>
        </w:tc>
        <w:tc>
          <w:tcPr>
            <w:tcW w:w="2226" w:type="dxa"/>
            <w:shd w:val="clear" w:color="auto" w:fill="auto"/>
            <w:noWrap/>
          </w:tcPr>
          <w:p w14:paraId="4E04BF58" w14:textId="1524137B" w:rsidR="00E56A48" w:rsidRPr="00462B94" w:rsidRDefault="00E56A4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140</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(0.3)</w:t>
            </w:r>
          </w:p>
        </w:tc>
        <w:tc>
          <w:tcPr>
            <w:tcW w:w="1065" w:type="dxa"/>
            <w:shd w:val="clear" w:color="auto" w:fill="auto"/>
            <w:vAlign w:val="center"/>
          </w:tcPr>
          <w:p w14:paraId="272D7F3E" w14:textId="7479C6ED" w:rsidR="00E56A48" w:rsidRPr="00462B94" w:rsidRDefault="00E56A4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lang w:eastAsia="zh-CN"/>
              </w:rPr>
            </w:pPr>
            <w:r w:rsidRPr="00462B94">
              <w:rPr>
                <w:rFonts w:ascii="Book Antiqua" w:eastAsia="Times New Roman" w:hAnsi="Book Antiqua" w:cs="Arial"/>
                <w:b/>
                <w:bCs/>
                <w:sz w:val="24"/>
                <w:szCs w:val="24"/>
              </w:rPr>
              <w:t>0.033</w:t>
            </w:r>
            <w:r w:rsidR="00525399" w:rsidRPr="00462B94">
              <w:rPr>
                <w:rFonts w:ascii="Book Antiqua" w:hAnsi="Book Antiqua" w:cs="Arial" w:hint="eastAsia"/>
                <w:b/>
                <w:bCs/>
                <w:sz w:val="24"/>
                <w:szCs w:val="24"/>
                <w:vertAlign w:val="superscript"/>
                <w:lang w:eastAsia="zh-CN"/>
              </w:rPr>
              <w:t>a</w:t>
            </w:r>
          </w:p>
        </w:tc>
      </w:tr>
      <w:tr w:rsidR="00525399" w:rsidRPr="00462B94" w14:paraId="33A6ACE0" w14:textId="77777777" w:rsidTr="005A3A36">
        <w:trPr>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52EE8F81" w14:textId="77777777" w:rsidR="00525399" w:rsidRPr="00462B94" w:rsidRDefault="00525399"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 xml:space="preserve">Respiratory complications </w:t>
            </w:r>
          </w:p>
        </w:tc>
        <w:tc>
          <w:tcPr>
            <w:tcW w:w="2406" w:type="dxa"/>
            <w:shd w:val="clear" w:color="auto" w:fill="auto"/>
            <w:noWrap/>
          </w:tcPr>
          <w:p w14:paraId="2B206178" w14:textId="2A8D7F05"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46531</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(2.9)</w:t>
            </w:r>
          </w:p>
        </w:tc>
        <w:tc>
          <w:tcPr>
            <w:tcW w:w="2226" w:type="dxa"/>
            <w:shd w:val="clear" w:color="auto" w:fill="auto"/>
            <w:noWrap/>
          </w:tcPr>
          <w:p w14:paraId="29267E75" w14:textId="240C0591"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1642</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(3.5)</w:t>
            </w:r>
          </w:p>
        </w:tc>
        <w:tc>
          <w:tcPr>
            <w:tcW w:w="1065" w:type="dxa"/>
            <w:shd w:val="clear" w:color="auto" w:fill="auto"/>
          </w:tcPr>
          <w:p w14:paraId="44CE2678" w14:textId="7A6A1A87"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525399" w:rsidRPr="00462B94" w14:paraId="7341F2E5" w14:textId="77777777" w:rsidTr="005A3A36">
        <w:trPr>
          <w:cnfStyle w:val="000000100000" w:firstRow="0" w:lastRow="0" w:firstColumn="0" w:lastColumn="0" w:oddVBand="0" w:evenVBand="0" w:oddHBand="1" w:evenHBand="0" w:firstRowFirstColumn="0" w:firstRowLastColumn="0" w:lastRowFirstColumn="0" w:lastRowLastColumn="0"/>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1C42DAB4" w14:textId="77777777" w:rsidR="00525399" w:rsidRPr="00462B94" w:rsidRDefault="00525399"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 xml:space="preserve">Gastrointestinal complications </w:t>
            </w:r>
          </w:p>
        </w:tc>
        <w:tc>
          <w:tcPr>
            <w:tcW w:w="2406" w:type="dxa"/>
            <w:shd w:val="clear" w:color="auto" w:fill="auto"/>
            <w:noWrap/>
          </w:tcPr>
          <w:p w14:paraId="10299E52" w14:textId="114EB996"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25573</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(1.6)</w:t>
            </w:r>
          </w:p>
        </w:tc>
        <w:tc>
          <w:tcPr>
            <w:tcW w:w="2226" w:type="dxa"/>
            <w:shd w:val="clear" w:color="auto" w:fill="auto"/>
            <w:noWrap/>
          </w:tcPr>
          <w:p w14:paraId="756DB4FA" w14:textId="7C3E41C5"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980</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(2.1)</w:t>
            </w:r>
          </w:p>
        </w:tc>
        <w:tc>
          <w:tcPr>
            <w:tcW w:w="1065" w:type="dxa"/>
            <w:shd w:val="clear" w:color="auto" w:fill="auto"/>
          </w:tcPr>
          <w:p w14:paraId="0CC4C18D" w14:textId="3CBEA365" w:rsidR="00525399" w:rsidRPr="00462B94" w:rsidRDefault="00525399"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525399" w:rsidRPr="00462B94" w14:paraId="6E3692AB" w14:textId="77777777" w:rsidTr="005A3A36">
        <w:trPr>
          <w:trHeight w:hRule="exact" w:val="451"/>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44102FA1" w14:textId="77777777" w:rsidR="00525399" w:rsidRPr="00462B94" w:rsidRDefault="00525399"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 xml:space="preserve">AKI requiring dialysis </w:t>
            </w:r>
          </w:p>
        </w:tc>
        <w:tc>
          <w:tcPr>
            <w:tcW w:w="2406" w:type="dxa"/>
            <w:shd w:val="clear" w:color="auto" w:fill="auto"/>
            <w:noWrap/>
          </w:tcPr>
          <w:p w14:paraId="6A9E8F14" w14:textId="14327002"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7843</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(0.5)</w:t>
            </w:r>
          </w:p>
        </w:tc>
        <w:tc>
          <w:tcPr>
            <w:tcW w:w="2226" w:type="dxa"/>
            <w:shd w:val="clear" w:color="auto" w:fill="auto"/>
            <w:noWrap/>
          </w:tcPr>
          <w:p w14:paraId="468EFAA1" w14:textId="7B6E284F"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628</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(1.3)</w:t>
            </w:r>
          </w:p>
        </w:tc>
        <w:tc>
          <w:tcPr>
            <w:tcW w:w="1065" w:type="dxa"/>
            <w:shd w:val="clear" w:color="auto" w:fill="auto"/>
          </w:tcPr>
          <w:p w14:paraId="7631C3EF" w14:textId="2682738F" w:rsidR="00525399" w:rsidRPr="00462B94" w:rsidRDefault="00525399"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sz w:val="24"/>
                <w:szCs w:val="24"/>
              </w:rPr>
            </w:pPr>
            <w:r w:rsidRPr="00462B94">
              <w:rPr>
                <w:rFonts w:ascii="Book Antiqua" w:eastAsia="Times New Roman"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E56A48" w:rsidRPr="00462B94" w14:paraId="197AFF98" w14:textId="77777777" w:rsidTr="00525399">
        <w:trPr>
          <w:cnfStyle w:val="000000100000" w:firstRow="0" w:lastRow="0" w:firstColumn="0" w:lastColumn="0" w:oddVBand="0" w:evenVBand="0" w:oddHBand="1" w:evenHBand="0" w:firstRowFirstColumn="0" w:firstRowLastColumn="0" w:lastRowFirstColumn="0" w:lastRowLastColumn="0"/>
          <w:trHeight w:hRule="exact" w:val="738"/>
          <w:jc w:val="center"/>
        </w:trPr>
        <w:tc>
          <w:tcPr>
            <w:cnfStyle w:val="001000000000" w:firstRow="0" w:lastRow="0" w:firstColumn="1" w:lastColumn="0" w:oddVBand="0" w:evenVBand="0" w:oddHBand="0" w:evenHBand="0" w:firstRowFirstColumn="0" w:firstRowLastColumn="0" w:lastRowFirstColumn="0" w:lastRowLastColumn="0"/>
            <w:tcW w:w="4423" w:type="dxa"/>
            <w:shd w:val="clear" w:color="auto" w:fill="auto"/>
            <w:vAlign w:val="center"/>
          </w:tcPr>
          <w:p w14:paraId="3EA5AB39" w14:textId="77777777" w:rsidR="00E56A48" w:rsidRPr="00462B94" w:rsidRDefault="00E56A48"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Urinary complications</w:t>
            </w:r>
          </w:p>
        </w:tc>
        <w:tc>
          <w:tcPr>
            <w:tcW w:w="2406" w:type="dxa"/>
            <w:shd w:val="clear" w:color="auto" w:fill="auto"/>
            <w:noWrap/>
          </w:tcPr>
          <w:p w14:paraId="32E3659A" w14:textId="6DFFBF43" w:rsidR="00E56A48" w:rsidRPr="00462B94" w:rsidRDefault="00E56A4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4641</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(0.3)</w:t>
            </w:r>
          </w:p>
        </w:tc>
        <w:tc>
          <w:tcPr>
            <w:tcW w:w="2226" w:type="dxa"/>
            <w:shd w:val="clear" w:color="auto" w:fill="auto"/>
            <w:noWrap/>
          </w:tcPr>
          <w:p w14:paraId="7BD7E9D4" w14:textId="4C0D67BE" w:rsidR="00E56A48" w:rsidRPr="00462B94" w:rsidRDefault="00E56A4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307</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(0.6)</w:t>
            </w:r>
          </w:p>
        </w:tc>
        <w:tc>
          <w:tcPr>
            <w:tcW w:w="1065" w:type="dxa"/>
            <w:shd w:val="clear" w:color="auto" w:fill="auto"/>
            <w:vAlign w:val="center"/>
          </w:tcPr>
          <w:p w14:paraId="253265E0" w14:textId="1FA3F480" w:rsidR="00E56A48" w:rsidRPr="00462B94" w:rsidRDefault="00E56A4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lang w:eastAsia="zh-CN"/>
              </w:rPr>
            </w:pPr>
            <w:r w:rsidRPr="00462B94">
              <w:rPr>
                <w:rFonts w:ascii="Book Antiqua" w:eastAsia="Times New Roman" w:hAnsi="Book Antiqua" w:cs="Arial"/>
                <w:b/>
                <w:bCs/>
                <w:sz w:val="24"/>
                <w:szCs w:val="24"/>
              </w:rPr>
              <w:t>&lt;</w:t>
            </w:r>
            <w:r w:rsidR="00525399" w:rsidRPr="00462B94">
              <w:rPr>
                <w:rFonts w:ascii="Book Antiqua" w:hAnsi="Book Antiqua" w:cs="Arial" w:hint="eastAsia"/>
                <w:b/>
                <w:bCs/>
                <w:sz w:val="24"/>
                <w:szCs w:val="24"/>
                <w:lang w:eastAsia="zh-CN"/>
              </w:rPr>
              <w:t xml:space="preserve"> </w:t>
            </w:r>
            <w:r w:rsidRPr="00462B94">
              <w:rPr>
                <w:rFonts w:ascii="Book Antiqua" w:eastAsia="Times New Roman" w:hAnsi="Book Antiqua" w:cs="Arial"/>
                <w:b/>
                <w:bCs/>
                <w:sz w:val="24"/>
                <w:szCs w:val="24"/>
              </w:rPr>
              <w:t>0.001</w:t>
            </w:r>
            <w:r w:rsidR="00525399" w:rsidRPr="00462B94">
              <w:rPr>
                <w:rFonts w:ascii="Book Antiqua" w:hAnsi="Book Antiqua" w:cs="Arial" w:hint="eastAsia"/>
                <w:b/>
                <w:bCs/>
                <w:sz w:val="24"/>
                <w:szCs w:val="24"/>
                <w:vertAlign w:val="superscript"/>
                <w:lang w:eastAsia="zh-CN"/>
              </w:rPr>
              <w:t>a</w:t>
            </w:r>
          </w:p>
        </w:tc>
      </w:tr>
      <w:tr w:rsidR="00E56A48" w:rsidRPr="00462B94" w14:paraId="4620D82F" w14:textId="77777777" w:rsidTr="00525399">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4423" w:type="dxa"/>
            <w:tcBorders>
              <w:bottom w:val="single" w:sz="4" w:space="0" w:color="auto"/>
            </w:tcBorders>
            <w:shd w:val="clear" w:color="auto" w:fill="auto"/>
            <w:vAlign w:val="center"/>
          </w:tcPr>
          <w:p w14:paraId="1EAC2D0F" w14:textId="77777777" w:rsidR="00E56A48" w:rsidRPr="00462B94" w:rsidRDefault="00E56A48" w:rsidP="00462B94">
            <w:pPr>
              <w:spacing w:line="360" w:lineRule="auto"/>
              <w:jc w:val="both"/>
              <w:rPr>
                <w:rFonts w:ascii="Book Antiqua" w:eastAsia="Times New Roman" w:hAnsi="Book Antiqua" w:cs="Arial"/>
                <w:b w:val="0"/>
                <w:bCs w:val="0"/>
                <w:sz w:val="24"/>
                <w:szCs w:val="24"/>
              </w:rPr>
            </w:pPr>
            <w:r w:rsidRPr="00462B94">
              <w:rPr>
                <w:rFonts w:ascii="Book Antiqua" w:eastAsia="Times New Roman" w:hAnsi="Book Antiqua" w:cs="Arial"/>
                <w:b w:val="0"/>
                <w:bCs w:val="0"/>
                <w:sz w:val="24"/>
                <w:szCs w:val="24"/>
              </w:rPr>
              <w:t>Post procedural infections</w:t>
            </w:r>
          </w:p>
        </w:tc>
        <w:tc>
          <w:tcPr>
            <w:tcW w:w="2406" w:type="dxa"/>
            <w:tcBorders>
              <w:bottom w:val="single" w:sz="4" w:space="0" w:color="auto"/>
            </w:tcBorders>
            <w:shd w:val="clear" w:color="auto" w:fill="auto"/>
            <w:noWrap/>
          </w:tcPr>
          <w:p w14:paraId="6D151337" w14:textId="07595292"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24473</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(1.5)</w:t>
            </w:r>
          </w:p>
        </w:tc>
        <w:tc>
          <w:tcPr>
            <w:tcW w:w="2226" w:type="dxa"/>
            <w:tcBorders>
              <w:bottom w:val="single" w:sz="4" w:space="0" w:color="auto"/>
            </w:tcBorders>
            <w:shd w:val="clear" w:color="auto" w:fill="auto"/>
            <w:noWrap/>
          </w:tcPr>
          <w:p w14:paraId="78D7A1BC" w14:textId="3951C668"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hAnsi="Book Antiqua" w:cs="Arial"/>
                <w:sz w:val="24"/>
                <w:szCs w:val="24"/>
              </w:rPr>
              <w:t>687</w:t>
            </w:r>
            <w:r w:rsidRPr="00462B94">
              <w:rPr>
                <w:rFonts w:ascii="Book Antiqua" w:hAnsi="Book Antiqua" w:cs="Arial" w:hint="eastAsia"/>
                <w:sz w:val="24"/>
                <w:szCs w:val="24"/>
                <w:lang w:eastAsia="zh-CN"/>
              </w:rPr>
              <w:t xml:space="preserve"> </w:t>
            </w:r>
            <w:r w:rsidRPr="00462B94">
              <w:rPr>
                <w:rFonts w:ascii="Book Antiqua" w:eastAsia="Times New Roman" w:hAnsi="Book Antiqua" w:cs="Arial"/>
                <w:sz w:val="24"/>
                <w:szCs w:val="24"/>
              </w:rPr>
              <w:t>(1.5)</w:t>
            </w:r>
          </w:p>
        </w:tc>
        <w:tc>
          <w:tcPr>
            <w:tcW w:w="1065" w:type="dxa"/>
            <w:tcBorders>
              <w:bottom w:val="single" w:sz="4" w:space="0" w:color="auto"/>
            </w:tcBorders>
            <w:shd w:val="clear" w:color="auto" w:fill="auto"/>
            <w:vAlign w:val="center"/>
          </w:tcPr>
          <w:p w14:paraId="03649E7D" w14:textId="77777777" w:rsidR="00E56A48" w:rsidRPr="00462B94" w:rsidRDefault="00E56A4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462B94">
              <w:rPr>
                <w:rFonts w:ascii="Book Antiqua" w:eastAsia="Times New Roman" w:hAnsi="Book Antiqua" w:cs="Arial"/>
                <w:sz w:val="24"/>
                <w:szCs w:val="24"/>
              </w:rPr>
              <w:t>0.139</w:t>
            </w:r>
          </w:p>
        </w:tc>
      </w:tr>
    </w:tbl>
    <w:p w14:paraId="07598509" w14:textId="77777777" w:rsidR="00FC17C8" w:rsidRPr="00462B94" w:rsidRDefault="00FC17C8" w:rsidP="00462B94">
      <w:pPr>
        <w:spacing w:line="360" w:lineRule="auto"/>
        <w:jc w:val="both"/>
        <w:rPr>
          <w:rFonts w:ascii="Book Antiqua" w:hAnsi="Book Antiqua"/>
        </w:rPr>
      </w:pPr>
    </w:p>
    <w:p w14:paraId="5DD1E56B" w14:textId="7ABEF241" w:rsidR="00525399" w:rsidRPr="00462B94" w:rsidRDefault="00525399" w:rsidP="00462B94">
      <w:pPr>
        <w:spacing w:line="360" w:lineRule="auto"/>
        <w:jc w:val="both"/>
        <w:rPr>
          <w:rFonts w:ascii="Book Antiqua" w:hAnsi="Book Antiqua" w:cs="Arial"/>
          <w:bCs/>
          <w:lang w:eastAsia="zh-CN"/>
        </w:rPr>
      </w:pPr>
      <w:proofErr w:type="spellStart"/>
      <w:r w:rsidRPr="00462B94">
        <w:rPr>
          <w:rFonts w:ascii="Book Antiqua" w:hAnsi="Book Antiqua" w:cs="Arial" w:hint="eastAsia"/>
          <w:bCs/>
          <w:vertAlign w:val="superscript"/>
          <w:lang w:eastAsia="zh-CN"/>
        </w:rPr>
        <w:t>a</w:t>
      </w:r>
      <w:r w:rsidRPr="00462B94">
        <w:rPr>
          <w:rFonts w:ascii="Book Antiqua" w:hAnsi="Book Antiqua" w:cs="Arial"/>
          <w:bCs/>
          <w:i/>
        </w:rPr>
        <w:t>P</w:t>
      </w:r>
      <w:proofErr w:type="spellEnd"/>
      <w:r w:rsidRPr="00462B94">
        <w:rPr>
          <w:rFonts w:ascii="Book Antiqua" w:hAnsi="Book Antiqua" w:cs="Arial"/>
          <w:bCs/>
          <w:i/>
        </w:rPr>
        <w:t xml:space="preserve"> &lt; </w:t>
      </w:r>
      <w:r w:rsidRPr="00462B94">
        <w:rPr>
          <w:rFonts w:ascii="Book Antiqua" w:hAnsi="Book Antiqua" w:cs="Arial"/>
          <w:bCs/>
        </w:rPr>
        <w:t>0.05 indicates clinical significance. ACS</w:t>
      </w:r>
      <w:r w:rsidRPr="00462B94">
        <w:rPr>
          <w:rFonts w:ascii="Book Antiqua" w:hAnsi="Book Antiqua" w:cs="Arial" w:hint="eastAsia"/>
          <w:bCs/>
          <w:lang w:eastAsia="zh-CN"/>
        </w:rPr>
        <w:t xml:space="preserve">: </w:t>
      </w:r>
      <w:r w:rsidRPr="00462B94">
        <w:rPr>
          <w:rFonts w:ascii="Book Antiqua" w:hAnsi="Book Antiqua" w:cs="Arial"/>
          <w:bCs/>
        </w:rPr>
        <w:t>Acute coronary syndrome</w:t>
      </w:r>
      <w:r w:rsidRPr="00462B94">
        <w:rPr>
          <w:rFonts w:ascii="Book Antiqua" w:hAnsi="Book Antiqua" w:cs="Arial" w:hint="eastAsia"/>
          <w:bCs/>
          <w:lang w:eastAsia="zh-CN"/>
        </w:rPr>
        <w:t>;</w:t>
      </w:r>
      <w:r w:rsidRPr="00462B94">
        <w:rPr>
          <w:rFonts w:ascii="Book Antiqua" w:hAnsi="Book Antiqua" w:cs="Arial"/>
          <w:bCs/>
        </w:rPr>
        <w:t xml:space="preserve"> PCI</w:t>
      </w:r>
      <w:r w:rsidRPr="00462B94">
        <w:rPr>
          <w:rFonts w:ascii="Book Antiqua" w:hAnsi="Book Antiqua" w:cs="Arial" w:hint="eastAsia"/>
          <w:bCs/>
          <w:lang w:eastAsia="zh-CN"/>
        </w:rPr>
        <w:t xml:space="preserve">: </w:t>
      </w:r>
      <w:r w:rsidRPr="00462B94">
        <w:rPr>
          <w:rFonts w:ascii="Book Antiqua" w:hAnsi="Book Antiqua" w:cs="Arial"/>
          <w:bCs/>
        </w:rPr>
        <w:t>Percutaneous coronary intervention</w:t>
      </w:r>
      <w:r w:rsidRPr="00462B94">
        <w:rPr>
          <w:rFonts w:ascii="Book Antiqua" w:hAnsi="Book Antiqua" w:cs="Arial" w:hint="eastAsia"/>
          <w:bCs/>
          <w:lang w:eastAsia="zh-CN"/>
        </w:rPr>
        <w:t>;</w:t>
      </w:r>
      <w:r w:rsidRPr="00462B94">
        <w:rPr>
          <w:rFonts w:ascii="Book Antiqua" w:hAnsi="Book Antiqua" w:cs="Arial"/>
          <w:bCs/>
        </w:rPr>
        <w:t xml:space="preserve"> CABG</w:t>
      </w:r>
      <w:r w:rsidRPr="00462B94">
        <w:rPr>
          <w:rFonts w:ascii="Book Antiqua" w:hAnsi="Book Antiqua" w:cs="Arial" w:hint="eastAsia"/>
          <w:bCs/>
          <w:lang w:eastAsia="zh-CN"/>
        </w:rPr>
        <w:t xml:space="preserve">: </w:t>
      </w:r>
      <w:r w:rsidRPr="00462B94">
        <w:rPr>
          <w:rFonts w:ascii="Book Antiqua" w:hAnsi="Book Antiqua" w:cs="Arial"/>
          <w:bCs/>
        </w:rPr>
        <w:t>Coronary artery bypass grafting</w:t>
      </w:r>
      <w:r w:rsidRPr="00462B94">
        <w:rPr>
          <w:rFonts w:ascii="Book Antiqua" w:hAnsi="Book Antiqua" w:cs="Arial" w:hint="eastAsia"/>
          <w:bCs/>
          <w:lang w:eastAsia="zh-CN"/>
        </w:rPr>
        <w:t>;</w:t>
      </w:r>
      <w:r w:rsidRPr="00462B94">
        <w:rPr>
          <w:rFonts w:ascii="Book Antiqua" w:hAnsi="Book Antiqua" w:cs="Arial"/>
          <w:bCs/>
        </w:rPr>
        <w:t xml:space="preserve"> AKI</w:t>
      </w:r>
      <w:r w:rsidRPr="00462B94">
        <w:rPr>
          <w:rFonts w:ascii="Book Antiqua" w:hAnsi="Book Antiqua" w:cs="Arial" w:hint="eastAsia"/>
          <w:bCs/>
          <w:lang w:eastAsia="zh-CN"/>
        </w:rPr>
        <w:t xml:space="preserve">: </w:t>
      </w:r>
      <w:r w:rsidRPr="00462B94">
        <w:rPr>
          <w:rFonts w:ascii="Book Antiqua" w:hAnsi="Book Antiqua" w:cs="Arial"/>
          <w:bCs/>
        </w:rPr>
        <w:t>Acute kidney injury</w:t>
      </w:r>
      <w:r w:rsidRPr="00462B94">
        <w:rPr>
          <w:rFonts w:ascii="Book Antiqua" w:hAnsi="Book Antiqua" w:cs="Arial"/>
          <w:bCs/>
          <w:lang w:eastAsia="zh-CN"/>
        </w:rPr>
        <w:t>.</w:t>
      </w:r>
    </w:p>
    <w:p w14:paraId="5E56C051" w14:textId="77777777" w:rsidR="001C5138" w:rsidRPr="00462B94" w:rsidRDefault="001C5138" w:rsidP="00462B94">
      <w:pPr>
        <w:spacing w:line="360" w:lineRule="auto"/>
        <w:jc w:val="both"/>
        <w:rPr>
          <w:rFonts w:ascii="Book Antiqua" w:hAnsi="Book Antiqua" w:cs="Arial"/>
          <w:bCs/>
          <w:lang w:eastAsia="zh-CN"/>
        </w:rPr>
      </w:pPr>
    </w:p>
    <w:p w14:paraId="08C0726B" w14:textId="77777777" w:rsidR="001C5138" w:rsidRPr="00462B94" w:rsidRDefault="001C5138" w:rsidP="00462B94">
      <w:pPr>
        <w:spacing w:line="360" w:lineRule="auto"/>
        <w:jc w:val="both"/>
        <w:rPr>
          <w:rFonts w:ascii="Book Antiqua" w:hAnsi="Book Antiqua" w:cs="Arial"/>
          <w:b/>
          <w:lang w:eastAsia="zh-CN"/>
        </w:rPr>
      </w:pPr>
      <w:r w:rsidRPr="00462B94">
        <w:rPr>
          <w:rFonts w:ascii="Book Antiqua" w:hAnsi="Book Antiqua" w:cs="Arial"/>
          <w:b/>
        </w:rPr>
        <w:t>Table 5</w:t>
      </w:r>
      <w:r w:rsidRPr="00462B94">
        <w:rPr>
          <w:rFonts w:ascii="Book Antiqua" w:hAnsi="Book Antiqua" w:cs="Arial"/>
          <w:b/>
          <w:bCs/>
        </w:rPr>
        <w:t xml:space="preserve"> </w:t>
      </w:r>
      <w:r w:rsidRPr="00462B94">
        <w:rPr>
          <w:rFonts w:ascii="Book Antiqua" w:hAnsi="Book Antiqua" w:cs="Arial"/>
          <w:b/>
        </w:rPr>
        <w:t>Predictors of in-hospital mortality in acute coronary syndrome patients with gout undergoing revascularization</w:t>
      </w:r>
    </w:p>
    <w:p w14:paraId="411CCBBA" w14:textId="77777777" w:rsidR="001C5138" w:rsidRPr="00462B94" w:rsidRDefault="001C5138" w:rsidP="00462B94">
      <w:pPr>
        <w:spacing w:line="360" w:lineRule="auto"/>
        <w:jc w:val="both"/>
        <w:rPr>
          <w:rFonts w:ascii="Book Antiqua" w:hAnsi="Book Antiqua"/>
          <w:lang w:eastAsia="zh-CN"/>
        </w:rPr>
      </w:pPr>
    </w:p>
    <w:p w14:paraId="63E8A5AC" w14:textId="77777777" w:rsidR="00FC17C8" w:rsidRPr="00462B94" w:rsidRDefault="00FE7095" w:rsidP="00462B94">
      <w:pPr>
        <w:spacing w:line="360" w:lineRule="auto"/>
        <w:jc w:val="both"/>
        <w:rPr>
          <w:rFonts w:ascii="Book Antiqua" w:hAnsi="Book Antiqua"/>
        </w:rPr>
      </w:pPr>
      <w:r w:rsidRPr="00462B94">
        <w:rPr>
          <w:rFonts w:ascii="Book Antiqua" w:hAnsi="Book Antiqua"/>
        </w:rPr>
        <w:br w:type="page"/>
      </w:r>
    </w:p>
    <w:tbl>
      <w:tblPr>
        <w:tblStyle w:val="PlainTable41"/>
        <w:tblpPr w:leftFromText="180" w:rightFromText="180" w:vertAnchor="page" w:horzAnchor="margin" w:tblpY="2647"/>
        <w:tblW w:w="0" w:type="auto"/>
        <w:tblBorders>
          <w:top w:val="single" w:sz="4" w:space="0" w:color="auto"/>
          <w:bottom w:val="single" w:sz="4" w:space="0" w:color="auto"/>
        </w:tblBorders>
        <w:tblLook w:val="04A0" w:firstRow="1" w:lastRow="0" w:firstColumn="1" w:lastColumn="0" w:noHBand="0" w:noVBand="1"/>
      </w:tblPr>
      <w:tblGrid>
        <w:gridCol w:w="4770"/>
        <w:gridCol w:w="1927"/>
        <w:gridCol w:w="1621"/>
        <w:gridCol w:w="1042"/>
      </w:tblGrid>
      <w:tr w:rsidR="001C5138" w:rsidRPr="00462B94" w14:paraId="080414EC" w14:textId="77777777" w:rsidTr="001C5138">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hideMark/>
          </w:tcPr>
          <w:p w14:paraId="7241A134" w14:textId="77777777"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lastRenderedPageBreak/>
              <w:t> Predictor</w:t>
            </w:r>
          </w:p>
        </w:tc>
        <w:tc>
          <w:tcPr>
            <w:tcW w:w="0" w:type="auto"/>
            <w:tcBorders>
              <w:top w:val="single" w:sz="4" w:space="0" w:color="auto"/>
              <w:bottom w:val="single" w:sz="4" w:space="0" w:color="auto"/>
            </w:tcBorders>
            <w:shd w:val="clear" w:color="auto" w:fill="auto"/>
            <w:vAlign w:val="center"/>
            <w:hideMark/>
          </w:tcPr>
          <w:p w14:paraId="5AD22972" w14:textId="6E31DE3B"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rPr>
            </w:pPr>
            <w:r w:rsidRPr="00462B94">
              <w:rPr>
                <w:rFonts w:ascii="Book Antiqua" w:hAnsi="Book Antiqua" w:cs="Arial"/>
                <w:bCs w:val="0"/>
                <w:sz w:val="24"/>
                <w:szCs w:val="24"/>
              </w:rPr>
              <w:t xml:space="preserve">Adjusted </w:t>
            </w:r>
            <w:r w:rsidR="001C5138" w:rsidRPr="00462B94">
              <w:rPr>
                <w:rFonts w:ascii="Book Antiqua" w:hAnsi="Book Antiqua" w:cs="Arial"/>
                <w:bCs w:val="0"/>
                <w:sz w:val="24"/>
                <w:szCs w:val="24"/>
              </w:rPr>
              <w:t>odds ratio</w:t>
            </w:r>
          </w:p>
        </w:tc>
        <w:tc>
          <w:tcPr>
            <w:tcW w:w="0" w:type="auto"/>
            <w:tcBorders>
              <w:top w:val="single" w:sz="4" w:space="0" w:color="auto"/>
              <w:bottom w:val="single" w:sz="4" w:space="0" w:color="auto"/>
            </w:tcBorders>
            <w:shd w:val="clear" w:color="auto" w:fill="auto"/>
            <w:vAlign w:val="center"/>
          </w:tcPr>
          <w:p w14:paraId="4B8CE76F" w14:textId="254E4785" w:rsidR="00FC17C8" w:rsidRPr="00462B94" w:rsidRDefault="001C513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sz w:val="24"/>
                <w:szCs w:val="24"/>
              </w:rPr>
            </w:pPr>
            <w:r w:rsidRPr="00462B94">
              <w:rPr>
                <w:rFonts w:ascii="Book Antiqua" w:hAnsi="Book Antiqua" w:cs="Arial"/>
                <w:bCs w:val="0"/>
                <w:sz w:val="24"/>
                <w:szCs w:val="24"/>
              </w:rPr>
              <w:t>95%</w:t>
            </w:r>
            <w:r w:rsidR="00FC17C8" w:rsidRPr="00462B94">
              <w:rPr>
                <w:rFonts w:ascii="Book Antiqua" w:hAnsi="Book Antiqua" w:cs="Arial"/>
                <w:bCs w:val="0"/>
                <w:sz w:val="24"/>
                <w:szCs w:val="24"/>
              </w:rPr>
              <w:t>CI (LL-UL)</w:t>
            </w:r>
          </w:p>
        </w:tc>
        <w:tc>
          <w:tcPr>
            <w:tcW w:w="0" w:type="auto"/>
            <w:tcBorders>
              <w:top w:val="single" w:sz="4" w:space="0" w:color="auto"/>
              <w:bottom w:val="single" w:sz="4" w:space="0" w:color="auto"/>
            </w:tcBorders>
            <w:shd w:val="clear" w:color="auto" w:fill="auto"/>
            <w:vAlign w:val="center"/>
          </w:tcPr>
          <w:p w14:paraId="7797722D" w14:textId="5DFD0033" w:rsidR="00FC17C8" w:rsidRPr="00462B94" w:rsidRDefault="00FC17C8" w:rsidP="00462B9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iCs/>
                <w:sz w:val="24"/>
                <w:szCs w:val="24"/>
                <w:lang w:eastAsia="zh-CN"/>
              </w:rPr>
            </w:pPr>
            <w:r w:rsidRPr="00462B94">
              <w:rPr>
                <w:rFonts w:ascii="Book Antiqua" w:hAnsi="Book Antiqua" w:cs="Arial"/>
                <w:bCs w:val="0"/>
                <w:i/>
                <w:iCs/>
                <w:sz w:val="24"/>
                <w:szCs w:val="24"/>
              </w:rPr>
              <w:t>P</w:t>
            </w:r>
            <w:r w:rsidR="001C5138" w:rsidRPr="00462B94">
              <w:rPr>
                <w:rFonts w:ascii="Book Antiqua" w:hAnsi="Book Antiqua" w:cs="Arial" w:hint="eastAsia"/>
                <w:bCs w:val="0"/>
                <w:i/>
                <w:iCs/>
                <w:sz w:val="24"/>
                <w:szCs w:val="24"/>
                <w:lang w:eastAsia="zh-CN"/>
              </w:rPr>
              <w:t xml:space="preserve"> </w:t>
            </w:r>
            <w:r w:rsidR="001C5138" w:rsidRPr="00462B94">
              <w:rPr>
                <w:rFonts w:ascii="Book Antiqua" w:hAnsi="Book Antiqua" w:cs="Arial" w:hint="eastAsia"/>
                <w:bCs w:val="0"/>
                <w:iCs/>
                <w:sz w:val="24"/>
                <w:szCs w:val="24"/>
                <w:lang w:eastAsia="zh-CN"/>
              </w:rPr>
              <w:t>value</w:t>
            </w:r>
          </w:p>
        </w:tc>
      </w:tr>
      <w:tr w:rsidR="001C5138" w:rsidRPr="00462B94" w14:paraId="21CB696C"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hideMark/>
          </w:tcPr>
          <w:p w14:paraId="1FA35CDB" w14:textId="77777777"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t>Age in years at admission</w:t>
            </w:r>
          </w:p>
        </w:tc>
        <w:tc>
          <w:tcPr>
            <w:tcW w:w="0" w:type="auto"/>
            <w:tcBorders>
              <w:top w:val="single" w:sz="4" w:space="0" w:color="auto"/>
            </w:tcBorders>
            <w:shd w:val="clear" w:color="auto" w:fill="auto"/>
            <w:hideMark/>
          </w:tcPr>
          <w:p w14:paraId="592DFD19"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 </w:t>
            </w:r>
          </w:p>
        </w:tc>
        <w:tc>
          <w:tcPr>
            <w:tcW w:w="0" w:type="auto"/>
            <w:tcBorders>
              <w:top w:val="single" w:sz="4" w:space="0" w:color="auto"/>
            </w:tcBorders>
            <w:shd w:val="clear" w:color="auto" w:fill="auto"/>
            <w:hideMark/>
          </w:tcPr>
          <w:p w14:paraId="5453831E"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 </w:t>
            </w:r>
          </w:p>
        </w:tc>
        <w:tc>
          <w:tcPr>
            <w:tcW w:w="0" w:type="auto"/>
            <w:tcBorders>
              <w:top w:val="single" w:sz="4" w:space="0" w:color="auto"/>
            </w:tcBorders>
            <w:shd w:val="clear" w:color="auto" w:fill="auto"/>
          </w:tcPr>
          <w:p w14:paraId="22DA0A57" w14:textId="146CEAFD"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lang w:eastAsia="zh-CN"/>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7CDC7889"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3982875"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 xml:space="preserve">45-64 </w:t>
            </w:r>
            <w:r w:rsidRPr="00462B94">
              <w:rPr>
                <w:rFonts w:ascii="Book Antiqua" w:hAnsi="Book Antiqua" w:cs="Arial"/>
                <w:b w:val="0"/>
                <w:bCs w:val="0"/>
                <w:i/>
                <w:sz w:val="24"/>
                <w:szCs w:val="24"/>
              </w:rPr>
              <w:t>vs</w:t>
            </w:r>
            <w:r w:rsidRPr="00462B94">
              <w:rPr>
                <w:rFonts w:ascii="Book Antiqua" w:hAnsi="Book Antiqua" w:cs="Arial"/>
                <w:b w:val="0"/>
                <w:bCs w:val="0"/>
                <w:sz w:val="24"/>
                <w:szCs w:val="24"/>
              </w:rPr>
              <w:t xml:space="preserve"> 18-44 </w:t>
            </w:r>
          </w:p>
        </w:tc>
        <w:tc>
          <w:tcPr>
            <w:tcW w:w="0" w:type="auto"/>
            <w:shd w:val="clear" w:color="auto" w:fill="auto"/>
            <w:noWrap/>
            <w:hideMark/>
          </w:tcPr>
          <w:p w14:paraId="4F54CA46"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2.99</w:t>
            </w:r>
          </w:p>
        </w:tc>
        <w:tc>
          <w:tcPr>
            <w:tcW w:w="0" w:type="auto"/>
            <w:shd w:val="clear" w:color="auto" w:fill="auto"/>
            <w:noWrap/>
            <w:hideMark/>
          </w:tcPr>
          <w:p w14:paraId="02E0BAFF"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1.08-8.30</w:t>
            </w:r>
          </w:p>
        </w:tc>
        <w:tc>
          <w:tcPr>
            <w:tcW w:w="0" w:type="auto"/>
            <w:shd w:val="clear" w:color="auto" w:fill="auto"/>
            <w:noWrap/>
          </w:tcPr>
          <w:p w14:paraId="02727AC5" w14:textId="22D13B4D"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0.036</w:t>
            </w:r>
            <w:r w:rsidR="001C5138" w:rsidRPr="00462B94">
              <w:rPr>
                <w:rFonts w:ascii="Book Antiqua" w:hAnsi="Book Antiqua" w:cs="Arial" w:hint="eastAsia"/>
                <w:b/>
                <w:bCs/>
                <w:sz w:val="24"/>
                <w:szCs w:val="24"/>
                <w:vertAlign w:val="superscript"/>
                <w:lang w:eastAsia="zh-CN"/>
              </w:rPr>
              <w:t>a</w:t>
            </w:r>
          </w:p>
        </w:tc>
      </w:tr>
      <w:tr w:rsidR="001C5138" w:rsidRPr="00462B94" w14:paraId="6DE6BE7C"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1090D9C"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 xml:space="preserve">65-84 </w:t>
            </w:r>
            <w:r w:rsidRPr="00462B94">
              <w:rPr>
                <w:rFonts w:ascii="Book Antiqua" w:hAnsi="Book Antiqua" w:cs="Arial"/>
                <w:b w:val="0"/>
                <w:bCs w:val="0"/>
                <w:i/>
                <w:sz w:val="24"/>
                <w:szCs w:val="24"/>
              </w:rPr>
              <w:t>vs</w:t>
            </w:r>
            <w:r w:rsidRPr="00462B94">
              <w:rPr>
                <w:rFonts w:ascii="Book Antiqua" w:hAnsi="Book Antiqua" w:cs="Arial"/>
                <w:b w:val="0"/>
                <w:bCs w:val="0"/>
                <w:sz w:val="24"/>
                <w:szCs w:val="24"/>
              </w:rPr>
              <w:t xml:space="preserve"> 18-44</w:t>
            </w:r>
          </w:p>
        </w:tc>
        <w:tc>
          <w:tcPr>
            <w:tcW w:w="0" w:type="auto"/>
            <w:shd w:val="clear" w:color="auto" w:fill="auto"/>
            <w:noWrap/>
            <w:hideMark/>
          </w:tcPr>
          <w:p w14:paraId="435BF6F5"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5.72</w:t>
            </w:r>
          </w:p>
        </w:tc>
        <w:tc>
          <w:tcPr>
            <w:tcW w:w="0" w:type="auto"/>
            <w:shd w:val="clear" w:color="auto" w:fill="auto"/>
            <w:noWrap/>
            <w:hideMark/>
          </w:tcPr>
          <w:p w14:paraId="3A1DF450"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2.04-16.01</w:t>
            </w:r>
          </w:p>
        </w:tc>
        <w:tc>
          <w:tcPr>
            <w:tcW w:w="0" w:type="auto"/>
            <w:shd w:val="clear" w:color="auto" w:fill="auto"/>
            <w:noWrap/>
          </w:tcPr>
          <w:p w14:paraId="2A327CB4" w14:textId="22C868A1"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49DE0CCA"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826849F" w14:textId="4DFD7FF0"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w:t>
            </w:r>
            <w:r w:rsidR="001C5138" w:rsidRPr="00462B94">
              <w:rPr>
                <w:rFonts w:ascii="Book Antiqua" w:hAnsi="Book Antiqua" w:cs="Arial" w:hint="eastAsia"/>
                <w:b w:val="0"/>
                <w:bCs w:val="0"/>
                <w:sz w:val="24"/>
                <w:szCs w:val="24"/>
                <w:lang w:eastAsia="zh-CN"/>
              </w:rPr>
              <w:t xml:space="preserve"> </w:t>
            </w:r>
            <w:r w:rsidRPr="00462B94">
              <w:rPr>
                <w:rFonts w:ascii="Book Antiqua" w:hAnsi="Book Antiqua" w:cs="Arial"/>
                <w:b w:val="0"/>
                <w:bCs w:val="0"/>
                <w:sz w:val="24"/>
                <w:szCs w:val="24"/>
              </w:rPr>
              <w:t xml:space="preserve">85 </w:t>
            </w:r>
            <w:r w:rsidRPr="00462B94">
              <w:rPr>
                <w:rFonts w:ascii="Book Antiqua" w:hAnsi="Book Antiqua" w:cs="Arial"/>
                <w:b w:val="0"/>
                <w:bCs w:val="0"/>
                <w:i/>
                <w:sz w:val="24"/>
                <w:szCs w:val="24"/>
              </w:rPr>
              <w:t>vs</w:t>
            </w:r>
            <w:r w:rsidRPr="00462B94">
              <w:rPr>
                <w:rFonts w:ascii="Book Antiqua" w:hAnsi="Book Antiqua" w:cs="Arial"/>
                <w:b w:val="0"/>
                <w:bCs w:val="0"/>
                <w:sz w:val="24"/>
                <w:szCs w:val="24"/>
              </w:rPr>
              <w:t xml:space="preserve"> 18-44</w:t>
            </w:r>
          </w:p>
        </w:tc>
        <w:tc>
          <w:tcPr>
            <w:tcW w:w="0" w:type="auto"/>
            <w:shd w:val="clear" w:color="auto" w:fill="auto"/>
            <w:noWrap/>
            <w:hideMark/>
          </w:tcPr>
          <w:p w14:paraId="08BA9F0F"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15.63</w:t>
            </w:r>
          </w:p>
        </w:tc>
        <w:tc>
          <w:tcPr>
            <w:tcW w:w="0" w:type="auto"/>
            <w:shd w:val="clear" w:color="auto" w:fill="auto"/>
            <w:noWrap/>
            <w:hideMark/>
          </w:tcPr>
          <w:p w14:paraId="7A74A703"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5.51-44.39</w:t>
            </w:r>
          </w:p>
        </w:tc>
        <w:tc>
          <w:tcPr>
            <w:tcW w:w="0" w:type="auto"/>
            <w:shd w:val="clear" w:color="auto" w:fill="auto"/>
            <w:noWrap/>
          </w:tcPr>
          <w:p w14:paraId="68381081" w14:textId="1716A941"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445E140F"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69D78BF" w14:textId="2011F631"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t>Male</w:t>
            </w:r>
            <w:r w:rsidRPr="00462B94">
              <w:rPr>
                <w:rFonts w:ascii="Book Antiqua" w:hAnsi="Book Antiqua" w:cs="Arial"/>
                <w:i/>
                <w:sz w:val="24"/>
                <w:szCs w:val="24"/>
              </w:rPr>
              <w:t xml:space="preserve"> vs </w:t>
            </w:r>
            <w:r w:rsidR="001C5138" w:rsidRPr="00462B94">
              <w:rPr>
                <w:rFonts w:ascii="Book Antiqua" w:hAnsi="Book Antiqua" w:cs="Arial"/>
                <w:sz w:val="24"/>
                <w:szCs w:val="24"/>
              </w:rPr>
              <w:t>f</w:t>
            </w:r>
            <w:r w:rsidRPr="00462B94">
              <w:rPr>
                <w:rFonts w:ascii="Book Antiqua" w:hAnsi="Book Antiqua" w:cs="Arial"/>
                <w:sz w:val="24"/>
                <w:szCs w:val="24"/>
              </w:rPr>
              <w:t>emale</w:t>
            </w:r>
          </w:p>
        </w:tc>
        <w:tc>
          <w:tcPr>
            <w:tcW w:w="0" w:type="auto"/>
            <w:shd w:val="clear" w:color="auto" w:fill="auto"/>
            <w:noWrap/>
            <w:hideMark/>
          </w:tcPr>
          <w:p w14:paraId="422E2FA6"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0.89</w:t>
            </w:r>
          </w:p>
        </w:tc>
        <w:tc>
          <w:tcPr>
            <w:tcW w:w="0" w:type="auto"/>
            <w:shd w:val="clear" w:color="auto" w:fill="auto"/>
            <w:noWrap/>
            <w:hideMark/>
          </w:tcPr>
          <w:p w14:paraId="00E6BB3D"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0.75-1.05</w:t>
            </w:r>
          </w:p>
        </w:tc>
        <w:tc>
          <w:tcPr>
            <w:tcW w:w="0" w:type="auto"/>
            <w:shd w:val="clear" w:color="auto" w:fill="auto"/>
            <w:noWrap/>
          </w:tcPr>
          <w:p w14:paraId="2EA9D506"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0.155</w:t>
            </w:r>
          </w:p>
        </w:tc>
      </w:tr>
      <w:tr w:rsidR="001C5138" w:rsidRPr="00462B94" w14:paraId="4D224710"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834505C" w14:textId="77777777"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t>Race</w:t>
            </w:r>
          </w:p>
        </w:tc>
        <w:tc>
          <w:tcPr>
            <w:tcW w:w="0" w:type="auto"/>
            <w:shd w:val="clear" w:color="auto" w:fill="auto"/>
            <w:hideMark/>
          </w:tcPr>
          <w:p w14:paraId="39FBD7E7"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shd w:val="clear" w:color="auto" w:fill="auto"/>
            <w:hideMark/>
          </w:tcPr>
          <w:p w14:paraId="0D9683C6"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shd w:val="clear" w:color="auto" w:fill="auto"/>
          </w:tcPr>
          <w:p w14:paraId="624A0803" w14:textId="42DEA208"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3D54FCC6"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70D00D6"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 xml:space="preserve">African American </w:t>
            </w:r>
            <w:r w:rsidRPr="00462B94">
              <w:rPr>
                <w:rFonts w:ascii="Book Antiqua" w:hAnsi="Book Antiqua" w:cs="Arial"/>
                <w:b w:val="0"/>
                <w:bCs w:val="0"/>
                <w:i/>
                <w:sz w:val="24"/>
                <w:szCs w:val="24"/>
              </w:rPr>
              <w:t>vs</w:t>
            </w:r>
            <w:r w:rsidRPr="00462B94">
              <w:rPr>
                <w:rFonts w:ascii="Book Antiqua" w:hAnsi="Book Antiqua" w:cs="Arial"/>
                <w:b w:val="0"/>
                <w:bCs w:val="0"/>
                <w:sz w:val="24"/>
                <w:szCs w:val="24"/>
              </w:rPr>
              <w:t xml:space="preserve"> white</w:t>
            </w:r>
          </w:p>
        </w:tc>
        <w:tc>
          <w:tcPr>
            <w:tcW w:w="0" w:type="auto"/>
            <w:shd w:val="clear" w:color="auto" w:fill="auto"/>
            <w:noWrap/>
            <w:hideMark/>
          </w:tcPr>
          <w:p w14:paraId="08E5EB49"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1.09</w:t>
            </w:r>
          </w:p>
        </w:tc>
        <w:tc>
          <w:tcPr>
            <w:tcW w:w="0" w:type="auto"/>
            <w:shd w:val="clear" w:color="auto" w:fill="auto"/>
            <w:noWrap/>
            <w:hideMark/>
          </w:tcPr>
          <w:p w14:paraId="77800551"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0.88-1.35</w:t>
            </w:r>
          </w:p>
        </w:tc>
        <w:tc>
          <w:tcPr>
            <w:tcW w:w="0" w:type="auto"/>
            <w:shd w:val="clear" w:color="auto" w:fill="auto"/>
            <w:noWrap/>
          </w:tcPr>
          <w:p w14:paraId="0558DE4E"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0.413</w:t>
            </w:r>
          </w:p>
        </w:tc>
      </w:tr>
      <w:tr w:rsidR="001C5138" w:rsidRPr="00462B94" w14:paraId="5FE28CFE"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07218BE"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 xml:space="preserve">Hispanic </w:t>
            </w:r>
            <w:r w:rsidRPr="00462B94">
              <w:rPr>
                <w:rFonts w:ascii="Book Antiqua" w:hAnsi="Book Antiqua" w:cs="Arial"/>
                <w:b w:val="0"/>
                <w:bCs w:val="0"/>
                <w:i/>
                <w:sz w:val="24"/>
                <w:szCs w:val="24"/>
              </w:rPr>
              <w:t>vs</w:t>
            </w:r>
            <w:r w:rsidRPr="00462B94">
              <w:rPr>
                <w:rFonts w:ascii="Book Antiqua" w:hAnsi="Book Antiqua" w:cs="Arial"/>
                <w:b w:val="0"/>
                <w:bCs w:val="0"/>
                <w:sz w:val="24"/>
                <w:szCs w:val="24"/>
              </w:rPr>
              <w:t xml:space="preserve"> white</w:t>
            </w:r>
          </w:p>
        </w:tc>
        <w:tc>
          <w:tcPr>
            <w:tcW w:w="0" w:type="auto"/>
            <w:shd w:val="clear" w:color="auto" w:fill="auto"/>
            <w:noWrap/>
            <w:hideMark/>
          </w:tcPr>
          <w:p w14:paraId="342BD836"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0.45</w:t>
            </w:r>
          </w:p>
        </w:tc>
        <w:tc>
          <w:tcPr>
            <w:tcW w:w="0" w:type="auto"/>
            <w:shd w:val="clear" w:color="auto" w:fill="auto"/>
            <w:noWrap/>
            <w:hideMark/>
          </w:tcPr>
          <w:p w14:paraId="11126963"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0.31-0.67</w:t>
            </w:r>
          </w:p>
        </w:tc>
        <w:tc>
          <w:tcPr>
            <w:tcW w:w="0" w:type="auto"/>
            <w:shd w:val="clear" w:color="auto" w:fill="auto"/>
            <w:noWrap/>
          </w:tcPr>
          <w:p w14:paraId="0A61AACF" w14:textId="7532593C"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2A05A1E5"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147E0E7"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 xml:space="preserve">Asian </w:t>
            </w:r>
            <w:r w:rsidRPr="00462B94">
              <w:rPr>
                <w:rFonts w:ascii="Book Antiqua" w:hAnsi="Book Antiqua" w:cs="Arial"/>
                <w:b w:val="0"/>
                <w:bCs w:val="0"/>
                <w:i/>
                <w:sz w:val="24"/>
                <w:szCs w:val="24"/>
              </w:rPr>
              <w:t>vs</w:t>
            </w:r>
            <w:r w:rsidRPr="00462B94">
              <w:rPr>
                <w:rFonts w:ascii="Book Antiqua" w:hAnsi="Book Antiqua" w:cs="Arial"/>
                <w:b w:val="0"/>
                <w:bCs w:val="0"/>
                <w:sz w:val="24"/>
                <w:szCs w:val="24"/>
              </w:rPr>
              <w:t xml:space="preserve"> white</w:t>
            </w:r>
          </w:p>
        </w:tc>
        <w:tc>
          <w:tcPr>
            <w:tcW w:w="0" w:type="auto"/>
            <w:shd w:val="clear" w:color="auto" w:fill="auto"/>
            <w:noWrap/>
            <w:hideMark/>
          </w:tcPr>
          <w:p w14:paraId="0D8BBA04"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0.65</w:t>
            </w:r>
          </w:p>
        </w:tc>
        <w:tc>
          <w:tcPr>
            <w:tcW w:w="0" w:type="auto"/>
            <w:shd w:val="clear" w:color="auto" w:fill="auto"/>
            <w:noWrap/>
            <w:hideMark/>
          </w:tcPr>
          <w:p w14:paraId="446BD27E"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0.45-0.94</w:t>
            </w:r>
          </w:p>
        </w:tc>
        <w:tc>
          <w:tcPr>
            <w:tcW w:w="0" w:type="auto"/>
            <w:shd w:val="clear" w:color="auto" w:fill="auto"/>
            <w:noWrap/>
          </w:tcPr>
          <w:p w14:paraId="7776F799" w14:textId="66E52F06"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0.022</w:t>
            </w:r>
            <w:r w:rsidR="001C5138" w:rsidRPr="00462B94">
              <w:rPr>
                <w:rFonts w:ascii="Book Antiqua" w:hAnsi="Book Antiqua" w:cs="Arial" w:hint="eastAsia"/>
                <w:b/>
                <w:bCs/>
                <w:sz w:val="24"/>
                <w:szCs w:val="24"/>
                <w:vertAlign w:val="superscript"/>
                <w:lang w:eastAsia="zh-CN"/>
              </w:rPr>
              <w:t>a</w:t>
            </w:r>
          </w:p>
        </w:tc>
      </w:tr>
      <w:tr w:rsidR="001C5138" w:rsidRPr="00462B94" w14:paraId="300B9F10"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52084AA" w14:textId="77777777"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t>Non-elective</w:t>
            </w:r>
            <w:r w:rsidRPr="00462B94">
              <w:rPr>
                <w:rFonts w:ascii="Book Antiqua" w:hAnsi="Book Antiqua" w:cs="Arial"/>
                <w:i/>
                <w:sz w:val="24"/>
                <w:szCs w:val="24"/>
              </w:rPr>
              <w:t xml:space="preserve"> vs</w:t>
            </w:r>
            <w:r w:rsidRPr="00462B94">
              <w:rPr>
                <w:rFonts w:ascii="Book Antiqua" w:hAnsi="Book Antiqua" w:cs="Arial"/>
                <w:sz w:val="24"/>
                <w:szCs w:val="24"/>
              </w:rPr>
              <w:t xml:space="preserve"> elective admission</w:t>
            </w:r>
          </w:p>
        </w:tc>
        <w:tc>
          <w:tcPr>
            <w:tcW w:w="0" w:type="auto"/>
            <w:shd w:val="clear" w:color="auto" w:fill="auto"/>
            <w:noWrap/>
            <w:hideMark/>
          </w:tcPr>
          <w:p w14:paraId="3B8E499F"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2.00</w:t>
            </w:r>
          </w:p>
        </w:tc>
        <w:tc>
          <w:tcPr>
            <w:tcW w:w="0" w:type="auto"/>
            <w:shd w:val="clear" w:color="auto" w:fill="auto"/>
            <w:noWrap/>
            <w:hideMark/>
          </w:tcPr>
          <w:p w14:paraId="5CAB26C3"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1.44-2.79</w:t>
            </w:r>
          </w:p>
        </w:tc>
        <w:tc>
          <w:tcPr>
            <w:tcW w:w="0" w:type="auto"/>
            <w:shd w:val="clear" w:color="auto" w:fill="auto"/>
            <w:noWrap/>
          </w:tcPr>
          <w:p w14:paraId="2CFAE40D" w14:textId="27E8ED06"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6BEC2030"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8E20892" w14:textId="77777777"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t>Median household income quartile 0-25</w:t>
            </w:r>
            <w:r w:rsidRPr="00462B94">
              <w:rPr>
                <w:rFonts w:ascii="Book Antiqua" w:hAnsi="Book Antiqua" w:cs="Arial"/>
                <w:sz w:val="24"/>
                <w:szCs w:val="24"/>
                <w:vertAlign w:val="superscript"/>
              </w:rPr>
              <w:t>th</w:t>
            </w:r>
            <w:r w:rsidRPr="00462B94">
              <w:rPr>
                <w:rFonts w:ascii="Book Antiqua" w:hAnsi="Book Antiqua" w:cs="Arial"/>
                <w:sz w:val="24"/>
                <w:szCs w:val="24"/>
              </w:rPr>
              <w:t xml:space="preserve"> </w:t>
            </w:r>
            <w:r w:rsidRPr="00462B94">
              <w:rPr>
                <w:rFonts w:ascii="Book Antiqua" w:hAnsi="Book Antiqua" w:cs="Arial"/>
                <w:i/>
                <w:sz w:val="24"/>
                <w:szCs w:val="24"/>
              </w:rPr>
              <w:t>vs</w:t>
            </w:r>
            <w:r w:rsidRPr="00462B94">
              <w:rPr>
                <w:rFonts w:ascii="Book Antiqua" w:hAnsi="Book Antiqua" w:cs="Arial"/>
                <w:sz w:val="24"/>
                <w:szCs w:val="24"/>
              </w:rPr>
              <w:t xml:space="preserve"> 76-100</w:t>
            </w:r>
            <w:r w:rsidRPr="00462B94">
              <w:rPr>
                <w:rFonts w:ascii="Book Antiqua" w:hAnsi="Book Antiqua" w:cs="Arial"/>
                <w:sz w:val="24"/>
                <w:szCs w:val="24"/>
                <w:vertAlign w:val="superscript"/>
              </w:rPr>
              <w:t>th#</w:t>
            </w:r>
          </w:p>
        </w:tc>
        <w:tc>
          <w:tcPr>
            <w:tcW w:w="0" w:type="auto"/>
            <w:shd w:val="clear" w:color="auto" w:fill="auto"/>
            <w:noWrap/>
            <w:hideMark/>
          </w:tcPr>
          <w:p w14:paraId="226FA820"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1.44</w:t>
            </w:r>
          </w:p>
        </w:tc>
        <w:tc>
          <w:tcPr>
            <w:tcW w:w="0" w:type="auto"/>
            <w:shd w:val="clear" w:color="auto" w:fill="auto"/>
            <w:noWrap/>
            <w:hideMark/>
          </w:tcPr>
          <w:p w14:paraId="30919A5C"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1.17-1.78</w:t>
            </w:r>
          </w:p>
        </w:tc>
        <w:tc>
          <w:tcPr>
            <w:tcW w:w="0" w:type="auto"/>
            <w:shd w:val="clear" w:color="auto" w:fill="auto"/>
            <w:noWrap/>
          </w:tcPr>
          <w:p w14:paraId="5CDB80E1" w14:textId="7C86AD63"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539A31FA"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C9BB338" w14:textId="77777777"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t>Comorbidities</w:t>
            </w:r>
          </w:p>
        </w:tc>
        <w:tc>
          <w:tcPr>
            <w:tcW w:w="0" w:type="auto"/>
            <w:shd w:val="clear" w:color="auto" w:fill="auto"/>
            <w:noWrap/>
            <w:hideMark/>
          </w:tcPr>
          <w:p w14:paraId="5C3746D4"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shd w:val="clear" w:color="auto" w:fill="auto"/>
            <w:noWrap/>
            <w:hideMark/>
          </w:tcPr>
          <w:p w14:paraId="4FA52AE6"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0" w:type="auto"/>
            <w:shd w:val="clear" w:color="auto" w:fill="auto"/>
            <w:noWrap/>
          </w:tcPr>
          <w:p w14:paraId="0E6BAB60"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1C5138" w:rsidRPr="00462B94" w14:paraId="657FBA09"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D7C352F"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lastRenderedPageBreak/>
              <w:t>Alcohol abuse</w:t>
            </w:r>
          </w:p>
        </w:tc>
        <w:tc>
          <w:tcPr>
            <w:tcW w:w="0" w:type="auto"/>
            <w:shd w:val="clear" w:color="auto" w:fill="auto"/>
            <w:noWrap/>
            <w:hideMark/>
          </w:tcPr>
          <w:p w14:paraId="01114576"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0.49</w:t>
            </w:r>
          </w:p>
        </w:tc>
        <w:tc>
          <w:tcPr>
            <w:tcW w:w="0" w:type="auto"/>
            <w:shd w:val="clear" w:color="auto" w:fill="auto"/>
            <w:noWrap/>
            <w:hideMark/>
          </w:tcPr>
          <w:p w14:paraId="0EA27D3D"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0.31-0.79</w:t>
            </w:r>
          </w:p>
        </w:tc>
        <w:tc>
          <w:tcPr>
            <w:tcW w:w="0" w:type="auto"/>
            <w:shd w:val="clear" w:color="auto" w:fill="auto"/>
            <w:noWrap/>
          </w:tcPr>
          <w:p w14:paraId="0AAB3793" w14:textId="09AEB483"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0.003</w:t>
            </w:r>
            <w:r w:rsidR="001C5138" w:rsidRPr="00462B94">
              <w:rPr>
                <w:rFonts w:ascii="Book Antiqua" w:hAnsi="Book Antiqua" w:cs="Arial" w:hint="eastAsia"/>
                <w:b/>
                <w:bCs/>
                <w:sz w:val="24"/>
                <w:szCs w:val="24"/>
                <w:vertAlign w:val="superscript"/>
                <w:lang w:eastAsia="zh-CN"/>
              </w:rPr>
              <w:t>a</w:t>
            </w:r>
          </w:p>
        </w:tc>
      </w:tr>
      <w:tr w:rsidR="001C5138" w:rsidRPr="00462B94" w14:paraId="4E9BEB83"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7010D33B"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Rheumatoid arthritis/collagen vascular diseases</w:t>
            </w:r>
          </w:p>
        </w:tc>
        <w:tc>
          <w:tcPr>
            <w:tcW w:w="0" w:type="auto"/>
            <w:shd w:val="clear" w:color="auto" w:fill="auto"/>
            <w:noWrap/>
            <w:hideMark/>
          </w:tcPr>
          <w:p w14:paraId="50846C6D"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1.57</w:t>
            </w:r>
          </w:p>
        </w:tc>
        <w:tc>
          <w:tcPr>
            <w:tcW w:w="0" w:type="auto"/>
            <w:shd w:val="clear" w:color="auto" w:fill="auto"/>
            <w:noWrap/>
            <w:hideMark/>
          </w:tcPr>
          <w:p w14:paraId="03408451"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1.09-2.25</w:t>
            </w:r>
          </w:p>
        </w:tc>
        <w:tc>
          <w:tcPr>
            <w:tcW w:w="0" w:type="auto"/>
            <w:shd w:val="clear" w:color="auto" w:fill="auto"/>
            <w:noWrap/>
          </w:tcPr>
          <w:p w14:paraId="5D20CE6C" w14:textId="60FA8B2E"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0.016</w:t>
            </w:r>
            <w:r w:rsidR="001C5138" w:rsidRPr="00462B94">
              <w:rPr>
                <w:rFonts w:ascii="Book Antiqua" w:hAnsi="Book Antiqua" w:cs="Arial" w:hint="eastAsia"/>
                <w:b/>
                <w:bCs/>
                <w:sz w:val="24"/>
                <w:szCs w:val="24"/>
                <w:vertAlign w:val="superscript"/>
                <w:lang w:eastAsia="zh-CN"/>
              </w:rPr>
              <w:t>a</w:t>
            </w:r>
          </w:p>
        </w:tc>
      </w:tr>
      <w:tr w:rsidR="001C5138" w:rsidRPr="00462B94" w14:paraId="7299F637"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EA6EF1C"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Congestive heart failure</w:t>
            </w:r>
          </w:p>
        </w:tc>
        <w:tc>
          <w:tcPr>
            <w:tcW w:w="0" w:type="auto"/>
            <w:shd w:val="clear" w:color="auto" w:fill="auto"/>
            <w:noWrap/>
            <w:hideMark/>
          </w:tcPr>
          <w:p w14:paraId="752FDBF0"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5.91</w:t>
            </w:r>
          </w:p>
        </w:tc>
        <w:tc>
          <w:tcPr>
            <w:tcW w:w="0" w:type="auto"/>
            <w:shd w:val="clear" w:color="auto" w:fill="auto"/>
            <w:noWrap/>
            <w:hideMark/>
          </w:tcPr>
          <w:p w14:paraId="48156D10"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3.54-9.86</w:t>
            </w:r>
          </w:p>
        </w:tc>
        <w:tc>
          <w:tcPr>
            <w:tcW w:w="0" w:type="auto"/>
            <w:shd w:val="clear" w:color="auto" w:fill="auto"/>
            <w:noWrap/>
          </w:tcPr>
          <w:p w14:paraId="7905E7C9" w14:textId="5FBDE364"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0.000</w:t>
            </w:r>
            <w:r w:rsidR="001C5138" w:rsidRPr="00462B94">
              <w:rPr>
                <w:rFonts w:ascii="Book Antiqua" w:hAnsi="Book Antiqua" w:cs="Arial" w:hint="eastAsia"/>
                <w:b/>
                <w:bCs/>
                <w:sz w:val="24"/>
                <w:szCs w:val="24"/>
                <w:vertAlign w:val="superscript"/>
                <w:lang w:eastAsia="zh-CN"/>
              </w:rPr>
              <w:t>a</w:t>
            </w:r>
          </w:p>
        </w:tc>
      </w:tr>
      <w:tr w:rsidR="001C5138" w:rsidRPr="00462B94" w14:paraId="01DBCFF6"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78780E9"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Coagulopathy</w:t>
            </w:r>
          </w:p>
        </w:tc>
        <w:tc>
          <w:tcPr>
            <w:tcW w:w="0" w:type="auto"/>
            <w:shd w:val="clear" w:color="auto" w:fill="auto"/>
            <w:noWrap/>
            <w:hideMark/>
          </w:tcPr>
          <w:p w14:paraId="446937E5"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1.29</w:t>
            </w:r>
          </w:p>
        </w:tc>
        <w:tc>
          <w:tcPr>
            <w:tcW w:w="0" w:type="auto"/>
            <w:shd w:val="clear" w:color="auto" w:fill="auto"/>
            <w:noWrap/>
            <w:hideMark/>
          </w:tcPr>
          <w:p w14:paraId="13923073"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1.05-1.58</w:t>
            </w:r>
          </w:p>
        </w:tc>
        <w:tc>
          <w:tcPr>
            <w:tcW w:w="0" w:type="auto"/>
            <w:shd w:val="clear" w:color="auto" w:fill="auto"/>
            <w:noWrap/>
          </w:tcPr>
          <w:p w14:paraId="6A596099" w14:textId="1C08FE93"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0.014</w:t>
            </w:r>
            <w:r w:rsidR="001C5138" w:rsidRPr="00462B94">
              <w:rPr>
                <w:rFonts w:ascii="Book Antiqua" w:hAnsi="Book Antiqua" w:cs="Arial" w:hint="eastAsia"/>
                <w:b/>
                <w:bCs/>
                <w:sz w:val="24"/>
                <w:szCs w:val="24"/>
                <w:vertAlign w:val="superscript"/>
                <w:lang w:eastAsia="zh-CN"/>
              </w:rPr>
              <w:t>a</w:t>
            </w:r>
          </w:p>
        </w:tc>
      </w:tr>
      <w:tr w:rsidR="001C5138" w:rsidRPr="00462B94" w14:paraId="5A9DA4CF"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8C5C5F0"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Drug abuse</w:t>
            </w:r>
          </w:p>
        </w:tc>
        <w:tc>
          <w:tcPr>
            <w:tcW w:w="0" w:type="auto"/>
            <w:shd w:val="clear" w:color="auto" w:fill="auto"/>
            <w:noWrap/>
            <w:hideMark/>
          </w:tcPr>
          <w:p w14:paraId="06478387"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2.33</w:t>
            </w:r>
          </w:p>
        </w:tc>
        <w:tc>
          <w:tcPr>
            <w:tcW w:w="0" w:type="auto"/>
            <w:shd w:val="clear" w:color="auto" w:fill="auto"/>
            <w:noWrap/>
            <w:hideMark/>
          </w:tcPr>
          <w:p w14:paraId="008D756A"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1.34-4.05</w:t>
            </w:r>
          </w:p>
        </w:tc>
        <w:tc>
          <w:tcPr>
            <w:tcW w:w="0" w:type="auto"/>
            <w:shd w:val="clear" w:color="auto" w:fill="auto"/>
            <w:noWrap/>
          </w:tcPr>
          <w:p w14:paraId="4DDE0CCB" w14:textId="463C912E"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0.003</w:t>
            </w:r>
            <w:r w:rsidR="001C5138" w:rsidRPr="00462B94">
              <w:rPr>
                <w:rFonts w:ascii="Book Antiqua" w:hAnsi="Book Antiqua" w:cs="Arial" w:hint="eastAsia"/>
                <w:b/>
                <w:bCs/>
                <w:sz w:val="24"/>
                <w:szCs w:val="24"/>
                <w:vertAlign w:val="superscript"/>
                <w:lang w:eastAsia="zh-CN"/>
              </w:rPr>
              <w:t>a</w:t>
            </w:r>
          </w:p>
        </w:tc>
      </w:tr>
      <w:tr w:rsidR="001C5138" w:rsidRPr="00462B94" w14:paraId="7B7D1331"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CC86F11"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Fluid and electrolyte disorders</w:t>
            </w:r>
          </w:p>
        </w:tc>
        <w:tc>
          <w:tcPr>
            <w:tcW w:w="0" w:type="auto"/>
            <w:shd w:val="clear" w:color="auto" w:fill="auto"/>
            <w:noWrap/>
            <w:hideMark/>
          </w:tcPr>
          <w:p w14:paraId="6059BF28"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2.88</w:t>
            </w:r>
          </w:p>
        </w:tc>
        <w:tc>
          <w:tcPr>
            <w:tcW w:w="0" w:type="auto"/>
            <w:shd w:val="clear" w:color="auto" w:fill="auto"/>
            <w:noWrap/>
            <w:hideMark/>
          </w:tcPr>
          <w:p w14:paraId="6E075598"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2.49-3.35</w:t>
            </w:r>
          </w:p>
        </w:tc>
        <w:tc>
          <w:tcPr>
            <w:tcW w:w="0" w:type="auto"/>
            <w:shd w:val="clear" w:color="auto" w:fill="auto"/>
            <w:noWrap/>
          </w:tcPr>
          <w:p w14:paraId="2A6B8FEC" w14:textId="196AC9A2"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28672882"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856436D"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Other neurological disorders</w:t>
            </w:r>
          </w:p>
        </w:tc>
        <w:tc>
          <w:tcPr>
            <w:tcW w:w="0" w:type="auto"/>
            <w:shd w:val="clear" w:color="auto" w:fill="auto"/>
            <w:noWrap/>
            <w:hideMark/>
          </w:tcPr>
          <w:p w14:paraId="7065738D"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1.72</w:t>
            </w:r>
          </w:p>
        </w:tc>
        <w:tc>
          <w:tcPr>
            <w:tcW w:w="0" w:type="auto"/>
            <w:shd w:val="clear" w:color="auto" w:fill="auto"/>
            <w:noWrap/>
            <w:hideMark/>
          </w:tcPr>
          <w:p w14:paraId="7F0EE8F2"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1.33-2.23</w:t>
            </w:r>
          </w:p>
        </w:tc>
        <w:tc>
          <w:tcPr>
            <w:tcW w:w="0" w:type="auto"/>
            <w:shd w:val="clear" w:color="auto" w:fill="auto"/>
            <w:noWrap/>
          </w:tcPr>
          <w:p w14:paraId="7A0B8E83" w14:textId="27459B94"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5E041643"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889D2E1"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Obesity</w:t>
            </w:r>
          </w:p>
        </w:tc>
        <w:tc>
          <w:tcPr>
            <w:tcW w:w="0" w:type="auto"/>
            <w:shd w:val="clear" w:color="auto" w:fill="auto"/>
            <w:noWrap/>
            <w:hideMark/>
          </w:tcPr>
          <w:p w14:paraId="7A6BB86F"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0.79</w:t>
            </w:r>
          </w:p>
        </w:tc>
        <w:tc>
          <w:tcPr>
            <w:tcW w:w="0" w:type="auto"/>
            <w:shd w:val="clear" w:color="auto" w:fill="auto"/>
            <w:noWrap/>
            <w:hideMark/>
          </w:tcPr>
          <w:p w14:paraId="118F6B18"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0.66-0.95</w:t>
            </w:r>
          </w:p>
        </w:tc>
        <w:tc>
          <w:tcPr>
            <w:tcW w:w="0" w:type="auto"/>
            <w:shd w:val="clear" w:color="auto" w:fill="auto"/>
            <w:noWrap/>
          </w:tcPr>
          <w:p w14:paraId="460C396E" w14:textId="6DD820D2"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0.012</w:t>
            </w:r>
            <w:r w:rsidR="001C5138" w:rsidRPr="00462B94">
              <w:rPr>
                <w:rFonts w:ascii="Book Antiqua" w:hAnsi="Book Antiqua" w:cs="Arial" w:hint="eastAsia"/>
                <w:b/>
                <w:bCs/>
                <w:sz w:val="24"/>
                <w:szCs w:val="24"/>
                <w:vertAlign w:val="superscript"/>
                <w:lang w:eastAsia="zh-CN"/>
              </w:rPr>
              <w:t>a</w:t>
            </w:r>
          </w:p>
        </w:tc>
      </w:tr>
      <w:tr w:rsidR="001C5138" w:rsidRPr="00462B94" w14:paraId="087C7D7B"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DD6F85B"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Peripheral vascular disorders</w:t>
            </w:r>
          </w:p>
        </w:tc>
        <w:tc>
          <w:tcPr>
            <w:tcW w:w="0" w:type="auto"/>
            <w:shd w:val="clear" w:color="auto" w:fill="auto"/>
            <w:noWrap/>
            <w:hideMark/>
          </w:tcPr>
          <w:p w14:paraId="1B02AA1B"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1.60</w:t>
            </w:r>
          </w:p>
        </w:tc>
        <w:tc>
          <w:tcPr>
            <w:tcW w:w="0" w:type="auto"/>
            <w:shd w:val="clear" w:color="auto" w:fill="auto"/>
            <w:noWrap/>
            <w:hideMark/>
          </w:tcPr>
          <w:p w14:paraId="504488A0"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1.36-1.88</w:t>
            </w:r>
          </w:p>
        </w:tc>
        <w:tc>
          <w:tcPr>
            <w:tcW w:w="0" w:type="auto"/>
            <w:shd w:val="clear" w:color="auto" w:fill="auto"/>
            <w:noWrap/>
          </w:tcPr>
          <w:p w14:paraId="703A5284" w14:textId="5F9A65F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2B95593B"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2AE67DF9"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Renal failure</w:t>
            </w:r>
          </w:p>
        </w:tc>
        <w:tc>
          <w:tcPr>
            <w:tcW w:w="0" w:type="auto"/>
            <w:shd w:val="clear" w:color="auto" w:fill="auto"/>
            <w:noWrap/>
            <w:hideMark/>
          </w:tcPr>
          <w:p w14:paraId="677B8C53"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2.04</w:t>
            </w:r>
          </w:p>
        </w:tc>
        <w:tc>
          <w:tcPr>
            <w:tcW w:w="0" w:type="auto"/>
            <w:shd w:val="clear" w:color="auto" w:fill="auto"/>
            <w:noWrap/>
            <w:hideMark/>
          </w:tcPr>
          <w:p w14:paraId="09C34850"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1.13-3.70</w:t>
            </w:r>
          </w:p>
        </w:tc>
        <w:tc>
          <w:tcPr>
            <w:tcW w:w="0" w:type="auto"/>
            <w:shd w:val="clear" w:color="auto" w:fill="auto"/>
            <w:noWrap/>
          </w:tcPr>
          <w:p w14:paraId="23B9D7B7" w14:textId="421D4F8A"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0.019</w:t>
            </w:r>
            <w:r w:rsidR="001C5138" w:rsidRPr="00462B94">
              <w:rPr>
                <w:rFonts w:ascii="Book Antiqua" w:hAnsi="Book Antiqua" w:cs="Arial" w:hint="eastAsia"/>
                <w:b/>
                <w:bCs/>
                <w:sz w:val="24"/>
                <w:szCs w:val="24"/>
                <w:vertAlign w:val="superscript"/>
                <w:lang w:eastAsia="zh-CN"/>
              </w:rPr>
              <w:t>a</w:t>
            </w:r>
          </w:p>
        </w:tc>
      </w:tr>
      <w:tr w:rsidR="001C5138" w:rsidRPr="00462B94" w14:paraId="56B70C06"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B8CE66E"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Valvular disease</w:t>
            </w:r>
          </w:p>
        </w:tc>
        <w:tc>
          <w:tcPr>
            <w:tcW w:w="0" w:type="auto"/>
            <w:shd w:val="clear" w:color="auto" w:fill="auto"/>
            <w:noWrap/>
            <w:hideMark/>
          </w:tcPr>
          <w:p w14:paraId="0770D412"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8.15</w:t>
            </w:r>
          </w:p>
        </w:tc>
        <w:tc>
          <w:tcPr>
            <w:tcW w:w="0" w:type="auto"/>
            <w:shd w:val="clear" w:color="auto" w:fill="auto"/>
            <w:noWrap/>
            <w:hideMark/>
          </w:tcPr>
          <w:p w14:paraId="0E845C4E"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3.87-17.15</w:t>
            </w:r>
          </w:p>
        </w:tc>
        <w:tc>
          <w:tcPr>
            <w:tcW w:w="0" w:type="auto"/>
            <w:shd w:val="clear" w:color="auto" w:fill="auto"/>
            <w:noWrap/>
          </w:tcPr>
          <w:p w14:paraId="06D5E4CC" w14:textId="01729B2B"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654F7ECE"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7551892"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Dyslipidemia</w:t>
            </w:r>
          </w:p>
        </w:tc>
        <w:tc>
          <w:tcPr>
            <w:tcW w:w="0" w:type="auto"/>
            <w:shd w:val="clear" w:color="auto" w:fill="auto"/>
            <w:noWrap/>
            <w:hideMark/>
          </w:tcPr>
          <w:p w14:paraId="269C8370"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0.63</w:t>
            </w:r>
          </w:p>
        </w:tc>
        <w:tc>
          <w:tcPr>
            <w:tcW w:w="0" w:type="auto"/>
            <w:shd w:val="clear" w:color="auto" w:fill="auto"/>
            <w:noWrap/>
            <w:hideMark/>
          </w:tcPr>
          <w:p w14:paraId="5D6B36D4"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0.54-0.72</w:t>
            </w:r>
          </w:p>
        </w:tc>
        <w:tc>
          <w:tcPr>
            <w:tcW w:w="0" w:type="auto"/>
            <w:shd w:val="clear" w:color="auto" w:fill="auto"/>
            <w:noWrap/>
          </w:tcPr>
          <w:p w14:paraId="7523465E" w14:textId="7E6DF5A4"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7569149D"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5C08C03" w14:textId="77777777" w:rsidR="00FC17C8" w:rsidRPr="00462B94" w:rsidRDefault="00FC17C8" w:rsidP="00462B94">
            <w:pPr>
              <w:spacing w:line="360" w:lineRule="auto"/>
              <w:jc w:val="both"/>
              <w:rPr>
                <w:rFonts w:ascii="Book Antiqua" w:hAnsi="Book Antiqua" w:cs="Arial"/>
                <w:sz w:val="24"/>
                <w:szCs w:val="24"/>
              </w:rPr>
            </w:pPr>
            <w:r w:rsidRPr="00462B94">
              <w:rPr>
                <w:rFonts w:ascii="Book Antiqua" w:hAnsi="Book Antiqua" w:cs="Arial"/>
                <w:sz w:val="24"/>
                <w:szCs w:val="24"/>
              </w:rPr>
              <w:t>Outcomes/postoperative complications</w:t>
            </w:r>
          </w:p>
        </w:tc>
        <w:tc>
          <w:tcPr>
            <w:tcW w:w="0" w:type="auto"/>
            <w:shd w:val="clear" w:color="auto" w:fill="auto"/>
            <w:noWrap/>
            <w:hideMark/>
          </w:tcPr>
          <w:p w14:paraId="36C82D80"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c>
          <w:tcPr>
            <w:tcW w:w="0" w:type="auto"/>
            <w:shd w:val="clear" w:color="auto" w:fill="auto"/>
            <w:noWrap/>
            <w:hideMark/>
          </w:tcPr>
          <w:p w14:paraId="38865C3F"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c>
          <w:tcPr>
            <w:tcW w:w="0" w:type="auto"/>
            <w:shd w:val="clear" w:color="auto" w:fill="auto"/>
            <w:noWrap/>
          </w:tcPr>
          <w:p w14:paraId="158DA113"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r>
      <w:tr w:rsidR="001C5138" w:rsidRPr="00462B94" w14:paraId="1F5613C6"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B48CC83"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Hypotension/shock</w:t>
            </w:r>
          </w:p>
        </w:tc>
        <w:tc>
          <w:tcPr>
            <w:tcW w:w="0" w:type="auto"/>
            <w:shd w:val="clear" w:color="auto" w:fill="auto"/>
            <w:noWrap/>
            <w:hideMark/>
          </w:tcPr>
          <w:p w14:paraId="12DA92A3"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2.97</w:t>
            </w:r>
          </w:p>
        </w:tc>
        <w:tc>
          <w:tcPr>
            <w:tcW w:w="0" w:type="auto"/>
            <w:shd w:val="clear" w:color="auto" w:fill="auto"/>
            <w:noWrap/>
            <w:hideMark/>
          </w:tcPr>
          <w:p w14:paraId="663830E8"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1.93-4.56</w:t>
            </w:r>
          </w:p>
        </w:tc>
        <w:tc>
          <w:tcPr>
            <w:tcW w:w="0" w:type="auto"/>
            <w:shd w:val="clear" w:color="auto" w:fill="auto"/>
            <w:noWrap/>
          </w:tcPr>
          <w:p w14:paraId="14B92F3E" w14:textId="49D8AB5E"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194D5D8C"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44159E3"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Cardiac complications</w:t>
            </w:r>
          </w:p>
        </w:tc>
        <w:tc>
          <w:tcPr>
            <w:tcW w:w="0" w:type="auto"/>
            <w:shd w:val="clear" w:color="auto" w:fill="auto"/>
            <w:noWrap/>
            <w:hideMark/>
          </w:tcPr>
          <w:p w14:paraId="1A2233D5"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1.59</w:t>
            </w:r>
          </w:p>
        </w:tc>
        <w:tc>
          <w:tcPr>
            <w:tcW w:w="0" w:type="auto"/>
            <w:shd w:val="clear" w:color="auto" w:fill="auto"/>
            <w:noWrap/>
            <w:hideMark/>
          </w:tcPr>
          <w:p w14:paraId="2D2B281B"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1.19-2.11</w:t>
            </w:r>
          </w:p>
        </w:tc>
        <w:tc>
          <w:tcPr>
            <w:tcW w:w="0" w:type="auto"/>
            <w:shd w:val="clear" w:color="auto" w:fill="auto"/>
            <w:noWrap/>
          </w:tcPr>
          <w:p w14:paraId="6BAE5059" w14:textId="48AFD123"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0.002</w:t>
            </w:r>
            <w:r w:rsidR="001C5138" w:rsidRPr="00462B94">
              <w:rPr>
                <w:rFonts w:ascii="Book Antiqua" w:hAnsi="Book Antiqua" w:cs="Arial" w:hint="eastAsia"/>
                <w:b/>
                <w:bCs/>
                <w:sz w:val="24"/>
                <w:szCs w:val="24"/>
                <w:vertAlign w:val="superscript"/>
                <w:lang w:eastAsia="zh-CN"/>
              </w:rPr>
              <w:t>a</w:t>
            </w:r>
          </w:p>
        </w:tc>
      </w:tr>
      <w:tr w:rsidR="001C5138" w:rsidRPr="00462B94" w14:paraId="321FF86F"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80A7709"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lastRenderedPageBreak/>
              <w:t>Postoperative myocardial infarction</w:t>
            </w:r>
          </w:p>
        </w:tc>
        <w:tc>
          <w:tcPr>
            <w:tcW w:w="0" w:type="auto"/>
            <w:shd w:val="clear" w:color="auto" w:fill="auto"/>
            <w:noWrap/>
            <w:hideMark/>
          </w:tcPr>
          <w:p w14:paraId="5485706E"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2.53</w:t>
            </w:r>
          </w:p>
        </w:tc>
        <w:tc>
          <w:tcPr>
            <w:tcW w:w="0" w:type="auto"/>
            <w:shd w:val="clear" w:color="auto" w:fill="auto"/>
            <w:noWrap/>
            <w:hideMark/>
          </w:tcPr>
          <w:p w14:paraId="1E3715D6"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1.74-3.68</w:t>
            </w:r>
          </w:p>
        </w:tc>
        <w:tc>
          <w:tcPr>
            <w:tcW w:w="0" w:type="auto"/>
            <w:shd w:val="clear" w:color="auto" w:fill="auto"/>
            <w:noWrap/>
          </w:tcPr>
          <w:p w14:paraId="424D7F78" w14:textId="66B17B5B"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49D877C4"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F8A8C00"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 xml:space="preserve">Perioperative stroke </w:t>
            </w:r>
          </w:p>
        </w:tc>
        <w:tc>
          <w:tcPr>
            <w:tcW w:w="0" w:type="auto"/>
            <w:shd w:val="clear" w:color="auto" w:fill="auto"/>
            <w:noWrap/>
            <w:hideMark/>
          </w:tcPr>
          <w:p w14:paraId="51298F07"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2.48</w:t>
            </w:r>
          </w:p>
        </w:tc>
        <w:tc>
          <w:tcPr>
            <w:tcW w:w="0" w:type="auto"/>
            <w:shd w:val="clear" w:color="auto" w:fill="auto"/>
            <w:noWrap/>
            <w:hideMark/>
          </w:tcPr>
          <w:p w14:paraId="4260CDC5" w14:textId="77777777"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1.20-5.10</w:t>
            </w:r>
          </w:p>
        </w:tc>
        <w:tc>
          <w:tcPr>
            <w:tcW w:w="0" w:type="auto"/>
            <w:shd w:val="clear" w:color="auto" w:fill="auto"/>
            <w:noWrap/>
          </w:tcPr>
          <w:p w14:paraId="16C2CA52" w14:textId="3E486ADB" w:rsidR="00FC17C8" w:rsidRPr="00462B94" w:rsidRDefault="00FC17C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0.014</w:t>
            </w:r>
            <w:r w:rsidR="001C5138" w:rsidRPr="00462B94">
              <w:rPr>
                <w:rFonts w:ascii="Book Antiqua" w:hAnsi="Book Antiqua" w:cs="Arial" w:hint="eastAsia"/>
                <w:b/>
                <w:bCs/>
                <w:sz w:val="24"/>
                <w:szCs w:val="24"/>
                <w:vertAlign w:val="superscript"/>
                <w:lang w:eastAsia="zh-CN"/>
              </w:rPr>
              <w:t>a</w:t>
            </w:r>
          </w:p>
        </w:tc>
      </w:tr>
      <w:tr w:rsidR="001C5138" w:rsidRPr="00462B94" w14:paraId="1F798D5E"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0777B17" w14:textId="77777777" w:rsidR="00FC17C8" w:rsidRPr="00462B94" w:rsidRDefault="00FC17C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Respiratory complications</w:t>
            </w:r>
          </w:p>
        </w:tc>
        <w:tc>
          <w:tcPr>
            <w:tcW w:w="0" w:type="auto"/>
            <w:shd w:val="clear" w:color="auto" w:fill="auto"/>
            <w:noWrap/>
            <w:hideMark/>
          </w:tcPr>
          <w:p w14:paraId="52B9CF83"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1.80</w:t>
            </w:r>
          </w:p>
        </w:tc>
        <w:tc>
          <w:tcPr>
            <w:tcW w:w="0" w:type="auto"/>
            <w:shd w:val="clear" w:color="auto" w:fill="auto"/>
            <w:noWrap/>
            <w:hideMark/>
          </w:tcPr>
          <w:p w14:paraId="3D5AAA3C" w14:textId="77777777"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1.41-2.30</w:t>
            </w:r>
          </w:p>
        </w:tc>
        <w:tc>
          <w:tcPr>
            <w:tcW w:w="0" w:type="auto"/>
            <w:shd w:val="clear" w:color="auto" w:fill="auto"/>
            <w:noWrap/>
          </w:tcPr>
          <w:p w14:paraId="5A418AE0" w14:textId="1BF30A94" w:rsidR="00FC17C8" w:rsidRPr="00462B94" w:rsidRDefault="00FC17C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001C5138"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001C5138" w:rsidRPr="00462B94">
              <w:rPr>
                <w:rFonts w:ascii="Book Antiqua" w:hAnsi="Book Antiqua" w:cs="Arial" w:hint="eastAsia"/>
                <w:b/>
                <w:bCs/>
                <w:sz w:val="24"/>
                <w:szCs w:val="24"/>
                <w:vertAlign w:val="superscript"/>
                <w:lang w:eastAsia="zh-CN"/>
              </w:rPr>
              <w:t>a</w:t>
            </w:r>
          </w:p>
        </w:tc>
      </w:tr>
      <w:tr w:rsidR="001C5138" w:rsidRPr="00462B94" w14:paraId="47C69ABC" w14:textId="77777777" w:rsidTr="001C513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5310866" w14:textId="77777777" w:rsidR="001C5138" w:rsidRPr="00462B94" w:rsidRDefault="001C513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Postoperative acute kidney injury</w:t>
            </w:r>
          </w:p>
        </w:tc>
        <w:tc>
          <w:tcPr>
            <w:tcW w:w="0" w:type="auto"/>
            <w:shd w:val="clear" w:color="auto" w:fill="auto"/>
            <w:noWrap/>
            <w:hideMark/>
          </w:tcPr>
          <w:p w14:paraId="151BDBD7" w14:textId="77777777" w:rsidR="001C5138" w:rsidRPr="00462B94" w:rsidRDefault="001C51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1.48</w:t>
            </w:r>
          </w:p>
        </w:tc>
        <w:tc>
          <w:tcPr>
            <w:tcW w:w="0" w:type="auto"/>
            <w:shd w:val="clear" w:color="auto" w:fill="auto"/>
            <w:noWrap/>
            <w:hideMark/>
          </w:tcPr>
          <w:p w14:paraId="68CD9614" w14:textId="77777777" w:rsidR="001C5138" w:rsidRPr="00462B94" w:rsidRDefault="001C51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1.26-1.74</w:t>
            </w:r>
          </w:p>
        </w:tc>
        <w:tc>
          <w:tcPr>
            <w:tcW w:w="0" w:type="auto"/>
            <w:shd w:val="clear" w:color="auto" w:fill="auto"/>
            <w:noWrap/>
          </w:tcPr>
          <w:p w14:paraId="32036857" w14:textId="1F564E3D" w:rsidR="001C5138" w:rsidRPr="00462B94" w:rsidRDefault="001C5138" w:rsidP="00462B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r w:rsidR="001C5138" w:rsidRPr="00462B94" w14:paraId="1E9AFD48" w14:textId="77777777" w:rsidTr="001C5138">
        <w:trPr>
          <w:trHeight w:val="8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292B02ED" w14:textId="77777777" w:rsidR="001C5138" w:rsidRPr="00462B94" w:rsidRDefault="001C5138" w:rsidP="00462B94">
            <w:pPr>
              <w:spacing w:line="360" w:lineRule="auto"/>
              <w:ind w:firstLineChars="50" w:firstLine="120"/>
              <w:jc w:val="both"/>
              <w:rPr>
                <w:rFonts w:ascii="Book Antiqua" w:hAnsi="Book Antiqua" w:cs="Arial"/>
                <w:b w:val="0"/>
                <w:bCs w:val="0"/>
                <w:sz w:val="24"/>
                <w:szCs w:val="24"/>
              </w:rPr>
            </w:pPr>
            <w:r w:rsidRPr="00462B94">
              <w:rPr>
                <w:rFonts w:ascii="Book Antiqua" w:hAnsi="Book Antiqua" w:cs="Arial"/>
                <w:b w:val="0"/>
                <w:bCs w:val="0"/>
                <w:sz w:val="24"/>
                <w:szCs w:val="24"/>
              </w:rPr>
              <w:t>Infections/septicemia</w:t>
            </w:r>
          </w:p>
        </w:tc>
        <w:tc>
          <w:tcPr>
            <w:tcW w:w="0" w:type="auto"/>
            <w:shd w:val="clear" w:color="auto" w:fill="auto"/>
            <w:noWrap/>
            <w:hideMark/>
          </w:tcPr>
          <w:p w14:paraId="721C15C3" w14:textId="77777777" w:rsidR="001C5138" w:rsidRPr="00462B94" w:rsidRDefault="001C51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3.94</w:t>
            </w:r>
          </w:p>
        </w:tc>
        <w:tc>
          <w:tcPr>
            <w:tcW w:w="0" w:type="auto"/>
            <w:shd w:val="clear" w:color="auto" w:fill="auto"/>
            <w:noWrap/>
            <w:hideMark/>
          </w:tcPr>
          <w:p w14:paraId="3A7BC79C" w14:textId="77777777" w:rsidR="001C5138" w:rsidRPr="00462B94" w:rsidRDefault="001C51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62B94">
              <w:rPr>
                <w:rFonts w:ascii="Book Antiqua" w:hAnsi="Book Antiqua" w:cs="Arial"/>
                <w:sz w:val="24"/>
                <w:szCs w:val="24"/>
              </w:rPr>
              <w:t>3.01-5.16</w:t>
            </w:r>
          </w:p>
        </w:tc>
        <w:tc>
          <w:tcPr>
            <w:tcW w:w="0" w:type="auto"/>
            <w:shd w:val="clear" w:color="auto" w:fill="auto"/>
            <w:noWrap/>
          </w:tcPr>
          <w:p w14:paraId="39A5898F" w14:textId="34B9537E" w:rsidR="001C5138" w:rsidRPr="00462B94" w:rsidRDefault="001C5138" w:rsidP="00462B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sz w:val="24"/>
                <w:szCs w:val="24"/>
              </w:rPr>
            </w:pPr>
            <w:r w:rsidRPr="00462B94">
              <w:rPr>
                <w:rFonts w:ascii="Book Antiqua" w:hAnsi="Book Antiqua" w:cs="Arial"/>
                <w:b/>
                <w:bCs/>
                <w:sz w:val="24"/>
                <w:szCs w:val="24"/>
              </w:rPr>
              <w:t>&lt;</w:t>
            </w:r>
            <w:r w:rsidRPr="00462B94">
              <w:rPr>
                <w:rFonts w:ascii="Book Antiqua" w:hAnsi="Book Antiqua" w:cs="Arial" w:hint="eastAsia"/>
                <w:b/>
                <w:bCs/>
                <w:sz w:val="24"/>
                <w:szCs w:val="24"/>
                <w:lang w:eastAsia="zh-CN"/>
              </w:rPr>
              <w:t xml:space="preserve"> </w:t>
            </w:r>
            <w:r w:rsidRPr="00462B94">
              <w:rPr>
                <w:rFonts w:ascii="Book Antiqua" w:hAnsi="Book Antiqua" w:cs="Arial"/>
                <w:b/>
                <w:bCs/>
                <w:sz w:val="24"/>
                <w:szCs w:val="24"/>
              </w:rPr>
              <w:t>0.001</w:t>
            </w:r>
            <w:r w:rsidRPr="00462B94">
              <w:rPr>
                <w:rFonts w:ascii="Book Antiqua" w:hAnsi="Book Antiqua" w:cs="Arial" w:hint="eastAsia"/>
                <w:b/>
                <w:bCs/>
                <w:sz w:val="24"/>
                <w:szCs w:val="24"/>
                <w:vertAlign w:val="superscript"/>
                <w:lang w:eastAsia="zh-CN"/>
              </w:rPr>
              <w:t>a</w:t>
            </w:r>
          </w:p>
        </w:tc>
      </w:tr>
    </w:tbl>
    <w:p w14:paraId="3A63CB57" w14:textId="77777777" w:rsidR="001C5138" w:rsidRPr="00462B94" w:rsidRDefault="001C5138" w:rsidP="00462B94">
      <w:pPr>
        <w:spacing w:line="360" w:lineRule="auto"/>
        <w:jc w:val="both"/>
        <w:rPr>
          <w:rFonts w:ascii="Book Antiqua" w:hAnsi="Book Antiqua" w:cs="Arial"/>
          <w:b/>
          <w:lang w:eastAsia="zh-CN"/>
        </w:rPr>
      </w:pPr>
    </w:p>
    <w:p w14:paraId="217C88F9" w14:textId="320567D3" w:rsidR="001C5138" w:rsidRPr="001C5138" w:rsidRDefault="001C5138" w:rsidP="00462B94">
      <w:pPr>
        <w:spacing w:line="360" w:lineRule="auto"/>
        <w:jc w:val="both"/>
        <w:rPr>
          <w:rFonts w:ascii="Book Antiqua" w:hAnsi="Book Antiqua" w:cs="Times New Roman"/>
          <w:lang w:eastAsia="zh-CN"/>
        </w:rPr>
      </w:pPr>
      <w:proofErr w:type="spellStart"/>
      <w:r w:rsidRPr="00462B94">
        <w:rPr>
          <w:rFonts w:ascii="Book Antiqua" w:hAnsi="Book Antiqua" w:cs="Arial" w:hint="eastAsia"/>
          <w:bCs/>
          <w:vertAlign w:val="superscript"/>
          <w:lang w:eastAsia="zh-CN"/>
        </w:rPr>
        <w:t>a</w:t>
      </w:r>
      <w:r w:rsidRPr="00462B94">
        <w:rPr>
          <w:rFonts w:ascii="Book Antiqua" w:hAnsi="Book Antiqua" w:cs="Arial"/>
          <w:bCs/>
          <w:i/>
        </w:rPr>
        <w:t>P</w:t>
      </w:r>
      <w:proofErr w:type="spellEnd"/>
      <w:r w:rsidRPr="00462B94">
        <w:rPr>
          <w:rFonts w:ascii="Book Antiqua" w:hAnsi="Book Antiqua" w:cs="Arial"/>
          <w:bCs/>
          <w:i/>
        </w:rPr>
        <w:t xml:space="preserve"> &lt; </w:t>
      </w:r>
      <w:r w:rsidRPr="00462B94">
        <w:rPr>
          <w:rFonts w:ascii="Book Antiqua" w:hAnsi="Book Antiqua" w:cs="Arial"/>
          <w:bCs/>
        </w:rPr>
        <w:t>0.05 indicates clinical significance.</w:t>
      </w:r>
      <w:r w:rsidRPr="00462B94">
        <w:rPr>
          <w:rFonts w:ascii="Book Antiqua" w:hAnsi="Book Antiqua" w:cs="Arial" w:hint="eastAsia"/>
          <w:bCs/>
          <w:lang w:eastAsia="zh-CN"/>
        </w:rPr>
        <w:t xml:space="preserve"> </w:t>
      </w:r>
      <w:r w:rsidRPr="00462B94">
        <w:rPr>
          <w:rFonts w:ascii="Book Antiqua" w:hAnsi="Book Antiqua" w:cs="Arial"/>
          <w:bCs/>
        </w:rPr>
        <w:t>CI</w:t>
      </w:r>
      <w:r w:rsidRPr="00462B94">
        <w:rPr>
          <w:rFonts w:ascii="Book Antiqua" w:hAnsi="Book Antiqua" w:cs="Arial" w:hint="eastAsia"/>
          <w:bCs/>
          <w:lang w:eastAsia="zh-CN"/>
        </w:rPr>
        <w:t xml:space="preserve">: </w:t>
      </w:r>
      <w:r w:rsidRPr="00462B94">
        <w:rPr>
          <w:rFonts w:ascii="Book Antiqua" w:hAnsi="Book Antiqua" w:cs="Arial"/>
          <w:bCs/>
        </w:rPr>
        <w:t>Confidence interval</w:t>
      </w:r>
      <w:r w:rsidRPr="00462B94">
        <w:rPr>
          <w:rFonts w:ascii="Book Antiqua" w:hAnsi="Book Antiqua" w:cs="Arial" w:hint="eastAsia"/>
          <w:bCs/>
          <w:lang w:eastAsia="zh-CN"/>
        </w:rPr>
        <w:t>;</w:t>
      </w:r>
      <w:r w:rsidRPr="00462B94">
        <w:rPr>
          <w:rFonts w:ascii="Book Antiqua" w:hAnsi="Book Antiqua" w:cs="Arial"/>
          <w:bCs/>
        </w:rPr>
        <w:t xml:space="preserve"> LL</w:t>
      </w:r>
      <w:r w:rsidRPr="00462B94">
        <w:rPr>
          <w:rFonts w:ascii="Book Antiqua" w:hAnsi="Book Antiqua" w:cs="Arial" w:hint="eastAsia"/>
          <w:bCs/>
          <w:lang w:eastAsia="zh-CN"/>
        </w:rPr>
        <w:t xml:space="preserve">: </w:t>
      </w:r>
      <w:r w:rsidRPr="00462B94">
        <w:rPr>
          <w:rFonts w:ascii="Book Antiqua" w:hAnsi="Book Antiqua" w:cs="Arial"/>
          <w:bCs/>
        </w:rPr>
        <w:t>Lower level</w:t>
      </w:r>
      <w:r w:rsidRPr="00462B94">
        <w:rPr>
          <w:rFonts w:ascii="Book Antiqua" w:hAnsi="Book Antiqua" w:cs="Arial" w:hint="eastAsia"/>
          <w:bCs/>
          <w:lang w:eastAsia="zh-CN"/>
        </w:rPr>
        <w:t>;</w:t>
      </w:r>
      <w:r w:rsidRPr="00462B94">
        <w:rPr>
          <w:rFonts w:ascii="Book Antiqua" w:hAnsi="Book Antiqua" w:cs="Arial"/>
          <w:bCs/>
        </w:rPr>
        <w:t xml:space="preserve"> UL</w:t>
      </w:r>
      <w:r w:rsidRPr="00462B94">
        <w:rPr>
          <w:rFonts w:ascii="Book Antiqua" w:hAnsi="Book Antiqua" w:cs="Arial" w:hint="eastAsia"/>
          <w:bCs/>
          <w:lang w:eastAsia="zh-CN"/>
        </w:rPr>
        <w:t xml:space="preserve">: </w:t>
      </w:r>
      <w:r w:rsidRPr="00462B94">
        <w:rPr>
          <w:rFonts w:ascii="Book Antiqua" w:hAnsi="Book Antiqua" w:cs="Arial"/>
          <w:bCs/>
        </w:rPr>
        <w:t>Upper level, Multivariate regression model was adjusted for age, gender, race, admission type, median household income, payer status, hospital characteristics and all relevant comorbidities and prior medical history</w:t>
      </w:r>
      <w:r w:rsidRPr="00462B94">
        <w:rPr>
          <w:rFonts w:ascii="Book Antiqua" w:hAnsi="Book Antiqua" w:cs="Arial" w:hint="eastAsia"/>
          <w:bCs/>
          <w:lang w:eastAsia="zh-CN"/>
        </w:rPr>
        <w:t>.</w:t>
      </w:r>
    </w:p>
    <w:sectPr w:rsidR="001C5138" w:rsidRPr="001C5138" w:rsidSect="00A718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A1644" w14:textId="77777777" w:rsidR="00476488" w:rsidRDefault="00476488" w:rsidP="00A722E1">
      <w:r>
        <w:separator/>
      </w:r>
    </w:p>
  </w:endnote>
  <w:endnote w:type="continuationSeparator" w:id="0">
    <w:p w14:paraId="01227CCA" w14:textId="77777777" w:rsidR="00476488" w:rsidRDefault="00476488" w:rsidP="00A7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0000000000000000000"/>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8D0E3" w14:textId="77777777" w:rsidR="00476488" w:rsidRDefault="00476488" w:rsidP="00A722E1">
      <w:r>
        <w:separator/>
      </w:r>
    </w:p>
  </w:footnote>
  <w:footnote w:type="continuationSeparator" w:id="0">
    <w:p w14:paraId="2B056ABF" w14:textId="77777777" w:rsidR="00476488" w:rsidRDefault="00476488" w:rsidP="00A72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450027"/>
      <w:docPartObj>
        <w:docPartGallery w:val="Page Numbers (Top of Page)"/>
        <w:docPartUnique/>
      </w:docPartObj>
    </w:sdtPr>
    <w:sdtEndPr>
      <w:rPr>
        <w:noProof/>
      </w:rPr>
    </w:sdtEndPr>
    <w:sdtContent>
      <w:p w14:paraId="1AEF789A" w14:textId="56505A86" w:rsidR="005A3A36" w:rsidRDefault="005A3A36">
        <w:pPr>
          <w:pStyle w:val="Header"/>
          <w:jc w:val="right"/>
        </w:pPr>
        <w:r>
          <w:fldChar w:fldCharType="begin"/>
        </w:r>
        <w:r>
          <w:instrText xml:space="preserve"> PAGE   \* MERGEFORMAT </w:instrText>
        </w:r>
        <w:r>
          <w:fldChar w:fldCharType="separate"/>
        </w:r>
        <w:r w:rsidR="00BF3758">
          <w:rPr>
            <w:noProof/>
          </w:rPr>
          <w:t>23</w:t>
        </w:r>
        <w:r>
          <w:rPr>
            <w:noProof/>
          </w:rPr>
          <w:fldChar w:fldCharType="end"/>
        </w:r>
      </w:p>
    </w:sdtContent>
  </w:sdt>
  <w:p w14:paraId="6FF27932" w14:textId="77777777" w:rsidR="005A3A36" w:rsidRDefault="005A3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QwN7QwMjUzNzc3NDZX0lEKTi0uzszPAykwNKsFAAQoaDYtAAAA"/>
  </w:docVars>
  <w:rsids>
    <w:rsidRoot w:val="00866F2D"/>
    <w:rsid w:val="00034930"/>
    <w:rsid w:val="000411C9"/>
    <w:rsid w:val="00057797"/>
    <w:rsid w:val="000610E7"/>
    <w:rsid w:val="00062EC4"/>
    <w:rsid w:val="00064CF5"/>
    <w:rsid w:val="000719B0"/>
    <w:rsid w:val="00080376"/>
    <w:rsid w:val="000966FE"/>
    <w:rsid w:val="00097124"/>
    <w:rsid w:val="000A43C9"/>
    <w:rsid w:val="000D2E6F"/>
    <w:rsid w:val="000D3CEE"/>
    <w:rsid w:val="000E5D18"/>
    <w:rsid w:val="001000A2"/>
    <w:rsid w:val="001069D6"/>
    <w:rsid w:val="0011434E"/>
    <w:rsid w:val="001214FD"/>
    <w:rsid w:val="00121BA3"/>
    <w:rsid w:val="0012391D"/>
    <w:rsid w:val="001365ED"/>
    <w:rsid w:val="001377EE"/>
    <w:rsid w:val="00140077"/>
    <w:rsid w:val="001413BF"/>
    <w:rsid w:val="001523E7"/>
    <w:rsid w:val="001644C4"/>
    <w:rsid w:val="00164A92"/>
    <w:rsid w:val="001839B4"/>
    <w:rsid w:val="001A0E73"/>
    <w:rsid w:val="001A236A"/>
    <w:rsid w:val="001A6D9E"/>
    <w:rsid w:val="001C0C03"/>
    <w:rsid w:val="001C5138"/>
    <w:rsid w:val="001C6529"/>
    <w:rsid w:val="001E124A"/>
    <w:rsid w:val="00217C17"/>
    <w:rsid w:val="00231049"/>
    <w:rsid w:val="002351FC"/>
    <w:rsid w:val="00263FE1"/>
    <w:rsid w:val="002825EA"/>
    <w:rsid w:val="00297978"/>
    <w:rsid w:val="002A1C8F"/>
    <w:rsid w:val="002A647E"/>
    <w:rsid w:val="002C437D"/>
    <w:rsid w:val="002E1FE4"/>
    <w:rsid w:val="002E3C54"/>
    <w:rsid w:val="002F6C0A"/>
    <w:rsid w:val="00306035"/>
    <w:rsid w:val="00307DC8"/>
    <w:rsid w:val="00310852"/>
    <w:rsid w:val="00311F25"/>
    <w:rsid w:val="00314B4B"/>
    <w:rsid w:val="003224B9"/>
    <w:rsid w:val="00322E44"/>
    <w:rsid w:val="00332369"/>
    <w:rsid w:val="003509A2"/>
    <w:rsid w:val="0035671F"/>
    <w:rsid w:val="00372F38"/>
    <w:rsid w:val="003835DA"/>
    <w:rsid w:val="003A583F"/>
    <w:rsid w:val="003B0F9E"/>
    <w:rsid w:val="003C1179"/>
    <w:rsid w:val="003C5F54"/>
    <w:rsid w:val="003C7B08"/>
    <w:rsid w:val="003D43FA"/>
    <w:rsid w:val="003E5197"/>
    <w:rsid w:val="003F0B79"/>
    <w:rsid w:val="00414938"/>
    <w:rsid w:val="00426E6F"/>
    <w:rsid w:val="004374FE"/>
    <w:rsid w:val="00451400"/>
    <w:rsid w:val="00462B94"/>
    <w:rsid w:val="00466C13"/>
    <w:rsid w:val="00476488"/>
    <w:rsid w:val="004A3D1F"/>
    <w:rsid w:val="004A77B5"/>
    <w:rsid w:val="004B4033"/>
    <w:rsid w:val="004B46C4"/>
    <w:rsid w:val="004C5BB6"/>
    <w:rsid w:val="004D1668"/>
    <w:rsid w:val="004D5247"/>
    <w:rsid w:val="004F0B63"/>
    <w:rsid w:val="004F2B3C"/>
    <w:rsid w:val="00501016"/>
    <w:rsid w:val="005028F2"/>
    <w:rsid w:val="005203E0"/>
    <w:rsid w:val="00520B81"/>
    <w:rsid w:val="00522264"/>
    <w:rsid w:val="00525399"/>
    <w:rsid w:val="00585B6F"/>
    <w:rsid w:val="00585E7B"/>
    <w:rsid w:val="00586A9A"/>
    <w:rsid w:val="00590499"/>
    <w:rsid w:val="005A3A36"/>
    <w:rsid w:val="005C1DB0"/>
    <w:rsid w:val="005E7189"/>
    <w:rsid w:val="005F573A"/>
    <w:rsid w:val="006035B7"/>
    <w:rsid w:val="00603AC5"/>
    <w:rsid w:val="00610622"/>
    <w:rsid w:val="006304A9"/>
    <w:rsid w:val="006411AA"/>
    <w:rsid w:val="00656039"/>
    <w:rsid w:val="00656E3B"/>
    <w:rsid w:val="00670D64"/>
    <w:rsid w:val="006861B6"/>
    <w:rsid w:val="00687586"/>
    <w:rsid w:val="006A208E"/>
    <w:rsid w:val="006B1997"/>
    <w:rsid w:val="006C1731"/>
    <w:rsid w:val="006D7AC0"/>
    <w:rsid w:val="006F179B"/>
    <w:rsid w:val="006F3080"/>
    <w:rsid w:val="0070407A"/>
    <w:rsid w:val="00705C20"/>
    <w:rsid w:val="00723459"/>
    <w:rsid w:val="007255F6"/>
    <w:rsid w:val="00727EE4"/>
    <w:rsid w:val="00742FE4"/>
    <w:rsid w:val="00746EDE"/>
    <w:rsid w:val="00773206"/>
    <w:rsid w:val="00782EAB"/>
    <w:rsid w:val="00785D98"/>
    <w:rsid w:val="00787C12"/>
    <w:rsid w:val="007910B8"/>
    <w:rsid w:val="007942F9"/>
    <w:rsid w:val="007948EA"/>
    <w:rsid w:val="007B11CA"/>
    <w:rsid w:val="007B728D"/>
    <w:rsid w:val="007E1AB4"/>
    <w:rsid w:val="007E5464"/>
    <w:rsid w:val="007E62DE"/>
    <w:rsid w:val="00846699"/>
    <w:rsid w:val="0084756A"/>
    <w:rsid w:val="008476ED"/>
    <w:rsid w:val="00854FFD"/>
    <w:rsid w:val="00866F2D"/>
    <w:rsid w:val="00867287"/>
    <w:rsid w:val="008A2F35"/>
    <w:rsid w:val="008A60D1"/>
    <w:rsid w:val="008C4815"/>
    <w:rsid w:val="008C6B0F"/>
    <w:rsid w:val="008D120D"/>
    <w:rsid w:val="008D4BB4"/>
    <w:rsid w:val="008E00EB"/>
    <w:rsid w:val="008F1D7C"/>
    <w:rsid w:val="009133A1"/>
    <w:rsid w:val="00956A44"/>
    <w:rsid w:val="00974C1C"/>
    <w:rsid w:val="00977597"/>
    <w:rsid w:val="009868D8"/>
    <w:rsid w:val="009908CB"/>
    <w:rsid w:val="009912CB"/>
    <w:rsid w:val="00994EDC"/>
    <w:rsid w:val="009A0C91"/>
    <w:rsid w:val="009A45B9"/>
    <w:rsid w:val="009B057A"/>
    <w:rsid w:val="009B5E4C"/>
    <w:rsid w:val="009E04C8"/>
    <w:rsid w:val="009F36A9"/>
    <w:rsid w:val="00A00F8D"/>
    <w:rsid w:val="00A11606"/>
    <w:rsid w:val="00A157A7"/>
    <w:rsid w:val="00A21396"/>
    <w:rsid w:val="00A21DA9"/>
    <w:rsid w:val="00A24C46"/>
    <w:rsid w:val="00A62C62"/>
    <w:rsid w:val="00A654A0"/>
    <w:rsid w:val="00A71805"/>
    <w:rsid w:val="00A722E1"/>
    <w:rsid w:val="00A90BA4"/>
    <w:rsid w:val="00A962EF"/>
    <w:rsid w:val="00AB738D"/>
    <w:rsid w:val="00AB7CED"/>
    <w:rsid w:val="00AD12FB"/>
    <w:rsid w:val="00AD3C66"/>
    <w:rsid w:val="00AE128C"/>
    <w:rsid w:val="00AE7EFC"/>
    <w:rsid w:val="00AF52DE"/>
    <w:rsid w:val="00AF7FC5"/>
    <w:rsid w:val="00B04D59"/>
    <w:rsid w:val="00B0626D"/>
    <w:rsid w:val="00B12355"/>
    <w:rsid w:val="00B2130C"/>
    <w:rsid w:val="00B2294D"/>
    <w:rsid w:val="00B279DE"/>
    <w:rsid w:val="00B322F8"/>
    <w:rsid w:val="00B360E0"/>
    <w:rsid w:val="00B47B54"/>
    <w:rsid w:val="00B52AC9"/>
    <w:rsid w:val="00B52CE3"/>
    <w:rsid w:val="00B53637"/>
    <w:rsid w:val="00B57AD9"/>
    <w:rsid w:val="00B67FEC"/>
    <w:rsid w:val="00B815A6"/>
    <w:rsid w:val="00B852AC"/>
    <w:rsid w:val="00B87DEE"/>
    <w:rsid w:val="00B92872"/>
    <w:rsid w:val="00BA6A48"/>
    <w:rsid w:val="00BB1B1E"/>
    <w:rsid w:val="00BB211C"/>
    <w:rsid w:val="00BB5FE3"/>
    <w:rsid w:val="00BC2807"/>
    <w:rsid w:val="00BE1581"/>
    <w:rsid w:val="00BE3AF6"/>
    <w:rsid w:val="00BF3758"/>
    <w:rsid w:val="00C11D97"/>
    <w:rsid w:val="00C25B84"/>
    <w:rsid w:val="00C2722B"/>
    <w:rsid w:val="00C33B45"/>
    <w:rsid w:val="00C44C63"/>
    <w:rsid w:val="00C5142B"/>
    <w:rsid w:val="00C72733"/>
    <w:rsid w:val="00C7390A"/>
    <w:rsid w:val="00CD6F92"/>
    <w:rsid w:val="00CE3246"/>
    <w:rsid w:val="00D81992"/>
    <w:rsid w:val="00D8217B"/>
    <w:rsid w:val="00D84623"/>
    <w:rsid w:val="00DA0D4F"/>
    <w:rsid w:val="00DA318E"/>
    <w:rsid w:val="00DB2E67"/>
    <w:rsid w:val="00DB2F61"/>
    <w:rsid w:val="00DB7BEC"/>
    <w:rsid w:val="00DC5361"/>
    <w:rsid w:val="00DD2A36"/>
    <w:rsid w:val="00DD66BF"/>
    <w:rsid w:val="00DE4739"/>
    <w:rsid w:val="00DE74CF"/>
    <w:rsid w:val="00DF06C7"/>
    <w:rsid w:val="00DF78D3"/>
    <w:rsid w:val="00DF7E5D"/>
    <w:rsid w:val="00E42A80"/>
    <w:rsid w:val="00E53F5A"/>
    <w:rsid w:val="00E56A48"/>
    <w:rsid w:val="00E71840"/>
    <w:rsid w:val="00E7357F"/>
    <w:rsid w:val="00EA555D"/>
    <w:rsid w:val="00EB2DEA"/>
    <w:rsid w:val="00EB4BFB"/>
    <w:rsid w:val="00EF68D2"/>
    <w:rsid w:val="00EF7C4D"/>
    <w:rsid w:val="00F04942"/>
    <w:rsid w:val="00F51360"/>
    <w:rsid w:val="00F62164"/>
    <w:rsid w:val="00F62CC6"/>
    <w:rsid w:val="00F70A79"/>
    <w:rsid w:val="00F76513"/>
    <w:rsid w:val="00F87AED"/>
    <w:rsid w:val="00FB6751"/>
    <w:rsid w:val="00FC17C8"/>
    <w:rsid w:val="00FC6385"/>
    <w:rsid w:val="00FC7739"/>
    <w:rsid w:val="00FD1370"/>
    <w:rsid w:val="00FE709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6E497"/>
  <w14:defaultImageDpi w14:val="330"/>
  <w15:docId w15:val="{014AEBF5-FFC7-4890-BB00-0F361158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867287"/>
    <w:pPr>
      <w:tabs>
        <w:tab w:val="left" w:pos="500"/>
      </w:tabs>
      <w:spacing w:after="240"/>
      <w:ind w:left="504" w:hanging="504"/>
    </w:pPr>
  </w:style>
  <w:style w:type="paragraph" w:styleId="NoSpacing">
    <w:name w:val="No Spacing"/>
    <w:uiPriority w:val="1"/>
    <w:qFormat/>
    <w:rsid w:val="006B1997"/>
  </w:style>
  <w:style w:type="paragraph" w:styleId="Header">
    <w:name w:val="header"/>
    <w:basedOn w:val="Normal"/>
    <w:link w:val="HeaderChar"/>
    <w:uiPriority w:val="99"/>
    <w:unhideWhenUsed/>
    <w:rsid w:val="00A722E1"/>
    <w:pPr>
      <w:tabs>
        <w:tab w:val="center" w:pos="4680"/>
        <w:tab w:val="right" w:pos="9360"/>
      </w:tabs>
    </w:pPr>
  </w:style>
  <w:style w:type="character" w:customStyle="1" w:styleId="HeaderChar">
    <w:name w:val="Header Char"/>
    <w:basedOn w:val="DefaultParagraphFont"/>
    <w:link w:val="Header"/>
    <w:uiPriority w:val="99"/>
    <w:rsid w:val="00A722E1"/>
  </w:style>
  <w:style w:type="paragraph" w:styleId="Footer">
    <w:name w:val="footer"/>
    <w:basedOn w:val="Normal"/>
    <w:link w:val="FooterChar"/>
    <w:uiPriority w:val="99"/>
    <w:unhideWhenUsed/>
    <w:rsid w:val="00A722E1"/>
    <w:pPr>
      <w:tabs>
        <w:tab w:val="center" w:pos="4680"/>
        <w:tab w:val="right" w:pos="9360"/>
      </w:tabs>
    </w:pPr>
  </w:style>
  <w:style w:type="character" w:customStyle="1" w:styleId="FooterChar">
    <w:name w:val="Footer Char"/>
    <w:basedOn w:val="DefaultParagraphFont"/>
    <w:link w:val="Footer"/>
    <w:uiPriority w:val="99"/>
    <w:rsid w:val="00A722E1"/>
  </w:style>
  <w:style w:type="character" w:styleId="Hyperlink">
    <w:name w:val="Hyperlink"/>
    <w:basedOn w:val="DefaultParagraphFont"/>
    <w:uiPriority w:val="99"/>
    <w:unhideWhenUsed/>
    <w:rsid w:val="006861B6"/>
    <w:rPr>
      <w:color w:val="0563C1" w:themeColor="hyperlink"/>
      <w:u w:val="single"/>
    </w:rPr>
  </w:style>
  <w:style w:type="paragraph" w:styleId="ListParagraph">
    <w:name w:val="List Paragraph"/>
    <w:basedOn w:val="Normal"/>
    <w:uiPriority w:val="34"/>
    <w:qFormat/>
    <w:rsid w:val="004B46C4"/>
    <w:pPr>
      <w:ind w:left="720"/>
      <w:contextualSpacing/>
    </w:pPr>
  </w:style>
  <w:style w:type="table" w:customStyle="1" w:styleId="PlainTable41">
    <w:name w:val="Plain Table 41"/>
    <w:basedOn w:val="TableNormal"/>
    <w:uiPriority w:val="44"/>
    <w:rsid w:val="00FC17C8"/>
    <w:rPr>
      <w:sz w:val="22"/>
      <w:szCs w:val="20"/>
      <w:lang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character" w:customStyle="1" w:styleId="apple-converted-space">
    <w:name w:val="apple-converted-space"/>
    <w:basedOn w:val="DefaultParagraphFont"/>
    <w:rsid w:val="00C33B45"/>
  </w:style>
  <w:style w:type="table" w:styleId="TableGrid">
    <w:name w:val="Table Grid"/>
    <w:basedOn w:val="TableNormal"/>
    <w:uiPriority w:val="39"/>
    <w:rsid w:val="00782EAB"/>
    <w:rPr>
      <w:sz w:val="22"/>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E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E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2A80"/>
    <w:rPr>
      <w:sz w:val="16"/>
      <w:szCs w:val="16"/>
    </w:rPr>
  </w:style>
  <w:style w:type="paragraph" w:styleId="CommentText">
    <w:name w:val="annotation text"/>
    <w:basedOn w:val="Normal"/>
    <w:link w:val="CommentTextChar"/>
    <w:uiPriority w:val="99"/>
    <w:semiHidden/>
    <w:unhideWhenUsed/>
    <w:rsid w:val="00E42A80"/>
    <w:rPr>
      <w:sz w:val="20"/>
      <w:szCs w:val="20"/>
    </w:rPr>
  </w:style>
  <w:style w:type="character" w:customStyle="1" w:styleId="CommentTextChar">
    <w:name w:val="Comment Text Char"/>
    <w:basedOn w:val="DefaultParagraphFont"/>
    <w:link w:val="CommentText"/>
    <w:uiPriority w:val="99"/>
    <w:semiHidden/>
    <w:rsid w:val="00E42A80"/>
    <w:rPr>
      <w:sz w:val="20"/>
      <w:szCs w:val="20"/>
    </w:rPr>
  </w:style>
  <w:style w:type="paragraph" w:styleId="CommentSubject">
    <w:name w:val="annotation subject"/>
    <w:basedOn w:val="CommentText"/>
    <w:next w:val="CommentText"/>
    <w:link w:val="CommentSubjectChar"/>
    <w:uiPriority w:val="99"/>
    <w:semiHidden/>
    <w:unhideWhenUsed/>
    <w:rsid w:val="00E42A80"/>
    <w:rPr>
      <w:b/>
      <w:bCs/>
    </w:rPr>
  </w:style>
  <w:style w:type="character" w:customStyle="1" w:styleId="CommentSubjectChar">
    <w:name w:val="Comment Subject Char"/>
    <w:basedOn w:val="CommentTextChar"/>
    <w:link w:val="CommentSubject"/>
    <w:uiPriority w:val="99"/>
    <w:semiHidden/>
    <w:rsid w:val="00E42A80"/>
    <w:rPr>
      <w:b/>
      <w:bCs/>
      <w:sz w:val="20"/>
      <w:szCs w:val="20"/>
    </w:rPr>
  </w:style>
  <w:style w:type="paragraph" w:styleId="PlainText">
    <w:name w:val="Plain Text"/>
    <w:basedOn w:val="Normal"/>
    <w:link w:val="PlainTextChar"/>
    <w:rsid w:val="00787C12"/>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787C12"/>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643">
      <w:bodyDiv w:val="1"/>
      <w:marLeft w:val="0"/>
      <w:marRight w:val="0"/>
      <w:marTop w:val="0"/>
      <w:marBottom w:val="0"/>
      <w:divBdr>
        <w:top w:val="none" w:sz="0" w:space="0" w:color="auto"/>
        <w:left w:val="none" w:sz="0" w:space="0" w:color="auto"/>
        <w:bottom w:val="none" w:sz="0" w:space="0" w:color="auto"/>
        <w:right w:val="none" w:sz="0" w:space="0" w:color="auto"/>
      </w:divBdr>
    </w:div>
    <w:div w:id="212084761">
      <w:bodyDiv w:val="1"/>
      <w:marLeft w:val="0"/>
      <w:marRight w:val="0"/>
      <w:marTop w:val="0"/>
      <w:marBottom w:val="0"/>
      <w:divBdr>
        <w:top w:val="none" w:sz="0" w:space="0" w:color="auto"/>
        <w:left w:val="none" w:sz="0" w:space="0" w:color="auto"/>
        <w:bottom w:val="none" w:sz="0" w:space="0" w:color="auto"/>
        <w:right w:val="none" w:sz="0" w:space="0" w:color="auto"/>
      </w:divBdr>
    </w:div>
    <w:div w:id="398210228">
      <w:bodyDiv w:val="1"/>
      <w:marLeft w:val="0"/>
      <w:marRight w:val="0"/>
      <w:marTop w:val="0"/>
      <w:marBottom w:val="0"/>
      <w:divBdr>
        <w:top w:val="none" w:sz="0" w:space="0" w:color="auto"/>
        <w:left w:val="none" w:sz="0" w:space="0" w:color="auto"/>
        <w:bottom w:val="none" w:sz="0" w:space="0" w:color="auto"/>
        <w:right w:val="none" w:sz="0" w:space="0" w:color="auto"/>
      </w:divBdr>
    </w:div>
    <w:div w:id="430902259">
      <w:bodyDiv w:val="1"/>
      <w:marLeft w:val="0"/>
      <w:marRight w:val="0"/>
      <w:marTop w:val="0"/>
      <w:marBottom w:val="0"/>
      <w:divBdr>
        <w:top w:val="none" w:sz="0" w:space="0" w:color="auto"/>
        <w:left w:val="none" w:sz="0" w:space="0" w:color="auto"/>
        <w:bottom w:val="none" w:sz="0" w:space="0" w:color="auto"/>
        <w:right w:val="none" w:sz="0" w:space="0" w:color="auto"/>
      </w:divBdr>
    </w:div>
    <w:div w:id="566888534">
      <w:bodyDiv w:val="1"/>
      <w:marLeft w:val="0"/>
      <w:marRight w:val="0"/>
      <w:marTop w:val="0"/>
      <w:marBottom w:val="0"/>
      <w:divBdr>
        <w:top w:val="none" w:sz="0" w:space="0" w:color="auto"/>
        <w:left w:val="none" w:sz="0" w:space="0" w:color="auto"/>
        <w:bottom w:val="none" w:sz="0" w:space="0" w:color="auto"/>
        <w:right w:val="none" w:sz="0" w:space="0" w:color="auto"/>
      </w:divBdr>
    </w:div>
    <w:div w:id="603155009">
      <w:bodyDiv w:val="1"/>
      <w:marLeft w:val="0"/>
      <w:marRight w:val="0"/>
      <w:marTop w:val="0"/>
      <w:marBottom w:val="0"/>
      <w:divBdr>
        <w:top w:val="none" w:sz="0" w:space="0" w:color="auto"/>
        <w:left w:val="none" w:sz="0" w:space="0" w:color="auto"/>
        <w:bottom w:val="none" w:sz="0" w:space="0" w:color="auto"/>
        <w:right w:val="none" w:sz="0" w:space="0" w:color="auto"/>
      </w:divBdr>
    </w:div>
    <w:div w:id="815948225">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
    <w:div w:id="1120028912">
      <w:bodyDiv w:val="1"/>
      <w:marLeft w:val="0"/>
      <w:marRight w:val="0"/>
      <w:marTop w:val="0"/>
      <w:marBottom w:val="0"/>
      <w:divBdr>
        <w:top w:val="none" w:sz="0" w:space="0" w:color="auto"/>
        <w:left w:val="none" w:sz="0" w:space="0" w:color="auto"/>
        <w:bottom w:val="none" w:sz="0" w:space="0" w:color="auto"/>
        <w:right w:val="none" w:sz="0" w:space="0" w:color="auto"/>
      </w:divBdr>
    </w:div>
    <w:div w:id="1174345464">
      <w:bodyDiv w:val="1"/>
      <w:marLeft w:val="0"/>
      <w:marRight w:val="0"/>
      <w:marTop w:val="0"/>
      <w:marBottom w:val="0"/>
      <w:divBdr>
        <w:top w:val="none" w:sz="0" w:space="0" w:color="auto"/>
        <w:left w:val="none" w:sz="0" w:space="0" w:color="auto"/>
        <w:bottom w:val="none" w:sz="0" w:space="0" w:color="auto"/>
        <w:right w:val="none" w:sz="0" w:space="0" w:color="auto"/>
      </w:divBdr>
    </w:div>
    <w:div w:id="1185746054">
      <w:bodyDiv w:val="1"/>
      <w:marLeft w:val="0"/>
      <w:marRight w:val="0"/>
      <w:marTop w:val="0"/>
      <w:marBottom w:val="0"/>
      <w:divBdr>
        <w:top w:val="none" w:sz="0" w:space="0" w:color="auto"/>
        <w:left w:val="none" w:sz="0" w:space="0" w:color="auto"/>
        <w:bottom w:val="none" w:sz="0" w:space="0" w:color="auto"/>
        <w:right w:val="none" w:sz="0" w:space="0" w:color="auto"/>
      </w:divBdr>
    </w:div>
    <w:div w:id="1223365096">
      <w:bodyDiv w:val="1"/>
      <w:marLeft w:val="0"/>
      <w:marRight w:val="0"/>
      <w:marTop w:val="0"/>
      <w:marBottom w:val="0"/>
      <w:divBdr>
        <w:top w:val="none" w:sz="0" w:space="0" w:color="auto"/>
        <w:left w:val="none" w:sz="0" w:space="0" w:color="auto"/>
        <w:bottom w:val="none" w:sz="0" w:space="0" w:color="auto"/>
        <w:right w:val="none" w:sz="0" w:space="0" w:color="auto"/>
      </w:divBdr>
    </w:div>
    <w:div w:id="1237325179">
      <w:bodyDiv w:val="1"/>
      <w:marLeft w:val="0"/>
      <w:marRight w:val="0"/>
      <w:marTop w:val="0"/>
      <w:marBottom w:val="0"/>
      <w:divBdr>
        <w:top w:val="none" w:sz="0" w:space="0" w:color="auto"/>
        <w:left w:val="none" w:sz="0" w:space="0" w:color="auto"/>
        <w:bottom w:val="none" w:sz="0" w:space="0" w:color="auto"/>
        <w:right w:val="none" w:sz="0" w:space="0" w:color="auto"/>
      </w:divBdr>
    </w:div>
    <w:div w:id="1251815445">
      <w:bodyDiv w:val="1"/>
      <w:marLeft w:val="0"/>
      <w:marRight w:val="0"/>
      <w:marTop w:val="0"/>
      <w:marBottom w:val="0"/>
      <w:divBdr>
        <w:top w:val="none" w:sz="0" w:space="0" w:color="auto"/>
        <w:left w:val="none" w:sz="0" w:space="0" w:color="auto"/>
        <w:bottom w:val="none" w:sz="0" w:space="0" w:color="auto"/>
        <w:right w:val="none" w:sz="0" w:space="0" w:color="auto"/>
      </w:divBdr>
    </w:div>
    <w:div w:id="1329359446">
      <w:bodyDiv w:val="1"/>
      <w:marLeft w:val="0"/>
      <w:marRight w:val="0"/>
      <w:marTop w:val="0"/>
      <w:marBottom w:val="0"/>
      <w:divBdr>
        <w:top w:val="none" w:sz="0" w:space="0" w:color="auto"/>
        <w:left w:val="none" w:sz="0" w:space="0" w:color="auto"/>
        <w:bottom w:val="none" w:sz="0" w:space="0" w:color="auto"/>
        <w:right w:val="none" w:sz="0" w:space="0" w:color="auto"/>
      </w:divBdr>
    </w:div>
    <w:div w:id="1451047259">
      <w:bodyDiv w:val="1"/>
      <w:marLeft w:val="0"/>
      <w:marRight w:val="0"/>
      <w:marTop w:val="0"/>
      <w:marBottom w:val="0"/>
      <w:divBdr>
        <w:top w:val="none" w:sz="0" w:space="0" w:color="auto"/>
        <w:left w:val="none" w:sz="0" w:space="0" w:color="auto"/>
        <w:bottom w:val="none" w:sz="0" w:space="0" w:color="auto"/>
        <w:right w:val="none" w:sz="0" w:space="0" w:color="auto"/>
      </w:divBdr>
    </w:div>
    <w:div w:id="1588418148">
      <w:bodyDiv w:val="1"/>
      <w:marLeft w:val="0"/>
      <w:marRight w:val="0"/>
      <w:marTop w:val="0"/>
      <w:marBottom w:val="0"/>
      <w:divBdr>
        <w:top w:val="none" w:sz="0" w:space="0" w:color="auto"/>
        <w:left w:val="none" w:sz="0" w:space="0" w:color="auto"/>
        <w:bottom w:val="none" w:sz="0" w:space="0" w:color="auto"/>
        <w:right w:val="none" w:sz="0" w:space="0" w:color="auto"/>
      </w:divBdr>
    </w:div>
    <w:div w:id="1660815151">
      <w:bodyDiv w:val="1"/>
      <w:marLeft w:val="0"/>
      <w:marRight w:val="0"/>
      <w:marTop w:val="0"/>
      <w:marBottom w:val="0"/>
      <w:divBdr>
        <w:top w:val="none" w:sz="0" w:space="0" w:color="auto"/>
        <w:left w:val="none" w:sz="0" w:space="0" w:color="auto"/>
        <w:bottom w:val="none" w:sz="0" w:space="0" w:color="auto"/>
        <w:right w:val="none" w:sz="0" w:space="0" w:color="auto"/>
      </w:divBdr>
    </w:div>
    <w:div w:id="1778670275">
      <w:bodyDiv w:val="1"/>
      <w:marLeft w:val="0"/>
      <w:marRight w:val="0"/>
      <w:marTop w:val="0"/>
      <w:marBottom w:val="0"/>
      <w:divBdr>
        <w:top w:val="none" w:sz="0" w:space="0" w:color="auto"/>
        <w:left w:val="none" w:sz="0" w:space="0" w:color="auto"/>
        <w:bottom w:val="none" w:sz="0" w:space="0" w:color="auto"/>
        <w:right w:val="none" w:sz="0" w:space="0" w:color="auto"/>
      </w:divBdr>
    </w:div>
    <w:div w:id="1831828745">
      <w:bodyDiv w:val="1"/>
      <w:marLeft w:val="0"/>
      <w:marRight w:val="0"/>
      <w:marTop w:val="0"/>
      <w:marBottom w:val="0"/>
      <w:divBdr>
        <w:top w:val="none" w:sz="0" w:space="0" w:color="auto"/>
        <w:left w:val="none" w:sz="0" w:space="0" w:color="auto"/>
        <w:bottom w:val="none" w:sz="0" w:space="0" w:color="auto"/>
        <w:right w:val="none" w:sz="0" w:space="0" w:color="auto"/>
      </w:divBdr>
    </w:div>
    <w:div w:id="1891309589">
      <w:bodyDiv w:val="1"/>
      <w:marLeft w:val="0"/>
      <w:marRight w:val="0"/>
      <w:marTop w:val="0"/>
      <w:marBottom w:val="0"/>
      <w:divBdr>
        <w:top w:val="none" w:sz="0" w:space="0" w:color="auto"/>
        <w:left w:val="none" w:sz="0" w:space="0" w:color="auto"/>
        <w:bottom w:val="none" w:sz="0" w:space="0" w:color="auto"/>
        <w:right w:val="none" w:sz="0" w:space="0" w:color="auto"/>
      </w:divBdr>
    </w:div>
    <w:div w:id="1901133997">
      <w:bodyDiv w:val="1"/>
      <w:marLeft w:val="0"/>
      <w:marRight w:val="0"/>
      <w:marTop w:val="0"/>
      <w:marBottom w:val="0"/>
      <w:divBdr>
        <w:top w:val="none" w:sz="0" w:space="0" w:color="auto"/>
        <w:left w:val="none" w:sz="0" w:space="0" w:color="auto"/>
        <w:bottom w:val="none" w:sz="0" w:space="0" w:color="auto"/>
        <w:right w:val="none" w:sz="0" w:space="0" w:color="auto"/>
      </w:divBdr>
    </w:div>
    <w:div w:id="20719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hcup-us.ahrq.gov/db/vars/hosp_bedsize/nisnote.j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25062</Words>
  <Characters>142857</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 GOYAL</dc:creator>
  <cp:keywords/>
  <dc:description/>
  <cp:lastModifiedBy>Li Ma</cp:lastModifiedBy>
  <cp:revision>3</cp:revision>
  <dcterms:created xsi:type="dcterms:W3CDTF">2019-05-22T04:53:00Z</dcterms:created>
  <dcterms:modified xsi:type="dcterms:W3CDTF">2019-05-22T04:57:00Z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id="S18i3UDB"/&gt;&lt;style id="http://www.zotero.org/styles/world-journal-of-gastroenterology" hasBibliography="1" bibliographyStyleHasBeenSet="1"/&gt;&lt;prefs&gt;&lt;pref name="fieldType" value="Field"/&gt;&lt;/prefs&gt;&lt;/d</vt:lpwstr>
  </property>
  <property fmtid="{D5CDD505-2E9C-101B-9397-08002B2CF9AE}" pid="3" name="ZOTERO_PREF_2">
    <vt:lpwstr>ata&gt;</vt:lpwstr>
  </property>
</Properties>
</file>