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4DD" w:rsidRPr="00DD3614" w:rsidRDefault="008154DD" w:rsidP="00636C92">
      <w:pPr>
        <w:pStyle w:val="ae"/>
        <w:rPr>
          <w:b/>
        </w:rPr>
      </w:pPr>
      <w:r w:rsidRPr="00DD3614">
        <w:rPr>
          <w:b/>
        </w:rPr>
        <w:t xml:space="preserve">Name of Journal: </w:t>
      </w:r>
      <w:r w:rsidRPr="00DD3614">
        <w:t>World Journal of Diabetes</w:t>
      </w:r>
    </w:p>
    <w:p w:rsidR="008154DD" w:rsidRPr="00DD3614" w:rsidRDefault="008154DD" w:rsidP="00441037">
      <w:pPr>
        <w:spacing w:line="360" w:lineRule="auto"/>
        <w:jc w:val="both"/>
        <w:rPr>
          <w:rFonts w:ascii="Book Antiqua" w:hAnsi="Book Antiqua"/>
          <w:b/>
        </w:rPr>
      </w:pPr>
      <w:r w:rsidRPr="00DD3614">
        <w:rPr>
          <w:rFonts w:ascii="Book Antiqua" w:hAnsi="Book Antiqua"/>
          <w:b/>
        </w:rPr>
        <w:t xml:space="preserve">Manuscript NO: </w:t>
      </w:r>
      <w:r w:rsidRPr="00DD3614">
        <w:rPr>
          <w:rFonts w:ascii="Book Antiqua" w:hAnsi="Book Antiqua"/>
        </w:rPr>
        <w:t>46649</w:t>
      </w:r>
    </w:p>
    <w:p w:rsidR="008154DD" w:rsidRPr="00DD3614" w:rsidRDefault="008154DD" w:rsidP="00441037">
      <w:pPr>
        <w:spacing w:line="360" w:lineRule="auto"/>
        <w:jc w:val="both"/>
        <w:rPr>
          <w:rFonts w:ascii="Book Antiqua" w:hAnsi="Book Antiqua"/>
          <w:b/>
        </w:rPr>
      </w:pPr>
      <w:r w:rsidRPr="00DD3614">
        <w:rPr>
          <w:rFonts w:ascii="Book Antiqua" w:hAnsi="Book Antiqua"/>
          <w:b/>
        </w:rPr>
        <w:t xml:space="preserve">Manuscript Type: </w:t>
      </w:r>
      <w:r w:rsidRPr="00DD3614">
        <w:rPr>
          <w:rFonts w:ascii="Book Antiqua" w:hAnsi="Book Antiqua"/>
        </w:rPr>
        <w:t>MINIREVIEWS</w:t>
      </w:r>
    </w:p>
    <w:p w:rsidR="008154DD" w:rsidRPr="00DD3614" w:rsidRDefault="008154DD" w:rsidP="00441037">
      <w:pPr>
        <w:spacing w:line="360" w:lineRule="auto"/>
        <w:jc w:val="both"/>
        <w:rPr>
          <w:rFonts w:ascii="Book Antiqua" w:hAnsi="Book Antiqua"/>
          <w:b/>
        </w:rPr>
      </w:pPr>
    </w:p>
    <w:p w:rsidR="008B28A9" w:rsidRPr="007258D6" w:rsidRDefault="008B28A9" w:rsidP="00441037">
      <w:pPr>
        <w:spacing w:line="360" w:lineRule="auto"/>
        <w:jc w:val="both"/>
        <w:rPr>
          <w:rFonts w:ascii="Book Antiqua" w:hAnsi="Book Antiqua" w:cs="Tahoma"/>
          <w:b/>
        </w:rPr>
      </w:pPr>
      <w:r w:rsidRPr="007258D6">
        <w:rPr>
          <w:rFonts w:ascii="Book Antiqua" w:hAnsi="Book Antiqua" w:cs="Tahoma"/>
          <w:b/>
        </w:rPr>
        <w:t xml:space="preserve">Prevention of </w:t>
      </w:r>
      <w:r w:rsidR="008154DD" w:rsidRPr="007258D6">
        <w:rPr>
          <w:rFonts w:ascii="Book Antiqua" w:hAnsi="Book Antiqua" w:cs="Tahoma"/>
          <w:b/>
        </w:rPr>
        <w:t>macrovascular complications in patients with type 2 diabetes me</w:t>
      </w:r>
      <w:r w:rsidRPr="007258D6">
        <w:rPr>
          <w:rFonts w:ascii="Book Antiqua" w:hAnsi="Book Antiqua" w:cs="Tahoma"/>
          <w:b/>
        </w:rPr>
        <w:t>llitus: Revi</w:t>
      </w:r>
      <w:r w:rsidR="008154DD" w:rsidRPr="007258D6">
        <w:rPr>
          <w:rFonts w:ascii="Book Antiqua" w:hAnsi="Book Antiqua" w:cs="Tahoma"/>
          <w:b/>
        </w:rPr>
        <w:t xml:space="preserve">ew of cardiovascular safety and efficacy of newer diabetes medications </w:t>
      </w:r>
    </w:p>
    <w:p w:rsidR="008B12C1" w:rsidRPr="007258D6" w:rsidRDefault="008B12C1" w:rsidP="00441037">
      <w:pPr>
        <w:spacing w:line="360" w:lineRule="auto"/>
        <w:jc w:val="both"/>
        <w:rPr>
          <w:rFonts w:ascii="Book Antiqua" w:eastAsiaTheme="minorEastAsia" w:hAnsi="Book Antiqua" w:cs="Tahoma"/>
          <w:b/>
          <w:lang w:eastAsia="zh-CN"/>
        </w:rPr>
      </w:pPr>
    </w:p>
    <w:p w:rsidR="00280229" w:rsidRPr="00DD3614" w:rsidRDefault="00280229" w:rsidP="00441037">
      <w:pPr>
        <w:spacing w:line="360" w:lineRule="auto"/>
        <w:jc w:val="both"/>
        <w:rPr>
          <w:rFonts w:ascii="Book Antiqua" w:hAnsi="Book Antiqua" w:cs="Tahoma"/>
          <w:shd w:val="clear" w:color="auto" w:fill="FFFFFF"/>
        </w:rPr>
      </w:pPr>
      <w:r w:rsidRPr="007258D6">
        <w:rPr>
          <w:rFonts w:ascii="Book Antiqua" w:hAnsi="Book Antiqua"/>
        </w:rPr>
        <w:t>Kant</w:t>
      </w:r>
      <w:r w:rsidRPr="007258D6">
        <w:rPr>
          <w:rFonts w:ascii="Book Antiqua" w:hAnsi="Book Antiqua" w:cs="Tahoma"/>
        </w:rPr>
        <w:t xml:space="preserve"> R </w:t>
      </w:r>
      <w:r w:rsidRPr="007258D6">
        <w:rPr>
          <w:rFonts w:ascii="Book Antiqua" w:hAnsi="Book Antiqua" w:cs="Tahoma"/>
          <w:i/>
        </w:rPr>
        <w:t xml:space="preserve">et al. </w:t>
      </w:r>
      <w:r w:rsidR="006D0BB6" w:rsidRPr="00DD3614">
        <w:rPr>
          <w:rFonts w:ascii="Book Antiqua" w:hAnsi="Book Antiqua"/>
        </w:rPr>
        <w:t>Cardiovascular safety of newer diabetes medications</w:t>
      </w:r>
    </w:p>
    <w:p w:rsidR="00280229" w:rsidRPr="00DD3614" w:rsidRDefault="00280229" w:rsidP="00441037">
      <w:pPr>
        <w:spacing w:line="360" w:lineRule="auto"/>
        <w:jc w:val="both"/>
        <w:rPr>
          <w:rFonts w:ascii="Book Antiqua" w:eastAsiaTheme="minorEastAsia" w:hAnsi="Book Antiqua" w:cs="Tahoma"/>
          <w:b/>
          <w:shd w:val="clear" w:color="auto" w:fill="FFFFFF"/>
          <w:lang w:eastAsia="zh-CN"/>
        </w:rPr>
      </w:pPr>
    </w:p>
    <w:p w:rsidR="00035F28" w:rsidRPr="007258D6" w:rsidRDefault="00035F28" w:rsidP="00441037">
      <w:pPr>
        <w:spacing w:line="360" w:lineRule="auto"/>
        <w:jc w:val="both"/>
        <w:rPr>
          <w:rFonts w:ascii="Book Antiqua" w:hAnsi="Book Antiqua"/>
        </w:rPr>
      </w:pPr>
      <w:r w:rsidRPr="00DD3614">
        <w:rPr>
          <w:rFonts w:ascii="Book Antiqua" w:hAnsi="Book Antiqua"/>
        </w:rPr>
        <w:t xml:space="preserve">Ravi Kant, Kashif M Munir, </w:t>
      </w:r>
      <w:r w:rsidRPr="007258D6">
        <w:rPr>
          <w:rFonts w:ascii="Book Antiqua" w:hAnsi="Book Antiqua"/>
        </w:rPr>
        <w:t>Arshpreet Kaur, Vipin Verma</w:t>
      </w:r>
    </w:p>
    <w:p w:rsidR="00035F28" w:rsidRPr="007258D6" w:rsidRDefault="00035F28" w:rsidP="00441037">
      <w:pPr>
        <w:spacing w:line="360" w:lineRule="auto"/>
        <w:jc w:val="both"/>
        <w:rPr>
          <w:rFonts w:ascii="Book Antiqua" w:eastAsiaTheme="minorEastAsia" w:hAnsi="Book Antiqua" w:cs="Tahoma"/>
          <w:b/>
          <w:lang w:eastAsia="zh-CN"/>
        </w:rPr>
      </w:pPr>
    </w:p>
    <w:p w:rsidR="001A48D3" w:rsidRPr="007258D6" w:rsidRDefault="003F0CF8" w:rsidP="00441037">
      <w:pPr>
        <w:spacing w:line="360" w:lineRule="auto"/>
        <w:jc w:val="both"/>
        <w:rPr>
          <w:rFonts w:ascii="Book Antiqua" w:hAnsi="Book Antiqua"/>
        </w:rPr>
      </w:pPr>
      <w:r w:rsidRPr="007258D6">
        <w:rPr>
          <w:rFonts w:ascii="Book Antiqua" w:hAnsi="Book Antiqua"/>
          <w:b/>
        </w:rPr>
        <w:t>Ravi Kant</w:t>
      </w:r>
      <w:r w:rsidR="003B22DF" w:rsidRPr="007258D6">
        <w:rPr>
          <w:rFonts w:ascii="Book Antiqua" w:hAnsi="Book Antiqua"/>
          <w:b/>
        </w:rPr>
        <w:t xml:space="preserve">, </w:t>
      </w:r>
      <w:r w:rsidR="00DE6CAE" w:rsidRPr="007258D6">
        <w:rPr>
          <w:rFonts w:ascii="Book Antiqua" w:hAnsi="Book Antiqua"/>
        </w:rPr>
        <w:t>Division of Endocrinology, Diabetes and Nutrition, Medical University of South Carolina/</w:t>
      </w:r>
      <w:proofErr w:type="spellStart"/>
      <w:r w:rsidR="00DE6CAE" w:rsidRPr="007258D6">
        <w:rPr>
          <w:rFonts w:ascii="Book Antiqua" w:hAnsi="Book Antiqua"/>
        </w:rPr>
        <w:t>Anmed</w:t>
      </w:r>
      <w:proofErr w:type="spellEnd"/>
      <w:r w:rsidR="00DE6CAE" w:rsidRPr="007258D6">
        <w:rPr>
          <w:rFonts w:ascii="Book Antiqua" w:hAnsi="Book Antiqua"/>
        </w:rPr>
        <w:t xml:space="preserve"> Campus, Anderson, S</w:t>
      </w:r>
      <w:r w:rsidR="003B22DF" w:rsidRPr="007258D6">
        <w:rPr>
          <w:rFonts w:ascii="Book Antiqua" w:hAnsi="Book Antiqua"/>
        </w:rPr>
        <w:t>C</w:t>
      </w:r>
      <w:r w:rsidR="00DE6CAE" w:rsidRPr="007258D6">
        <w:rPr>
          <w:rFonts w:ascii="Book Antiqua" w:hAnsi="Book Antiqua"/>
        </w:rPr>
        <w:t xml:space="preserve"> 29621, United States</w:t>
      </w:r>
    </w:p>
    <w:p w:rsidR="003B22DF" w:rsidRPr="007258D6" w:rsidRDefault="003B22DF" w:rsidP="00441037">
      <w:pPr>
        <w:spacing w:line="360" w:lineRule="auto"/>
        <w:jc w:val="both"/>
        <w:rPr>
          <w:rFonts w:ascii="Book Antiqua" w:hAnsi="Book Antiqua"/>
        </w:rPr>
      </w:pPr>
    </w:p>
    <w:p w:rsidR="00DE6CAE" w:rsidRPr="007258D6" w:rsidRDefault="00DE6CAE" w:rsidP="00441037">
      <w:pPr>
        <w:spacing w:line="360" w:lineRule="auto"/>
        <w:jc w:val="both"/>
        <w:rPr>
          <w:rFonts w:ascii="Book Antiqua" w:hAnsi="Book Antiqua"/>
        </w:rPr>
      </w:pPr>
      <w:r w:rsidRPr="007258D6">
        <w:rPr>
          <w:rFonts w:ascii="Book Antiqua" w:hAnsi="Book Antiqua"/>
          <w:b/>
        </w:rPr>
        <w:t>Kashif M Munir</w:t>
      </w:r>
      <w:r w:rsidR="003B22DF" w:rsidRPr="007258D6">
        <w:rPr>
          <w:rFonts w:ascii="Book Antiqua" w:hAnsi="Book Antiqua"/>
        </w:rPr>
        <w:t>,</w:t>
      </w:r>
      <w:r w:rsidRPr="007258D6">
        <w:rPr>
          <w:rFonts w:ascii="Book Antiqua" w:hAnsi="Book Antiqua"/>
        </w:rPr>
        <w:t xml:space="preserve"> Division of Endocrinology, Diabetes and Nutrition, University of Maryland School of Medicine, Baltimore, M</w:t>
      </w:r>
      <w:r w:rsidR="003B22DF" w:rsidRPr="007258D6">
        <w:rPr>
          <w:rFonts w:ascii="Book Antiqua" w:hAnsi="Book Antiqua"/>
        </w:rPr>
        <w:t>D</w:t>
      </w:r>
      <w:r w:rsidRPr="007258D6">
        <w:rPr>
          <w:rFonts w:ascii="Book Antiqua" w:hAnsi="Book Antiqua"/>
        </w:rPr>
        <w:t xml:space="preserve"> 21201, United States</w:t>
      </w:r>
    </w:p>
    <w:p w:rsidR="003B22DF" w:rsidRPr="007258D6" w:rsidRDefault="003B22DF" w:rsidP="00441037">
      <w:pPr>
        <w:spacing w:line="360" w:lineRule="auto"/>
        <w:jc w:val="both"/>
        <w:rPr>
          <w:rFonts w:ascii="Book Antiqua" w:hAnsi="Book Antiqua"/>
        </w:rPr>
      </w:pPr>
    </w:p>
    <w:p w:rsidR="00DE6CAE" w:rsidRPr="007258D6" w:rsidRDefault="00DE6CAE" w:rsidP="00441037">
      <w:pPr>
        <w:spacing w:line="360" w:lineRule="auto"/>
        <w:jc w:val="both"/>
        <w:rPr>
          <w:rFonts w:ascii="Book Antiqua" w:hAnsi="Book Antiqua"/>
        </w:rPr>
      </w:pPr>
      <w:r w:rsidRPr="007258D6">
        <w:rPr>
          <w:rFonts w:ascii="Book Antiqua" w:hAnsi="Book Antiqua"/>
          <w:b/>
        </w:rPr>
        <w:t>Arshpreet Kaur</w:t>
      </w:r>
      <w:r w:rsidR="003B22DF" w:rsidRPr="007258D6">
        <w:rPr>
          <w:rFonts w:ascii="Book Antiqua" w:hAnsi="Book Antiqua"/>
        </w:rPr>
        <w:t>,</w:t>
      </w:r>
      <w:r w:rsidRPr="007258D6">
        <w:rPr>
          <w:rFonts w:ascii="Book Antiqua" w:hAnsi="Book Antiqua"/>
        </w:rPr>
        <w:t xml:space="preserve"> Division of Endocrinology, Diabetes and Nutrition, Sinai Hospital, Baltimore, </w:t>
      </w:r>
      <w:r w:rsidR="003B22DF" w:rsidRPr="007258D6">
        <w:rPr>
          <w:rFonts w:ascii="Book Antiqua" w:hAnsi="Book Antiqua"/>
        </w:rPr>
        <w:t>MD</w:t>
      </w:r>
      <w:r w:rsidRPr="007258D6">
        <w:rPr>
          <w:rFonts w:ascii="Book Antiqua" w:hAnsi="Book Antiqua"/>
        </w:rPr>
        <w:t xml:space="preserve"> 21215, United States</w:t>
      </w:r>
    </w:p>
    <w:p w:rsidR="003B22DF" w:rsidRPr="007258D6" w:rsidRDefault="003B22DF" w:rsidP="00441037">
      <w:pPr>
        <w:spacing w:line="360" w:lineRule="auto"/>
        <w:jc w:val="both"/>
        <w:rPr>
          <w:rFonts w:ascii="Book Antiqua" w:hAnsi="Book Antiqua"/>
        </w:rPr>
      </w:pPr>
    </w:p>
    <w:p w:rsidR="00DE6CAE" w:rsidRPr="007258D6" w:rsidRDefault="00DE6CAE" w:rsidP="00441037">
      <w:pPr>
        <w:spacing w:line="360" w:lineRule="auto"/>
        <w:jc w:val="both"/>
        <w:rPr>
          <w:rFonts w:ascii="Book Antiqua" w:hAnsi="Book Antiqua"/>
        </w:rPr>
      </w:pPr>
      <w:r w:rsidRPr="007258D6">
        <w:rPr>
          <w:rFonts w:ascii="Book Antiqua" w:hAnsi="Book Antiqua"/>
          <w:b/>
        </w:rPr>
        <w:t>Vipin Verma</w:t>
      </w:r>
      <w:r w:rsidR="003B22DF" w:rsidRPr="007258D6">
        <w:rPr>
          <w:rFonts w:ascii="Book Antiqua" w:hAnsi="Book Antiqua"/>
        </w:rPr>
        <w:t>,</w:t>
      </w:r>
      <w:r w:rsidRPr="007258D6">
        <w:rPr>
          <w:rFonts w:ascii="Book Antiqua" w:hAnsi="Book Antiqua"/>
        </w:rPr>
        <w:t xml:space="preserve"> Department of Medicine, Medical University of South Carolina/</w:t>
      </w:r>
      <w:proofErr w:type="spellStart"/>
      <w:r w:rsidRPr="007258D6">
        <w:rPr>
          <w:rFonts w:ascii="Book Antiqua" w:hAnsi="Book Antiqua"/>
        </w:rPr>
        <w:t>Anmed</w:t>
      </w:r>
      <w:proofErr w:type="spellEnd"/>
      <w:r w:rsidRPr="007258D6">
        <w:rPr>
          <w:rFonts w:ascii="Book Antiqua" w:hAnsi="Book Antiqua"/>
        </w:rPr>
        <w:t xml:space="preserve"> Campus, Anderson, </w:t>
      </w:r>
      <w:r w:rsidR="003B22DF" w:rsidRPr="007258D6">
        <w:rPr>
          <w:rFonts w:ascii="Book Antiqua" w:hAnsi="Book Antiqua"/>
        </w:rPr>
        <w:t>SC</w:t>
      </w:r>
      <w:r w:rsidRPr="007258D6">
        <w:rPr>
          <w:rFonts w:ascii="Book Antiqua" w:hAnsi="Book Antiqua"/>
        </w:rPr>
        <w:t xml:space="preserve"> 29621, United States</w:t>
      </w:r>
    </w:p>
    <w:p w:rsidR="00DE6CAE" w:rsidRPr="00DD3614" w:rsidRDefault="00DE6CAE" w:rsidP="00441037">
      <w:pPr>
        <w:spacing w:line="360" w:lineRule="auto"/>
        <w:jc w:val="both"/>
        <w:rPr>
          <w:rFonts w:ascii="Book Antiqua" w:hAnsi="Book Antiqua"/>
        </w:rPr>
      </w:pPr>
    </w:p>
    <w:p w:rsidR="006D0BB6" w:rsidRPr="00DD3614" w:rsidRDefault="006D0BB6" w:rsidP="00441037">
      <w:pPr>
        <w:spacing w:line="360" w:lineRule="auto"/>
        <w:jc w:val="both"/>
        <w:rPr>
          <w:rFonts w:ascii="Book Antiqua" w:hAnsi="Book Antiqua"/>
        </w:rPr>
      </w:pPr>
      <w:r w:rsidRPr="00DD3614">
        <w:rPr>
          <w:rFonts w:ascii="Book Antiqua" w:hAnsi="Book Antiqua"/>
          <w:b/>
        </w:rPr>
        <w:t xml:space="preserve">ORCID number: </w:t>
      </w:r>
      <w:r w:rsidRPr="00DD3614">
        <w:rPr>
          <w:rFonts w:ascii="Book Antiqua" w:hAnsi="Book Antiqua"/>
        </w:rPr>
        <w:t>Ravi Kant (</w:t>
      </w:r>
      <w:hyperlink r:id="rId9" w:tgtFrame="_blank" w:history="1">
        <w:r w:rsidRPr="00DD3614">
          <w:rPr>
            <w:rFonts w:ascii="Book Antiqua" w:hAnsi="Book Antiqua"/>
          </w:rPr>
          <w:t>0000-0002-9599-8082</w:t>
        </w:r>
      </w:hyperlink>
      <w:r w:rsidRPr="00DD3614">
        <w:rPr>
          <w:rFonts w:ascii="Book Antiqua" w:hAnsi="Book Antiqua"/>
        </w:rPr>
        <w:t>); Kashif M Munir (</w:t>
      </w:r>
      <w:hyperlink r:id="rId10" w:history="1">
        <w:r w:rsidRPr="00DD3614">
          <w:rPr>
            <w:rFonts w:ascii="Book Antiqua" w:hAnsi="Book Antiqua"/>
          </w:rPr>
          <w:t>0000-0002-1075-1284</w:t>
        </w:r>
      </w:hyperlink>
      <w:r w:rsidRPr="00DD3614">
        <w:rPr>
          <w:rFonts w:ascii="Book Antiqua" w:hAnsi="Book Antiqua"/>
        </w:rPr>
        <w:t>); Arshpreet Kaur (</w:t>
      </w:r>
      <w:hyperlink r:id="rId11" w:history="1">
        <w:r w:rsidRPr="00DD3614">
          <w:rPr>
            <w:rFonts w:ascii="Book Antiqua" w:hAnsi="Book Antiqua"/>
          </w:rPr>
          <w:t>0000-0002-7266-9358</w:t>
        </w:r>
      </w:hyperlink>
      <w:r w:rsidRPr="00DD3614">
        <w:rPr>
          <w:rFonts w:ascii="Book Antiqua" w:hAnsi="Book Antiqua"/>
        </w:rPr>
        <w:t>); Vipin Verma (</w:t>
      </w:r>
      <w:hyperlink r:id="rId12" w:tgtFrame="_blank" w:history="1">
        <w:r w:rsidRPr="00DD3614">
          <w:rPr>
            <w:rFonts w:ascii="Book Antiqua" w:hAnsi="Book Antiqua"/>
          </w:rPr>
          <w:t>0000-0001-5370-3146</w:t>
        </w:r>
      </w:hyperlink>
      <w:r w:rsidRPr="00DD3614">
        <w:rPr>
          <w:rFonts w:ascii="Book Antiqua" w:hAnsi="Book Antiqua"/>
        </w:rPr>
        <w:t>).</w:t>
      </w:r>
    </w:p>
    <w:p w:rsidR="006D0BB6" w:rsidRPr="00DD3614" w:rsidRDefault="006D0BB6" w:rsidP="00441037">
      <w:pPr>
        <w:spacing w:line="360" w:lineRule="auto"/>
        <w:jc w:val="both"/>
        <w:rPr>
          <w:rFonts w:ascii="Book Antiqua" w:hAnsi="Book Antiqua"/>
        </w:rPr>
      </w:pPr>
    </w:p>
    <w:p w:rsidR="001A48D3" w:rsidRPr="00DD3614" w:rsidRDefault="006D0BB6" w:rsidP="00441037">
      <w:pPr>
        <w:spacing w:line="360" w:lineRule="auto"/>
        <w:jc w:val="both"/>
        <w:rPr>
          <w:rFonts w:ascii="Book Antiqua" w:hAnsi="Book Antiqua"/>
        </w:rPr>
      </w:pPr>
      <w:r w:rsidRPr="00DD3614">
        <w:rPr>
          <w:rFonts w:ascii="Book Antiqua" w:hAnsi="Book Antiqua"/>
          <w:b/>
        </w:rPr>
        <w:t>Author contributions:</w:t>
      </w:r>
      <w:r w:rsidRPr="00DD3614">
        <w:rPr>
          <w:rFonts w:ascii="Book Antiqua" w:hAnsi="Book Antiqua"/>
        </w:rPr>
        <w:t xml:space="preserve"> </w:t>
      </w:r>
      <w:r w:rsidR="00272F81" w:rsidRPr="00DD3614">
        <w:rPr>
          <w:rFonts w:ascii="Book Antiqua" w:hAnsi="Book Antiqua"/>
        </w:rPr>
        <w:t>Kant R performed the majority of the writing, prepared the table</w:t>
      </w:r>
      <w:r w:rsidR="00ED1648" w:rsidRPr="00DD3614">
        <w:rPr>
          <w:rFonts w:ascii="Book Antiqua" w:hAnsi="Book Antiqua"/>
        </w:rPr>
        <w:t xml:space="preserve">s; Verma V designed the outline </w:t>
      </w:r>
      <w:r w:rsidR="00272F81" w:rsidRPr="00DD3614">
        <w:rPr>
          <w:rFonts w:ascii="Book Antiqua" w:hAnsi="Book Antiqua"/>
        </w:rPr>
        <w:t xml:space="preserve">and </w:t>
      </w:r>
      <w:r w:rsidR="00ED1648" w:rsidRPr="00DD3614">
        <w:rPr>
          <w:rFonts w:ascii="Book Antiqua" w:hAnsi="Book Antiqua"/>
        </w:rPr>
        <w:t xml:space="preserve">performed the </w:t>
      </w:r>
      <w:r w:rsidR="00272F81" w:rsidRPr="00DD3614">
        <w:rPr>
          <w:rFonts w:ascii="Book Antiqua" w:hAnsi="Book Antiqua"/>
        </w:rPr>
        <w:t>writing; Munir K</w:t>
      </w:r>
      <w:r w:rsidRPr="00DD3614">
        <w:rPr>
          <w:rFonts w:ascii="Book Antiqua" w:hAnsi="Book Antiqua"/>
        </w:rPr>
        <w:t xml:space="preserve">M </w:t>
      </w:r>
      <w:r w:rsidR="00ED1648" w:rsidRPr="00DD3614">
        <w:rPr>
          <w:rFonts w:ascii="Book Antiqua" w:hAnsi="Book Antiqua"/>
        </w:rPr>
        <w:t xml:space="preserve">and Kaur A </w:t>
      </w:r>
      <w:r w:rsidR="00272F81" w:rsidRPr="00DD3614">
        <w:rPr>
          <w:rFonts w:ascii="Book Antiqua" w:hAnsi="Book Antiqua"/>
        </w:rPr>
        <w:t>provided</w:t>
      </w:r>
      <w:r w:rsidR="00ED1648" w:rsidRPr="00DD3614">
        <w:rPr>
          <w:rFonts w:ascii="Book Antiqua" w:hAnsi="Book Antiqua"/>
        </w:rPr>
        <w:t xml:space="preserve"> the input in writing the paper and edited the </w:t>
      </w:r>
      <w:r w:rsidR="00272F81" w:rsidRPr="00DD3614">
        <w:rPr>
          <w:rFonts w:ascii="Book Antiqua" w:hAnsi="Book Antiqua"/>
        </w:rPr>
        <w:t>paper.</w:t>
      </w:r>
    </w:p>
    <w:p w:rsidR="006D0BB6" w:rsidRPr="00DD3614" w:rsidRDefault="006D0BB6" w:rsidP="00441037">
      <w:pPr>
        <w:spacing w:line="360" w:lineRule="auto"/>
        <w:jc w:val="both"/>
        <w:rPr>
          <w:rFonts w:ascii="Book Antiqua" w:hAnsi="Book Antiqua"/>
          <w:b/>
        </w:rPr>
      </w:pPr>
    </w:p>
    <w:p w:rsidR="006D0BB6" w:rsidRPr="00DD3614" w:rsidRDefault="006D0BB6" w:rsidP="00441037">
      <w:pPr>
        <w:autoSpaceDE w:val="0"/>
        <w:autoSpaceDN w:val="0"/>
        <w:adjustRightInd w:val="0"/>
        <w:spacing w:line="360" w:lineRule="auto"/>
        <w:jc w:val="both"/>
        <w:rPr>
          <w:rFonts w:ascii="Book Antiqua" w:hAnsi="Book Antiqua"/>
        </w:rPr>
      </w:pPr>
      <w:r w:rsidRPr="00DD3614">
        <w:rPr>
          <w:rFonts w:ascii="Book Antiqua" w:hAnsi="Book Antiqua"/>
          <w:b/>
        </w:rPr>
        <w:t>Conflict-of-interest statement</w:t>
      </w:r>
      <w:r w:rsidRPr="00DD3614">
        <w:rPr>
          <w:rFonts w:ascii="Book Antiqua" w:hAnsi="Book Antiqua" w:cs="TimesNewRomanPS-BoldItalicMT"/>
          <w:b/>
          <w:iCs/>
        </w:rPr>
        <w:t xml:space="preserve">: </w:t>
      </w:r>
      <w:r w:rsidRPr="00DD3614">
        <w:rPr>
          <w:rFonts w:ascii="Book Antiqua" w:hAnsi="Book Antiqua"/>
        </w:rPr>
        <w:t>There is no conflict of interest associated with any of the senior author or other coauthors contributed their efforts in this manuscript.</w:t>
      </w:r>
    </w:p>
    <w:p w:rsidR="006D0BB6" w:rsidRPr="00DD3614" w:rsidRDefault="006D0BB6" w:rsidP="00441037">
      <w:pPr>
        <w:adjustRightInd w:val="0"/>
        <w:snapToGrid w:val="0"/>
        <w:spacing w:line="360" w:lineRule="auto"/>
        <w:jc w:val="both"/>
        <w:rPr>
          <w:rFonts w:ascii="Book Antiqua" w:hAnsi="Book Antiqua"/>
        </w:rPr>
      </w:pPr>
    </w:p>
    <w:p w:rsidR="006D0BB6" w:rsidRPr="00DD3614" w:rsidRDefault="006D0BB6" w:rsidP="00441037">
      <w:pPr>
        <w:adjustRightInd w:val="0"/>
        <w:snapToGrid w:val="0"/>
        <w:spacing w:line="360" w:lineRule="auto"/>
        <w:jc w:val="both"/>
        <w:rPr>
          <w:rFonts w:ascii="Book Antiqua" w:hAnsi="Book Antiqua"/>
        </w:rPr>
      </w:pPr>
      <w:r w:rsidRPr="00DD3614">
        <w:rPr>
          <w:rFonts w:ascii="Book Antiqua" w:hAnsi="Book Antiqua"/>
          <w:b/>
        </w:rPr>
        <w:t xml:space="preserve">Open-Access: </w:t>
      </w:r>
      <w:r w:rsidRPr="00DD3614">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3" w:history="1">
        <w:r w:rsidRPr="00DD3614">
          <w:rPr>
            <w:rStyle w:val="a4"/>
            <w:rFonts w:ascii="Book Antiqua" w:hAnsi="Book Antiqua"/>
            <w:color w:val="auto"/>
          </w:rPr>
          <w:t>http://creativecommons.org/licenses/by-nc/4.0/</w:t>
        </w:r>
      </w:hyperlink>
    </w:p>
    <w:p w:rsidR="006D0BB6" w:rsidRPr="00DD3614" w:rsidRDefault="006D0BB6" w:rsidP="00441037">
      <w:pPr>
        <w:spacing w:line="360" w:lineRule="auto"/>
        <w:jc w:val="both"/>
        <w:rPr>
          <w:rFonts w:ascii="Book Antiqua" w:hAnsi="Book Antiqua"/>
          <w:b/>
        </w:rPr>
      </w:pPr>
    </w:p>
    <w:p w:rsidR="006D0BB6" w:rsidRPr="00DD3614" w:rsidRDefault="006D0BB6" w:rsidP="00441037">
      <w:pPr>
        <w:spacing w:line="360" w:lineRule="auto"/>
        <w:jc w:val="both"/>
        <w:rPr>
          <w:rFonts w:ascii="Book Antiqua" w:hAnsi="Book Antiqua"/>
          <w:b/>
        </w:rPr>
      </w:pPr>
      <w:r w:rsidRPr="00DD3614">
        <w:rPr>
          <w:rFonts w:ascii="Book Antiqua" w:eastAsia="宋体" w:hAnsi="Book Antiqua" w:cs="宋体"/>
          <w:b/>
        </w:rPr>
        <w:t>Manuscript source:</w:t>
      </w:r>
      <w:r w:rsidRPr="00DD3614">
        <w:rPr>
          <w:rFonts w:ascii="Book Antiqua" w:eastAsia="宋体" w:hAnsi="Book Antiqua" w:cs="宋体"/>
        </w:rPr>
        <w:t> Invited manuscript</w:t>
      </w:r>
    </w:p>
    <w:p w:rsidR="006D0BB6" w:rsidRPr="00DD3614" w:rsidRDefault="006D0BB6" w:rsidP="00441037">
      <w:pPr>
        <w:spacing w:line="360" w:lineRule="auto"/>
        <w:jc w:val="both"/>
        <w:rPr>
          <w:rFonts w:ascii="Book Antiqua" w:hAnsi="Book Antiqua"/>
          <w:b/>
        </w:rPr>
      </w:pPr>
    </w:p>
    <w:p w:rsidR="006D0BB6" w:rsidRPr="00291D39" w:rsidRDefault="006D0BB6" w:rsidP="00441037">
      <w:pPr>
        <w:spacing w:line="360" w:lineRule="auto"/>
        <w:jc w:val="both"/>
        <w:rPr>
          <w:rFonts w:ascii="Book Antiqua" w:eastAsiaTheme="minorEastAsia" w:hAnsi="Book Antiqua"/>
          <w:b/>
          <w:lang w:eastAsia="zh-CN"/>
        </w:rPr>
      </w:pPr>
      <w:r w:rsidRPr="00DD3614">
        <w:rPr>
          <w:rFonts w:ascii="Book Antiqua" w:hAnsi="Book Antiqua"/>
          <w:b/>
        </w:rPr>
        <w:t xml:space="preserve">Corresponding author: Ravi Kant, MD, </w:t>
      </w:r>
      <w:r w:rsidR="00A65B52">
        <w:rPr>
          <w:rFonts w:ascii="Book Antiqua" w:hAnsi="Book Antiqua"/>
          <w:b/>
        </w:rPr>
        <w:t>Affiliate</w:t>
      </w:r>
      <w:r w:rsidR="00A65B52" w:rsidRPr="00DD3614">
        <w:rPr>
          <w:rFonts w:ascii="Book Antiqua" w:hAnsi="Book Antiqua"/>
          <w:b/>
        </w:rPr>
        <w:t xml:space="preserve"> </w:t>
      </w:r>
      <w:r w:rsidRPr="00DD3614">
        <w:rPr>
          <w:rFonts w:ascii="Book Antiqua" w:hAnsi="Book Antiqua"/>
          <w:b/>
        </w:rPr>
        <w:t xml:space="preserve">Associate Professor, </w:t>
      </w:r>
      <w:r w:rsidRPr="00DD3614">
        <w:rPr>
          <w:rFonts w:ascii="Book Antiqua" w:hAnsi="Book Antiqua"/>
        </w:rPr>
        <w:t>Division of Endocrinology, Diabetes and Nutrition, Medical University of South Carolina/</w:t>
      </w:r>
      <w:proofErr w:type="spellStart"/>
      <w:r w:rsidRPr="00DD3614">
        <w:rPr>
          <w:rFonts w:ascii="Book Antiqua" w:hAnsi="Book Antiqua"/>
        </w:rPr>
        <w:t>Anmed</w:t>
      </w:r>
      <w:proofErr w:type="spellEnd"/>
      <w:r w:rsidRPr="00DD3614">
        <w:rPr>
          <w:rFonts w:ascii="Book Antiqua" w:hAnsi="Book Antiqua"/>
        </w:rPr>
        <w:t xml:space="preserve"> Campus, 2000 E Greenville St., Suite # 3100, Anderson, SC</w:t>
      </w:r>
      <w:r w:rsidR="001F7D25">
        <w:rPr>
          <w:rFonts w:ascii="Book Antiqua" w:eastAsiaTheme="minorEastAsia" w:hAnsi="Book Antiqua" w:hint="eastAsia"/>
          <w:lang w:eastAsia="zh-CN"/>
        </w:rPr>
        <w:t xml:space="preserve"> </w:t>
      </w:r>
      <w:r w:rsidRPr="00DD3614">
        <w:rPr>
          <w:rFonts w:ascii="Book Antiqua" w:hAnsi="Book Antiqua"/>
        </w:rPr>
        <w:t xml:space="preserve">29621, United States. </w:t>
      </w:r>
      <w:r w:rsidR="00291D39" w:rsidRPr="007258D6">
        <w:rPr>
          <w:rFonts w:ascii="Book Antiqua" w:hAnsi="Book Antiqua"/>
        </w:rPr>
        <w:t>kant.ravi.md@gmail.com</w:t>
      </w:r>
    </w:p>
    <w:p w:rsidR="001A48D3" w:rsidRPr="00DD3614" w:rsidRDefault="001A48D3" w:rsidP="00441037">
      <w:pPr>
        <w:spacing w:line="360" w:lineRule="auto"/>
        <w:jc w:val="both"/>
        <w:rPr>
          <w:rFonts w:ascii="Book Antiqua" w:hAnsi="Book Antiqua"/>
          <w:b/>
        </w:rPr>
      </w:pPr>
      <w:r w:rsidRPr="00DD3614">
        <w:rPr>
          <w:rFonts w:ascii="Book Antiqua" w:hAnsi="Book Antiqua"/>
          <w:b/>
        </w:rPr>
        <w:t xml:space="preserve">Telephone: </w:t>
      </w:r>
      <w:r w:rsidR="007423BB" w:rsidRPr="00DD3614">
        <w:rPr>
          <w:rFonts w:ascii="Book Antiqua" w:hAnsi="Book Antiqua"/>
        </w:rPr>
        <w:t>+1-</w:t>
      </w:r>
      <w:r w:rsidR="00272F81" w:rsidRPr="00DD3614">
        <w:rPr>
          <w:rFonts w:ascii="Book Antiqua" w:hAnsi="Book Antiqua"/>
        </w:rPr>
        <w:t>864-5124160</w:t>
      </w:r>
    </w:p>
    <w:p w:rsidR="001A48D3" w:rsidRPr="00DD3614" w:rsidRDefault="001A48D3" w:rsidP="00441037">
      <w:pPr>
        <w:spacing w:line="360" w:lineRule="auto"/>
        <w:jc w:val="both"/>
        <w:rPr>
          <w:rFonts w:ascii="Book Antiqua" w:hAnsi="Book Antiqua"/>
          <w:b/>
        </w:rPr>
      </w:pPr>
      <w:r w:rsidRPr="00DD3614">
        <w:rPr>
          <w:rFonts w:ascii="Book Antiqua" w:hAnsi="Book Antiqua"/>
          <w:b/>
        </w:rPr>
        <w:t>Fax:</w:t>
      </w:r>
      <w:r w:rsidR="00272F81" w:rsidRPr="00DD3614">
        <w:rPr>
          <w:rFonts w:ascii="Book Antiqua" w:hAnsi="Book Antiqua"/>
          <w:b/>
        </w:rPr>
        <w:t xml:space="preserve"> </w:t>
      </w:r>
      <w:r w:rsidR="007423BB" w:rsidRPr="00DD3614">
        <w:rPr>
          <w:rFonts w:ascii="Book Antiqua" w:hAnsi="Book Antiqua"/>
        </w:rPr>
        <w:t>+1-</w:t>
      </w:r>
      <w:r w:rsidR="00272F81" w:rsidRPr="00DD3614">
        <w:rPr>
          <w:rFonts w:ascii="Book Antiqua" w:hAnsi="Book Antiqua"/>
        </w:rPr>
        <w:t>864-5124165</w:t>
      </w:r>
    </w:p>
    <w:p w:rsidR="001A48D3" w:rsidRPr="00DD3614" w:rsidRDefault="001A48D3" w:rsidP="00441037">
      <w:pPr>
        <w:spacing w:line="360" w:lineRule="auto"/>
        <w:jc w:val="both"/>
        <w:rPr>
          <w:rFonts w:ascii="Book Antiqua" w:hAnsi="Book Antiqua" w:cs="Tahoma"/>
          <w:b/>
          <w:shd w:val="clear" w:color="auto" w:fill="FFFFFF"/>
          <w:lang w:eastAsia="zh-CN"/>
        </w:rPr>
      </w:pPr>
    </w:p>
    <w:p w:rsidR="006D0BB6" w:rsidRPr="00DD3614" w:rsidRDefault="006D0BB6" w:rsidP="00441037">
      <w:pPr>
        <w:spacing w:line="360" w:lineRule="auto"/>
        <w:jc w:val="both"/>
        <w:rPr>
          <w:rFonts w:ascii="Book Antiqua" w:hAnsi="Book Antiqua"/>
          <w:b/>
        </w:rPr>
      </w:pPr>
      <w:r w:rsidRPr="00DD3614">
        <w:rPr>
          <w:rFonts w:ascii="Book Antiqua" w:hAnsi="Book Antiqua"/>
          <w:b/>
        </w:rPr>
        <w:t xml:space="preserve">Received: </w:t>
      </w:r>
      <w:r w:rsidR="00B852F5" w:rsidRPr="00DD3614">
        <w:rPr>
          <w:rFonts w:ascii="Book Antiqua" w:hAnsi="Book Antiqua"/>
        </w:rPr>
        <w:t>February 21, 2019</w:t>
      </w:r>
      <w:r w:rsidR="00441037" w:rsidRPr="00DD3614">
        <w:rPr>
          <w:rFonts w:ascii="Book Antiqua" w:hAnsi="Book Antiqua"/>
        </w:rPr>
        <w:t xml:space="preserve"> </w:t>
      </w:r>
    </w:p>
    <w:p w:rsidR="006D0BB6" w:rsidRPr="00DD3614" w:rsidRDefault="006D0BB6" w:rsidP="00441037">
      <w:pPr>
        <w:spacing w:line="360" w:lineRule="auto"/>
        <w:jc w:val="both"/>
        <w:rPr>
          <w:rFonts w:ascii="Book Antiqua" w:hAnsi="Book Antiqua"/>
          <w:b/>
        </w:rPr>
      </w:pPr>
      <w:r w:rsidRPr="00DD3614">
        <w:rPr>
          <w:rFonts w:ascii="Book Antiqua" w:hAnsi="Book Antiqua"/>
          <w:b/>
        </w:rPr>
        <w:t>Peer-review started:</w:t>
      </w:r>
      <w:r w:rsidR="00B852F5" w:rsidRPr="00DD3614">
        <w:rPr>
          <w:rFonts w:ascii="Book Antiqua" w:hAnsi="Book Antiqua"/>
        </w:rPr>
        <w:t xml:space="preserve"> February 22, 2019</w:t>
      </w:r>
      <w:r w:rsidR="00441037" w:rsidRPr="00DD3614">
        <w:rPr>
          <w:rFonts w:ascii="Book Antiqua" w:hAnsi="Book Antiqua"/>
        </w:rPr>
        <w:t xml:space="preserve"> </w:t>
      </w:r>
    </w:p>
    <w:p w:rsidR="006D0BB6" w:rsidRPr="00DD3614" w:rsidRDefault="006D0BB6" w:rsidP="00441037">
      <w:pPr>
        <w:spacing w:line="360" w:lineRule="auto"/>
        <w:jc w:val="both"/>
        <w:rPr>
          <w:rFonts w:ascii="Book Antiqua" w:hAnsi="Book Antiqua"/>
          <w:b/>
        </w:rPr>
      </w:pPr>
      <w:r w:rsidRPr="00DD3614">
        <w:rPr>
          <w:rFonts w:ascii="Book Antiqua" w:hAnsi="Book Antiqua"/>
          <w:b/>
        </w:rPr>
        <w:t>First decision:</w:t>
      </w:r>
      <w:r w:rsidR="00B852F5" w:rsidRPr="00DD3614">
        <w:rPr>
          <w:rFonts w:ascii="Book Antiqua" w:hAnsi="Book Antiqua"/>
        </w:rPr>
        <w:t xml:space="preserve"> May 8, 2019 </w:t>
      </w:r>
    </w:p>
    <w:p w:rsidR="006D0BB6" w:rsidRPr="00DD3614" w:rsidRDefault="006D0BB6" w:rsidP="00441037">
      <w:pPr>
        <w:spacing w:line="360" w:lineRule="auto"/>
        <w:jc w:val="both"/>
        <w:rPr>
          <w:rFonts w:ascii="Book Antiqua" w:hAnsi="Book Antiqua"/>
          <w:b/>
        </w:rPr>
      </w:pPr>
      <w:r w:rsidRPr="00DD3614">
        <w:rPr>
          <w:rFonts w:ascii="Book Antiqua" w:hAnsi="Book Antiqua"/>
          <w:b/>
        </w:rPr>
        <w:t xml:space="preserve">Revised: </w:t>
      </w:r>
      <w:r w:rsidR="00B852F5" w:rsidRPr="00DD3614">
        <w:rPr>
          <w:rFonts w:ascii="Book Antiqua" w:hAnsi="Book Antiqua"/>
        </w:rPr>
        <w:t>May 15, 2019</w:t>
      </w:r>
      <w:r w:rsidR="00441037" w:rsidRPr="00DD3614">
        <w:rPr>
          <w:rFonts w:ascii="Book Antiqua" w:hAnsi="Book Antiqua"/>
        </w:rPr>
        <w:t xml:space="preserve"> </w:t>
      </w:r>
    </w:p>
    <w:p w:rsidR="006D0BB6" w:rsidRPr="00DD3614" w:rsidRDefault="006D0BB6" w:rsidP="00441037">
      <w:pPr>
        <w:spacing w:line="360" w:lineRule="auto"/>
        <w:jc w:val="both"/>
        <w:rPr>
          <w:rFonts w:ascii="Book Antiqua" w:hAnsi="Book Antiqua"/>
          <w:b/>
        </w:rPr>
      </w:pPr>
      <w:r w:rsidRPr="00DD3614">
        <w:rPr>
          <w:rFonts w:ascii="Book Antiqua" w:hAnsi="Book Antiqua"/>
          <w:b/>
        </w:rPr>
        <w:t>Accepted:</w:t>
      </w:r>
      <w:r w:rsidR="00636C92" w:rsidRPr="00636C92">
        <w:t xml:space="preserve"> </w:t>
      </w:r>
      <w:r w:rsidR="00636C92" w:rsidRPr="00636C92">
        <w:rPr>
          <w:rFonts w:ascii="Book Antiqua" w:hAnsi="Book Antiqua"/>
        </w:rPr>
        <w:t>May 23, 2019</w:t>
      </w:r>
      <w:r w:rsidR="00441037" w:rsidRPr="00DD3614">
        <w:rPr>
          <w:rFonts w:ascii="Book Antiqua" w:hAnsi="Book Antiqua"/>
          <w:b/>
        </w:rPr>
        <w:t xml:space="preserve"> </w:t>
      </w:r>
    </w:p>
    <w:p w:rsidR="006D0BB6" w:rsidRPr="00DD3614" w:rsidRDefault="006D0BB6" w:rsidP="00441037">
      <w:pPr>
        <w:spacing w:line="360" w:lineRule="auto"/>
        <w:jc w:val="both"/>
        <w:rPr>
          <w:rFonts w:ascii="Book Antiqua" w:hAnsi="Book Antiqua"/>
        </w:rPr>
      </w:pPr>
      <w:r w:rsidRPr="00DD3614">
        <w:rPr>
          <w:rFonts w:ascii="Book Antiqua" w:hAnsi="Book Antiqua"/>
          <w:b/>
        </w:rPr>
        <w:t>Article in press:</w:t>
      </w:r>
      <w:r w:rsidR="00441037" w:rsidRPr="00DD3614">
        <w:rPr>
          <w:rFonts w:ascii="Book Antiqua" w:hAnsi="Book Antiqua"/>
        </w:rPr>
        <w:t xml:space="preserve"> </w:t>
      </w:r>
      <w:r w:rsidR="007258D6" w:rsidRPr="00636C92">
        <w:rPr>
          <w:rFonts w:ascii="Book Antiqua" w:hAnsi="Book Antiqua"/>
        </w:rPr>
        <w:t>May 23, 2019</w:t>
      </w:r>
    </w:p>
    <w:p w:rsidR="00F80C64" w:rsidRPr="00DD3614" w:rsidRDefault="006D0BB6" w:rsidP="00441037">
      <w:pPr>
        <w:autoSpaceDE w:val="0"/>
        <w:autoSpaceDN w:val="0"/>
        <w:adjustRightInd w:val="0"/>
        <w:spacing w:line="360" w:lineRule="auto"/>
        <w:jc w:val="both"/>
        <w:rPr>
          <w:rFonts w:ascii="Book Antiqua" w:hAnsi="Book Antiqua" w:cs="TimesNewRomanPS-BoldItalicMT"/>
          <w:b/>
          <w:bCs/>
          <w:i/>
          <w:iCs/>
        </w:rPr>
      </w:pPr>
      <w:r w:rsidRPr="00DD3614">
        <w:rPr>
          <w:rFonts w:ascii="Book Antiqua" w:hAnsi="Book Antiqua"/>
          <w:b/>
        </w:rPr>
        <w:t>Published online:</w:t>
      </w:r>
      <w:r w:rsidR="007258D6" w:rsidRPr="007258D6">
        <w:rPr>
          <w:rFonts w:ascii="Book Antiqua" w:hAnsi="Book Antiqua"/>
        </w:rPr>
        <w:t xml:space="preserve"> </w:t>
      </w:r>
      <w:r w:rsidR="007258D6">
        <w:rPr>
          <w:rFonts w:ascii="Book Antiqua" w:eastAsiaTheme="minorEastAsia" w:hAnsi="Book Antiqua" w:hint="eastAsia"/>
          <w:lang w:eastAsia="zh-CN"/>
        </w:rPr>
        <w:t>June</w:t>
      </w:r>
      <w:r w:rsidR="007258D6" w:rsidRPr="00636C92">
        <w:rPr>
          <w:rFonts w:ascii="Book Antiqua" w:hAnsi="Book Antiqua"/>
        </w:rPr>
        <w:t xml:space="preserve"> </w:t>
      </w:r>
      <w:r w:rsidR="007258D6">
        <w:rPr>
          <w:rFonts w:ascii="Book Antiqua" w:eastAsiaTheme="minorEastAsia" w:hAnsi="Book Antiqua" w:hint="eastAsia"/>
          <w:lang w:eastAsia="zh-CN"/>
        </w:rPr>
        <w:t>15</w:t>
      </w:r>
      <w:r w:rsidR="007258D6" w:rsidRPr="00636C92">
        <w:rPr>
          <w:rFonts w:ascii="Book Antiqua" w:hAnsi="Book Antiqua"/>
        </w:rPr>
        <w:t>, 2019</w:t>
      </w:r>
    </w:p>
    <w:p w:rsidR="00B852F5" w:rsidRPr="00DD3614" w:rsidRDefault="00B852F5" w:rsidP="00441037">
      <w:pPr>
        <w:spacing w:line="360" w:lineRule="auto"/>
        <w:jc w:val="both"/>
        <w:rPr>
          <w:rFonts w:ascii="Book Antiqua" w:hAnsi="Book Antiqua" w:cs="Tahoma"/>
          <w:b/>
          <w:shd w:val="clear" w:color="auto" w:fill="FFFFFF"/>
          <w:lang w:eastAsia="zh-CN"/>
        </w:rPr>
      </w:pPr>
      <w:r w:rsidRPr="00DD3614">
        <w:rPr>
          <w:rFonts w:ascii="Book Antiqua" w:hAnsi="Book Antiqua" w:cs="Tahoma"/>
          <w:b/>
          <w:shd w:val="clear" w:color="auto" w:fill="FFFFFF"/>
          <w:lang w:eastAsia="zh-CN"/>
        </w:rPr>
        <w:br w:type="page"/>
      </w:r>
    </w:p>
    <w:p w:rsidR="001A48D3" w:rsidRPr="00DD3614" w:rsidRDefault="001A48D3" w:rsidP="00441037">
      <w:pPr>
        <w:spacing w:line="360" w:lineRule="auto"/>
        <w:jc w:val="both"/>
        <w:rPr>
          <w:rFonts w:ascii="Book Antiqua" w:hAnsi="Book Antiqua" w:cs="Tahoma"/>
          <w:b/>
          <w:shd w:val="clear" w:color="auto" w:fill="FFFFFF"/>
          <w:lang w:eastAsia="zh-CN"/>
        </w:rPr>
      </w:pPr>
      <w:r w:rsidRPr="00DD3614">
        <w:rPr>
          <w:rFonts w:ascii="Book Antiqua" w:hAnsi="Book Antiqua"/>
          <w:b/>
        </w:rPr>
        <w:t>Abstract</w:t>
      </w:r>
    </w:p>
    <w:p w:rsidR="001A48D3" w:rsidRPr="00DD3614" w:rsidRDefault="007423BB" w:rsidP="00441037">
      <w:pPr>
        <w:spacing w:line="360" w:lineRule="auto"/>
        <w:jc w:val="both"/>
        <w:rPr>
          <w:rFonts w:ascii="Book Antiqua" w:hAnsi="Book Antiqua"/>
        </w:rPr>
      </w:pPr>
      <w:r w:rsidRPr="00DD3614">
        <w:rPr>
          <w:rFonts w:ascii="Book Antiqua" w:hAnsi="Book Antiqua"/>
        </w:rPr>
        <w:t xml:space="preserve">Lack of conclusive beneficial effects of strict glycemic control on macrovascular complications has been very frustrating for clinicians involved in care of patients with diabetes mellitus (DM). Highly publicized controversy surrounding cardiovascular (CV) safety of rosiglitazone resulted in major changes in United States Food and Drug Administration policy in 2008 regarding approval process of new antidiabetic medications, which has resulted in revolutionary data from several large CV outcome trials over the last few years. All drugs in glucagon-like peptide-1 receptor agonist (GLP-1 RA) and sodium-glucose cotransporter-2 (SGLT-2) inhibitor classes have shown to be CV safe with heterogeneous results on CV efficacy. Given twofold higher CV disease mortality in patients with DM than without DM, GLP-1 </w:t>
      </w:r>
      <w:r w:rsidR="00DD3614" w:rsidRPr="00DD3614">
        <w:rPr>
          <w:rFonts w:ascii="Book Antiqua" w:hAnsi="Book Antiqua"/>
        </w:rPr>
        <w:t>RA</w:t>
      </w:r>
      <w:r w:rsidRPr="00DD3614">
        <w:rPr>
          <w:rFonts w:ascii="Book Antiqua" w:hAnsi="Book Antiqua"/>
        </w:rPr>
        <w:t xml:space="preserve">s and </w:t>
      </w:r>
      <w:r w:rsidR="00FC2F01" w:rsidRPr="00DD3614">
        <w:rPr>
          <w:rFonts w:ascii="Book Antiqua" w:hAnsi="Book Antiqua"/>
        </w:rPr>
        <w:t>SGLT-2</w:t>
      </w:r>
      <w:r w:rsidRPr="00DD3614">
        <w:rPr>
          <w:rFonts w:ascii="Book Antiqua" w:hAnsi="Book Antiqua"/>
        </w:rPr>
        <w:t>-inhibitors are important additions to clinician’s armamentarium and should be second line-therapy particularly in patients with T2DM and established atherosclerotic CV disease or high risks for CV disease. Abundance of data and heterogeneity in CV outcome trials results can make it difficult for clinicians, particularly primary care physicians, to stay updated with all the recent evidence. The scope of this comprehensive review will focus on all major CV outcome studies evaluating CV safety and efficacy of GLP-1 RAs and SGLT-2 inhibitors.</w:t>
      </w:r>
    </w:p>
    <w:p w:rsidR="005C2379" w:rsidRPr="00DD3614" w:rsidRDefault="005C2379" w:rsidP="00441037">
      <w:pPr>
        <w:spacing w:line="360" w:lineRule="auto"/>
        <w:jc w:val="both"/>
        <w:rPr>
          <w:rFonts w:ascii="Book Antiqua" w:hAnsi="Book Antiqua" w:cs="Tahoma"/>
          <w:shd w:val="clear" w:color="auto" w:fill="FFFFFF"/>
          <w:lang w:eastAsia="zh-CN"/>
        </w:rPr>
      </w:pPr>
    </w:p>
    <w:p w:rsidR="001A48D3" w:rsidRPr="00DD3614" w:rsidRDefault="001A48D3" w:rsidP="00441037">
      <w:pPr>
        <w:spacing w:line="360" w:lineRule="auto"/>
        <w:jc w:val="both"/>
        <w:rPr>
          <w:rFonts w:ascii="Book Antiqua" w:hAnsi="Book Antiqua"/>
        </w:rPr>
      </w:pPr>
      <w:r w:rsidRPr="00DD3614">
        <w:rPr>
          <w:rFonts w:ascii="Book Antiqua" w:hAnsi="Book Antiqua"/>
          <w:b/>
        </w:rPr>
        <w:t>Key words:</w:t>
      </w:r>
      <w:r w:rsidR="00441037" w:rsidRPr="00DD3614">
        <w:rPr>
          <w:rFonts w:ascii="Book Antiqua" w:hAnsi="Book Antiqua"/>
        </w:rPr>
        <w:t xml:space="preserve"> </w:t>
      </w:r>
      <w:r w:rsidR="000816DE" w:rsidRPr="00DD3614">
        <w:rPr>
          <w:rFonts w:ascii="Book Antiqua" w:hAnsi="Book Antiqua"/>
        </w:rPr>
        <w:t xml:space="preserve">Newer antidiabetic medications; </w:t>
      </w:r>
      <w:r w:rsidR="00B852F5" w:rsidRPr="00DD3614">
        <w:rPr>
          <w:rFonts w:ascii="Book Antiqua" w:hAnsi="Book Antiqua"/>
        </w:rPr>
        <w:t>Glucagon-like peptide-1</w:t>
      </w:r>
      <w:r w:rsidR="000816DE" w:rsidRPr="00DD3614">
        <w:rPr>
          <w:rFonts w:ascii="Book Antiqua" w:hAnsi="Book Antiqua"/>
        </w:rPr>
        <w:t xml:space="preserve"> receptor agonist; </w:t>
      </w:r>
      <w:r w:rsidR="00B852F5" w:rsidRPr="00DD3614">
        <w:rPr>
          <w:rFonts w:ascii="Book Antiqua" w:hAnsi="Book Antiqua"/>
        </w:rPr>
        <w:t>Sodium-glucose cotransporter-2</w:t>
      </w:r>
      <w:r w:rsidR="000816DE" w:rsidRPr="00DD3614">
        <w:rPr>
          <w:rFonts w:ascii="Book Antiqua" w:hAnsi="Book Antiqua"/>
        </w:rPr>
        <w:t xml:space="preserve"> inhibitors; Type 2 </w:t>
      </w:r>
      <w:r w:rsidR="00B852F5" w:rsidRPr="00DD3614">
        <w:rPr>
          <w:rFonts w:ascii="Book Antiqua" w:hAnsi="Book Antiqua"/>
        </w:rPr>
        <w:t>diabetes mellit</w:t>
      </w:r>
      <w:r w:rsidR="000816DE" w:rsidRPr="00DD3614">
        <w:rPr>
          <w:rFonts w:ascii="Book Antiqua" w:hAnsi="Book Antiqua"/>
        </w:rPr>
        <w:t>us; Macrovascular complications; Cardiovascular outcome trials; Major cardiovascular events; Heart failure; Prevention of heart disease</w:t>
      </w:r>
    </w:p>
    <w:p w:rsidR="00F80C64" w:rsidRPr="00DD3614" w:rsidRDefault="00F80C64" w:rsidP="00441037">
      <w:pPr>
        <w:spacing w:line="360" w:lineRule="auto"/>
        <w:jc w:val="both"/>
        <w:rPr>
          <w:rFonts w:ascii="Book Antiqua" w:hAnsi="Book Antiqua"/>
        </w:rPr>
      </w:pPr>
    </w:p>
    <w:p w:rsidR="00B852F5" w:rsidRPr="00DD3614" w:rsidRDefault="00B852F5" w:rsidP="00441037">
      <w:pPr>
        <w:spacing w:line="360" w:lineRule="auto"/>
        <w:jc w:val="both"/>
        <w:rPr>
          <w:rFonts w:ascii="Book Antiqua" w:hAnsi="Book Antiqua" w:cs="Arial"/>
        </w:rPr>
      </w:pPr>
      <w:r w:rsidRPr="00DD3614">
        <w:rPr>
          <w:rFonts w:ascii="Book Antiqua" w:hAnsi="Book Antiqua"/>
          <w:b/>
        </w:rPr>
        <w:t xml:space="preserve">© </w:t>
      </w:r>
      <w:r w:rsidRPr="00DD3614">
        <w:rPr>
          <w:rFonts w:ascii="Book Antiqua" w:hAnsi="Book Antiqua" w:cs="Arial"/>
          <w:b/>
        </w:rPr>
        <w:t>The Author(s) 2019.</w:t>
      </w:r>
      <w:r w:rsidRPr="00DD3614">
        <w:rPr>
          <w:rFonts w:ascii="Book Antiqua" w:hAnsi="Book Antiqua" w:cs="Arial"/>
        </w:rPr>
        <w:t xml:space="preserve"> Published by </w:t>
      </w:r>
      <w:proofErr w:type="spellStart"/>
      <w:r w:rsidRPr="00DD3614">
        <w:rPr>
          <w:rFonts w:ascii="Book Antiqua" w:hAnsi="Book Antiqua" w:cs="Arial"/>
        </w:rPr>
        <w:t>Baishideng</w:t>
      </w:r>
      <w:proofErr w:type="spellEnd"/>
      <w:r w:rsidRPr="00DD3614">
        <w:rPr>
          <w:rFonts w:ascii="Book Antiqua" w:hAnsi="Book Antiqua" w:cs="Arial"/>
        </w:rPr>
        <w:t xml:space="preserve"> Publishing Group Inc. All rights reserved.</w:t>
      </w:r>
    </w:p>
    <w:p w:rsidR="00B852F5" w:rsidRPr="00DD3614" w:rsidRDefault="00B852F5" w:rsidP="00441037">
      <w:pPr>
        <w:spacing w:line="360" w:lineRule="auto"/>
        <w:jc w:val="both"/>
        <w:rPr>
          <w:rFonts w:ascii="Book Antiqua" w:hAnsi="Book Antiqua"/>
        </w:rPr>
      </w:pPr>
    </w:p>
    <w:p w:rsidR="005C2379" w:rsidRPr="00DD3614" w:rsidRDefault="001A48D3" w:rsidP="00441037">
      <w:pPr>
        <w:spacing w:line="360" w:lineRule="auto"/>
        <w:jc w:val="both"/>
        <w:rPr>
          <w:rFonts w:ascii="Book Antiqua" w:eastAsia="Arial Unicode MS" w:hAnsi="Book Antiqua" w:cs="Arial Unicode MS"/>
          <w:b/>
        </w:rPr>
      </w:pPr>
      <w:r w:rsidRPr="00DD3614">
        <w:rPr>
          <w:rFonts w:ascii="Book Antiqua" w:eastAsia="Arial Unicode MS" w:hAnsi="Book Antiqua" w:cs="Arial Unicode MS"/>
          <w:b/>
        </w:rPr>
        <w:t>C</w:t>
      </w:r>
      <w:r w:rsidR="00B852F5" w:rsidRPr="00DD3614">
        <w:rPr>
          <w:rFonts w:ascii="Book Antiqua" w:eastAsia="Arial Unicode MS" w:hAnsi="Book Antiqua" w:cs="Arial Unicode MS"/>
          <w:b/>
        </w:rPr>
        <w:t>ore tip:</w:t>
      </w:r>
      <w:r w:rsidR="00B852F5" w:rsidRPr="00DD3614">
        <w:rPr>
          <w:rFonts w:ascii="Book Antiqua" w:eastAsia="Arial Unicode MS" w:hAnsi="Book Antiqua" w:cs="Arial Unicode MS"/>
          <w:b/>
          <w:lang w:eastAsia="zh-CN"/>
        </w:rPr>
        <w:t xml:space="preserve"> </w:t>
      </w:r>
      <w:r w:rsidR="00814F9F" w:rsidRPr="00DD3614">
        <w:rPr>
          <w:rFonts w:ascii="Book Antiqua" w:hAnsi="Book Antiqua"/>
        </w:rPr>
        <w:t xml:space="preserve">Multiple cardiovascular (CV) outcome trials performed mainly to meet regulatory requirements by </w:t>
      </w:r>
      <w:r w:rsidR="00B852F5" w:rsidRPr="00DD3614">
        <w:rPr>
          <w:rFonts w:ascii="Book Antiqua" w:hAnsi="Book Antiqua"/>
        </w:rPr>
        <w:t>United States Food and Drug Administration</w:t>
      </w:r>
      <w:r w:rsidR="00814F9F" w:rsidRPr="00DD3614">
        <w:rPr>
          <w:rFonts w:ascii="Book Antiqua" w:hAnsi="Book Antiqua"/>
        </w:rPr>
        <w:t xml:space="preserve"> have provided very important findings on CV safety and efficacy of newer anti-diabetic drugs. All drugs in </w:t>
      </w:r>
      <w:r w:rsidR="00441037" w:rsidRPr="00DD3614">
        <w:rPr>
          <w:rFonts w:ascii="Book Antiqua" w:hAnsi="Book Antiqua"/>
        </w:rPr>
        <w:t>glucagon-like peptide-1 receptor agonist (GLP-1 RA) and sodium-glucose cotransporter-2 (SGLT-2)</w:t>
      </w:r>
      <w:r w:rsidR="00814F9F" w:rsidRPr="00DD3614">
        <w:rPr>
          <w:rFonts w:ascii="Book Antiqua" w:hAnsi="Book Antiqua"/>
        </w:rPr>
        <w:t>-inhibitor classes have shown to be CV safe with heterogeneous results on CV efficacy. Abundance of data and heterogeneity in CV outcome trials results can make it difficult for clinicians to stay updated with all the recent evidence. The scope of this comprehensive review will focus on all major CV outcome stud</w:t>
      </w:r>
      <w:bookmarkStart w:id="0" w:name="_GoBack"/>
      <w:bookmarkEnd w:id="0"/>
      <w:r w:rsidR="00814F9F" w:rsidRPr="00DD3614">
        <w:rPr>
          <w:rFonts w:ascii="Book Antiqua" w:hAnsi="Book Antiqua"/>
        </w:rPr>
        <w:t>ies evaluating CV safety and efficacy of GLP-1 RAs and SGLT-2 inhibitors.</w:t>
      </w:r>
    </w:p>
    <w:p w:rsidR="00441037" w:rsidRPr="00DD3614" w:rsidRDefault="00441037" w:rsidP="00441037">
      <w:pPr>
        <w:spacing w:line="360" w:lineRule="auto"/>
        <w:jc w:val="both"/>
        <w:rPr>
          <w:rFonts w:ascii="Book Antiqua" w:eastAsiaTheme="minorEastAsia" w:hAnsi="Book Antiqua" w:cs="Tahoma"/>
          <w:b/>
          <w:shd w:val="clear" w:color="auto" w:fill="FFFFFF"/>
          <w:lang w:eastAsia="zh-CN"/>
        </w:rPr>
      </w:pPr>
    </w:p>
    <w:p w:rsidR="001528EB" w:rsidRPr="001528EB" w:rsidRDefault="00DA3245" w:rsidP="00441037">
      <w:pPr>
        <w:spacing w:line="360" w:lineRule="auto"/>
        <w:jc w:val="both"/>
        <w:rPr>
          <w:rFonts w:ascii="Book Antiqua" w:eastAsiaTheme="minorEastAsia" w:hAnsi="Book Antiqua"/>
          <w:iCs/>
          <w:sz w:val="22"/>
          <w:lang w:eastAsia="zh-CN"/>
        </w:rPr>
      </w:pPr>
      <w:r w:rsidRPr="00DA3245">
        <w:rPr>
          <w:rFonts w:ascii="Book Antiqua" w:hAnsi="Book Antiqua"/>
          <w:b/>
        </w:rPr>
        <w:t>Citation</w:t>
      </w:r>
      <w:r w:rsidRPr="00DA3245">
        <w:rPr>
          <w:rFonts w:ascii="Book Antiqua" w:eastAsiaTheme="minorEastAsia" w:hAnsi="Book Antiqua" w:hint="eastAsia"/>
          <w:b/>
          <w:lang w:eastAsia="zh-CN"/>
        </w:rPr>
        <w:t>:</w:t>
      </w:r>
      <w:r>
        <w:rPr>
          <w:rFonts w:ascii="Book Antiqua" w:eastAsiaTheme="minorEastAsia" w:hAnsi="Book Antiqua" w:hint="eastAsia"/>
          <w:lang w:eastAsia="zh-CN"/>
        </w:rPr>
        <w:t xml:space="preserve"> </w:t>
      </w:r>
      <w:r w:rsidR="00441037" w:rsidRPr="00DD3614">
        <w:rPr>
          <w:rFonts w:ascii="Book Antiqua" w:hAnsi="Book Antiqua"/>
        </w:rPr>
        <w:t xml:space="preserve">Kant R, </w:t>
      </w:r>
      <w:proofErr w:type="spellStart"/>
      <w:r w:rsidR="00441037" w:rsidRPr="00DD3614">
        <w:rPr>
          <w:rFonts w:ascii="Book Antiqua" w:hAnsi="Book Antiqua"/>
        </w:rPr>
        <w:t>Munir</w:t>
      </w:r>
      <w:proofErr w:type="spellEnd"/>
      <w:r w:rsidR="00441037" w:rsidRPr="00DD3614">
        <w:rPr>
          <w:rFonts w:ascii="Book Antiqua" w:hAnsi="Book Antiqua"/>
        </w:rPr>
        <w:t xml:space="preserve"> KM, </w:t>
      </w:r>
      <w:proofErr w:type="gramStart"/>
      <w:r w:rsidR="00441037" w:rsidRPr="007258D6">
        <w:rPr>
          <w:rFonts w:ascii="Book Antiqua" w:hAnsi="Book Antiqua"/>
        </w:rPr>
        <w:t>Kaur</w:t>
      </w:r>
      <w:proofErr w:type="gramEnd"/>
      <w:r w:rsidR="00441037" w:rsidRPr="007258D6">
        <w:rPr>
          <w:rFonts w:ascii="Book Antiqua" w:hAnsi="Book Antiqua"/>
        </w:rPr>
        <w:t xml:space="preserve"> A, Verma V.</w:t>
      </w:r>
      <w:r w:rsidR="00441037" w:rsidRPr="007258D6">
        <w:rPr>
          <w:rFonts w:ascii="Book Antiqua" w:hAnsi="Book Antiqua" w:cs="Tahoma"/>
        </w:rPr>
        <w:t xml:space="preserve"> Prevention of macrovascular complications in patients with type 2 diabetes mellitus: Review of cardiovascular safety and efficacy of newer diabetes medications. </w:t>
      </w:r>
      <w:r w:rsidR="00441037" w:rsidRPr="00DD3614">
        <w:rPr>
          <w:rFonts w:ascii="Book Antiqua" w:hAnsi="Book Antiqua"/>
          <w:i/>
          <w:iCs/>
        </w:rPr>
        <w:t xml:space="preserve">World J Diabetes </w:t>
      </w:r>
      <w:r w:rsidR="001528EB" w:rsidRPr="0068167D">
        <w:rPr>
          <w:rFonts w:ascii="Book Antiqua" w:hAnsi="Book Antiqua"/>
          <w:iCs/>
          <w:sz w:val="22"/>
        </w:rPr>
        <w:t xml:space="preserve">2019; </w:t>
      </w:r>
      <w:r w:rsidR="001528EB" w:rsidRPr="0068167D">
        <w:rPr>
          <w:rFonts w:ascii="Book Antiqua" w:hAnsi="Book Antiqua" w:hint="eastAsia"/>
          <w:iCs/>
          <w:sz w:val="22"/>
        </w:rPr>
        <w:t>10</w:t>
      </w:r>
      <w:r w:rsidR="001528EB" w:rsidRPr="0068167D">
        <w:rPr>
          <w:rFonts w:ascii="Book Antiqua" w:hAnsi="Book Antiqua"/>
          <w:iCs/>
          <w:sz w:val="22"/>
        </w:rPr>
        <w:t>(</w:t>
      </w:r>
      <w:r w:rsidR="001528EB" w:rsidRPr="0068167D">
        <w:rPr>
          <w:rFonts w:ascii="Book Antiqua" w:hAnsi="Book Antiqua" w:hint="eastAsia"/>
          <w:iCs/>
          <w:sz w:val="22"/>
        </w:rPr>
        <w:t>6</w:t>
      </w:r>
      <w:r w:rsidR="001528EB" w:rsidRPr="0068167D">
        <w:rPr>
          <w:rFonts w:ascii="Book Antiqua" w:hAnsi="Book Antiqua"/>
          <w:iCs/>
          <w:sz w:val="22"/>
        </w:rPr>
        <w:t xml:space="preserve">): </w:t>
      </w:r>
      <w:r w:rsidR="001528EB">
        <w:rPr>
          <w:rFonts w:ascii="Book Antiqua" w:eastAsiaTheme="minorEastAsia" w:hAnsi="Book Antiqua" w:hint="eastAsia"/>
          <w:iCs/>
          <w:sz w:val="22"/>
          <w:lang w:eastAsia="zh-CN"/>
        </w:rPr>
        <w:t>324</w:t>
      </w:r>
      <w:r w:rsidR="001528EB" w:rsidRPr="0068167D">
        <w:rPr>
          <w:rFonts w:ascii="Book Antiqua" w:hAnsi="Book Antiqua"/>
          <w:iCs/>
          <w:sz w:val="22"/>
        </w:rPr>
        <w:t>-</w:t>
      </w:r>
      <w:r w:rsidR="001528EB">
        <w:rPr>
          <w:rFonts w:ascii="Book Antiqua" w:eastAsiaTheme="minorEastAsia" w:hAnsi="Book Antiqua" w:hint="eastAsia"/>
          <w:iCs/>
          <w:sz w:val="22"/>
          <w:lang w:eastAsia="zh-CN"/>
        </w:rPr>
        <w:t>332</w:t>
      </w:r>
    </w:p>
    <w:p w:rsidR="001528EB" w:rsidRDefault="001528EB" w:rsidP="00441037">
      <w:pPr>
        <w:spacing w:line="360" w:lineRule="auto"/>
        <w:jc w:val="both"/>
        <w:rPr>
          <w:rFonts w:ascii="Book Antiqua" w:eastAsiaTheme="minorEastAsia" w:hAnsi="Book Antiqua"/>
          <w:iCs/>
          <w:sz w:val="22"/>
          <w:lang w:eastAsia="zh-CN"/>
        </w:rPr>
      </w:pPr>
      <w:r w:rsidRPr="001528EB">
        <w:rPr>
          <w:rFonts w:ascii="Book Antiqua" w:hAnsi="Book Antiqua"/>
          <w:b/>
          <w:iCs/>
          <w:sz w:val="22"/>
        </w:rPr>
        <w:t>URL:</w:t>
      </w:r>
      <w:r w:rsidRPr="0068167D">
        <w:rPr>
          <w:rFonts w:ascii="Book Antiqua" w:hAnsi="Book Antiqua"/>
          <w:iCs/>
          <w:sz w:val="22"/>
        </w:rPr>
        <w:t xml:space="preserve"> https://www.wjgnet.com/1948-9358/full/v</w:t>
      </w:r>
      <w:r>
        <w:rPr>
          <w:rFonts w:ascii="Book Antiqua" w:hAnsi="Book Antiqua" w:hint="eastAsia"/>
          <w:iCs/>
          <w:sz w:val="22"/>
        </w:rPr>
        <w:t>10</w:t>
      </w:r>
      <w:r w:rsidRPr="0068167D">
        <w:rPr>
          <w:rFonts w:ascii="Book Antiqua" w:hAnsi="Book Antiqua"/>
          <w:iCs/>
          <w:sz w:val="22"/>
        </w:rPr>
        <w:t>/i</w:t>
      </w:r>
      <w:r>
        <w:rPr>
          <w:rFonts w:ascii="Book Antiqua" w:hAnsi="Book Antiqua" w:hint="eastAsia"/>
          <w:iCs/>
          <w:sz w:val="22"/>
        </w:rPr>
        <w:t>6</w:t>
      </w:r>
      <w:r w:rsidRPr="0068167D">
        <w:rPr>
          <w:rFonts w:ascii="Book Antiqua" w:hAnsi="Book Antiqua"/>
          <w:iCs/>
          <w:sz w:val="22"/>
        </w:rPr>
        <w:t>/</w:t>
      </w:r>
      <w:r>
        <w:rPr>
          <w:rFonts w:ascii="Book Antiqua" w:eastAsiaTheme="minorEastAsia" w:hAnsi="Book Antiqua" w:hint="eastAsia"/>
          <w:iCs/>
          <w:sz w:val="22"/>
          <w:lang w:eastAsia="zh-CN"/>
        </w:rPr>
        <w:t>324</w:t>
      </w:r>
      <w:r w:rsidRPr="0068167D">
        <w:rPr>
          <w:rFonts w:ascii="Book Antiqua" w:hAnsi="Book Antiqua"/>
          <w:iCs/>
          <w:sz w:val="22"/>
        </w:rPr>
        <w:t xml:space="preserve">.htm  </w:t>
      </w:r>
    </w:p>
    <w:p w:rsidR="00441037" w:rsidRPr="001528EB" w:rsidRDefault="001528EB" w:rsidP="00441037">
      <w:pPr>
        <w:spacing w:line="360" w:lineRule="auto"/>
        <w:jc w:val="both"/>
        <w:rPr>
          <w:rFonts w:ascii="Book Antiqua" w:eastAsiaTheme="minorEastAsia" w:hAnsi="Book Antiqua" w:cs="Tahoma"/>
          <w:shd w:val="clear" w:color="auto" w:fill="FFFFFF"/>
          <w:lang w:eastAsia="zh-CN"/>
        </w:rPr>
      </w:pPr>
      <w:r w:rsidRPr="001528EB">
        <w:rPr>
          <w:rFonts w:ascii="Book Antiqua" w:hAnsi="Book Antiqua"/>
          <w:b/>
          <w:iCs/>
          <w:sz w:val="22"/>
        </w:rPr>
        <w:t>DOI:</w:t>
      </w:r>
      <w:r w:rsidRPr="0068167D">
        <w:rPr>
          <w:rFonts w:ascii="Book Antiqua" w:hAnsi="Book Antiqua"/>
          <w:iCs/>
          <w:sz w:val="22"/>
        </w:rPr>
        <w:t xml:space="preserve"> https://dx.doi.org/10.4239/wj</w:t>
      </w:r>
      <w:r>
        <w:rPr>
          <w:rFonts w:ascii="Book Antiqua" w:hAnsi="Book Antiqua" w:hint="eastAsia"/>
          <w:iCs/>
          <w:sz w:val="22"/>
        </w:rPr>
        <w:t>d</w:t>
      </w:r>
      <w:r w:rsidRPr="0068167D">
        <w:rPr>
          <w:rFonts w:ascii="Book Antiqua" w:hAnsi="Book Antiqua"/>
          <w:iCs/>
          <w:sz w:val="22"/>
        </w:rPr>
        <w:t>.v</w:t>
      </w:r>
      <w:r>
        <w:rPr>
          <w:rFonts w:ascii="Book Antiqua" w:hAnsi="Book Antiqua" w:hint="eastAsia"/>
          <w:iCs/>
          <w:sz w:val="22"/>
        </w:rPr>
        <w:t>10</w:t>
      </w:r>
      <w:r w:rsidRPr="0068167D">
        <w:rPr>
          <w:rFonts w:ascii="Book Antiqua" w:hAnsi="Book Antiqua"/>
          <w:iCs/>
          <w:sz w:val="22"/>
        </w:rPr>
        <w:t>.i</w:t>
      </w:r>
      <w:r>
        <w:rPr>
          <w:rFonts w:ascii="Book Antiqua" w:hAnsi="Book Antiqua" w:hint="eastAsia"/>
          <w:iCs/>
          <w:sz w:val="22"/>
        </w:rPr>
        <w:t>6</w:t>
      </w:r>
      <w:r w:rsidRPr="0068167D">
        <w:rPr>
          <w:rFonts w:ascii="Book Antiqua" w:hAnsi="Book Antiqua"/>
          <w:iCs/>
          <w:sz w:val="22"/>
        </w:rPr>
        <w:t>.</w:t>
      </w:r>
      <w:r>
        <w:rPr>
          <w:rFonts w:ascii="Book Antiqua" w:eastAsiaTheme="minorEastAsia" w:hAnsi="Book Antiqua" w:hint="eastAsia"/>
          <w:iCs/>
          <w:sz w:val="22"/>
          <w:lang w:eastAsia="zh-CN"/>
        </w:rPr>
        <w:t>324</w:t>
      </w:r>
    </w:p>
    <w:p w:rsidR="00441037" w:rsidRPr="00DD3614" w:rsidRDefault="00441037" w:rsidP="00441037">
      <w:pPr>
        <w:spacing w:line="360" w:lineRule="auto"/>
        <w:jc w:val="both"/>
        <w:rPr>
          <w:rFonts w:ascii="Book Antiqua" w:hAnsi="Book Antiqua"/>
          <w:b/>
        </w:rPr>
      </w:pPr>
      <w:r w:rsidRPr="00DD3614">
        <w:rPr>
          <w:rFonts w:ascii="Book Antiqua" w:hAnsi="Book Antiqua"/>
          <w:b/>
        </w:rPr>
        <w:br w:type="page"/>
      </w:r>
    </w:p>
    <w:p w:rsidR="006C490B" w:rsidRPr="00DD3614" w:rsidRDefault="00441037" w:rsidP="00441037">
      <w:pPr>
        <w:spacing w:line="360" w:lineRule="auto"/>
        <w:jc w:val="both"/>
        <w:rPr>
          <w:rFonts w:ascii="Book Antiqua" w:hAnsi="Book Antiqua"/>
          <w:b/>
        </w:rPr>
      </w:pPr>
      <w:r w:rsidRPr="00DD3614">
        <w:rPr>
          <w:rFonts w:ascii="Book Antiqua" w:hAnsi="Book Antiqua"/>
          <w:b/>
        </w:rPr>
        <w:t>INTRODUCTION</w:t>
      </w:r>
    </w:p>
    <w:p w:rsidR="00666842" w:rsidRPr="00DD3614" w:rsidRDefault="00394BE6" w:rsidP="00441037">
      <w:pPr>
        <w:spacing w:line="360" w:lineRule="auto"/>
        <w:jc w:val="both"/>
        <w:rPr>
          <w:rFonts w:ascii="Book Antiqua" w:hAnsi="Book Antiqua"/>
        </w:rPr>
      </w:pPr>
      <w:r w:rsidRPr="00DD3614">
        <w:rPr>
          <w:rFonts w:ascii="Book Antiqua" w:hAnsi="Book Antiqua"/>
        </w:rPr>
        <w:t xml:space="preserve">Type 2 diabetes mellitus (T2DM) is associated with long-term complications, which can be broadly classified as macrovascular and microvascular complications. </w:t>
      </w:r>
      <w:r w:rsidR="00E0211F" w:rsidRPr="00DD3614">
        <w:rPr>
          <w:rFonts w:ascii="Book Antiqua" w:hAnsi="Book Antiqua"/>
        </w:rPr>
        <w:t>The UK Prospective Diabetes Study (UKPDS)</w:t>
      </w:r>
      <w:r w:rsidRPr="00DD3614">
        <w:rPr>
          <w:rFonts w:ascii="Book Antiqua" w:hAnsi="Book Antiqua"/>
        </w:rPr>
        <w:t xml:space="preserve"> provided much needed information on glycemic goals for T2DM management and demonstrated that strict glycemic control </w:t>
      </w:r>
      <w:r w:rsidRPr="007F45BE">
        <w:rPr>
          <w:rFonts w:ascii="Book Antiqua" w:hAnsi="Book Antiqua"/>
        </w:rPr>
        <w:t>significantly</w:t>
      </w:r>
      <w:r w:rsidRPr="00DD3614">
        <w:rPr>
          <w:rFonts w:ascii="Book Antiqua" w:hAnsi="Book Antiqua"/>
        </w:rPr>
        <w:t xml:space="preserve"> reduces microvascular complications</w:t>
      </w:r>
      <w:r w:rsidR="00B13C76" w:rsidRPr="00DD3614">
        <w:rPr>
          <w:rFonts w:ascii="Book Antiqua" w:hAnsi="Book Antiqua"/>
        </w:rPr>
        <w:t>,</w:t>
      </w:r>
      <w:r w:rsidRPr="00DD3614">
        <w:rPr>
          <w:rFonts w:ascii="Book Antiqua" w:hAnsi="Book Antiqua"/>
        </w:rPr>
        <w:t xml:space="preserve"> but failed to show</w:t>
      </w:r>
      <w:r w:rsidR="00072E4F" w:rsidRPr="00DD3614">
        <w:rPr>
          <w:rFonts w:ascii="Book Antiqua" w:hAnsi="Book Antiqua"/>
        </w:rPr>
        <w:t xml:space="preserve"> beneficial effects on </w:t>
      </w:r>
      <w:r w:rsidR="00A678A6" w:rsidRPr="00DD3614">
        <w:rPr>
          <w:rFonts w:ascii="Book Antiqua" w:hAnsi="Book Antiqua"/>
        </w:rPr>
        <w:t xml:space="preserve">macrovascular </w:t>
      </w:r>
      <w:proofErr w:type="gramStart"/>
      <w:r w:rsidR="00A678A6" w:rsidRPr="00DD3614">
        <w:rPr>
          <w:rFonts w:ascii="Book Antiqua" w:hAnsi="Book Antiqua"/>
        </w:rPr>
        <w:t>complications</w:t>
      </w:r>
      <w:r w:rsidR="00A678A6" w:rsidRPr="00DD3614">
        <w:rPr>
          <w:rFonts w:ascii="Book Antiqua" w:hAnsi="Book Antiqua"/>
          <w:vertAlign w:val="superscript"/>
        </w:rPr>
        <w:t>[</w:t>
      </w:r>
      <w:proofErr w:type="gramEnd"/>
      <w:r w:rsidR="003F6BEC" w:rsidRPr="00DD3614">
        <w:rPr>
          <w:rFonts w:ascii="Book Antiqua" w:hAnsi="Book Antiqua"/>
          <w:vertAlign w:val="superscript"/>
        </w:rPr>
        <w:t>1</w:t>
      </w:r>
      <w:r w:rsidR="00A678A6" w:rsidRPr="00DD3614">
        <w:rPr>
          <w:rFonts w:ascii="Book Antiqua" w:hAnsi="Book Antiqua"/>
          <w:vertAlign w:val="superscript"/>
        </w:rPr>
        <w:t>]</w:t>
      </w:r>
      <w:r w:rsidRPr="00DD3614">
        <w:rPr>
          <w:rFonts w:ascii="Book Antiqua" w:hAnsi="Book Antiqua"/>
        </w:rPr>
        <w:t xml:space="preserve">. </w:t>
      </w:r>
      <w:r w:rsidR="004D0C6A" w:rsidRPr="00DD3614">
        <w:rPr>
          <w:rFonts w:ascii="Book Antiqua" w:hAnsi="Book Antiqua"/>
        </w:rPr>
        <w:t>A 10</w:t>
      </w:r>
      <w:r w:rsidR="00152140" w:rsidRPr="00DD3614">
        <w:rPr>
          <w:rFonts w:ascii="Book Antiqua" w:hAnsi="Book Antiqua"/>
        </w:rPr>
        <w:t>-</w:t>
      </w:r>
      <w:r w:rsidR="004D0C6A" w:rsidRPr="00DD3614">
        <w:rPr>
          <w:rFonts w:ascii="Book Antiqua" w:hAnsi="Book Antiqua"/>
        </w:rPr>
        <w:t xml:space="preserve">year post-trial follow up of UKPDS subjects showed </w:t>
      </w:r>
      <w:r w:rsidR="00B13C76" w:rsidRPr="00DD3614">
        <w:rPr>
          <w:rFonts w:ascii="Book Antiqua" w:hAnsi="Book Antiqua"/>
        </w:rPr>
        <w:t xml:space="preserve">a </w:t>
      </w:r>
      <w:r w:rsidR="004D0C6A" w:rsidRPr="00DD3614">
        <w:rPr>
          <w:rFonts w:ascii="Book Antiqua" w:hAnsi="Book Antiqua"/>
        </w:rPr>
        <w:t>15% reduction in risk for myocardial infarction (MI) in</w:t>
      </w:r>
      <w:r w:rsidR="00B13C76" w:rsidRPr="00DD3614">
        <w:rPr>
          <w:rFonts w:ascii="Book Antiqua" w:hAnsi="Book Antiqua"/>
        </w:rPr>
        <w:t xml:space="preserve"> the</w:t>
      </w:r>
      <w:r w:rsidR="004D0C6A" w:rsidRPr="00DD3614">
        <w:rPr>
          <w:rFonts w:ascii="Book Antiqua" w:hAnsi="Book Antiqua"/>
        </w:rPr>
        <w:t xml:space="preserve"> </w:t>
      </w:r>
      <w:r w:rsidR="00E92A62" w:rsidRPr="00DD3614">
        <w:rPr>
          <w:rFonts w:ascii="Book Antiqua" w:hAnsi="Book Antiqua"/>
        </w:rPr>
        <w:t>intensive therapy group</w:t>
      </w:r>
      <w:r w:rsidR="004D0C6A" w:rsidRPr="00DD3614">
        <w:rPr>
          <w:rFonts w:ascii="Book Antiqua" w:hAnsi="Book Antiqua"/>
        </w:rPr>
        <w:t xml:space="preserve">, despite loss of glycemic differences after </w:t>
      </w:r>
      <w:r w:rsidR="00E92A62" w:rsidRPr="00DD3614">
        <w:rPr>
          <w:rFonts w:ascii="Book Antiqua" w:hAnsi="Book Antiqua"/>
        </w:rPr>
        <w:t xml:space="preserve">the first </w:t>
      </w:r>
      <w:r w:rsidR="004D0C6A" w:rsidRPr="00DD3614">
        <w:rPr>
          <w:rFonts w:ascii="Book Antiqua" w:hAnsi="Book Antiqua"/>
        </w:rPr>
        <w:t>year</w:t>
      </w:r>
      <w:r w:rsidR="00E92A62" w:rsidRPr="00DD3614">
        <w:rPr>
          <w:rFonts w:ascii="Book Antiqua" w:hAnsi="Book Antiqua"/>
        </w:rPr>
        <w:t xml:space="preserve"> of conclusion of </w:t>
      </w:r>
      <w:r w:rsidR="00B13C76" w:rsidRPr="00DD3614">
        <w:rPr>
          <w:rFonts w:ascii="Book Antiqua" w:hAnsi="Book Antiqua"/>
        </w:rPr>
        <w:t xml:space="preserve">the </w:t>
      </w:r>
      <w:r w:rsidR="00E92A62" w:rsidRPr="00DD3614">
        <w:rPr>
          <w:rFonts w:ascii="Book Antiqua" w:hAnsi="Book Antiqua"/>
        </w:rPr>
        <w:t xml:space="preserve">UKPDS </w:t>
      </w:r>
      <w:proofErr w:type="gramStart"/>
      <w:r w:rsidR="00E92A62" w:rsidRPr="00DD3614">
        <w:rPr>
          <w:rFonts w:ascii="Book Antiqua" w:hAnsi="Book Antiqua"/>
        </w:rPr>
        <w:t>trial</w:t>
      </w:r>
      <w:r w:rsidR="00A678A6" w:rsidRPr="00DD3614">
        <w:rPr>
          <w:rFonts w:ascii="Book Antiqua" w:hAnsi="Book Antiqua"/>
          <w:vertAlign w:val="superscript"/>
        </w:rPr>
        <w:t>[</w:t>
      </w:r>
      <w:proofErr w:type="gramEnd"/>
      <w:r w:rsidR="00A678A6" w:rsidRPr="00DD3614">
        <w:rPr>
          <w:rFonts w:ascii="Book Antiqua" w:hAnsi="Book Antiqua"/>
          <w:vertAlign w:val="superscript"/>
        </w:rPr>
        <w:t>2]</w:t>
      </w:r>
      <w:r w:rsidR="00B13C76" w:rsidRPr="00DD3614">
        <w:rPr>
          <w:rFonts w:ascii="Book Antiqua" w:hAnsi="Book Antiqua"/>
        </w:rPr>
        <w:t xml:space="preserve">. This ongoing benefit is </w:t>
      </w:r>
      <w:r w:rsidR="004D0C6A" w:rsidRPr="00DD3614">
        <w:rPr>
          <w:rFonts w:ascii="Book Antiqua" w:hAnsi="Book Antiqua"/>
        </w:rPr>
        <w:t xml:space="preserve">now widely known as </w:t>
      </w:r>
      <w:r w:rsidR="00B13C76" w:rsidRPr="00DD3614">
        <w:rPr>
          <w:rFonts w:ascii="Book Antiqua" w:hAnsi="Book Antiqua"/>
        </w:rPr>
        <w:t xml:space="preserve">a </w:t>
      </w:r>
      <w:r w:rsidR="004D0C6A" w:rsidRPr="00DD3614">
        <w:rPr>
          <w:rFonts w:ascii="Book Antiqua" w:hAnsi="Book Antiqua"/>
        </w:rPr>
        <w:t>“legacy effect” of ear</w:t>
      </w:r>
      <w:r w:rsidR="00DF2844" w:rsidRPr="00DD3614">
        <w:rPr>
          <w:rFonts w:ascii="Book Antiqua" w:hAnsi="Book Antiqua"/>
        </w:rPr>
        <w:t>ly strict glycemic control</w:t>
      </w:r>
      <w:r w:rsidR="004D0C6A" w:rsidRPr="00DD3614">
        <w:rPr>
          <w:rFonts w:ascii="Book Antiqua" w:hAnsi="Book Antiqua"/>
        </w:rPr>
        <w:t xml:space="preserve">. </w:t>
      </w:r>
      <w:r w:rsidR="00666842" w:rsidRPr="00DD3614">
        <w:rPr>
          <w:rFonts w:ascii="Book Antiqua" w:hAnsi="Book Antiqua"/>
        </w:rPr>
        <w:t xml:space="preserve">Interestingly, </w:t>
      </w:r>
      <w:r w:rsidR="00B13C76" w:rsidRPr="00DD3614">
        <w:rPr>
          <w:rFonts w:ascii="Book Antiqua" w:hAnsi="Book Antiqua"/>
        </w:rPr>
        <w:t xml:space="preserve">the </w:t>
      </w:r>
      <w:r w:rsidR="00E0211F" w:rsidRPr="00DD3614">
        <w:rPr>
          <w:rFonts w:ascii="Book Antiqua" w:hAnsi="Book Antiqua"/>
        </w:rPr>
        <w:t>Action to Control Cardiovascular Risk in Diabetes (</w:t>
      </w:r>
      <w:r w:rsidR="00666842" w:rsidRPr="00DD3614">
        <w:rPr>
          <w:rFonts w:ascii="Book Antiqua" w:hAnsi="Book Antiqua"/>
        </w:rPr>
        <w:t>ACCORD</w:t>
      </w:r>
      <w:r w:rsidR="00E0211F" w:rsidRPr="00DD3614">
        <w:rPr>
          <w:rFonts w:ascii="Book Antiqua" w:hAnsi="Book Antiqua"/>
        </w:rPr>
        <w:t>)</w:t>
      </w:r>
      <w:r w:rsidR="00DF2844" w:rsidRPr="00DD3614">
        <w:rPr>
          <w:rFonts w:ascii="Book Antiqua" w:hAnsi="Book Antiqua"/>
        </w:rPr>
        <w:t xml:space="preserve"> </w:t>
      </w:r>
      <w:r w:rsidR="00666842" w:rsidRPr="00DD3614">
        <w:rPr>
          <w:rFonts w:ascii="Book Antiqua" w:hAnsi="Book Antiqua"/>
        </w:rPr>
        <w:t xml:space="preserve">study around </w:t>
      </w:r>
      <w:r w:rsidR="00E0211F" w:rsidRPr="00DD3614">
        <w:rPr>
          <w:rFonts w:ascii="Book Antiqua" w:hAnsi="Book Antiqua"/>
        </w:rPr>
        <w:t xml:space="preserve">the </w:t>
      </w:r>
      <w:r w:rsidR="00666842" w:rsidRPr="00DD3614">
        <w:rPr>
          <w:rFonts w:ascii="Book Antiqua" w:hAnsi="Book Antiqua"/>
        </w:rPr>
        <w:t xml:space="preserve">same time showed </w:t>
      </w:r>
      <w:r w:rsidR="00B13C76" w:rsidRPr="00DD3614">
        <w:rPr>
          <w:rFonts w:ascii="Book Antiqua" w:hAnsi="Book Antiqua"/>
        </w:rPr>
        <w:t xml:space="preserve">an </w:t>
      </w:r>
      <w:r w:rsidR="00316D2F" w:rsidRPr="00DD3614">
        <w:rPr>
          <w:rFonts w:ascii="Book Antiqua" w:hAnsi="Book Antiqua"/>
        </w:rPr>
        <w:t xml:space="preserve">unexplained </w:t>
      </w:r>
      <w:r w:rsidR="00666842" w:rsidRPr="00DD3614">
        <w:rPr>
          <w:rFonts w:ascii="Book Antiqua" w:hAnsi="Book Antiqua"/>
        </w:rPr>
        <w:t>increase</w:t>
      </w:r>
      <w:r w:rsidR="00B13C76" w:rsidRPr="00DD3614">
        <w:rPr>
          <w:rFonts w:ascii="Book Antiqua" w:hAnsi="Book Antiqua"/>
        </w:rPr>
        <w:t xml:space="preserve"> in</w:t>
      </w:r>
      <w:r w:rsidR="00666842" w:rsidRPr="00DD3614">
        <w:rPr>
          <w:rFonts w:ascii="Book Antiqua" w:hAnsi="Book Antiqua"/>
        </w:rPr>
        <w:t xml:space="preserve"> mortality with intensive glycemic control in older patient</w:t>
      </w:r>
      <w:r w:rsidR="00DF2844" w:rsidRPr="00DD3614">
        <w:rPr>
          <w:rFonts w:ascii="Book Antiqua" w:hAnsi="Book Antiqua"/>
        </w:rPr>
        <w:t xml:space="preserve">s with long standing T2DM </w:t>
      </w:r>
      <w:r w:rsidR="00666842" w:rsidRPr="00DD3614">
        <w:rPr>
          <w:rFonts w:ascii="Book Antiqua" w:hAnsi="Book Antiqua"/>
        </w:rPr>
        <w:t>with no significant reduction of major cardiovascular</w:t>
      </w:r>
      <w:r w:rsidR="008E5889" w:rsidRPr="00DD3614">
        <w:rPr>
          <w:rFonts w:ascii="Book Antiqua" w:hAnsi="Book Antiqua"/>
        </w:rPr>
        <w:t xml:space="preserve"> (CV)</w:t>
      </w:r>
      <w:r w:rsidR="00666842" w:rsidRPr="00DD3614">
        <w:rPr>
          <w:rFonts w:ascii="Book Antiqua" w:hAnsi="Book Antiqua"/>
        </w:rPr>
        <w:t xml:space="preserve"> </w:t>
      </w:r>
      <w:proofErr w:type="gramStart"/>
      <w:r w:rsidR="00666842" w:rsidRPr="00DD3614">
        <w:rPr>
          <w:rFonts w:ascii="Book Antiqua" w:hAnsi="Book Antiqua"/>
        </w:rPr>
        <w:t>events</w:t>
      </w:r>
      <w:r w:rsidR="00A678A6" w:rsidRPr="00DD3614">
        <w:rPr>
          <w:rFonts w:ascii="Book Antiqua" w:hAnsi="Book Antiqua"/>
          <w:vertAlign w:val="superscript"/>
        </w:rPr>
        <w:t>[</w:t>
      </w:r>
      <w:proofErr w:type="gramEnd"/>
      <w:r w:rsidR="00A678A6" w:rsidRPr="00DD3614">
        <w:rPr>
          <w:rFonts w:ascii="Book Antiqua" w:hAnsi="Book Antiqua"/>
          <w:vertAlign w:val="superscript"/>
        </w:rPr>
        <w:t>3]</w:t>
      </w:r>
      <w:r w:rsidR="00666842" w:rsidRPr="00DD3614">
        <w:rPr>
          <w:rFonts w:ascii="Book Antiqua" w:hAnsi="Book Antiqua"/>
        </w:rPr>
        <w:t>.</w:t>
      </w:r>
    </w:p>
    <w:p w:rsidR="00CA1D38" w:rsidRPr="00DD3614" w:rsidRDefault="00666842" w:rsidP="00DD3614">
      <w:pPr>
        <w:spacing w:line="360" w:lineRule="auto"/>
        <w:ind w:firstLineChars="100" w:firstLine="240"/>
        <w:jc w:val="both"/>
        <w:rPr>
          <w:rFonts w:ascii="Book Antiqua" w:hAnsi="Book Antiqua"/>
        </w:rPr>
      </w:pPr>
      <w:r w:rsidRPr="00DD3614">
        <w:rPr>
          <w:rFonts w:ascii="Book Antiqua" w:hAnsi="Book Antiqua"/>
        </w:rPr>
        <w:t>Lack of conclusive beneficial effect</w:t>
      </w:r>
      <w:r w:rsidR="00CB059F" w:rsidRPr="00DD3614">
        <w:rPr>
          <w:rFonts w:ascii="Book Antiqua" w:hAnsi="Book Antiqua"/>
        </w:rPr>
        <w:t>s</w:t>
      </w:r>
      <w:r w:rsidRPr="00DD3614">
        <w:rPr>
          <w:rFonts w:ascii="Book Antiqua" w:hAnsi="Book Antiqua"/>
        </w:rPr>
        <w:t xml:space="preserve"> of strict glycemic control on macrovascular outcomes</w:t>
      </w:r>
      <w:r w:rsidR="00CB059F" w:rsidRPr="00DD3614">
        <w:rPr>
          <w:rFonts w:ascii="Book Antiqua" w:hAnsi="Book Antiqua"/>
        </w:rPr>
        <w:t xml:space="preserve"> has been very frustrating for clinicians involved in care of patients with diabetes mellitus</w:t>
      </w:r>
      <w:r w:rsidR="00804895" w:rsidRPr="00DD3614">
        <w:rPr>
          <w:rFonts w:ascii="Book Antiqua" w:hAnsi="Book Antiqua"/>
        </w:rPr>
        <w:t xml:space="preserve"> (DM)</w:t>
      </w:r>
      <w:r w:rsidRPr="00DD3614">
        <w:rPr>
          <w:rFonts w:ascii="Book Antiqua" w:hAnsi="Book Antiqua"/>
        </w:rPr>
        <w:t xml:space="preserve">. </w:t>
      </w:r>
      <w:r w:rsidR="008D658D" w:rsidRPr="00DD3614">
        <w:rPr>
          <w:rFonts w:ascii="Book Antiqua" w:hAnsi="Book Antiqua"/>
        </w:rPr>
        <w:t xml:space="preserve">Due to conflicting results and uncertainty on beneficial effects of glucose lowering therapies </w:t>
      </w:r>
      <w:r w:rsidR="00E67B24" w:rsidRPr="00DD3614">
        <w:rPr>
          <w:rFonts w:ascii="Book Antiqua" w:hAnsi="Book Antiqua"/>
        </w:rPr>
        <w:t xml:space="preserve">on major </w:t>
      </w:r>
      <w:r w:rsidR="00B852F5" w:rsidRPr="00DD3614">
        <w:rPr>
          <w:rFonts w:ascii="Book Antiqua" w:hAnsi="Book Antiqua"/>
        </w:rPr>
        <w:t>CV</w:t>
      </w:r>
      <w:r w:rsidR="00E67B24" w:rsidRPr="00DD3614">
        <w:rPr>
          <w:rFonts w:ascii="Book Antiqua" w:hAnsi="Book Antiqua"/>
        </w:rPr>
        <w:t xml:space="preserve"> events, there has been growing interest in determining how glucose-lowering pharmacotherapies impact risk for major </w:t>
      </w:r>
      <w:r w:rsidR="00B852F5" w:rsidRPr="00DD3614">
        <w:rPr>
          <w:rFonts w:ascii="Book Antiqua" w:hAnsi="Book Antiqua"/>
        </w:rPr>
        <w:t>CV</w:t>
      </w:r>
      <w:r w:rsidR="00E67B24" w:rsidRPr="00DD3614">
        <w:rPr>
          <w:rFonts w:ascii="Book Antiqua" w:hAnsi="Book Antiqua"/>
        </w:rPr>
        <w:t xml:space="preserve"> events. Sulfonylureas and rosiglitazone </w:t>
      </w:r>
      <w:r w:rsidR="00D81E86" w:rsidRPr="00DD3614">
        <w:rPr>
          <w:rFonts w:ascii="Book Antiqua" w:hAnsi="Book Antiqua"/>
        </w:rPr>
        <w:t xml:space="preserve">have shown association with an increased risk of adverse </w:t>
      </w:r>
      <w:r w:rsidR="00B852F5" w:rsidRPr="00DD3614">
        <w:rPr>
          <w:rFonts w:ascii="Book Antiqua" w:hAnsi="Book Antiqua"/>
        </w:rPr>
        <w:t>CV</w:t>
      </w:r>
      <w:r w:rsidR="00D81E86" w:rsidRPr="00DD3614">
        <w:rPr>
          <w:rFonts w:ascii="Book Antiqua" w:hAnsi="Book Antiqua"/>
        </w:rPr>
        <w:t xml:space="preserve"> eve</w:t>
      </w:r>
      <w:r w:rsidR="00A678A6" w:rsidRPr="00DD3614">
        <w:rPr>
          <w:rFonts w:ascii="Book Antiqua" w:hAnsi="Book Antiqua"/>
        </w:rPr>
        <w:t xml:space="preserve">nts and </w:t>
      </w:r>
      <w:proofErr w:type="gramStart"/>
      <w:r w:rsidR="00A678A6" w:rsidRPr="00DD3614">
        <w:rPr>
          <w:rFonts w:ascii="Book Antiqua" w:hAnsi="Book Antiqua"/>
        </w:rPr>
        <w:t>mortality</w:t>
      </w:r>
      <w:r w:rsidR="00A678A6" w:rsidRPr="00DD3614">
        <w:rPr>
          <w:rFonts w:ascii="Book Antiqua" w:hAnsi="Book Antiqua"/>
          <w:vertAlign w:val="superscript"/>
        </w:rPr>
        <w:t>[</w:t>
      </w:r>
      <w:proofErr w:type="gramEnd"/>
      <w:r w:rsidR="00E35F7A" w:rsidRPr="00DD3614">
        <w:rPr>
          <w:rFonts w:ascii="Book Antiqua" w:hAnsi="Book Antiqua"/>
          <w:vertAlign w:val="superscript"/>
        </w:rPr>
        <w:t>4,5</w:t>
      </w:r>
      <w:r w:rsidR="00A678A6" w:rsidRPr="00DD3614">
        <w:rPr>
          <w:rFonts w:ascii="Book Antiqua" w:hAnsi="Book Antiqua"/>
          <w:vertAlign w:val="superscript"/>
        </w:rPr>
        <w:t>]</w:t>
      </w:r>
      <w:r w:rsidR="00D81E86" w:rsidRPr="00DD3614">
        <w:rPr>
          <w:rFonts w:ascii="Book Antiqua" w:hAnsi="Book Antiqua"/>
        </w:rPr>
        <w:t xml:space="preserve">. Nissen </w:t>
      </w:r>
      <w:r w:rsidR="00D81E86" w:rsidRPr="00DD3614">
        <w:rPr>
          <w:rFonts w:ascii="Book Antiqua" w:hAnsi="Book Antiqua"/>
          <w:i/>
        </w:rPr>
        <w:t xml:space="preserve">et </w:t>
      </w:r>
      <w:proofErr w:type="gramStart"/>
      <w:r w:rsidR="00D81E86" w:rsidRPr="00DD3614">
        <w:rPr>
          <w:rFonts w:ascii="Book Antiqua" w:hAnsi="Book Antiqua"/>
          <w:i/>
        </w:rPr>
        <w:t>al</w:t>
      </w:r>
      <w:r w:rsidR="00DD3614" w:rsidRPr="00DD3614">
        <w:rPr>
          <w:rFonts w:ascii="Book Antiqua" w:hAnsi="Book Antiqua"/>
          <w:vertAlign w:val="superscript"/>
        </w:rPr>
        <w:t>[</w:t>
      </w:r>
      <w:proofErr w:type="gramEnd"/>
      <w:r w:rsidR="00DD3614" w:rsidRPr="00DD3614">
        <w:rPr>
          <w:rFonts w:ascii="Book Antiqua" w:hAnsi="Book Antiqua"/>
          <w:vertAlign w:val="superscript"/>
        </w:rPr>
        <w:t>5]</w:t>
      </w:r>
      <w:r w:rsidR="00D81E86" w:rsidRPr="00DD3614">
        <w:rPr>
          <w:rFonts w:ascii="Book Antiqua" w:hAnsi="Book Antiqua"/>
        </w:rPr>
        <w:t xml:space="preserve"> showed 43% increased risk of MI with rosiglitazone treatment, which led to highly publicized controversy surrounding CV safety of rosiglitazone. </w:t>
      </w:r>
      <w:r w:rsidR="00293FAF" w:rsidRPr="00DD3614">
        <w:rPr>
          <w:rFonts w:ascii="Book Antiqua" w:hAnsi="Book Antiqua"/>
        </w:rPr>
        <w:t>This resulted in major change</w:t>
      </w:r>
      <w:r w:rsidR="00CA1D38" w:rsidRPr="00DD3614">
        <w:rPr>
          <w:rFonts w:ascii="Book Antiqua" w:hAnsi="Book Antiqua"/>
        </w:rPr>
        <w:t>s</w:t>
      </w:r>
      <w:r w:rsidR="00293FAF" w:rsidRPr="00DD3614">
        <w:rPr>
          <w:rFonts w:ascii="Book Antiqua" w:hAnsi="Book Antiqua"/>
        </w:rPr>
        <w:t xml:space="preserve"> in United States Food and Drug Administration (</w:t>
      </w:r>
      <w:r w:rsidR="00B852F5" w:rsidRPr="00DD3614">
        <w:rPr>
          <w:rFonts w:ascii="Book Antiqua" w:hAnsi="Book Antiqua"/>
        </w:rPr>
        <w:t xml:space="preserve">US </w:t>
      </w:r>
      <w:r w:rsidR="00D81E86" w:rsidRPr="00DD3614">
        <w:rPr>
          <w:rFonts w:ascii="Book Antiqua" w:hAnsi="Book Antiqua"/>
        </w:rPr>
        <w:t>FDA</w:t>
      </w:r>
      <w:r w:rsidR="00293FAF" w:rsidRPr="00DD3614">
        <w:rPr>
          <w:rFonts w:ascii="Book Antiqua" w:hAnsi="Book Antiqua"/>
        </w:rPr>
        <w:t>)</w:t>
      </w:r>
      <w:r w:rsidR="00D81E86" w:rsidRPr="00DD3614">
        <w:rPr>
          <w:rFonts w:ascii="Book Antiqua" w:hAnsi="Book Antiqua"/>
        </w:rPr>
        <w:t xml:space="preserve"> policy in 2008</w:t>
      </w:r>
      <w:r w:rsidR="00293FAF" w:rsidRPr="00DD3614">
        <w:rPr>
          <w:rFonts w:ascii="Book Antiqua" w:hAnsi="Book Antiqua"/>
        </w:rPr>
        <w:t xml:space="preserve"> regarding approval process of new antidiabetic medications. </w:t>
      </w:r>
      <w:r w:rsidR="000A411B" w:rsidRPr="00DD3614">
        <w:rPr>
          <w:rFonts w:ascii="Book Antiqua" w:hAnsi="Book Antiqua"/>
        </w:rPr>
        <w:t>I</w:t>
      </w:r>
      <w:r w:rsidR="00CA1D38" w:rsidRPr="00DD3614">
        <w:rPr>
          <w:rFonts w:ascii="Book Antiqua" w:hAnsi="Book Antiqua"/>
        </w:rPr>
        <w:t xml:space="preserve">mproved glycemic control </w:t>
      </w:r>
      <w:r w:rsidR="000A411B" w:rsidRPr="00DD3614">
        <w:rPr>
          <w:rFonts w:ascii="Book Antiqua" w:hAnsi="Book Antiqua"/>
        </w:rPr>
        <w:t xml:space="preserve">alone </w:t>
      </w:r>
      <w:r w:rsidR="00CA1D38" w:rsidRPr="00DD3614">
        <w:rPr>
          <w:rFonts w:ascii="Book Antiqua" w:hAnsi="Book Antiqua"/>
        </w:rPr>
        <w:t xml:space="preserve">is no longer sufficient and </w:t>
      </w:r>
      <w:r w:rsidR="00293FAF" w:rsidRPr="00DD3614">
        <w:rPr>
          <w:rFonts w:ascii="Book Antiqua" w:hAnsi="Book Antiqua"/>
        </w:rPr>
        <w:t xml:space="preserve">US FDA </w:t>
      </w:r>
      <w:r w:rsidR="00B13C76" w:rsidRPr="00DD3614">
        <w:rPr>
          <w:rFonts w:ascii="Book Antiqua" w:hAnsi="Book Antiqua"/>
        </w:rPr>
        <w:t xml:space="preserve">has </w:t>
      </w:r>
      <w:r w:rsidR="00293FAF" w:rsidRPr="00DD3614">
        <w:rPr>
          <w:rFonts w:ascii="Book Antiqua" w:hAnsi="Book Antiqua"/>
        </w:rPr>
        <w:t xml:space="preserve">requested CV outcome data from randomized, controlled trials for approval </w:t>
      </w:r>
      <w:r w:rsidR="00B13C76" w:rsidRPr="00DD3614">
        <w:rPr>
          <w:rFonts w:ascii="Book Antiqua" w:hAnsi="Book Antiqua"/>
        </w:rPr>
        <w:t xml:space="preserve">of </w:t>
      </w:r>
      <w:r w:rsidR="00293FAF" w:rsidRPr="00DD3614">
        <w:rPr>
          <w:rFonts w:ascii="Book Antiqua" w:hAnsi="Book Antiqua"/>
        </w:rPr>
        <w:t>new d</w:t>
      </w:r>
      <w:r w:rsidR="00A678A6" w:rsidRPr="00DD3614">
        <w:rPr>
          <w:rFonts w:ascii="Book Antiqua" w:hAnsi="Book Antiqua"/>
        </w:rPr>
        <w:t xml:space="preserve">rugs for treatment of </w:t>
      </w:r>
      <w:proofErr w:type="gramStart"/>
      <w:r w:rsidR="00A678A6" w:rsidRPr="00DD3614">
        <w:rPr>
          <w:rFonts w:ascii="Book Antiqua" w:hAnsi="Book Antiqua"/>
        </w:rPr>
        <w:t>DM</w:t>
      </w:r>
      <w:r w:rsidR="00A678A6" w:rsidRPr="00DD3614">
        <w:rPr>
          <w:rFonts w:ascii="Book Antiqua" w:hAnsi="Book Antiqua"/>
          <w:vertAlign w:val="superscript"/>
        </w:rPr>
        <w:t>[</w:t>
      </w:r>
      <w:proofErr w:type="gramEnd"/>
      <w:r w:rsidR="00E35F7A" w:rsidRPr="00DD3614">
        <w:rPr>
          <w:rFonts w:ascii="Book Antiqua" w:hAnsi="Book Antiqua"/>
          <w:vertAlign w:val="superscript"/>
        </w:rPr>
        <w:t>6</w:t>
      </w:r>
      <w:r w:rsidR="00A678A6" w:rsidRPr="00DD3614">
        <w:rPr>
          <w:rFonts w:ascii="Book Antiqua" w:hAnsi="Book Antiqua"/>
          <w:vertAlign w:val="superscript"/>
        </w:rPr>
        <w:t>]</w:t>
      </w:r>
      <w:r w:rsidR="00CA1D38" w:rsidRPr="00DD3614">
        <w:rPr>
          <w:rFonts w:ascii="Book Antiqua" w:hAnsi="Book Antiqua"/>
        </w:rPr>
        <w:t>.</w:t>
      </w:r>
    </w:p>
    <w:p w:rsidR="002B24E6" w:rsidRPr="00DD3614" w:rsidRDefault="00770531" w:rsidP="00DD3614">
      <w:pPr>
        <w:spacing w:line="360" w:lineRule="auto"/>
        <w:ind w:firstLineChars="100" w:firstLine="240"/>
        <w:jc w:val="both"/>
        <w:rPr>
          <w:rFonts w:ascii="Book Antiqua" w:hAnsi="Book Antiqua"/>
        </w:rPr>
      </w:pPr>
      <w:r w:rsidRPr="00DD3614">
        <w:rPr>
          <w:rFonts w:ascii="Book Antiqua" w:hAnsi="Book Antiqua"/>
        </w:rPr>
        <w:t xml:space="preserve">Changes in FDA </w:t>
      </w:r>
      <w:r w:rsidR="000A411B" w:rsidRPr="00DD3614">
        <w:rPr>
          <w:rFonts w:ascii="Book Antiqua" w:hAnsi="Book Antiqua"/>
        </w:rPr>
        <w:t xml:space="preserve">approval policy for </w:t>
      </w:r>
      <w:r w:rsidRPr="00DD3614">
        <w:rPr>
          <w:rFonts w:ascii="Book Antiqua" w:hAnsi="Book Antiqua"/>
        </w:rPr>
        <w:t xml:space="preserve">new </w:t>
      </w:r>
      <w:proofErr w:type="spellStart"/>
      <w:r w:rsidRPr="00DD3614">
        <w:rPr>
          <w:rFonts w:ascii="Book Antiqua" w:hAnsi="Book Antiqua"/>
        </w:rPr>
        <w:t>antidiabetes</w:t>
      </w:r>
      <w:proofErr w:type="spellEnd"/>
      <w:r w:rsidRPr="00DD3614">
        <w:rPr>
          <w:rFonts w:ascii="Book Antiqua" w:hAnsi="Book Antiqua"/>
        </w:rPr>
        <w:t xml:space="preserve"> </w:t>
      </w:r>
      <w:r w:rsidR="000A411B" w:rsidRPr="00DD3614">
        <w:rPr>
          <w:rFonts w:ascii="Book Antiqua" w:hAnsi="Book Antiqua"/>
        </w:rPr>
        <w:t xml:space="preserve">drugs </w:t>
      </w:r>
      <w:r w:rsidRPr="00DD3614">
        <w:rPr>
          <w:rFonts w:ascii="Book Antiqua" w:hAnsi="Book Antiqua"/>
        </w:rPr>
        <w:t>has resulte</w:t>
      </w:r>
      <w:r w:rsidR="00A36166" w:rsidRPr="00DD3614">
        <w:rPr>
          <w:rFonts w:ascii="Book Antiqua" w:hAnsi="Book Antiqua"/>
        </w:rPr>
        <w:t xml:space="preserve">d in revolutionary </w:t>
      </w:r>
      <w:r w:rsidR="00CF0E14" w:rsidRPr="00DD3614">
        <w:rPr>
          <w:rFonts w:ascii="Book Antiqua" w:hAnsi="Book Antiqua"/>
        </w:rPr>
        <w:t xml:space="preserve">data from </w:t>
      </w:r>
      <w:r w:rsidR="00A36166" w:rsidRPr="00DD3614">
        <w:rPr>
          <w:rFonts w:ascii="Book Antiqua" w:hAnsi="Book Antiqua"/>
        </w:rPr>
        <w:t xml:space="preserve">several large </w:t>
      </w:r>
      <w:r w:rsidRPr="00DD3614">
        <w:rPr>
          <w:rFonts w:ascii="Book Antiqua" w:hAnsi="Book Antiqua"/>
        </w:rPr>
        <w:t>CV outcome trials over</w:t>
      </w:r>
      <w:r w:rsidR="00B13C76" w:rsidRPr="00DD3614">
        <w:rPr>
          <w:rFonts w:ascii="Book Antiqua" w:hAnsi="Book Antiqua"/>
        </w:rPr>
        <w:t xml:space="preserve"> the</w:t>
      </w:r>
      <w:r w:rsidRPr="00DD3614">
        <w:rPr>
          <w:rFonts w:ascii="Book Antiqua" w:hAnsi="Book Antiqua"/>
        </w:rPr>
        <w:t xml:space="preserve"> last few </w:t>
      </w:r>
      <w:proofErr w:type="gramStart"/>
      <w:r w:rsidRPr="00DD3614">
        <w:rPr>
          <w:rFonts w:ascii="Book Antiqua" w:hAnsi="Book Antiqua"/>
        </w:rPr>
        <w:t>years</w:t>
      </w:r>
      <w:r w:rsidR="00A678A6" w:rsidRPr="00DD3614">
        <w:rPr>
          <w:rFonts w:ascii="Book Antiqua" w:hAnsi="Book Antiqua"/>
          <w:vertAlign w:val="superscript"/>
        </w:rPr>
        <w:t>[</w:t>
      </w:r>
      <w:proofErr w:type="gramEnd"/>
      <w:r w:rsidR="002C6DB6" w:rsidRPr="00DD3614">
        <w:rPr>
          <w:rFonts w:ascii="Book Antiqua" w:hAnsi="Book Antiqua"/>
          <w:vertAlign w:val="superscript"/>
        </w:rPr>
        <w:t>7</w:t>
      </w:r>
      <w:r w:rsidR="00A678A6" w:rsidRPr="00DD3614">
        <w:rPr>
          <w:rFonts w:ascii="Book Antiqua" w:hAnsi="Book Antiqua"/>
          <w:vertAlign w:val="superscript"/>
        </w:rPr>
        <w:t>]</w:t>
      </w:r>
      <w:r w:rsidRPr="00DD3614">
        <w:rPr>
          <w:rFonts w:ascii="Book Antiqua" w:hAnsi="Book Antiqua"/>
        </w:rPr>
        <w:t xml:space="preserve">. </w:t>
      </w:r>
      <w:r w:rsidR="00CF0E14" w:rsidRPr="00DD3614">
        <w:rPr>
          <w:rFonts w:ascii="Book Antiqua" w:hAnsi="Book Antiqua"/>
        </w:rPr>
        <w:t xml:space="preserve">The primary composite endpoint for majority of CV outcome trials </w:t>
      </w:r>
      <w:r w:rsidR="00A36166" w:rsidRPr="00DD3614">
        <w:rPr>
          <w:rFonts w:ascii="Book Antiqua" w:hAnsi="Book Antiqua"/>
        </w:rPr>
        <w:t>has been</w:t>
      </w:r>
      <w:r w:rsidR="00CA1D38" w:rsidRPr="00DD3614">
        <w:rPr>
          <w:rFonts w:ascii="Book Antiqua" w:hAnsi="Book Antiqua"/>
        </w:rPr>
        <w:t xml:space="preserve"> </w:t>
      </w:r>
      <w:r w:rsidR="00CF0E14" w:rsidRPr="00DD3614">
        <w:rPr>
          <w:rFonts w:ascii="Book Antiqua" w:hAnsi="Book Antiqua"/>
        </w:rPr>
        <w:t>major adverse</w:t>
      </w:r>
      <w:r w:rsidR="00CA1D38" w:rsidRPr="00DD3614">
        <w:rPr>
          <w:rFonts w:ascii="Book Antiqua" w:hAnsi="Book Antiqua"/>
        </w:rPr>
        <w:t xml:space="preserve"> cardiovascular events (</w:t>
      </w:r>
      <w:r w:rsidR="00CF0E14" w:rsidRPr="00DD3614">
        <w:rPr>
          <w:rFonts w:ascii="Book Antiqua" w:hAnsi="Book Antiqua"/>
        </w:rPr>
        <w:t>MACE)</w:t>
      </w:r>
      <w:r w:rsidR="00CA1D38" w:rsidRPr="00DD3614">
        <w:rPr>
          <w:rFonts w:ascii="Book Antiqua" w:hAnsi="Book Antiqua"/>
        </w:rPr>
        <w:t>, a composite</w:t>
      </w:r>
      <w:r w:rsidR="00CF0E14" w:rsidRPr="00DD3614">
        <w:rPr>
          <w:rFonts w:ascii="Book Antiqua" w:hAnsi="Book Antiqua"/>
        </w:rPr>
        <w:t xml:space="preserve"> of death from </w:t>
      </w:r>
      <w:r w:rsidR="00B852F5" w:rsidRPr="00DD3614">
        <w:rPr>
          <w:rFonts w:ascii="Book Antiqua" w:hAnsi="Book Antiqua"/>
        </w:rPr>
        <w:t>CV</w:t>
      </w:r>
      <w:r w:rsidR="00CF0E14" w:rsidRPr="00DD3614">
        <w:rPr>
          <w:rFonts w:ascii="Book Antiqua" w:hAnsi="Book Antiqua"/>
        </w:rPr>
        <w:t xml:space="preserve"> causes, nonfatal </w:t>
      </w:r>
      <w:r w:rsidR="00DD3614" w:rsidRPr="00DD3614">
        <w:rPr>
          <w:rFonts w:ascii="Book Antiqua" w:hAnsi="Book Antiqua"/>
        </w:rPr>
        <w:t>MI</w:t>
      </w:r>
      <w:r w:rsidR="00CF0E14" w:rsidRPr="00DD3614">
        <w:rPr>
          <w:rFonts w:ascii="Book Antiqua" w:hAnsi="Book Antiqua"/>
        </w:rPr>
        <w:t xml:space="preserve">, or nonfatal stroke. </w:t>
      </w:r>
      <w:r w:rsidR="00A36166" w:rsidRPr="00DD3614">
        <w:rPr>
          <w:rFonts w:ascii="Book Antiqua" w:hAnsi="Book Antiqua"/>
        </w:rPr>
        <w:t>Abundance of data and heterogeneity in</w:t>
      </w:r>
      <w:r w:rsidRPr="00DD3614">
        <w:rPr>
          <w:rFonts w:ascii="Book Antiqua" w:hAnsi="Book Antiqua"/>
        </w:rPr>
        <w:t xml:space="preserve"> CV outcome </w:t>
      </w:r>
      <w:r w:rsidR="00CF0E14" w:rsidRPr="00DD3614">
        <w:rPr>
          <w:rFonts w:ascii="Book Antiqua" w:hAnsi="Book Antiqua"/>
        </w:rPr>
        <w:t xml:space="preserve">trials </w:t>
      </w:r>
      <w:r w:rsidRPr="00DD3614">
        <w:rPr>
          <w:rFonts w:ascii="Book Antiqua" w:hAnsi="Book Antiqua"/>
        </w:rPr>
        <w:t xml:space="preserve">results </w:t>
      </w:r>
      <w:r w:rsidR="00632BF7" w:rsidRPr="00DD3614">
        <w:rPr>
          <w:rFonts w:ascii="Book Antiqua" w:hAnsi="Book Antiqua"/>
        </w:rPr>
        <w:t>can</w:t>
      </w:r>
      <w:r w:rsidR="00AF6C48" w:rsidRPr="00DD3614">
        <w:rPr>
          <w:rFonts w:ascii="Book Antiqua" w:hAnsi="Book Antiqua"/>
        </w:rPr>
        <w:t xml:space="preserve"> make it difficult for clinicians, particularly primary care physicians, to stay updated with all the recent evidence.</w:t>
      </w:r>
      <w:r w:rsidR="00441037" w:rsidRPr="00DD3614">
        <w:rPr>
          <w:rFonts w:ascii="Book Antiqua" w:hAnsi="Book Antiqua"/>
        </w:rPr>
        <w:t xml:space="preserve"> </w:t>
      </w:r>
      <w:r w:rsidR="00A36166" w:rsidRPr="00DD3614">
        <w:rPr>
          <w:rFonts w:ascii="Book Antiqua" w:hAnsi="Book Antiqua"/>
        </w:rPr>
        <w:t>The scope of this review will focus on all major CV outcome studies eva</w:t>
      </w:r>
      <w:r w:rsidR="00F3161D" w:rsidRPr="00DD3614">
        <w:rPr>
          <w:rFonts w:ascii="Book Antiqua" w:hAnsi="Book Antiqua"/>
        </w:rPr>
        <w:t xml:space="preserve">luating CV safety and efficacy </w:t>
      </w:r>
      <w:r w:rsidR="00AF6C48" w:rsidRPr="00DD3614">
        <w:rPr>
          <w:rFonts w:ascii="Book Antiqua" w:hAnsi="Book Antiqua"/>
        </w:rPr>
        <w:t xml:space="preserve">of </w:t>
      </w:r>
      <w:r w:rsidR="00003E6E" w:rsidRPr="00DD3614">
        <w:rPr>
          <w:rFonts w:ascii="Book Antiqua" w:hAnsi="Book Antiqua"/>
        </w:rPr>
        <w:t xml:space="preserve">glucagon-like peptide-1 </w:t>
      </w:r>
      <w:r w:rsidR="00AF6C48" w:rsidRPr="00DD3614">
        <w:rPr>
          <w:rFonts w:ascii="Book Antiqua" w:hAnsi="Book Antiqua"/>
        </w:rPr>
        <w:t>receptor</w:t>
      </w:r>
      <w:r w:rsidR="00F3161D" w:rsidRPr="00DD3614">
        <w:rPr>
          <w:rFonts w:ascii="Book Antiqua" w:hAnsi="Book Antiqua"/>
        </w:rPr>
        <w:t xml:space="preserve"> agonists </w:t>
      </w:r>
      <w:r w:rsidR="00003E6E" w:rsidRPr="00DD3614">
        <w:rPr>
          <w:rFonts w:ascii="Book Antiqua" w:hAnsi="Book Antiqua"/>
        </w:rPr>
        <w:t xml:space="preserve">(GLP-1 RA) </w:t>
      </w:r>
      <w:r w:rsidR="00F3161D" w:rsidRPr="00DD3614">
        <w:rPr>
          <w:rFonts w:ascii="Book Antiqua" w:hAnsi="Book Antiqua"/>
        </w:rPr>
        <w:t xml:space="preserve">and </w:t>
      </w:r>
      <w:r w:rsidR="00003E6E" w:rsidRPr="00DD3614">
        <w:rPr>
          <w:rFonts w:ascii="Book Antiqua" w:hAnsi="Book Antiqua"/>
        </w:rPr>
        <w:t>sodium-glucose cotransporter-2 (</w:t>
      </w:r>
      <w:r w:rsidR="00F3161D" w:rsidRPr="00DD3614">
        <w:rPr>
          <w:rFonts w:ascii="Book Antiqua" w:hAnsi="Book Antiqua"/>
        </w:rPr>
        <w:t>SGLT-2</w:t>
      </w:r>
      <w:r w:rsidR="00003E6E" w:rsidRPr="00DD3614">
        <w:rPr>
          <w:rFonts w:ascii="Book Antiqua" w:hAnsi="Book Antiqua"/>
        </w:rPr>
        <w:t>)</w:t>
      </w:r>
      <w:r w:rsidR="00F3161D" w:rsidRPr="00DD3614">
        <w:rPr>
          <w:rFonts w:ascii="Book Antiqua" w:hAnsi="Book Antiqua"/>
        </w:rPr>
        <w:t xml:space="preserve"> inhibitors.</w:t>
      </w:r>
    </w:p>
    <w:p w:rsidR="000044AD" w:rsidRPr="00DD3614" w:rsidRDefault="000044AD" w:rsidP="00441037">
      <w:pPr>
        <w:spacing w:line="360" w:lineRule="auto"/>
        <w:jc w:val="both"/>
        <w:rPr>
          <w:rFonts w:ascii="Book Antiqua" w:hAnsi="Book Antiqua"/>
        </w:rPr>
      </w:pPr>
    </w:p>
    <w:p w:rsidR="00476976" w:rsidRPr="00DD3614" w:rsidRDefault="001C63E8" w:rsidP="00441037">
      <w:pPr>
        <w:spacing w:line="360" w:lineRule="auto"/>
        <w:jc w:val="both"/>
        <w:rPr>
          <w:rFonts w:ascii="Book Antiqua" w:hAnsi="Book Antiqua"/>
          <w:b/>
        </w:rPr>
      </w:pPr>
      <w:r w:rsidRPr="00DD3614">
        <w:rPr>
          <w:rFonts w:ascii="Book Antiqua" w:hAnsi="Book Antiqua"/>
          <w:b/>
        </w:rPr>
        <w:t xml:space="preserve">GLP-1 </w:t>
      </w:r>
      <w:r w:rsidR="00DD3614" w:rsidRPr="00DD3614">
        <w:rPr>
          <w:rFonts w:ascii="Book Antiqua" w:hAnsi="Book Antiqua"/>
          <w:b/>
        </w:rPr>
        <w:t>RA</w:t>
      </w:r>
    </w:p>
    <w:p w:rsidR="00A2377C" w:rsidRPr="00DD3614" w:rsidRDefault="00800735" w:rsidP="00441037">
      <w:pPr>
        <w:spacing w:line="360" w:lineRule="auto"/>
        <w:jc w:val="both"/>
        <w:rPr>
          <w:rFonts w:ascii="Book Antiqua" w:hAnsi="Book Antiqua" w:cstheme="minorHAnsi"/>
          <w:lang w:val="en"/>
        </w:rPr>
      </w:pPr>
      <w:r w:rsidRPr="00DD3614">
        <w:rPr>
          <w:rFonts w:ascii="Book Antiqua" w:hAnsi="Book Antiqua" w:cstheme="minorHAnsi"/>
          <w:lang w:val="en"/>
        </w:rPr>
        <w:t xml:space="preserve">Intestinal L-cells secrete GLP-1, a potent incretin hormone, in response to nutrient </w:t>
      </w:r>
      <w:proofErr w:type="gramStart"/>
      <w:r w:rsidRPr="00DD3614">
        <w:rPr>
          <w:rFonts w:ascii="Book Antiqua" w:hAnsi="Book Antiqua" w:cstheme="minorHAnsi"/>
          <w:lang w:val="en"/>
        </w:rPr>
        <w:t>ingestion</w:t>
      </w:r>
      <w:r w:rsidR="00A678A6" w:rsidRPr="00DD3614">
        <w:rPr>
          <w:rFonts w:ascii="Book Antiqua" w:hAnsi="Book Antiqua" w:cstheme="minorHAnsi"/>
          <w:vertAlign w:val="superscript"/>
          <w:lang w:val="en"/>
        </w:rPr>
        <w:t>[</w:t>
      </w:r>
      <w:proofErr w:type="gramEnd"/>
      <w:r w:rsidR="002C6DB6" w:rsidRPr="00DD3614">
        <w:rPr>
          <w:rFonts w:ascii="Book Antiqua" w:hAnsi="Book Antiqua" w:cstheme="minorHAnsi"/>
          <w:vertAlign w:val="superscript"/>
          <w:lang w:val="en"/>
        </w:rPr>
        <w:t>8</w:t>
      </w:r>
      <w:r w:rsidR="00A678A6" w:rsidRPr="00DD3614">
        <w:rPr>
          <w:rFonts w:ascii="Book Antiqua" w:hAnsi="Book Antiqua" w:cstheme="minorHAnsi"/>
          <w:vertAlign w:val="superscript"/>
          <w:lang w:val="en"/>
        </w:rPr>
        <w:t>]</w:t>
      </w:r>
      <w:r w:rsidRPr="00DD3614">
        <w:rPr>
          <w:rFonts w:ascii="Book Antiqua" w:hAnsi="Book Antiqua" w:cstheme="minorHAnsi"/>
          <w:lang w:val="en"/>
        </w:rPr>
        <w:t>.</w:t>
      </w:r>
      <w:r w:rsidR="00F37E7E" w:rsidRPr="00DD3614">
        <w:rPr>
          <w:rFonts w:ascii="Book Antiqua" w:hAnsi="Book Antiqua" w:cstheme="minorHAnsi"/>
          <w:lang w:val="en"/>
        </w:rPr>
        <w:t xml:space="preserve"> </w:t>
      </w:r>
      <w:r w:rsidR="00FF2CBB" w:rsidRPr="00DD3614">
        <w:rPr>
          <w:rFonts w:ascii="Book Antiqua" w:hAnsi="Book Antiqua" w:cstheme="minorHAnsi"/>
          <w:lang w:val="en"/>
        </w:rPr>
        <w:t xml:space="preserve">Synthetic </w:t>
      </w:r>
      <w:r w:rsidR="00F37E7E" w:rsidRPr="00DD3614">
        <w:rPr>
          <w:rFonts w:ascii="Book Antiqua" w:hAnsi="Book Antiqua" w:cstheme="minorHAnsi"/>
          <w:lang w:val="en"/>
        </w:rPr>
        <w:t xml:space="preserve">GLP-1 </w:t>
      </w:r>
      <w:r w:rsidR="00DD3614" w:rsidRPr="00DD3614">
        <w:rPr>
          <w:rFonts w:ascii="Book Antiqua" w:hAnsi="Book Antiqua"/>
        </w:rPr>
        <w:t>RA</w:t>
      </w:r>
      <w:r w:rsidR="00863F95" w:rsidRPr="00DD3614">
        <w:rPr>
          <w:rFonts w:ascii="Book Antiqua" w:hAnsi="Book Antiqua" w:cstheme="minorHAnsi"/>
          <w:lang w:val="en"/>
        </w:rPr>
        <w:t xml:space="preserve"> drugs</w:t>
      </w:r>
      <w:r w:rsidR="00F37E7E" w:rsidRPr="00DD3614">
        <w:rPr>
          <w:rFonts w:ascii="Book Antiqua" w:hAnsi="Book Antiqua" w:cstheme="minorHAnsi"/>
          <w:lang w:val="en"/>
        </w:rPr>
        <w:t xml:space="preserve"> are beneficial for patients with T2DM through </w:t>
      </w:r>
      <w:r w:rsidR="00003E6E" w:rsidRPr="00DD3614">
        <w:rPr>
          <w:rFonts w:ascii="Book Antiqua" w:hAnsi="Book Antiqua" w:cstheme="minorHAnsi"/>
          <w:lang w:val="en"/>
        </w:rPr>
        <w:t xml:space="preserve">their </w:t>
      </w:r>
      <w:r w:rsidR="00F37E7E" w:rsidRPr="00DD3614">
        <w:rPr>
          <w:rFonts w:ascii="Book Antiqua" w:hAnsi="Book Antiqua" w:cstheme="minorHAnsi"/>
          <w:lang w:val="en"/>
        </w:rPr>
        <w:t xml:space="preserve">multiple mechanisms of action such as increasing </w:t>
      </w:r>
      <w:r w:rsidRPr="00DD3614">
        <w:rPr>
          <w:rFonts w:ascii="Book Antiqua" w:hAnsi="Book Antiqua" w:cstheme="minorHAnsi"/>
          <w:lang w:val="en"/>
        </w:rPr>
        <w:t>glucose stimulated panc</w:t>
      </w:r>
      <w:r w:rsidR="00516EA2" w:rsidRPr="00DD3614">
        <w:rPr>
          <w:rFonts w:ascii="Book Antiqua" w:hAnsi="Book Antiqua" w:cstheme="minorHAnsi"/>
          <w:lang w:val="en"/>
        </w:rPr>
        <w:t>reatic insulin secretion, inducing</w:t>
      </w:r>
      <w:r w:rsidRPr="00DD3614">
        <w:rPr>
          <w:rFonts w:ascii="Book Antiqua" w:hAnsi="Book Antiqua" w:cstheme="minorHAnsi"/>
          <w:lang w:val="en"/>
        </w:rPr>
        <w:t xml:space="preserve"> expansion of insulin secreting pancreatic beta-cell mass, decreas</w:t>
      </w:r>
      <w:r w:rsidR="00516EA2" w:rsidRPr="00DD3614">
        <w:rPr>
          <w:rFonts w:ascii="Book Antiqua" w:hAnsi="Book Antiqua" w:cstheme="minorHAnsi"/>
          <w:lang w:val="en"/>
        </w:rPr>
        <w:t>ing</w:t>
      </w:r>
      <w:r w:rsidRPr="00DD3614">
        <w:rPr>
          <w:rFonts w:ascii="Book Antiqua" w:hAnsi="Book Antiqua" w:cstheme="minorHAnsi"/>
          <w:lang w:val="en"/>
        </w:rPr>
        <w:t xml:space="preserve"> </w:t>
      </w:r>
      <w:r w:rsidR="00F37E7E" w:rsidRPr="00DD3614">
        <w:rPr>
          <w:rFonts w:ascii="Book Antiqua" w:hAnsi="Book Antiqua" w:cstheme="minorHAnsi"/>
          <w:lang w:val="en"/>
        </w:rPr>
        <w:t>gastric emptying</w:t>
      </w:r>
      <w:r w:rsidRPr="00DD3614">
        <w:rPr>
          <w:rFonts w:ascii="Book Antiqua" w:hAnsi="Book Antiqua" w:cstheme="minorHAnsi"/>
          <w:lang w:val="en"/>
        </w:rPr>
        <w:t>, inhibit</w:t>
      </w:r>
      <w:r w:rsidR="00516EA2" w:rsidRPr="00DD3614">
        <w:rPr>
          <w:rFonts w:ascii="Book Antiqua" w:hAnsi="Book Antiqua" w:cstheme="minorHAnsi"/>
          <w:lang w:val="en"/>
        </w:rPr>
        <w:t>ing</w:t>
      </w:r>
      <w:r w:rsidRPr="00DD3614">
        <w:rPr>
          <w:rFonts w:ascii="Book Antiqua" w:hAnsi="Book Antiqua" w:cstheme="minorHAnsi"/>
          <w:lang w:val="en"/>
        </w:rPr>
        <w:t xml:space="preserve"> glucagon and gas</w:t>
      </w:r>
      <w:r w:rsidR="00516EA2" w:rsidRPr="00DD3614">
        <w:rPr>
          <w:rFonts w:ascii="Book Antiqua" w:hAnsi="Book Antiqua" w:cstheme="minorHAnsi"/>
          <w:lang w:val="en"/>
        </w:rPr>
        <w:t>tric acid secretion and promoting</w:t>
      </w:r>
      <w:r w:rsidR="00F37E7E" w:rsidRPr="00DD3614">
        <w:rPr>
          <w:rFonts w:ascii="Book Antiqua" w:hAnsi="Book Antiqua" w:cstheme="minorHAnsi"/>
          <w:lang w:val="en"/>
        </w:rPr>
        <w:t xml:space="preserve"> </w:t>
      </w:r>
      <w:r w:rsidRPr="00DD3614">
        <w:rPr>
          <w:rFonts w:ascii="Book Antiqua" w:hAnsi="Book Antiqua" w:cstheme="minorHAnsi"/>
          <w:lang w:val="en"/>
        </w:rPr>
        <w:t xml:space="preserve">satiety through </w:t>
      </w:r>
      <w:r w:rsidR="00003E6E" w:rsidRPr="00DD3614">
        <w:rPr>
          <w:rFonts w:ascii="Book Antiqua" w:hAnsi="Book Antiqua" w:cstheme="minorHAnsi"/>
          <w:lang w:val="en"/>
        </w:rPr>
        <w:t xml:space="preserve">GLP-1 </w:t>
      </w:r>
      <w:r w:rsidRPr="00DD3614">
        <w:rPr>
          <w:rFonts w:ascii="Book Antiqua" w:hAnsi="Book Antiqua" w:cstheme="minorHAnsi"/>
          <w:lang w:val="en"/>
        </w:rPr>
        <w:t xml:space="preserve">effects on </w:t>
      </w:r>
      <w:r w:rsidR="00003E6E" w:rsidRPr="00DD3614">
        <w:rPr>
          <w:rFonts w:ascii="Book Antiqua" w:hAnsi="Book Antiqua" w:cstheme="minorHAnsi"/>
          <w:lang w:val="en"/>
        </w:rPr>
        <w:t xml:space="preserve">the </w:t>
      </w:r>
      <w:r w:rsidR="00A678A6" w:rsidRPr="00DD3614">
        <w:rPr>
          <w:rFonts w:ascii="Book Antiqua" w:hAnsi="Book Antiqua" w:cstheme="minorHAnsi"/>
          <w:lang w:val="en"/>
        </w:rPr>
        <w:t>central nervous system</w:t>
      </w:r>
      <w:r w:rsidR="00A678A6" w:rsidRPr="00DD3614">
        <w:rPr>
          <w:rFonts w:ascii="Book Antiqua" w:hAnsi="Book Antiqua" w:cstheme="minorHAnsi"/>
          <w:vertAlign w:val="superscript"/>
          <w:lang w:val="en"/>
        </w:rPr>
        <w:t>[</w:t>
      </w:r>
      <w:r w:rsidR="002C6DB6" w:rsidRPr="00DD3614">
        <w:rPr>
          <w:rFonts w:ascii="Book Antiqua" w:hAnsi="Book Antiqua" w:cstheme="minorHAnsi"/>
          <w:vertAlign w:val="superscript"/>
          <w:lang w:val="en"/>
        </w:rPr>
        <w:t>8</w:t>
      </w:r>
      <w:r w:rsidR="00A678A6" w:rsidRPr="00DD3614">
        <w:rPr>
          <w:rFonts w:ascii="Book Antiqua" w:hAnsi="Book Antiqua" w:cstheme="minorHAnsi"/>
          <w:vertAlign w:val="superscript"/>
          <w:lang w:val="en"/>
        </w:rPr>
        <w:t>]</w:t>
      </w:r>
      <w:r w:rsidRPr="00DD3614">
        <w:rPr>
          <w:rFonts w:ascii="Book Antiqua" w:hAnsi="Book Antiqua" w:cstheme="minorHAnsi"/>
          <w:lang w:val="en"/>
        </w:rPr>
        <w:t>.</w:t>
      </w:r>
      <w:r w:rsidR="00A2377C" w:rsidRPr="00DD3614">
        <w:rPr>
          <w:rFonts w:ascii="Book Antiqua" w:hAnsi="Book Antiqua" w:cstheme="minorHAnsi"/>
          <w:lang w:val="en"/>
        </w:rPr>
        <w:t xml:space="preserve"> GLP-1 </w:t>
      </w:r>
      <w:r w:rsidR="00003E6E" w:rsidRPr="00DD3614">
        <w:rPr>
          <w:rFonts w:ascii="Book Antiqua" w:hAnsi="Book Antiqua" w:cstheme="minorHAnsi"/>
          <w:lang w:val="en"/>
        </w:rPr>
        <w:t xml:space="preserve">RA’s </w:t>
      </w:r>
      <w:r w:rsidR="00A2377C" w:rsidRPr="00DD3614">
        <w:rPr>
          <w:rFonts w:ascii="Book Antiqua" w:hAnsi="Book Antiqua" w:cstheme="minorHAnsi"/>
          <w:lang w:val="en"/>
        </w:rPr>
        <w:t xml:space="preserve">have gained popularity over </w:t>
      </w:r>
      <w:r w:rsidR="00003E6E" w:rsidRPr="00DD3614">
        <w:rPr>
          <w:rFonts w:ascii="Book Antiqua" w:hAnsi="Book Antiqua" w:cstheme="minorHAnsi"/>
          <w:lang w:val="en"/>
        </w:rPr>
        <w:t xml:space="preserve">the </w:t>
      </w:r>
      <w:r w:rsidR="00A2377C" w:rsidRPr="00DD3614">
        <w:rPr>
          <w:rFonts w:ascii="Book Antiqua" w:hAnsi="Book Antiqua" w:cstheme="minorHAnsi"/>
          <w:lang w:val="en"/>
        </w:rPr>
        <w:t xml:space="preserve">last decade due to </w:t>
      </w:r>
      <w:r w:rsidR="00003E6E" w:rsidRPr="00DD3614">
        <w:rPr>
          <w:rFonts w:ascii="Book Antiqua" w:hAnsi="Book Antiqua" w:cstheme="minorHAnsi"/>
          <w:lang w:val="en"/>
        </w:rPr>
        <w:t xml:space="preserve">their </w:t>
      </w:r>
      <w:r w:rsidR="00A2377C" w:rsidRPr="00DD3614">
        <w:rPr>
          <w:rFonts w:ascii="Book Antiqua" w:hAnsi="Book Antiqua" w:cstheme="minorHAnsi"/>
          <w:lang w:val="en"/>
        </w:rPr>
        <w:t xml:space="preserve">beneficial effects </w:t>
      </w:r>
      <w:r w:rsidR="00003E6E" w:rsidRPr="00DD3614">
        <w:rPr>
          <w:rFonts w:ascii="Book Antiqua" w:hAnsi="Book Antiqua" w:cstheme="minorHAnsi"/>
          <w:lang w:val="en"/>
        </w:rPr>
        <w:t xml:space="preserve">on </w:t>
      </w:r>
      <w:r w:rsidR="00003E6E" w:rsidRPr="008B3D7C">
        <w:rPr>
          <w:rFonts w:ascii="Book Antiqua" w:hAnsi="Book Antiqua" w:cstheme="minorHAnsi"/>
          <w:lang w:val="en"/>
        </w:rPr>
        <w:t>metabolic</w:t>
      </w:r>
      <w:r w:rsidR="00003E6E" w:rsidRPr="00DD3614">
        <w:rPr>
          <w:rFonts w:ascii="Book Antiqua" w:hAnsi="Book Antiqua" w:cstheme="minorHAnsi"/>
          <w:lang w:val="en"/>
        </w:rPr>
        <w:t xml:space="preserve"> endpoints aside</w:t>
      </w:r>
      <w:r w:rsidR="007D69C1" w:rsidRPr="00DD3614">
        <w:rPr>
          <w:rFonts w:ascii="Book Antiqua" w:hAnsi="Book Antiqua" w:cstheme="minorHAnsi"/>
          <w:lang w:val="en"/>
        </w:rPr>
        <w:t xml:space="preserve"> </w:t>
      </w:r>
      <w:r w:rsidR="00003E6E" w:rsidRPr="00DD3614">
        <w:rPr>
          <w:rFonts w:ascii="Book Antiqua" w:hAnsi="Book Antiqua" w:cstheme="minorHAnsi"/>
          <w:lang w:val="en"/>
        </w:rPr>
        <w:t>from the</w:t>
      </w:r>
      <w:r w:rsidR="00A2377C" w:rsidRPr="00DD3614">
        <w:rPr>
          <w:rFonts w:ascii="Book Antiqua" w:hAnsi="Book Antiqua" w:cstheme="minorHAnsi"/>
          <w:lang w:val="en"/>
        </w:rPr>
        <w:t xml:space="preserve"> reduction of blood glucose such as promoting weight loss, helping patients with portion control, favorable effects on </w:t>
      </w:r>
      <w:r w:rsidR="00003E6E" w:rsidRPr="00DD3614">
        <w:rPr>
          <w:rFonts w:ascii="Book Antiqua" w:hAnsi="Book Antiqua" w:cstheme="minorHAnsi"/>
          <w:lang w:val="en"/>
        </w:rPr>
        <w:t xml:space="preserve">blood pressure </w:t>
      </w:r>
      <w:r w:rsidR="00A2377C" w:rsidRPr="00DD3614">
        <w:rPr>
          <w:rFonts w:ascii="Book Antiqua" w:hAnsi="Book Antiqua" w:cstheme="minorHAnsi"/>
          <w:lang w:val="en"/>
        </w:rPr>
        <w:t>and cholesterol</w:t>
      </w:r>
      <w:r w:rsidR="00003E6E" w:rsidRPr="00DD3614">
        <w:rPr>
          <w:rFonts w:ascii="Book Antiqua" w:hAnsi="Book Antiqua" w:cstheme="minorHAnsi"/>
          <w:lang w:val="en"/>
        </w:rPr>
        <w:t>,</w:t>
      </w:r>
      <w:r w:rsidR="00A2377C" w:rsidRPr="00DD3614">
        <w:rPr>
          <w:rFonts w:ascii="Book Antiqua" w:hAnsi="Book Antiqua" w:cstheme="minorHAnsi"/>
          <w:lang w:val="en"/>
        </w:rPr>
        <w:t xml:space="preserve"> and accumulated data over </w:t>
      </w:r>
      <w:r w:rsidR="00003E6E" w:rsidRPr="00DD3614">
        <w:rPr>
          <w:rFonts w:ascii="Book Antiqua" w:hAnsi="Book Antiqua" w:cstheme="minorHAnsi"/>
          <w:lang w:val="en"/>
        </w:rPr>
        <w:t xml:space="preserve">the </w:t>
      </w:r>
      <w:r w:rsidR="00A2377C" w:rsidRPr="00DD3614">
        <w:rPr>
          <w:rFonts w:ascii="Book Antiqua" w:hAnsi="Book Antiqua" w:cstheme="minorHAnsi"/>
          <w:lang w:val="en"/>
        </w:rPr>
        <w:t>last few years showing their CV safety and efficacy.</w:t>
      </w:r>
      <w:r w:rsidRPr="00DD3614">
        <w:rPr>
          <w:rFonts w:ascii="Book Antiqua" w:hAnsi="Book Antiqua" w:cstheme="minorHAnsi"/>
          <w:lang w:val="en"/>
        </w:rPr>
        <w:t xml:space="preserve"> </w:t>
      </w:r>
      <w:r w:rsidR="0076498F" w:rsidRPr="00DD3614">
        <w:rPr>
          <w:rFonts w:ascii="Book Antiqua" w:hAnsi="Book Antiqua" w:cstheme="minorHAnsi"/>
          <w:lang w:val="en"/>
        </w:rPr>
        <w:t xml:space="preserve">There are currently five </w:t>
      </w:r>
      <w:r w:rsidR="00F37E7E" w:rsidRPr="00DD3614">
        <w:rPr>
          <w:rFonts w:ascii="Book Antiqua" w:hAnsi="Book Antiqua" w:cstheme="minorHAnsi"/>
          <w:lang w:val="en"/>
        </w:rPr>
        <w:t xml:space="preserve">FDA approved GLP-1 agonists available for clinicians to help manage diabetes of their patients. These medications include </w:t>
      </w:r>
      <w:hyperlink r:id="rId14" w:history="1">
        <w:r w:rsidR="00F37E7E" w:rsidRPr="00DD3614">
          <w:rPr>
            <w:rStyle w:val="a4"/>
            <w:rFonts w:ascii="Book Antiqua" w:hAnsi="Book Antiqua" w:cstheme="minorHAnsi"/>
            <w:color w:val="auto"/>
            <w:lang w:val="en"/>
          </w:rPr>
          <w:t>exenatide</w:t>
        </w:r>
      </w:hyperlink>
      <w:r w:rsidR="00F37E7E" w:rsidRPr="00DD3614">
        <w:rPr>
          <w:rFonts w:ascii="Book Antiqua" w:hAnsi="Book Antiqua" w:cstheme="minorHAnsi"/>
          <w:lang w:val="en"/>
        </w:rPr>
        <w:t xml:space="preserve"> (</w:t>
      </w:r>
      <w:r w:rsidR="00B123AF" w:rsidRPr="00DD3614">
        <w:rPr>
          <w:rFonts w:ascii="Book Antiqua" w:hAnsi="Book Antiqua" w:cstheme="minorHAnsi"/>
          <w:lang w:val="en"/>
        </w:rPr>
        <w:t xml:space="preserve">Daily injection </w:t>
      </w:r>
      <w:r w:rsidR="00F37E7E" w:rsidRPr="00DD3614">
        <w:rPr>
          <w:rFonts w:ascii="Book Antiqua" w:hAnsi="Book Antiqua" w:cstheme="minorHAnsi"/>
          <w:lang w:val="en"/>
        </w:rPr>
        <w:t xml:space="preserve">approved in 2005 and </w:t>
      </w:r>
      <w:r w:rsidR="00B123AF" w:rsidRPr="00DD3614">
        <w:rPr>
          <w:rFonts w:ascii="Book Antiqua" w:hAnsi="Book Antiqua" w:cstheme="minorHAnsi"/>
          <w:lang w:val="en"/>
        </w:rPr>
        <w:t xml:space="preserve">once weekly injection approved </w:t>
      </w:r>
      <w:r w:rsidR="00F37E7E" w:rsidRPr="00DD3614">
        <w:rPr>
          <w:rFonts w:ascii="Book Antiqua" w:hAnsi="Book Antiqua" w:cstheme="minorHAnsi"/>
          <w:lang w:val="en"/>
        </w:rPr>
        <w:t xml:space="preserve">in 2012), </w:t>
      </w:r>
      <w:hyperlink r:id="rId15" w:tooltip="Liraglutide" w:history="1">
        <w:r w:rsidR="00F37E7E" w:rsidRPr="00DD3614">
          <w:rPr>
            <w:rStyle w:val="a4"/>
            <w:rFonts w:ascii="Book Antiqua" w:hAnsi="Book Antiqua" w:cstheme="minorHAnsi"/>
            <w:color w:val="auto"/>
            <w:lang w:val="en"/>
          </w:rPr>
          <w:t>liraglutide</w:t>
        </w:r>
      </w:hyperlink>
      <w:r w:rsidR="00F37E7E" w:rsidRPr="00DD3614">
        <w:rPr>
          <w:rFonts w:ascii="Book Antiqua" w:hAnsi="Book Antiqua" w:cstheme="minorHAnsi"/>
          <w:lang w:val="en"/>
        </w:rPr>
        <w:t xml:space="preserve"> (approved </w:t>
      </w:r>
      <w:r w:rsidR="00B123AF" w:rsidRPr="00DD3614">
        <w:rPr>
          <w:rFonts w:ascii="Book Antiqua" w:hAnsi="Book Antiqua" w:cstheme="minorHAnsi"/>
          <w:lang w:val="en"/>
        </w:rPr>
        <w:t>in 2010),</w:t>
      </w:r>
      <w:r w:rsidR="003B6E83" w:rsidRPr="00DD3614">
        <w:rPr>
          <w:rFonts w:ascii="Book Antiqua" w:hAnsi="Book Antiqua" w:cstheme="minorHAnsi"/>
          <w:lang w:val="en"/>
        </w:rPr>
        <w:t xml:space="preserve"> </w:t>
      </w:r>
      <w:hyperlink r:id="rId16" w:tooltip="Dulaglutide" w:history="1">
        <w:r w:rsidR="003B6E83" w:rsidRPr="00DD3614">
          <w:rPr>
            <w:rStyle w:val="a4"/>
            <w:rFonts w:ascii="Book Antiqua" w:hAnsi="Book Antiqua" w:cstheme="minorHAnsi"/>
            <w:color w:val="auto"/>
            <w:lang w:val="en"/>
          </w:rPr>
          <w:t>dulaglutide</w:t>
        </w:r>
      </w:hyperlink>
      <w:r w:rsidR="003B6E83" w:rsidRPr="00DD3614">
        <w:rPr>
          <w:rFonts w:ascii="Book Antiqua" w:hAnsi="Book Antiqua" w:cstheme="minorHAnsi"/>
          <w:lang w:val="en"/>
        </w:rPr>
        <w:t xml:space="preserve"> (approved in 2014),</w:t>
      </w:r>
      <w:r w:rsidR="00B123AF" w:rsidRPr="00DD3614">
        <w:rPr>
          <w:rFonts w:ascii="Book Antiqua" w:hAnsi="Book Antiqua" w:cstheme="minorHAnsi"/>
          <w:lang w:val="en"/>
        </w:rPr>
        <w:t xml:space="preserve"> </w:t>
      </w:r>
      <w:hyperlink r:id="rId17" w:tooltip="Lixisenatide" w:history="1">
        <w:r w:rsidR="00F37E7E" w:rsidRPr="00DD3614">
          <w:rPr>
            <w:rStyle w:val="a4"/>
            <w:rFonts w:ascii="Book Antiqua" w:hAnsi="Book Antiqua" w:cstheme="minorHAnsi"/>
            <w:color w:val="auto"/>
            <w:lang w:val="en"/>
          </w:rPr>
          <w:t>lixisenatide</w:t>
        </w:r>
      </w:hyperlink>
      <w:r w:rsidR="00F37E7E" w:rsidRPr="00DD3614">
        <w:rPr>
          <w:rFonts w:ascii="Book Antiqua" w:hAnsi="Book Antiqua" w:cstheme="minorHAnsi"/>
          <w:lang w:val="en"/>
        </w:rPr>
        <w:t xml:space="preserve"> (approved in 2016), and </w:t>
      </w:r>
      <w:hyperlink r:id="rId18" w:tooltip="Semaglutide" w:history="1">
        <w:r w:rsidR="00F37E7E" w:rsidRPr="00DD3614">
          <w:rPr>
            <w:rStyle w:val="a4"/>
            <w:rFonts w:ascii="Book Antiqua" w:hAnsi="Book Antiqua" w:cstheme="minorHAnsi"/>
            <w:color w:val="auto"/>
            <w:lang w:val="en"/>
          </w:rPr>
          <w:t>semaglutide</w:t>
        </w:r>
      </w:hyperlink>
      <w:r w:rsidR="00F37E7E" w:rsidRPr="00DD3614">
        <w:rPr>
          <w:rFonts w:ascii="Book Antiqua" w:hAnsi="Book Antiqua" w:cstheme="minorHAnsi"/>
          <w:lang w:val="en"/>
        </w:rPr>
        <w:t xml:space="preserve"> (approved in 2017). </w:t>
      </w:r>
      <w:hyperlink r:id="rId19" w:tooltip="Albiglutide" w:history="1">
        <w:r w:rsidR="009D2AAA" w:rsidRPr="00DD3614">
          <w:rPr>
            <w:rStyle w:val="a4"/>
            <w:rFonts w:ascii="Book Antiqua" w:hAnsi="Book Antiqua" w:cstheme="minorHAnsi"/>
            <w:color w:val="auto"/>
            <w:lang w:val="en"/>
          </w:rPr>
          <w:t>A</w:t>
        </w:r>
        <w:r w:rsidR="0076498F" w:rsidRPr="00DD3614">
          <w:rPr>
            <w:rStyle w:val="a4"/>
            <w:rFonts w:ascii="Book Antiqua" w:hAnsi="Book Antiqua" w:cstheme="minorHAnsi"/>
            <w:color w:val="auto"/>
            <w:lang w:val="en"/>
          </w:rPr>
          <w:t>lbiglutide</w:t>
        </w:r>
      </w:hyperlink>
      <w:r w:rsidR="009D2AAA" w:rsidRPr="00DD3614">
        <w:rPr>
          <w:rFonts w:ascii="Book Antiqua" w:hAnsi="Book Antiqua" w:cstheme="minorHAnsi"/>
          <w:lang w:val="en"/>
        </w:rPr>
        <w:t xml:space="preserve"> was </w:t>
      </w:r>
      <w:r w:rsidR="0076498F" w:rsidRPr="00DD3614">
        <w:rPr>
          <w:rFonts w:ascii="Book Antiqua" w:hAnsi="Book Antiqua" w:cstheme="minorHAnsi"/>
          <w:lang w:val="en"/>
        </w:rPr>
        <w:t>approved in 2014</w:t>
      </w:r>
      <w:r w:rsidR="009D2AAA" w:rsidRPr="00DD3614">
        <w:rPr>
          <w:rFonts w:ascii="Book Antiqua" w:hAnsi="Book Antiqua" w:cstheme="minorHAnsi"/>
          <w:lang w:val="en"/>
        </w:rPr>
        <w:t xml:space="preserve"> for management of </w:t>
      </w:r>
      <w:r w:rsidR="00652D48" w:rsidRPr="00DD3614">
        <w:rPr>
          <w:rFonts w:ascii="Book Antiqua" w:hAnsi="Book Antiqua" w:cstheme="minorHAnsi"/>
          <w:lang w:val="en"/>
        </w:rPr>
        <w:t xml:space="preserve">T2DM but was taken off market </w:t>
      </w:r>
      <w:r w:rsidR="00DF6C3F" w:rsidRPr="00DD3614">
        <w:rPr>
          <w:rFonts w:ascii="Book Antiqua" w:hAnsi="Book Antiqua" w:cstheme="minorHAnsi"/>
          <w:lang w:val="en"/>
        </w:rPr>
        <w:t xml:space="preserve">in </w:t>
      </w:r>
      <w:r w:rsidR="00652D48" w:rsidRPr="00DD3614">
        <w:rPr>
          <w:rFonts w:ascii="Book Antiqua" w:hAnsi="Book Antiqua" w:cstheme="minorHAnsi"/>
          <w:lang w:val="en"/>
        </w:rPr>
        <w:t>May, 2018</w:t>
      </w:r>
      <w:r w:rsidR="009D2AAA" w:rsidRPr="00DD3614">
        <w:rPr>
          <w:rFonts w:ascii="Book Antiqua" w:hAnsi="Book Antiqua" w:cstheme="minorHAnsi"/>
          <w:lang w:val="en"/>
        </w:rPr>
        <w:t xml:space="preserve"> due to limited prescr</w:t>
      </w:r>
      <w:r w:rsidR="00516EA2" w:rsidRPr="00DD3614">
        <w:rPr>
          <w:rFonts w:ascii="Book Antiqua" w:hAnsi="Book Antiqua" w:cstheme="minorHAnsi"/>
          <w:lang w:val="en"/>
        </w:rPr>
        <w:t xml:space="preserve">ibing of the drug. Therefore, we </w:t>
      </w:r>
      <w:r w:rsidR="009D2AAA" w:rsidRPr="00DD3614">
        <w:rPr>
          <w:rFonts w:ascii="Book Antiqua" w:hAnsi="Book Antiqua" w:cstheme="minorHAnsi"/>
          <w:lang w:val="en"/>
        </w:rPr>
        <w:t xml:space="preserve">will not review </w:t>
      </w:r>
      <w:r w:rsidR="00516EA2" w:rsidRPr="00DD3614">
        <w:rPr>
          <w:rFonts w:ascii="Book Antiqua" w:hAnsi="Book Antiqua" w:cstheme="minorHAnsi"/>
          <w:lang w:val="en"/>
        </w:rPr>
        <w:t xml:space="preserve">details of albiglutide </w:t>
      </w:r>
      <w:r w:rsidR="009D2AAA" w:rsidRPr="00DD3614">
        <w:rPr>
          <w:rFonts w:ascii="Book Antiqua" w:hAnsi="Book Antiqua" w:cstheme="minorHAnsi"/>
          <w:lang w:val="en"/>
        </w:rPr>
        <w:t>CV outcome trial (</w:t>
      </w:r>
      <w:r w:rsidR="00652D48" w:rsidRPr="00DD3614">
        <w:rPr>
          <w:rFonts w:ascii="Book Antiqua" w:hAnsi="Book Antiqua" w:cstheme="minorHAnsi"/>
        </w:rPr>
        <w:t>Harmony Outcomes)</w:t>
      </w:r>
      <w:r w:rsidR="00E761EA" w:rsidRPr="00DD3614">
        <w:rPr>
          <w:rFonts w:ascii="Book Antiqua" w:hAnsi="Book Antiqua" w:cstheme="minorHAnsi"/>
        </w:rPr>
        <w:t xml:space="preserve"> in this </w:t>
      </w:r>
      <w:r w:rsidR="00B86A15" w:rsidRPr="00DD3614">
        <w:rPr>
          <w:rFonts w:ascii="Book Antiqua" w:hAnsi="Book Antiqua" w:cstheme="minorHAnsi"/>
        </w:rPr>
        <w:t xml:space="preserve">review </w:t>
      </w:r>
      <w:r w:rsidR="00E761EA" w:rsidRPr="00DD3614">
        <w:rPr>
          <w:rFonts w:ascii="Book Antiqua" w:hAnsi="Book Antiqua" w:cstheme="minorHAnsi"/>
        </w:rPr>
        <w:t>article</w:t>
      </w:r>
      <w:r w:rsidR="0076498F" w:rsidRPr="00DD3614">
        <w:rPr>
          <w:rFonts w:ascii="Book Antiqua" w:hAnsi="Book Antiqua" w:cstheme="minorHAnsi"/>
          <w:lang w:val="en"/>
        </w:rPr>
        <w:t>.</w:t>
      </w:r>
    </w:p>
    <w:p w:rsidR="00DD3614" w:rsidRPr="00DD3614" w:rsidRDefault="00DD3614" w:rsidP="00441037">
      <w:pPr>
        <w:spacing w:line="360" w:lineRule="auto"/>
        <w:jc w:val="both"/>
        <w:rPr>
          <w:rFonts w:ascii="Book Antiqua" w:hAnsi="Book Antiqua" w:cstheme="minorHAnsi"/>
          <w:lang w:val="en"/>
        </w:rPr>
      </w:pPr>
    </w:p>
    <w:p w:rsidR="0076498F" w:rsidRPr="00DD3614" w:rsidRDefault="00DD3614" w:rsidP="00441037">
      <w:pPr>
        <w:spacing w:line="360" w:lineRule="auto"/>
        <w:jc w:val="both"/>
        <w:rPr>
          <w:rFonts w:ascii="Book Antiqua" w:hAnsi="Book Antiqua" w:cstheme="minorHAnsi"/>
          <w:b/>
          <w:lang w:val="en"/>
        </w:rPr>
      </w:pPr>
      <w:r w:rsidRPr="00DD3614">
        <w:rPr>
          <w:rFonts w:ascii="Book Antiqua" w:hAnsi="Book Antiqua" w:cstheme="minorHAnsi"/>
          <w:b/>
          <w:lang w:val="en"/>
        </w:rPr>
        <w:t>GLP-1 RA CV OUTCOME STUDIES</w:t>
      </w:r>
    </w:p>
    <w:p w:rsidR="001D1E69" w:rsidRPr="00DD3614" w:rsidRDefault="00727C8A" w:rsidP="00441037">
      <w:pPr>
        <w:autoSpaceDE w:val="0"/>
        <w:autoSpaceDN w:val="0"/>
        <w:adjustRightInd w:val="0"/>
        <w:spacing w:line="360" w:lineRule="auto"/>
        <w:jc w:val="both"/>
        <w:rPr>
          <w:rFonts w:ascii="Book Antiqua" w:hAnsi="Book Antiqua" w:cstheme="minorHAnsi"/>
        </w:rPr>
      </w:pPr>
      <w:proofErr w:type="spellStart"/>
      <w:r w:rsidRPr="00DD3614">
        <w:rPr>
          <w:rFonts w:ascii="Book Antiqua" w:hAnsi="Book Antiqua" w:cstheme="minorHAnsi"/>
        </w:rPr>
        <w:t>Lixisenatide</w:t>
      </w:r>
      <w:proofErr w:type="spellEnd"/>
      <w:r w:rsidRPr="00DD3614">
        <w:rPr>
          <w:rFonts w:ascii="Book Antiqua" w:hAnsi="Book Antiqua" w:cstheme="minorHAnsi"/>
        </w:rPr>
        <w:t xml:space="preserve"> in</w:t>
      </w:r>
      <w:r w:rsidR="00DD3614" w:rsidRPr="00DD3614">
        <w:rPr>
          <w:rFonts w:ascii="Book Antiqua" w:hAnsi="Book Antiqua" w:cstheme="minorHAnsi"/>
        </w:rPr>
        <w:t xml:space="preserve"> patients with type 2 diabetes and acute coronary syndro</w:t>
      </w:r>
      <w:r w:rsidRPr="00DD3614">
        <w:rPr>
          <w:rFonts w:ascii="Book Antiqua" w:hAnsi="Book Antiqua" w:cstheme="minorHAnsi"/>
        </w:rPr>
        <w:t>me (ELIXA)</w:t>
      </w:r>
      <w:r w:rsidR="007A5083" w:rsidRPr="00DD3614">
        <w:rPr>
          <w:rFonts w:ascii="Book Antiqua" w:hAnsi="Book Antiqua" w:cstheme="minorHAnsi"/>
        </w:rPr>
        <w:t xml:space="preserve"> was the first CV outcome trial of GLP-1 </w:t>
      </w:r>
      <w:proofErr w:type="gramStart"/>
      <w:r w:rsidR="0033410B" w:rsidRPr="00DD3614">
        <w:rPr>
          <w:rFonts w:ascii="Book Antiqua" w:hAnsi="Book Antiqua" w:cstheme="minorHAnsi"/>
        </w:rPr>
        <w:t>RA’s</w:t>
      </w:r>
      <w:r w:rsidR="00A678A6" w:rsidRPr="00DD3614">
        <w:rPr>
          <w:rFonts w:ascii="Book Antiqua" w:hAnsi="Book Antiqua" w:cstheme="minorHAnsi"/>
          <w:vertAlign w:val="superscript"/>
        </w:rPr>
        <w:t>[</w:t>
      </w:r>
      <w:proofErr w:type="gramEnd"/>
      <w:r w:rsidR="002C6DB6" w:rsidRPr="00DD3614">
        <w:rPr>
          <w:rFonts w:ascii="Book Antiqua" w:hAnsi="Book Antiqua" w:cstheme="minorHAnsi"/>
          <w:vertAlign w:val="superscript"/>
        </w:rPr>
        <w:t>9</w:t>
      </w:r>
      <w:r w:rsidR="00A678A6" w:rsidRPr="00DD3614">
        <w:rPr>
          <w:rFonts w:ascii="Book Antiqua" w:hAnsi="Book Antiqua" w:cstheme="minorHAnsi"/>
          <w:vertAlign w:val="superscript"/>
        </w:rPr>
        <w:t>]</w:t>
      </w:r>
      <w:r w:rsidR="007A5083" w:rsidRPr="00DD3614">
        <w:rPr>
          <w:rFonts w:ascii="Book Antiqua" w:hAnsi="Book Antiqua" w:cstheme="minorHAnsi"/>
        </w:rPr>
        <w:t xml:space="preserve">. </w:t>
      </w:r>
      <w:r w:rsidR="00326247" w:rsidRPr="00DD3614">
        <w:rPr>
          <w:rFonts w:ascii="Book Antiqua" w:hAnsi="Book Antiqua" w:cstheme="minorHAnsi"/>
        </w:rPr>
        <w:t xml:space="preserve">Addition of </w:t>
      </w:r>
      <w:proofErr w:type="spellStart"/>
      <w:r w:rsidR="00326247" w:rsidRPr="00DD3614">
        <w:rPr>
          <w:rFonts w:ascii="Book Antiqua" w:hAnsi="Book Antiqua" w:cstheme="minorHAnsi"/>
        </w:rPr>
        <w:t>lixisenatide</w:t>
      </w:r>
      <w:proofErr w:type="spellEnd"/>
      <w:r w:rsidR="00326247" w:rsidRPr="00DD3614">
        <w:rPr>
          <w:rFonts w:ascii="Book Antiqua" w:hAnsi="Book Antiqua" w:cstheme="minorHAnsi"/>
        </w:rPr>
        <w:t xml:space="preserve"> to usual care did not significantly decrease the rate of </w:t>
      </w:r>
      <w:r w:rsidR="00DD3614" w:rsidRPr="00DD3614">
        <w:rPr>
          <w:rFonts w:ascii="Book Antiqua" w:hAnsi="Book Antiqua"/>
        </w:rPr>
        <w:t>major adverse cardiovascular events</w:t>
      </w:r>
      <w:r w:rsidR="00AD05C6" w:rsidRPr="00DD3614">
        <w:rPr>
          <w:rFonts w:ascii="Book Antiqua" w:hAnsi="Book Antiqua" w:cstheme="minorHAnsi"/>
        </w:rPr>
        <w:t xml:space="preserve"> (MACE)</w:t>
      </w:r>
      <w:r w:rsidR="00326247" w:rsidRPr="00DD3614">
        <w:rPr>
          <w:rFonts w:ascii="Book Antiqua" w:hAnsi="Book Antiqua" w:cstheme="minorHAnsi"/>
        </w:rPr>
        <w:t xml:space="preserve">. </w:t>
      </w:r>
      <w:r w:rsidR="00B9435B" w:rsidRPr="00DD3614">
        <w:rPr>
          <w:rFonts w:ascii="Book Antiqua" w:hAnsi="Book Antiqua" w:cstheme="minorHAnsi"/>
        </w:rPr>
        <w:t xml:space="preserve">ELIXA </w:t>
      </w:r>
      <w:r w:rsidR="006D4C17" w:rsidRPr="00DD3614">
        <w:rPr>
          <w:rFonts w:ascii="Book Antiqua" w:hAnsi="Book Antiqua" w:cstheme="minorHAnsi"/>
        </w:rPr>
        <w:t xml:space="preserve">enrolled </w:t>
      </w:r>
      <w:r w:rsidR="00A126B6" w:rsidRPr="00DD3614">
        <w:rPr>
          <w:rFonts w:ascii="Book Antiqua" w:hAnsi="Book Antiqua" w:cstheme="minorHAnsi"/>
        </w:rPr>
        <w:t xml:space="preserve">6068 patients with T2DM who had a </w:t>
      </w:r>
      <w:r w:rsidR="00DD3614" w:rsidRPr="00DD3614">
        <w:rPr>
          <w:rFonts w:ascii="Book Antiqua" w:hAnsi="Book Antiqua"/>
        </w:rPr>
        <w:t>MI</w:t>
      </w:r>
      <w:r w:rsidR="00A126B6" w:rsidRPr="00DD3614">
        <w:rPr>
          <w:rFonts w:ascii="Book Antiqua" w:hAnsi="Book Antiqua" w:cstheme="minorHAnsi"/>
        </w:rPr>
        <w:t xml:space="preserve"> or who had been hospitalized for unstable angina within the previous 180 d</w:t>
      </w:r>
      <w:r w:rsidR="006D4C17" w:rsidRPr="00DD3614">
        <w:rPr>
          <w:rFonts w:ascii="Book Antiqua" w:hAnsi="Book Antiqua" w:cstheme="minorHAnsi"/>
        </w:rPr>
        <w:t xml:space="preserve">. The </w:t>
      </w:r>
      <w:r w:rsidR="00A126B6" w:rsidRPr="00DD3614">
        <w:rPr>
          <w:rFonts w:ascii="Book Antiqua" w:hAnsi="Book Antiqua" w:cstheme="minorHAnsi"/>
        </w:rPr>
        <w:t>median follow</w:t>
      </w:r>
      <w:r w:rsidR="00DD3614" w:rsidRPr="00DD3614">
        <w:rPr>
          <w:rFonts w:ascii="Book Antiqua" w:hAnsi="Book Antiqua" w:cstheme="minorHAnsi"/>
        </w:rPr>
        <w:t>-</w:t>
      </w:r>
      <w:r w:rsidR="00A126B6" w:rsidRPr="00DD3614">
        <w:rPr>
          <w:rFonts w:ascii="Book Antiqua" w:hAnsi="Book Antiqua" w:cstheme="minorHAnsi"/>
        </w:rPr>
        <w:t xml:space="preserve">up </w:t>
      </w:r>
      <w:r w:rsidR="006D4C17" w:rsidRPr="00DD3614">
        <w:rPr>
          <w:rFonts w:ascii="Book Antiqua" w:hAnsi="Book Antiqua" w:cstheme="minorHAnsi"/>
        </w:rPr>
        <w:t xml:space="preserve">was only </w:t>
      </w:r>
      <w:r w:rsidR="00A126B6" w:rsidRPr="00DD3614">
        <w:rPr>
          <w:rFonts w:ascii="Book Antiqua" w:hAnsi="Book Antiqua" w:cstheme="minorHAnsi"/>
        </w:rPr>
        <w:t xml:space="preserve">25 mo. Patients were randomized to receive </w:t>
      </w:r>
      <w:proofErr w:type="spellStart"/>
      <w:r w:rsidR="00A126B6" w:rsidRPr="00DD3614">
        <w:rPr>
          <w:rFonts w:ascii="Book Antiqua" w:hAnsi="Book Antiqua" w:cstheme="minorHAnsi"/>
        </w:rPr>
        <w:t>lixisenatide</w:t>
      </w:r>
      <w:proofErr w:type="spellEnd"/>
      <w:r w:rsidR="00A126B6" w:rsidRPr="00DD3614">
        <w:rPr>
          <w:rFonts w:ascii="Book Antiqua" w:hAnsi="Book Antiqua" w:cstheme="minorHAnsi"/>
        </w:rPr>
        <w:t xml:space="preserve"> or placebo in addition to locally determined standards of care.</w:t>
      </w:r>
      <w:r w:rsidR="00A77C30" w:rsidRPr="00DD3614">
        <w:rPr>
          <w:rFonts w:ascii="Book Antiqua" w:hAnsi="Book Antiqua" w:cstheme="minorHAnsi"/>
        </w:rPr>
        <w:t xml:space="preserve"> </w:t>
      </w:r>
      <w:proofErr w:type="spellStart"/>
      <w:r w:rsidR="00A77C30" w:rsidRPr="00DD3614">
        <w:rPr>
          <w:rFonts w:ascii="Book Antiqua" w:hAnsi="Book Antiqua" w:cstheme="minorHAnsi"/>
        </w:rPr>
        <w:t>Lixisenatide</w:t>
      </w:r>
      <w:proofErr w:type="spellEnd"/>
      <w:r w:rsidR="00A77C30" w:rsidRPr="00DD3614">
        <w:rPr>
          <w:rFonts w:ascii="Book Antiqua" w:hAnsi="Book Antiqua" w:cstheme="minorHAnsi"/>
        </w:rPr>
        <w:t xml:space="preserve"> </w:t>
      </w:r>
      <w:r w:rsidR="001D1E69" w:rsidRPr="00DD3614">
        <w:rPr>
          <w:rFonts w:ascii="Book Antiqua" w:hAnsi="Book Antiqua" w:cstheme="minorHAnsi"/>
        </w:rPr>
        <w:t xml:space="preserve">showed </w:t>
      </w:r>
      <w:proofErr w:type="spellStart"/>
      <w:r w:rsidR="001D1E69" w:rsidRPr="00DD3614">
        <w:rPr>
          <w:rFonts w:ascii="Book Antiqua" w:hAnsi="Book Antiqua" w:cstheme="minorHAnsi"/>
        </w:rPr>
        <w:t>noninfe</w:t>
      </w:r>
      <w:r w:rsidR="00AD05C6" w:rsidRPr="00DD3614">
        <w:rPr>
          <w:rFonts w:ascii="Book Antiqua" w:hAnsi="Book Antiqua" w:cstheme="minorHAnsi"/>
        </w:rPr>
        <w:t>riority</w:t>
      </w:r>
      <w:proofErr w:type="spellEnd"/>
      <w:r w:rsidR="00AD05C6" w:rsidRPr="00DD3614">
        <w:rPr>
          <w:rFonts w:ascii="Book Antiqua" w:hAnsi="Book Antiqua" w:cstheme="minorHAnsi"/>
        </w:rPr>
        <w:t xml:space="preserve"> to placebo in terms of MACE primary composite end point of CV death, MI, stroke, or hospitalization for unstable angina </w:t>
      </w:r>
      <w:r w:rsidR="00DD3614" w:rsidRPr="00DD3614">
        <w:rPr>
          <w:rFonts w:ascii="Book Antiqua" w:hAnsi="Book Antiqua" w:cstheme="minorHAnsi"/>
        </w:rPr>
        <w:t>[</w:t>
      </w:r>
      <w:r w:rsidR="00E94BB4" w:rsidRPr="00DD3614">
        <w:rPr>
          <w:rFonts w:ascii="Book Antiqua" w:hAnsi="Book Antiqua" w:cstheme="minorHAnsi"/>
        </w:rPr>
        <w:t xml:space="preserve">13.4% </w:t>
      </w:r>
      <w:r w:rsidR="001D1E69" w:rsidRPr="00DD3614">
        <w:rPr>
          <w:rFonts w:ascii="Book Antiqua" w:hAnsi="Book Antiqua" w:cstheme="minorHAnsi"/>
          <w:i/>
        </w:rPr>
        <w:t>vs</w:t>
      </w:r>
      <w:r w:rsidR="001D1E69" w:rsidRPr="00DD3614">
        <w:rPr>
          <w:rFonts w:ascii="Book Antiqua" w:hAnsi="Book Antiqua" w:cstheme="minorHAnsi"/>
        </w:rPr>
        <w:t xml:space="preserve"> 13.2% events; hazard ratio</w:t>
      </w:r>
      <w:r w:rsidR="00E94BB4" w:rsidRPr="00DD3614">
        <w:rPr>
          <w:rFonts w:ascii="Book Antiqua" w:hAnsi="Book Antiqua" w:cstheme="minorHAnsi"/>
        </w:rPr>
        <w:t xml:space="preserve"> </w:t>
      </w:r>
      <w:r w:rsidR="00DD3614" w:rsidRPr="00DD3614">
        <w:rPr>
          <w:rFonts w:ascii="Book Antiqua" w:hAnsi="Book Antiqua" w:cstheme="minorHAnsi"/>
        </w:rPr>
        <w:t>(</w:t>
      </w:r>
      <w:r w:rsidR="00E94BB4" w:rsidRPr="00DD3614">
        <w:rPr>
          <w:rFonts w:ascii="Book Antiqua" w:hAnsi="Book Antiqua" w:cstheme="minorHAnsi"/>
        </w:rPr>
        <w:t>HR</w:t>
      </w:r>
      <w:r w:rsidR="00DD3614" w:rsidRPr="00DD3614">
        <w:rPr>
          <w:rFonts w:ascii="Book Antiqua" w:hAnsi="Book Antiqua" w:cstheme="minorHAnsi"/>
        </w:rPr>
        <w:t>)</w:t>
      </w:r>
      <w:r w:rsidR="001D1E69" w:rsidRPr="00DD3614">
        <w:rPr>
          <w:rFonts w:ascii="Book Antiqua" w:hAnsi="Book Antiqua" w:cstheme="minorHAnsi"/>
        </w:rPr>
        <w:t xml:space="preserve">, 1.02; 95% confidence interval </w:t>
      </w:r>
      <w:r w:rsidR="00DD3614" w:rsidRPr="00DD3614">
        <w:rPr>
          <w:rFonts w:ascii="Book Antiqua" w:hAnsi="Book Antiqua" w:cstheme="minorHAnsi"/>
        </w:rPr>
        <w:t>(</w:t>
      </w:r>
      <w:r w:rsidR="001D1E69" w:rsidRPr="00DD3614">
        <w:rPr>
          <w:rFonts w:ascii="Book Antiqua" w:hAnsi="Book Antiqua" w:cstheme="minorHAnsi"/>
        </w:rPr>
        <w:t>CI</w:t>
      </w:r>
      <w:r w:rsidR="00DD3614" w:rsidRPr="00DD3614">
        <w:rPr>
          <w:rFonts w:ascii="Book Antiqua" w:hAnsi="Book Antiqua" w:cstheme="minorHAnsi"/>
        </w:rPr>
        <w:t>):</w:t>
      </w:r>
      <w:r w:rsidR="001D1E69" w:rsidRPr="00DD3614">
        <w:rPr>
          <w:rFonts w:ascii="Book Antiqua" w:hAnsi="Book Antiqua" w:cstheme="minorHAnsi"/>
        </w:rPr>
        <w:t xml:space="preserve"> 0.89 to 1.17; </w:t>
      </w:r>
      <w:r w:rsidR="001D1E69" w:rsidRPr="00DD3614">
        <w:rPr>
          <w:rFonts w:ascii="Book Antiqua" w:hAnsi="Book Antiqua" w:cstheme="minorHAnsi"/>
          <w:i/>
        </w:rPr>
        <w:t>P</w:t>
      </w:r>
      <w:r w:rsidR="00DD3614" w:rsidRPr="00DD3614">
        <w:rPr>
          <w:rFonts w:ascii="Book Antiqua" w:hAnsi="Book Antiqua" w:cstheme="minorHAnsi"/>
        </w:rPr>
        <w:t xml:space="preserve"> </w:t>
      </w:r>
      <w:r w:rsidR="001D1E69" w:rsidRPr="00DD3614">
        <w:rPr>
          <w:rFonts w:ascii="Book Antiqua" w:hAnsi="Book Antiqua" w:cstheme="minorHAnsi"/>
        </w:rPr>
        <w:t>&lt;</w:t>
      </w:r>
      <w:r w:rsidR="00DD3614" w:rsidRPr="00DD3614">
        <w:rPr>
          <w:rFonts w:ascii="Book Antiqua" w:hAnsi="Book Antiqua" w:cstheme="minorHAnsi"/>
        </w:rPr>
        <w:t xml:space="preserve"> </w:t>
      </w:r>
      <w:r w:rsidR="001D1E69" w:rsidRPr="00DD3614">
        <w:rPr>
          <w:rFonts w:ascii="Book Antiqua" w:hAnsi="Book Antiqua" w:cstheme="minorHAnsi"/>
        </w:rPr>
        <w:t>0.001</w:t>
      </w:r>
      <w:r w:rsidR="00DD3614" w:rsidRPr="00DD3614">
        <w:rPr>
          <w:rFonts w:ascii="Book Antiqua" w:hAnsi="Book Antiqua" w:cstheme="minorHAnsi"/>
        </w:rPr>
        <w:t>]</w:t>
      </w:r>
      <w:r w:rsidR="001D1E69" w:rsidRPr="00DD3614">
        <w:rPr>
          <w:rFonts w:ascii="Book Antiqua" w:hAnsi="Book Antiqua" w:cstheme="minorHAnsi"/>
        </w:rPr>
        <w:t xml:space="preserve"> but did not</w:t>
      </w:r>
      <w:r w:rsidR="00E94C81" w:rsidRPr="00DD3614">
        <w:rPr>
          <w:rFonts w:ascii="Book Antiqua" w:hAnsi="Book Antiqua" w:cstheme="minorHAnsi"/>
        </w:rPr>
        <w:t xml:space="preserve"> show superiority (</w:t>
      </w:r>
      <w:r w:rsidR="00E94C81" w:rsidRPr="00DD3614">
        <w:rPr>
          <w:rFonts w:ascii="Book Antiqua" w:hAnsi="Book Antiqua" w:cstheme="minorHAnsi"/>
          <w:i/>
        </w:rPr>
        <w:t>P</w:t>
      </w:r>
      <w:r w:rsidR="00E94C81" w:rsidRPr="00DD3614">
        <w:rPr>
          <w:rFonts w:ascii="Book Antiqua" w:hAnsi="Book Antiqua" w:cstheme="minorHAnsi"/>
        </w:rPr>
        <w:t xml:space="preserve"> = 0.81)</w:t>
      </w:r>
      <w:r w:rsidR="001D1E69" w:rsidRPr="00DD3614">
        <w:rPr>
          <w:rFonts w:ascii="Book Antiqua" w:hAnsi="Book Antiqua" w:cstheme="minorHAnsi"/>
        </w:rPr>
        <w:t xml:space="preserve">. There was no significant decrease in the rate of hospitalization for heart failure or the rate of death. </w:t>
      </w:r>
      <w:r w:rsidR="004104BE" w:rsidRPr="00DD3614">
        <w:rPr>
          <w:rFonts w:ascii="Book Antiqua" w:hAnsi="Book Antiqua" w:cstheme="minorHAnsi"/>
        </w:rPr>
        <w:t>Failure to detect a b</w:t>
      </w:r>
      <w:r w:rsidR="00DE5661" w:rsidRPr="00DD3614">
        <w:rPr>
          <w:rFonts w:ascii="Book Antiqua" w:hAnsi="Book Antiqua" w:cstheme="minorHAnsi"/>
        </w:rPr>
        <w:t>enef</w:t>
      </w:r>
      <w:r w:rsidR="00E94C81" w:rsidRPr="00DD3614">
        <w:rPr>
          <w:rFonts w:ascii="Book Antiqua" w:hAnsi="Book Antiqua" w:cstheme="minorHAnsi"/>
        </w:rPr>
        <w:t xml:space="preserve">it from </w:t>
      </w:r>
      <w:proofErr w:type="spellStart"/>
      <w:r w:rsidR="00E94C81" w:rsidRPr="00DD3614">
        <w:rPr>
          <w:rFonts w:ascii="Book Antiqua" w:hAnsi="Book Antiqua" w:cstheme="minorHAnsi"/>
        </w:rPr>
        <w:t>lixisenatide</w:t>
      </w:r>
      <w:proofErr w:type="spellEnd"/>
      <w:r w:rsidR="00E94C81" w:rsidRPr="00DD3614">
        <w:rPr>
          <w:rFonts w:ascii="Book Antiqua" w:hAnsi="Book Antiqua" w:cstheme="minorHAnsi"/>
        </w:rPr>
        <w:t xml:space="preserve"> for </w:t>
      </w:r>
      <w:r w:rsidR="006D4C17" w:rsidRPr="00DD3614">
        <w:rPr>
          <w:rFonts w:ascii="Book Antiqua" w:hAnsi="Book Antiqua" w:cstheme="minorHAnsi"/>
        </w:rPr>
        <w:t xml:space="preserve">the </w:t>
      </w:r>
      <w:r w:rsidR="00E94C81" w:rsidRPr="00DD3614">
        <w:rPr>
          <w:rFonts w:ascii="Book Antiqua" w:hAnsi="Book Antiqua" w:cstheme="minorHAnsi"/>
        </w:rPr>
        <w:t xml:space="preserve">primary </w:t>
      </w:r>
      <w:r w:rsidR="006D4C17" w:rsidRPr="00DD3614">
        <w:rPr>
          <w:rFonts w:ascii="Book Antiqua" w:hAnsi="Book Antiqua" w:cstheme="minorHAnsi"/>
        </w:rPr>
        <w:t xml:space="preserve">MACE </w:t>
      </w:r>
      <w:r w:rsidR="00E94C81" w:rsidRPr="00DD3614">
        <w:rPr>
          <w:rFonts w:ascii="Book Antiqua" w:hAnsi="Book Antiqua" w:cstheme="minorHAnsi"/>
        </w:rPr>
        <w:t xml:space="preserve">end point </w:t>
      </w:r>
      <w:r w:rsidR="004104BE" w:rsidRPr="00DD3614">
        <w:rPr>
          <w:rFonts w:ascii="Book Antiqua" w:hAnsi="Book Antiqua" w:cstheme="minorHAnsi"/>
        </w:rPr>
        <w:t>could have be</w:t>
      </w:r>
      <w:r w:rsidR="000D651E" w:rsidRPr="00DD3614">
        <w:rPr>
          <w:rFonts w:ascii="Book Antiqua" w:hAnsi="Book Antiqua" w:cstheme="minorHAnsi"/>
        </w:rPr>
        <w:t>en</w:t>
      </w:r>
      <w:r w:rsidR="004104BE" w:rsidRPr="00DD3614">
        <w:rPr>
          <w:rFonts w:ascii="Book Antiqua" w:hAnsi="Book Antiqua" w:cstheme="minorHAnsi"/>
        </w:rPr>
        <w:t xml:space="preserve"> due to enrollment of high risk patients with recent </w:t>
      </w:r>
      <w:r w:rsidR="00E94C81" w:rsidRPr="00DD3614">
        <w:rPr>
          <w:rFonts w:ascii="Book Antiqua" w:hAnsi="Book Antiqua" w:cstheme="minorHAnsi"/>
        </w:rPr>
        <w:t>coronary artery disease</w:t>
      </w:r>
      <w:r w:rsidR="004104BE" w:rsidRPr="00DD3614">
        <w:rPr>
          <w:rFonts w:ascii="Book Antiqua" w:hAnsi="Book Antiqua" w:cstheme="minorHAnsi"/>
        </w:rPr>
        <w:t xml:space="preserve"> and short duration of follow up. </w:t>
      </w:r>
    </w:p>
    <w:p w:rsidR="00571613" w:rsidRPr="00DD3614" w:rsidRDefault="00981177" w:rsidP="00DD3614">
      <w:pPr>
        <w:autoSpaceDE w:val="0"/>
        <w:autoSpaceDN w:val="0"/>
        <w:adjustRightInd w:val="0"/>
        <w:spacing w:line="360" w:lineRule="auto"/>
        <w:ind w:firstLineChars="100" w:firstLine="240"/>
        <w:jc w:val="both"/>
        <w:rPr>
          <w:rFonts w:ascii="Book Antiqua" w:hAnsi="Book Antiqua" w:cstheme="minorHAnsi"/>
        </w:rPr>
      </w:pPr>
      <w:r w:rsidRPr="00DD3614">
        <w:rPr>
          <w:rFonts w:ascii="Book Antiqua" w:hAnsi="Book Antiqua" w:cstheme="minorHAnsi"/>
          <w:lang w:val="en"/>
        </w:rPr>
        <w:t>Liraglutide and Cardiovascular Outcomes in Type 2 Diabetes (LEADER) studied</w:t>
      </w:r>
      <w:r w:rsidR="006D4C17" w:rsidRPr="00DD3614">
        <w:rPr>
          <w:rFonts w:ascii="Book Antiqua" w:hAnsi="Book Antiqua" w:cstheme="minorHAnsi"/>
          <w:lang w:val="en"/>
        </w:rPr>
        <w:t xml:space="preserve"> the</w:t>
      </w:r>
      <w:r w:rsidRPr="00DD3614">
        <w:rPr>
          <w:rFonts w:ascii="Book Antiqua" w:hAnsi="Book Antiqua" w:cstheme="minorHAnsi"/>
          <w:lang w:val="en"/>
        </w:rPr>
        <w:t xml:space="preserve"> CV effects of liraglutide and </w:t>
      </w:r>
      <w:r w:rsidR="006D4C17" w:rsidRPr="00DD3614">
        <w:rPr>
          <w:rFonts w:ascii="Book Antiqua" w:hAnsi="Book Antiqua" w:cstheme="minorHAnsi"/>
          <w:lang w:val="en"/>
        </w:rPr>
        <w:t xml:space="preserve">not only </w:t>
      </w:r>
      <w:r w:rsidRPr="00DD3614">
        <w:rPr>
          <w:rFonts w:ascii="Book Antiqua" w:hAnsi="Book Antiqua" w:cstheme="minorHAnsi"/>
          <w:lang w:val="en"/>
        </w:rPr>
        <w:t>showed noninferiority</w:t>
      </w:r>
      <w:r w:rsidR="006D4C17" w:rsidRPr="00DD3614">
        <w:rPr>
          <w:rFonts w:ascii="Book Antiqua" w:hAnsi="Book Antiqua" w:cstheme="minorHAnsi"/>
          <w:lang w:val="en"/>
        </w:rPr>
        <w:t xml:space="preserve">, but </w:t>
      </w:r>
      <w:r w:rsidRPr="00DD3614">
        <w:rPr>
          <w:rFonts w:ascii="Book Antiqua" w:hAnsi="Book Antiqua" w:cstheme="minorHAnsi"/>
          <w:lang w:val="en"/>
        </w:rPr>
        <w:t xml:space="preserve">superiority </w:t>
      </w:r>
      <w:r w:rsidR="00F723D1" w:rsidRPr="00DD3614">
        <w:rPr>
          <w:rFonts w:ascii="Book Antiqua" w:hAnsi="Book Antiqua" w:cstheme="minorHAnsi"/>
          <w:lang w:val="en"/>
        </w:rPr>
        <w:t xml:space="preserve">to placebo for </w:t>
      </w:r>
      <w:r w:rsidR="007A2B7F" w:rsidRPr="00DD3614">
        <w:rPr>
          <w:rFonts w:ascii="Book Antiqua" w:hAnsi="Book Antiqua" w:cstheme="minorHAnsi"/>
          <w:lang w:val="en"/>
        </w:rPr>
        <w:t>MACE</w:t>
      </w:r>
      <w:r w:rsidR="00F723D1" w:rsidRPr="00DD3614">
        <w:rPr>
          <w:rFonts w:ascii="Book Antiqua" w:hAnsi="Book Antiqua" w:cstheme="minorHAnsi"/>
          <w:lang w:val="en"/>
        </w:rPr>
        <w:t xml:space="preserve"> (composite of CV death, nonfatal MI, or nonfatal stroke)</w:t>
      </w:r>
      <w:r w:rsidR="009644B6" w:rsidRPr="00DD3614">
        <w:rPr>
          <w:rFonts w:ascii="Book Antiqua" w:hAnsi="Book Antiqua" w:cstheme="minorHAnsi"/>
          <w:lang w:val="en"/>
        </w:rPr>
        <w:t xml:space="preserve">, CV death and </w:t>
      </w:r>
      <w:r w:rsidR="00617049" w:rsidRPr="00DD3614">
        <w:rPr>
          <w:rFonts w:ascii="Book Antiqua" w:hAnsi="Book Antiqua" w:cstheme="minorHAnsi"/>
          <w:lang w:val="en"/>
        </w:rPr>
        <w:t>all-cause</w:t>
      </w:r>
      <w:r w:rsidR="009644B6" w:rsidRPr="00DD3614">
        <w:rPr>
          <w:rFonts w:ascii="Book Antiqua" w:hAnsi="Book Antiqua" w:cstheme="minorHAnsi"/>
          <w:lang w:val="en"/>
        </w:rPr>
        <w:t xml:space="preserve"> </w:t>
      </w:r>
      <w:proofErr w:type="gramStart"/>
      <w:r w:rsidR="009644B6" w:rsidRPr="00DD3614">
        <w:rPr>
          <w:rFonts w:ascii="Book Antiqua" w:hAnsi="Book Antiqua" w:cstheme="minorHAnsi"/>
          <w:lang w:val="en"/>
        </w:rPr>
        <w:t>mortality</w:t>
      </w:r>
      <w:r w:rsidR="00A678A6" w:rsidRPr="00DD3614">
        <w:rPr>
          <w:rFonts w:ascii="Book Antiqua" w:hAnsi="Book Antiqua" w:cstheme="minorHAnsi"/>
          <w:vertAlign w:val="superscript"/>
          <w:lang w:val="en"/>
        </w:rPr>
        <w:t>[</w:t>
      </w:r>
      <w:proofErr w:type="gramEnd"/>
      <w:r w:rsidR="00A678A6" w:rsidRPr="00DD3614">
        <w:rPr>
          <w:rFonts w:ascii="Book Antiqua" w:hAnsi="Book Antiqua" w:cstheme="minorHAnsi"/>
          <w:vertAlign w:val="superscript"/>
          <w:lang w:val="en"/>
        </w:rPr>
        <w:t>10]</w:t>
      </w:r>
      <w:r w:rsidR="007A2B7F" w:rsidRPr="00DD3614">
        <w:rPr>
          <w:rFonts w:ascii="Book Antiqua" w:hAnsi="Book Antiqua" w:cstheme="minorHAnsi"/>
          <w:lang w:val="en"/>
        </w:rPr>
        <w:t xml:space="preserve">. </w:t>
      </w:r>
      <w:r w:rsidR="00F440FC" w:rsidRPr="00DD3614">
        <w:rPr>
          <w:rFonts w:ascii="Book Antiqua" w:hAnsi="Book Antiqua" w:cstheme="minorHAnsi"/>
          <w:lang w:val="en"/>
        </w:rPr>
        <w:t xml:space="preserve">A total of 9340 patients with T2DM and high CV risks were followed for 3.8 years. </w:t>
      </w:r>
      <w:r w:rsidR="00BD1F27" w:rsidRPr="00DD3614">
        <w:rPr>
          <w:rFonts w:ascii="Book Antiqua" w:hAnsi="Book Antiqua" w:cstheme="minorHAnsi"/>
          <w:lang w:val="en"/>
        </w:rPr>
        <w:t xml:space="preserve">Patients who received liraglutide </w:t>
      </w:r>
      <w:r w:rsidR="00CF4272" w:rsidRPr="00DD3614">
        <w:rPr>
          <w:rFonts w:ascii="Book Antiqua" w:hAnsi="Book Antiqua" w:cstheme="minorHAnsi"/>
          <w:lang w:val="en"/>
        </w:rPr>
        <w:t>had 13% relativ</w:t>
      </w:r>
      <w:r w:rsidR="00E94BB4" w:rsidRPr="00DD3614">
        <w:rPr>
          <w:rFonts w:ascii="Book Antiqua" w:hAnsi="Book Antiqua" w:cstheme="minorHAnsi"/>
          <w:lang w:val="en"/>
        </w:rPr>
        <w:t>e risk reduction in the primary endpoint</w:t>
      </w:r>
      <w:r w:rsidR="00764251" w:rsidRPr="00DD3614">
        <w:rPr>
          <w:rFonts w:ascii="Book Antiqua" w:hAnsi="Book Antiqua" w:cstheme="minorHAnsi"/>
          <w:lang w:val="en"/>
        </w:rPr>
        <w:t xml:space="preserve"> of</w:t>
      </w:r>
      <w:r w:rsidR="00E94BB4" w:rsidRPr="00DD3614">
        <w:rPr>
          <w:rFonts w:ascii="Book Antiqua" w:hAnsi="Book Antiqua" w:cstheme="minorHAnsi"/>
          <w:lang w:val="en"/>
        </w:rPr>
        <w:t xml:space="preserve"> </w:t>
      </w:r>
      <w:r w:rsidR="00CF4272" w:rsidRPr="00DD3614">
        <w:rPr>
          <w:rFonts w:ascii="Book Antiqua" w:hAnsi="Book Antiqua" w:cstheme="minorHAnsi"/>
          <w:lang w:val="en"/>
        </w:rPr>
        <w:t xml:space="preserve">MACE </w:t>
      </w:r>
      <w:r w:rsidR="00C27EE0" w:rsidRPr="00DD3614">
        <w:rPr>
          <w:rFonts w:ascii="Book Antiqua" w:hAnsi="Book Antiqua" w:cstheme="minorHAnsi"/>
          <w:lang w:val="en"/>
        </w:rPr>
        <w:t xml:space="preserve">compared </w:t>
      </w:r>
      <w:r w:rsidR="006D4C17" w:rsidRPr="00DD3614">
        <w:rPr>
          <w:rFonts w:ascii="Book Antiqua" w:hAnsi="Book Antiqua" w:cstheme="minorHAnsi"/>
          <w:lang w:val="en"/>
        </w:rPr>
        <w:t>with</w:t>
      </w:r>
      <w:r w:rsidR="007D69C1" w:rsidRPr="00DD3614">
        <w:rPr>
          <w:rFonts w:ascii="Book Antiqua" w:hAnsi="Book Antiqua" w:cstheme="minorHAnsi"/>
          <w:lang w:val="en"/>
        </w:rPr>
        <w:t xml:space="preserve"> </w:t>
      </w:r>
      <w:r w:rsidR="00C27EE0" w:rsidRPr="00DD3614">
        <w:rPr>
          <w:rFonts w:ascii="Book Antiqua" w:hAnsi="Book Antiqua" w:cstheme="minorHAnsi"/>
          <w:lang w:val="en"/>
        </w:rPr>
        <w:t xml:space="preserve">placebo </w:t>
      </w:r>
      <w:r w:rsidR="00CF4272" w:rsidRPr="00DD3614">
        <w:rPr>
          <w:rFonts w:ascii="Book Antiqua" w:hAnsi="Book Antiqua" w:cstheme="minorHAnsi"/>
          <w:lang w:val="en"/>
        </w:rPr>
        <w:t>(</w:t>
      </w:r>
      <w:r w:rsidR="00C27EE0" w:rsidRPr="00DD3614">
        <w:rPr>
          <w:rFonts w:ascii="Book Antiqua" w:hAnsi="Book Antiqua" w:cstheme="minorHAnsi"/>
          <w:lang w:val="en"/>
        </w:rPr>
        <w:t xml:space="preserve">13.0% </w:t>
      </w:r>
      <w:r w:rsidR="00C27EE0" w:rsidRPr="00DD3614">
        <w:rPr>
          <w:rFonts w:ascii="Book Antiqua" w:hAnsi="Book Antiqua" w:cstheme="minorHAnsi"/>
          <w:i/>
          <w:lang w:val="en"/>
        </w:rPr>
        <w:t>vs</w:t>
      </w:r>
      <w:r w:rsidR="00C27EE0" w:rsidRPr="00DD3614">
        <w:rPr>
          <w:rFonts w:ascii="Book Antiqua" w:hAnsi="Book Antiqua" w:cstheme="minorHAnsi"/>
          <w:lang w:val="en"/>
        </w:rPr>
        <w:t xml:space="preserve"> 14.9% events; </w:t>
      </w:r>
      <w:r w:rsidR="00E94BB4" w:rsidRPr="00DD3614">
        <w:rPr>
          <w:rFonts w:ascii="Book Antiqua" w:hAnsi="Book Antiqua" w:cstheme="minorHAnsi"/>
        </w:rPr>
        <w:t>HR</w:t>
      </w:r>
      <w:r w:rsidR="00C27EE0" w:rsidRPr="00DD3614">
        <w:rPr>
          <w:rFonts w:ascii="Book Antiqua" w:hAnsi="Book Antiqua" w:cstheme="minorHAnsi"/>
        </w:rPr>
        <w:t>, 0.87; 95%CI</w:t>
      </w:r>
      <w:r w:rsidR="00DD3614" w:rsidRPr="00DD3614">
        <w:rPr>
          <w:rFonts w:ascii="Book Antiqua" w:hAnsi="Book Antiqua" w:cstheme="minorHAnsi"/>
        </w:rPr>
        <w:t>:</w:t>
      </w:r>
      <w:r w:rsidR="00C27EE0" w:rsidRPr="00DD3614">
        <w:rPr>
          <w:rFonts w:ascii="Book Antiqua" w:hAnsi="Book Antiqua" w:cstheme="minorHAnsi"/>
        </w:rPr>
        <w:t xml:space="preserve"> 0.78 to 0.97; </w:t>
      </w:r>
      <w:r w:rsidR="00C27EE0" w:rsidRPr="00DD3614">
        <w:rPr>
          <w:rFonts w:ascii="Book Antiqua" w:hAnsi="Book Antiqua" w:cstheme="minorHAnsi"/>
          <w:i/>
        </w:rPr>
        <w:t>P</w:t>
      </w:r>
      <w:r w:rsidR="00DD3614" w:rsidRPr="00DD3614">
        <w:rPr>
          <w:rFonts w:ascii="Book Antiqua" w:hAnsi="Book Antiqua" w:cstheme="minorHAnsi"/>
          <w:i/>
        </w:rPr>
        <w:t xml:space="preserve"> </w:t>
      </w:r>
      <w:r w:rsidR="00C27EE0" w:rsidRPr="00DD3614">
        <w:rPr>
          <w:rFonts w:ascii="Book Antiqua" w:hAnsi="Book Antiqua" w:cstheme="minorHAnsi"/>
        </w:rPr>
        <w:t>&lt;</w:t>
      </w:r>
      <w:r w:rsidR="00DD3614" w:rsidRPr="00DD3614">
        <w:rPr>
          <w:rFonts w:ascii="Book Antiqua" w:hAnsi="Book Antiqua" w:cstheme="minorHAnsi"/>
        </w:rPr>
        <w:t xml:space="preserve"> </w:t>
      </w:r>
      <w:r w:rsidR="00C27EE0" w:rsidRPr="00DD3614">
        <w:rPr>
          <w:rFonts w:ascii="Book Antiqua" w:hAnsi="Book Antiqua" w:cstheme="minorHAnsi"/>
        </w:rPr>
        <w:t>0.001 for noninferiority;</w:t>
      </w:r>
      <w:r w:rsidR="00C27EE0" w:rsidRPr="00DD3614">
        <w:rPr>
          <w:rFonts w:ascii="Book Antiqua" w:hAnsi="Book Antiqua" w:cstheme="minorHAnsi"/>
          <w:i/>
        </w:rPr>
        <w:t xml:space="preserve"> P</w:t>
      </w:r>
      <w:r w:rsidR="00C27EE0" w:rsidRPr="00DD3614">
        <w:rPr>
          <w:rFonts w:ascii="Book Antiqua" w:hAnsi="Book Antiqua" w:cstheme="minorHAnsi"/>
        </w:rPr>
        <w:t xml:space="preserve"> = 0.01)</w:t>
      </w:r>
      <w:r w:rsidR="00127AB5" w:rsidRPr="00DD3614">
        <w:rPr>
          <w:rFonts w:ascii="Book Antiqua" w:hAnsi="Book Antiqua" w:cstheme="minorHAnsi"/>
        </w:rPr>
        <w:t>.</w:t>
      </w:r>
      <w:r w:rsidR="00441037" w:rsidRPr="00DD3614">
        <w:rPr>
          <w:rFonts w:ascii="Book Antiqua" w:hAnsi="Book Antiqua" w:cstheme="minorHAnsi"/>
        </w:rPr>
        <w:t xml:space="preserve"> </w:t>
      </w:r>
      <w:r w:rsidR="002D7AB2" w:rsidRPr="00DD3614">
        <w:rPr>
          <w:rFonts w:ascii="Book Antiqua" w:hAnsi="Book Antiqua" w:cstheme="minorHAnsi"/>
        </w:rPr>
        <w:t xml:space="preserve">Beneficial effects of </w:t>
      </w:r>
      <w:r w:rsidR="00E94BB4" w:rsidRPr="00DD3614">
        <w:rPr>
          <w:rFonts w:ascii="Book Antiqua" w:hAnsi="Book Antiqua" w:cstheme="minorHAnsi"/>
        </w:rPr>
        <w:t xml:space="preserve">liraglutide on reducing </w:t>
      </w:r>
      <w:r w:rsidR="002D7AB2" w:rsidRPr="00DD3614">
        <w:rPr>
          <w:rFonts w:ascii="Book Antiqua" w:hAnsi="Book Antiqua" w:cstheme="minorHAnsi"/>
        </w:rPr>
        <w:t xml:space="preserve">MACE was primarily due to significant reduction in CV death (4.7% in liraglutide group </w:t>
      </w:r>
      <w:r w:rsidR="002D7AB2" w:rsidRPr="00DD3614">
        <w:rPr>
          <w:rFonts w:ascii="Book Antiqua" w:hAnsi="Book Antiqua" w:cstheme="minorHAnsi"/>
          <w:i/>
        </w:rPr>
        <w:t>vs</w:t>
      </w:r>
      <w:r w:rsidR="002D7AB2" w:rsidRPr="00DD3614">
        <w:rPr>
          <w:rFonts w:ascii="Book Antiqua" w:hAnsi="Book Antiqua" w:cstheme="minorHAnsi"/>
        </w:rPr>
        <w:t xml:space="preserve"> 6.0% in placebo; HR, 0.78; 95%CI</w:t>
      </w:r>
      <w:r w:rsidR="00DD3614" w:rsidRPr="00DD3614">
        <w:rPr>
          <w:rFonts w:ascii="Book Antiqua" w:hAnsi="Book Antiqua" w:cstheme="minorHAnsi"/>
        </w:rPr>
        <w:t>:</w:t>
      </w:r>
      <w:r w:rsidR="002D7AB2" w:rsidRPr="00DD3614">
        <w:rPr>
          <w:rFonts w:ascii="Book Antiqua" w:hAnsi="Book Antiqua" w:cstheme="minorHAnsi"/>
        </w:rPr>
        <w:t xml:space="preserve"> 0.66 to 0.93; </w:t>
      </w:r>
      <w:r w:rsidR="002D7AB2" w:rsidRPr="00DD3614">
        <w:rPr>
          <w:rFonts w:ascii="Book Antiqua" w:hAnsi="Book Antiqua" w:cstheme="minorHAnsi"/>
          <w:i/>
        </w:rPr>
        <w:t>P</w:t>
      </w:r>
      <w:r w:rsidR="002D7AB2" w:rsidRPr="00DD3614">
        <w:rPr>
          <w:rFonts w:ascii="Book Antiqua" w:hAnsi="Book Antiqua" w:cstheme="minorHAnsi"/>
        </w:rPr>
        <w:t xml:space="preserve"> = 0.007). Liraglutide also showed significant reduction in all</w:t>
      </w:r>
      <w:r w:rsidR="002325C1" w:rsidRPr="00DD3614">
        <w:rPr>
          <w:rFonts w:ascii="Book Antiqua" w:hAnsi="Book Antiqua" w:cstheme="minorHAnsi"/>
        </w:rPr>
        <w:t>-</w:t>
      </w:r>
      <w:r w:rsidR="002D7AB2" w:rsidRPr="00DD3614">
        <w:rPr>
          <w:rFonts w:ascii="Book Antiqua" w:hAnsi="Book Antiqua" w:cstheme="minorHAnsi"/>
        </w:rPr>
        <w:t>cause mortality</w:t>
      </w:r>
      <w:r w:rsidR="00127AB5" w:rsidRPr="00DD3614">
        <w:rPr>
          <w:rFonts w:ascii="Book Antiqua" w:hAnsi="Book Antiqua" w:cstheme="minorHAnsi"/>
        </w:rPr>
        <w:t xml:space="preserve"> (hazard ratio, 0.85;</w:t>
      </w:r>
      <w:r w:rsidR="002D7AB2" w:rsidRPr="00DD3614">
        <w:rPr>
          <w:rFonts w:ascii="Book Antiqua" w:hAnsi="Book Antiqua" w:cstheme="minorHAnsi"/>
        </w:rPr>
        <w:t xml:space="preserve"> </w:t>
      </w:r>
      <w:r w:rsidR="00DD3614" w:rsidRPr="00DD3614">
        <w:rPr>
          <w:rFonts w:ascii="Book Antiqua" w:hAnsi="Book Antiqua" w:cstheme="minorHAnsi"/>
        </w:rPr>
        <w:t>95%CI:</w:t>
      </w:r>
      <w:r w:rsidR="00127AB5" w:rsidRPr="00DD3614">
        <w:rPr>
          <w:rFonts w:ascii="Book Antiqua" w:hAnsi="Book Antiqua" w:cstheme="minorHAnsi"/>
        </w:rPr>
        <w:t xml:space="preserve"> 0.74 to 0.97; </w:t>
      </w:r>
      <w:r w:rsidR="00127AB5" w:rsidRPr="00DD3614">
        <w:rPr>
          <w:rFonts w:ascii="Book Antiqua" w:hAnsi="Book Antiqua" w:cstheme="minorHAnsi"/>
          <w:i/>
        </w:rPr>
        <w:t>P</w:t>
      </w:r>
      <w:r w:rsidR="00127AB5" w:rsidRPr="00DD3614">
        <w:rPr>
          <w:rFonts w:ascii="Book Antiqua" w:hAnsi="Book Antiqua" w:cstheme="minorHAnsi"/>
        </w:rPr>
        <w:t xml:space="preserve"> = 0.02).</w:t>
      </w:r>
      <w:r w:rsidR="00C37FC4" w:rsidRPr="00DD3614">
        <w:rPr>
          <w:rFonts w:ascii="Book Antiqua" w:hAnsi="Book Antiqua" w:cstheme="minorHAnsi"/>
        </w:rPr>
        <w:t xml:space="preserve"> It’s important to note that CV death and all cause death benefits were apparent after 12-15 </w:t>
      </w:r>
      <w:proofErr w:type="spellStart"/>
      <w:r w:rsidR="00C37FC4" w:rsidRPr="00DD3614">
        <w:rPr>
          <w:rFonts w:ascii="Book Antiqua" w:hAnsi="Book Antiqua" w:cstheme="minorHAnsi"/>
        </w:rPr>
        <w:t>mo</w:t>
      </w:r>
      <w:proofErr w:type="spellEnd"/>
      <w:r w:rsidR="00C37FC4" w:rsidRPr="00DD3614">
        <w:rPr>
          <w:rFonts w:ascii="Book Antiqua" w:hAnsi="Book Antiqua" w:cstheme="minorHAnsi"/>
        </w:rPr>
        <w:t xml:space="preserve"> and 18 </w:t>
      </w:r>
      <w:proofErr w:type="spellStart"/>
      <w:r w:rsidR="00C37FC4" w:rsidRPr="00DD3614">
        <w:rPr>
          <w:rFonts w:ascii="Book Antiqua" w:hAnsi="Book Antiqua" w:cstheme="minorHAnsi"/>
        </w:rPr>
        <w:t>mo</w:t>
      </w:r>
      <w:proofErr w:type="spellEnd"/>
      <w:r w:rsidR="00C37FC4" w:rsidRPr="00DD3614">
        <w:rPr>
          <w:rFonts w:ascii="Book Antiqua" w:hAnsi="Book Antiqua" w:cstheme="minorHAnsi"/>
        </w:rPr>
        <w:t xml:space="preserve"> of liraglutide treatment, respectively. </w:t>
      </w:r>
      <w:r w:rsidR="00463E1F" w:rsidRPr="00DD3614">
        <w:rPr>
          <w:rFonts w:ascii="Book Antiqua" w:hAnsi="Book Antiqua" w:cstheme="minorHAnsi"/>
        </w:rPr>
        <w:t>More p</w:t>
      </w:r>
      <w:r w:rsidR="001720A0" w:rsidRPr="00DD3614">
        <w:rPr>
          <w:rFonts w:ascii="Book Antiqua" w:hAnsi="Book Antiqua" w:cstheme="minorHAnsi"/>
        </w:rPr>
        <w:t xml:space="preserve">atients in </w:t>
      </w:r>
      <w:r w:rsidR="00463E1F" w:rsidRPr="00DD3614">
        <w:rPr>
          <w:rFonts w:ascii="Book Antiqua" w:hAnsi="Book Antiqua" w:cstheme="minorHAnsi"/>
        </w:rPr>
        <w:t xml:space="preserve">the placebo arm </w:t>
      </w:r>
      <w:r w:rsidR="001720A0" w:rsidRPr="00DD3614">
        <w:rPr>
          <w:rFonts w:ascii="Book Antiqua" w:hAnsi="Book Antiqua" w:cstheme="minorHAnsi"/>
        </w:rPr>
        <w:t xml:space="preserve">required insulin and other oral anti-diabetes drugs </w:t>
      </w:r>
      <w:r w:rsidR="00571613" w:rsidRPr="00DD3614">
        <w:rPr>
          <w:rFonts w:ascii="Book Antiqua" w:hAnsi="Book Antiqua" w:cstheme="minorHAnsi"/>
        </w:rPr>
        <w:t xml:space="preserve">such as sulfonylureas, </w:t>
      </w:r>
      <w:r w:rsidR="001720A0" w:rsidRPr="00DD3614">
        <w:rPr>
          <w:rFonts w:ascii="Book Antiqua" w:hAnsi="Book Antiqua" w:cstheme="minorHAnsi"/>
        </w:rPr>
        <w:t xml:space="preserve">to </w:t>
      </w:r>
      <w:r w:rsidR="00463E1F" w:rsidRPr="00DD3614">
        <w:rPr>
          <w:rFonts w:ascii="Book Antiqua" w:hAnsi="Book Antiqua" w:cstheme="minorHAnsi"/>
        </w:rPr>
        <w:t>intensify their</w:t>
      </w:r>
      <w:r w:rsidR="001720A0" w:rsidRPr="00DD3614">
        <w:rPr>
          <w:rFonts w:ascii="Book Antiqua" w:hAnsi="Book Antiqua" w:cstheme="minorHAnsi"/>
        </w:rPr>
        <w:t xml:space="preserve"> glycemic</w:t>
      </w:r>
      <w:r w:rsidR="00571613" w:rsidRPr="00DD3614">
        <w:rPr>
          <w:rFonts w:ascii="Book Antiqua" w:hAnsi="Book Antiqua" w:cstheme="minorHAnsi"/>
        </w:rPr>
        <w:t xml:space="preserve"> control. Unfavorable CV effects of other anti-diabetic drugs may have altered statistics in liraglutide</w:t>
      </w:r>
      <w:r w:rsidR="006D4C17" w:rsidRPr="00DD3614">
        <w:rPr>
          <w:rFonts w:ascii="Book Antiqua" w:hAnsi="Book Antiqua" w:cstheme="minorHAnsi"/>
        </w:rPr>
        <w:t>’s</w:t>
      </w:r>
      <w:r w:rsidR="00571613" w:rsidRPr="00DD3614">
        <w:rPr>
          <w:rFonts w:ascii="Book Antiqua" w:hAnsi="Book Antiqua" w:cstheme="minorHAnsi"/>
        </w:rPr>
        <w:t xml:space="preserve"> favor. </w:t>
      </w:r>
    </w:p>
    <w:p w:rsidR="007A6A21" w:rsidRPr="00DD3614" w:rsidRDefault="00DD3614" w:rsidP="00DD3614">
      <w:pPr>
        <w:autoSpaceDE w:val="0"/>
        <w:autoSpaceDN w:val="0"/>
        <w:adjustRightInd w:val="0"/>
        <w:spacing w:line="360" w:lineRule="auto"/>
        <w:ind w:firstLineChars="100" w:firstLine="240"/>
        <w:jc w:val="both"/>
        <w:rPr>
          <w:rFonts w:ascii="Book Antiqua" w:hAnsi="Book Antiqua" w:cstheme="minorHAnsi"/>
        </w:rPr>
      </w:pPr>
      <w:proofErr w:type="spellStart"/>
      <w:r w:rsidRPr="00DD3614">
        <w:rPr>
          <w:rFonts w:ascii="Book Antiqua" w:hAnsi="Book Antiqua" w:cstheme="minorHAnsi"/>
        </w:rPr>
        <w:t>Semaglutide</w:t>
      </w:r>
      <w:proofErr w:type="spellEnd"/>
      <w:r w:rsidRPr="00DD3614">
        <w:rPr>
          <w:rFonts w:ascii="Book Antiqua" w:hAnsi="Book Antiqua" w:cstheme="minorHAnsi"/>
        </w:rPr>
        <w:t xml:space="preserve"> and Cardiovascular Outcomes in Patients with Type 2 Diabetes </w:t>
      </w:r>
      <w:r w:rsidR="00F1508D" w:rsidRPr="00DD3614">
        <w:rPr>
          <w:rFonts w:ascii="Book Antiqua" w:hAnsi="Book Antiqua" w:cstheme="minorHAnsi"/>
        </w:rPr>
        <w:t>(</w:t>
      </w:r>
      <w:r w:rsidRPr="00DD3614">
        <w:rPr>
          <w:rFonts w:ascii="Book Antiqua" w:hAnsi="Book Antiqua" w:cstheme="minorHAnsi"/>
        </w:rPr>
        <w:t>SUSTAIN-6</w:t>
      </w:r>
      <w:r w:rsidR="00F1508D" w:rsidRPr="00DD3614">
        <w:rPr>
          <w:rFonts w:ascii="Book Antiqua" w:hAnsi="Book Antiqua" w:cstheme="minorHAnsi"/>
        </w:rPr>
        <w:t>)</w:t>
      </w:r>
      <w:r w:rsidR="00CA1CA2" w:rsidRPr="00DD3614">
        <w:rPr>
          <w:rFonts w:ascii="Book Antiqua" w:hAnsi="Book Antiqua" w:cstheme="minorHAnsi"/>
        </w:rPr>
        <w:t xml:space="preserve"> </w:t>
      </w:r>
      <w:r w:rsidR="0079600F" w:rsidRPr="00DD3614">
        <w:rPr>
          <w:rFonts w:ascii="Book Antiqua" w:hAnsi="Book Antiqua" w:cstheme="minorHAnsi"/>
        </w:rPr>
        <w:t xml:space="preserve">confirmed the </w:t>
      </w:r>
      <w:proofErr w:type="spellStart"/>
      <w:r w:rsidR="0079600F" w:rsidRPr="00DD3614">
        <w:rPr>
          <w:rFonts w:ascii="Book Antiqua" w:hAnsi="Book Antiqua" w:cstheme="minorHAnsi"/>
        </w:rPr>
        <w:t>noniferiority</w:t>
      </w:r>
      <w:proofErr w:type="spellEnd"/>
      <w:r w:rsidR="0079600F" w:rsidRPr="00DD3614">
        <w:rPr>
          <w:rFonts w:ascii="Book Antiqua" w:hAnsi="Book Antiqua" w:cstheme="minorHAnsi"/>
        </w:rPr>
        <w:t xml:space="preserve"> of </w:t>
      </w:r>
      <w:proofErr w:type="spellStart"/>
      <w:r w:rsidR="0079600F" w:rsidRPr="00DD3614">
        <w:rPr>
          <w:rFonts w:ascii="Book Antiqua" w:hAnsi="Book Antiqua" w:cstheme="minorHAnsi"/>
        </w:rPr>
        <w:t>semaglutide</w:t>
      </w:r>
      <w:proofErr w:type="spellEnd"/>
      <w:r w:rsidR="0079600F" w:rsidRPr="00DD3614">
        <w:rPr>
          <w:rFonts w:ascii="Book Antiqua" w:hAnsi="Book Antiqua" w:cstheme="minorHAnsi"/>
        </w:rPr>
        <w:t xml:space="preserve"> to placebo for</w:t>
      </w:r>
      <w:r w:rsidR="00416A1C" w:rsidRPr="00DD3614">
        <w:rPr>
          <w:rFonts w:ascii="Book Antiqua" w:hAnsi="Book Antiqua" w:cstheme="minorHAnsi"/>
        </w:rPr>
        <w:t xml:space="preserve"> </w:t>
      </w:r>
      <w:r w:rsidR="006D4C17" w:rsidRPr="00DD3614">
        <w:rPr>
          <w:rFonts w:ascii="Book Antiqua" w:hAnsi="Book Antiqua" w:cstheme="minorHAnsi"/>
        </w:rPr>
        <w:t xml:space="preserve">the </w:t>
      </w:r>
      <w:r w:rsidR="009819F0" w:rsidRPr="00DD3614">
        <w:rPr>
          <w:rFonts w:ascii="Book Antiqua" w:hAnsi="Book Antiqua" w:cstheme="minorHAnsi"/>
        </w:rPr>
        <w:t xml:space="preserve">primary </w:t>
      </w:r>
      <w:r w:rsidR="006D4C17" w:rsidRPr="00DD3614">
        <w:rPr>
          <w:rFonts w:ascii="Book Antiqua" w:hAnsi="Book Antiqua" w:cstheme="minorHAnsi"/>
        </w:rPr>
        <w:t xml:space="preserve">MACE </w:t>
      </w:r>
      <w:r w:rsidR="009819F0" w:rsidRPr="00DD3614">
        <w:rPr>
          <w:rFonts w:ascii="Book Antiqua" w:hAnsi="Book Antiqua" w:cstheme="minorHAnsi"/>
        </w:rPr>
        <w:t>endpoint</w:t>
      </w:r>
      <w:r w:rsidR="00416A1C" w:rsidRPr="00DD3614">
        <w:rPr>
          <w:rFonts w:ascii="Book Antiqua" w:hAnsi="Book Antiqua" w:cstheme="minorHAnsi"/>
        </w:rPr>
        <w:t>, a composite of CV death, nonfatal MI, or nonfatal stroke</w:t>
      </w:r>
      <w:r w:rsidR="00CA1CA2" w:rsidRPr="00DD3614">
        <w:rPr>
          <w:rFonts w:ascii="Book Antiqua" w:hAnsi="Book Antiqua" w:cstheme="minorHAnsi"/>
        </w:rPr>
        <w:t xml:space="preserve"> (6.6% </w:t>
      </w:r>
      <w:r w:rsidR="00CA1CA2" w:rsidRPr="00DD3614">
        <w:rPr>
          <w:rFonts w:ascii="Book Antiqua" w:hAnsi="Book Antiqua" w:cstheme="minorHAnsi"/>
          <w:i/>
        </w:rPr>
        <w:t>vs</w:t>
      </w:r>
      <w:r w:rsidR="00CA1CA2" w:rsidRPr="00DD3614">
        <w:rPr>
          <w:rFonts w:ascii="Book Antiqua" w:hAnsi="Book Antiqua" w:cstheme="minorHAnsi"/>
        </w:rPr>
        <w:t xml:space="preserve"> 8.9% events; HR, 0.74; </w:t>
      </w:r>
      <w:r w:rsidRPr="00DD3614">
        <w:rPr>
          <w:rFonts w:ascii="Book Antiqua" w:hAnsi="Book Antiqua" w:cstheme="minorHAnsi"/>
        </w:rPr>
        <w:t>95%CI:</w:t>
      </w:r>
      <w:r w:rsidR="00CA1CA2" w:rsidRPr="00DD3614">
        <w:rPr>
          <w:rFonts w:ascii="Book Antiqua" w:hAnsi="Book Antiqua" w:cstheme="minorHAnsi"/>
        </w:rPr>
        <w:t xml:space="preserve"> 0.58 to 0.</w:t>
      </w:r>
      <w:r w:rsidR="003A66EB" w:rsidRPr="00DD3614">
        <w:rPr>
          <w:rFonts w:ascii="Book Antiqua" w:hAnsi="Book Antiqua" w:cstheme="minorHAnsi"/>
        </w:rPr>
        <w:t xml:space="preserve">95; </w:t>
      </w:r>
      <w:r w:rsidR="003A66EB" w:rsidRPr="00DD3614">
        <w:rPr>
          <w:rFonts w:ascii="Book Antiqua" w:hAnsi="Book Antiqua" w:cstheme="minorHAnsi"/>
          <w:i/>
        </w:rPr>
        <w:t>P</w:t>
      </w:r>
      <w:r w:rsidRPr="00DD3614">
        <w:rPr>
          <w:rFonts w:ascii="Book Antiqua" w:hAnsi="Book Antiqua" w:cstheme="minorHAnsi"/>
        </w:rPr>
        <w:t xml:space="preserve"> </w:t>
      </w:r>
      <w:r w:rsidR="003A66EB" w:rsidRPr="00DD3614">
        <w:rPr>
          <w:rFonts w:ascii="Book Antiqua" w:hAnsi="Book Antiqua" w:cstheme="minorHAnsi"/>
        </w:rPr>
        <w:t>&lt;</w:t>
      </w:r>
      <w:r w:rsidRPr="00DD3614">
        <w:rPr>
          <w:rFonts w:ascii="Book Antiqua" w:hAnsi="Book Antiqua" w:cstheme="minorHAnsi"/>
        </w:rPr>
        <w:t xml:space="preserve"> </w:t>
      </w:r>
      <w:r w:rsidR="003A66EB" w:rsidRPr="00DD3614">
        <w:rPr>
          <w:rFonts w:ascii="Book Antiqua" w:hAnsi="Book Antiqua" w:cstheme="minorHAnsi"/>
        </w:rPr>
        <w:t>0.001 for noninferior</w:t>
      </w:r>
      <w:r w:rsidR="00152140" w:rsidRPr="00DD3614">
        <w:rPr>
          <w:rFonts w:ascii="Book Antiqua" w:hAnsi="Book Antiqua" w:cstheme="minorHAnsi"/>
        </w:rPr>
        <w:t xml:space="preserve">ity) and nonfatal stroke (1.6% </w:t>
      </w:r>
      <w:r w:rsidR="003A66EB" w:rsidRPr="00DD3614">
        <w:rPr>
          <w:rFonts w:ascii="Book Antiqua" w:hAnsi="Book Antiqua" w:cstheme="minorHAnsi"/>
          <w:i/>
        </w:rPr>
        <w:t>vs</w:t>
      </w:r>
      <w:r w:rsidR="003A66EB" w:rsidRPr="00DD3614">
        <w:rPr>
          <w:rFonts w:ascii="Book Antiqua" w:hAnsi="Book Antiqua" w:cstheme="minorHAnsi"/>
        </w:rPr>
        <w:t xml:space="preserve"> 2.7% events, HR, 0.61; </w:t>
      </w:r>
      <w:r w:rsidRPr="00DD3614">
        <w:rPr>
          <w:rFonts w:ascii="Book Antiqua" w:hAnsi="Book Antiqua" w:cstheme="minorHAnsi"/>
        </w:rPr>
        <w:t>95%CI:</w:t>
      </w:r>
      <w:r w:rsidR="003A66EB" w:rsidRPr="00DD3614">
        <w:rPr>
          <w:rFonts w:ascii="Book Antiqua" w:hAnsi="Book Antiqua" w:cstheme="minorHAnsi"/>
        </w:rPr>
        <w:t xml:space="preserve"> 0.38 to 0.99; </w:t>
      </w:r>
      <w:r w:rsidRPr="00DD3614">
        <w:rPr>
          <w:rFonts w:ascii="Book Antiqua" w:hAnsi="Book Antiqua" w:cstheme="minorHAnsi"/>
          <w:i/>
        </w:rPr>
        <w:t>P</w:t>
      </w:r>
      <w:r w:rsidR="003A66EB" w:rsidRPr="00DD3614">
        <w:rPr>
          <w:rFonts w:ascii="Book Antiqua" w:hAnsi="Book Antiqua" w:cstheme="minorHAnsi"/>
        </w:rPr>
        <w:t xml:space="preserve"> = 0.04)</w:t>
      </w:r>
      <w:r w:rsidR="00A678A6" w:rsidRPr="00DD3614">
        <w:rPr>
          <w:rFonts w:ascii="Book Antiqua" w:hAnsi="Book Antiqua" w:cstheme="minorHAnsi"/>
          <w:vertAlign w:val="superscript"/>
        </w:rPr>
        <w:t>[11]</w:t>
      </w:r>
      <w:r w:rsidR="003A66EB" w:rsidRPr="00DD3614">
        <w:rPr>
          <w:rFonts w:ascii="Book Antiqua" w:hAnsi="Book Antiqua" w:cstheme="minorHAnsi"/>
        </w:rPr>
        <w:t>.</w:t>
      </w:r>
      <w:r w:rsidR="00CE1A8A" w:rsidRPr="00DD3614">
        <w:rPr>
          <w:rFonts w:ascii="Book Antiqua" w:hAnsi="Book Antiqua" w:cstheme="minorHAnsi"/>
        </w:rPr>
        <w:t xml:space="preserve"> </w:t>
      </w:r>
      <w:r w:rsidR="00463E1F" w:rsidRPr="00DD3614">
        <w:rPr>
          <w:rFonts w:ascii="Book Antiqua" w:hAnsi="Book Antiqua" w:cstheme="minorHAnsi"/>
        </w:rPr>
        <w:t xml:space="preserve">Unlike </w:t>
      </w:r>
      <w:proofErr w:type="spellStart"/>
      <w:r w:rsidR="00463E1F" w:rsidRPr="00DD3614">
        <w:rPr>
          <w:rFonts w:ascii="Book Antiqua" w:hAnsi="Book Antiqua" w:cstheme="minorHAnsi"/>
        </w:rPr>
        <w:t>liraglutide</w:t>
      </w:r>
      <w:proofErr w:type="spellEnd"/>
      <w:r w:rsidR="00463E1F" w:rsidRPr="00DD3614">
        <w:rPr>
          <w:rFonts w:ascii="Book Antiqua" w:hAnsi="Book Antiqua" w:cstheme="minorHAnsi"/>
        </w:rPr>
        <w:t xml:space="preserve">, </w:t>
      </w:r>
      <w:proofErr w:type="spellStart"/>
      <w:r w:rsidR="00463E1F" w:rsidRPr="00DD3614">
        <w:rPr>
          <w:rFonts w:ascii="Book Antiqua" w:hAnsi="Book Antiqua" w:cstheme="minorHAnsi"/>
        </w:rPr>
        <w:t>semaglutide</w:t>
      </w:r>
      <w:proofErr w:type="spellEnd"/>
      <w:r w:rsidR="00463E1F" w:rsidRPr="00DD3614">
        <w:rPr>
          <w:rFonts w:ascii="Book Antiqua" w:hAnsi="Book Antiqua" w:cstheme="minorHAnsi"/>
        </w:rPr>
        <w:t xml:space="preserve"> treated patients lower risk of primary composite outcome</w:t>
      </w:r>
      <w:r w:rsidR="009819F0" w:rsidRPr="00DD3614">
        <w:rPr>
          <w:rFonts w:ascii="Book Antiqua" w:hAnsi="Book Antiqua" w:cstheme="minorHAnsi"/>
        </w:rPr>
        <w:t xml:space="preserve"> (</w:t>
      </w:r>
      <w:r w:rsidR="00463E1F" w:rsidRPr="00DD3614">
        <w:rPr>
          <w:rFonts w:ascii="Book Antiqua" w:hAnsi="Book Antiqua" w:cstheme="minorHAnsi"/>
        </w:rPr>
        <w:t>MACE)</w:t>
      </w:r>
      <w:r w:rsidR="00F30975" w:rsidRPr="00DD3614">
        <w:rPr>
          <w:rFonts w:ascii="Book Antiqua" w:hAnsi="Book Antiqua" w:cstheme="minorHAnsi"/>
        </w:rPr>
        <w:t xml:space="preserve"> </w:t>
      </w:r>
      <w:r w:rsidR="00463E1F" w:rsidRPr="00DD3614">
        <w:rPr>
          <w:rFonts w:ascii="Book Antiqua" w:hAnsi="Book Antiqua" w:cstheme="minorHAnsi"/>
        </w:rPr>
        <w:t xml:space="preserve">was predominantly driven by </w:t>
      </w:r>
      <w:r w:rsidR="007A6A21" w:rsidRPr="00DD3614">
        <w:rPr>
          <w:rFonts w:ascii="Book Antiqua" w:hAnsi="Book Antiqua" w:cstheme="minorHAnsi"/>
        </w:rPr>
        <w:t xml:space="preserve">a significant decrease in the rate of nonfatal stroke </w:t>
      </w:r>
      <w:r w:rsidR="00463E1F" w:rsidRPr="00DD3614">
        <w:rPr>
          <w:rFonts w:ascii="Book Antiqua" w:hAnsi="Book Antiqua" w:cstheme="minorHAnsi"/>
        </w:rPr>
        <w:t>and a nonsignificant</w:t>
      </w:r>
      <w:r w:rsidR="007A6A21" w:rsidRPr="00DD3614">
        <w:rPr>
          <w:rFonts w:ascii="Book Antiqua" w:hAnsi="Book Antiqua" w:cstheme="minorHAnsi"/>
        </w:rPr>
        <w:t xml:space="preserve"> </w:t>
      </w:r>
      <w:r w:rsidR="00463E1F" w:rsidRPr="00DD3614">
        <w:rPr>
          <w:rFonts w:ascii="Book Antiqua" w:hAnsi="Book Antiqua" w:cstheme="minorHAnsi"/>
        </w:rPr>
        <w:t xml:space="preserve">decrease in nonfatal </w:t>
      </w:r>
      <w:r w:rsidR="009819F0" w:rsidRPr="00DD3614">
        <w:rPr>
          <w:rFonts w:ascii="Book Antiqua" w:hAnsi="Book Antiqua" w:cstheme="minorHAnsi"/>
        </w:rPr>
        <w:t>MI</w:t>
      </w:r>
      <w:r w:rsidR="00F30975" w:rsidRPr="00DD3614">
        <w:rPr>
          <w:rFonts w:ascii="Book Antiqua" w:hAnsi="Book Antiqua" w:cstheme="minorHAnsi"/>
        </w:rPr>
        <w:t xml:space="preserve"> (HR ratio, 0.74; </w:t>
      </w:r>
      <w:r w:rsidRPr="00DD3614">
        <w:rPr>
          <w:rFonts w:ascii="Book Antiqua" w:hAnsi="Book Antiqua" w:cstheme="minorHAnsi"/>
        </w:rPr>
        <w:t>95%CI:</w:t>
      </w:r>
      <w:r w:rsidR="00F30975" w:rsidRPr="00DD3614">
        <w:rPr>
          <w:rFonts w:ascii="Book Antiqua" w:hAnsi="Book Antiqua" w:cstheme="minorHAnsi"/>
        </w:rPr>
        <w:t xml:space="preserve"> 0.51 to 1.08; </w:t>
      </w:r>
      <w:r w:rsidRPr="00DD3614">
        <w:rPr>
          <w:rFonts w:ascii="Book Antiqua" w:hAnsi="Book Antiqua" w:cstheme="minorHAnsi"/>
          <w:i/>
        </w:rPr>
        <w:t>P</w:t>
      </w:r>
      <w:r w:rsidR="00F30975" w:rsidRPr="00DD3614">
        <w:rPr>
          <w:rFonts w:ascii="Book Antiqua" w:hAnsi="Book Antiqua" w:cstheme="minorHAnsi"/>
        </w:rPr>
        <w:t xml:space="preserve"> = 0.12)</w:t>
      </w:r>
      <w:r w:rsidR="00463E1F" w:rsidRPr="00DD3614">
        <w:rPr>
          <w:rFonts w:ascii="Book Antiqua" w:hAnsi="Book Antiqua" w:cstheme="minorHAnsi"/>
        </w:rPr>
        <w:t>.</w:t>
      </w:r>
      <w:r w:rsidR="00441037" w:rsidRPr="00DD3614">
        <w:rPr>
          <w:rFonts w:ascii="Book Antiqua" w:hAnsi="Book Antiqua" w:cstheme="minorHAnsi"/>
        </w:rPr>
        <w:t xml:space="preserve"> </w:t>
      </w:r>
      <w:r w:rsidR="00CE1A8A" w:rsidRPr="00DD3614">
        <w:rPr>
          <w:rFonts w:ascii="Book Antiqua" w:hAnsi="Book Antiqua" w:cstheme="minorHAnsi"/>
        </w:rPr>
        <w:t>Rates</w:t>
      </w:r>
      <w:r w:rsidR="006D4C17" w:rsidRPr="00DD3614">
        <w:rPr>
          <w:rFonts w:ascii="Book Antiqua" w:hAnsi="Book Antiqua" w:cstheme="minorHAnsi"/>
        </w:rPr>
        <w:t xml:space="preserve"> of</w:t>
      </w:r>
      <w:r w:rsidR="00CE1A8A" w:rsidRPr="00DD3614">
        <w:rPr>
          <w:rFonts w:ascii="Book Antiqua" w:hAnsi="Book Antiqua" w:cstheme="minorHAnsi"/>
        </w:rPr>
        <w:t xml:space="preserve"> CV death were similar in </w:t>
      </w:r>
      <w:proofErr w:type="spellStart"/>
      <w:r w:rsidR="00CE1A8A" w:rsidRPr="00DD3614">
        <w:rPr>
          <w:rFonts w:ascii="Book Antiqua" w:hAnsi="Book Antiqua" w:cstheme="minorHAnsi"/>
        </w:rPr>
        <w:t>semaglutide</w:t>
      </w:r>
      <w:proofErr w:type="spellEnd"/>
      <w:r w:rsidR="00CE1A8A" w:rsidRPr="00DD3614">
        <w:rPr>
          <w:rFonts w:ascii="Book Antiqua" w:hAnsi="Book Antiqua" w:cstheme="minorHAnsi"/>
        </w:rPr>
        <w:t xml:space="preserve"> and control group.</w:t>
      </w:r>
      <w:r w:rsidR="009819F0" w:rsidRPr="00DD3614">
        <w:rPr>
          <w:rFonts w:ascii="Book Antiqua" w:hAnsi="Book Antiqua" w:cstheme="minorHAnsi"/>
        </w:rPr>
        <w:t xml:space="preserve"> Notably, diabetic</w:t>
      </w:r>
      <w:r w:rsidR="007A6A21" w:rsidRPr="00DD3614">
        <w:rPr>
          <w:rFonts w:ascii="Book Antiqua" w:hAnsi="Book Antiqua" w:cstheme="minorHAnsi"/>
        </w:rPr>
        <w:t xml:space="preserve"> retinopathy complications occurred at significantly higher rate in </w:t>
      </w:r>
      <w:proofErr w:type="spellStart"/>
      <w:r w:rsidR="007A6A21" w:rsidRPr="00DD3614">
        <w:rPr>
          <w:rFonts w:ascii="Book Antiqua" w:hAnsi="Book Antiqua" w:cstheme="minorHAnsi"/>
        </w:rPr>
        <w:t>semaglutide</w:t>
      </w:r>
      <w:proofErr w:type="spellEnd"/>
      <w:r w:rsidR="007A6A21" w:rsidRPr="00DD3614">
        <w:rPr>
          <w:rFonts w:ascii="Book Antiqua" w:hAnsi="Book Antiqua" w:cstheme="minorHAnsi"/>
        </w:rPr>
        <w:t xml:space="preserve"> treated patients (HR, 1.76; </w:t>
      </w:r>
      <w:r w:rsidRPr="00DD3614">
        <w:rPr>
          <w:rFonts w:ascii="Book Antiqua" w:hAnsi="Book Antiqua" w:cstheme="minorHAnsi"/>
        </w:rPr>
        <w:t>95%CI:</w:t>
      </w:r>
      <w:r w:rsidR="007A6A21" w:rsidRPr="00DD3614">
        <w:rPr>
          <w:rFonts w:ascii="Book Antiqua" w:hAnsi="Book Antiqua" w:cstheme="minorHAnsi"/>
        </w:rPr>
        <w:t xml:space="preserve"> 1.11 to 2.78; </w:t>
      </w:r>
      <w:r w:rsidRPr="00DD3614">
        <w:rPr>
          <w:rFonts w:ascii="Book Antiqua" w:hAnsi="Book Antiqua" w:cstheme="minorHAnsi"/>
          <w:i/>
        </w:rPr>
        <w:t>P</w:t>
      </w:r>
      <w:r w:rsidR="007A6A21" w:rsidRPr="00DD3614">
        <w:rPr>
          <w:rFonts w:ascii="Book Antiqua" w:hAnsi="Book Antiqua" w:cstheme="minorHAnsi"/>
        </w:rPr>
        <w:t xml:space="preserve"> = 0.02).</w:t>
      </w:r>
    </w:p>
    <w:p w:rsidR="002D6771" w:rsidRPr="00DD3614" w:rsidRDefault="008E64C7" w:rsidP="00DD3614">
      <w:pPr>
        <w:autoSpaceDE w:val="0"/>
        <w:autoSpaceDN w:val="0"/>
        <w:adjustRightInd w:val="0"/>
        <w:spacing w:line="360" w:lineRule="auto"/>
        <w:ind w:firstLineChars="100" w:firstLine="240"/>
        <w:jc w:val="both"/>
        <w:rPr>
          <w:rFonts w:ascii="Book Antiqua" w:hAnsi="Book Antiqua" w:cstheme="minorHAnsi"/>
        </w:rPr>
      </w:pPr>
      <w:r w:rsidRPr="00DD3614">
        <w:rPr>
          <w:rFonts w:ascii="Book Antiqua" w:hAnsi="Book Antiqua" w:cstheme="minorHAnsi"/>
        </w:rPr>
        <w:t xml:space="preserve">The fourth trial, </w:t>
      </w:r>
      <w:r w:rsidR="00DD3614" w:rsidRPr="00DD3614">
        <w:rPr>
          <w:rFonts w:ascii="Book Antiqua" w:hAnsi="Book Antiqua" w:cstheme="minorHAnsi"/>
        </w:rPr>
        <w:t xml:space="preserve">Effects of Once-Weekly Exenatide on Cardiovascular Outcomes in Type 2 Diabetes </w:t>
      </w:r>
      <w:r w:rsidRPr="00DD3614">
        <w:rPr>
          <w:rFonts w:ascii="Book Antiqua" w:hAnsi="Book Antiqua" w:cstheme="minorHAnsi"/>
        </w:rPr>
        <w:t>(</w:t>
      </w:r>
      <w:r w:rsidR="00DD3614" w:rsidRPr="00DD3614">
        <w:rPr>
          <w:rFonts w:ascii="Book Antiqua" w:hAnsi="Book Antiqua" w:cstheme="minorHAnsi"/>
        </w:rPr>
        <w:t>EXSCEL</w:t>
      </w:r>
      <w:r w:rsidRPr="00DD3614">
        <w:rPr>
          <w:rFonts w:ascii="Book Antiqua" w:hAnsi="Book Antiqua" w:cstheme="minorHAnsi"/>
        </w:rPr>
        <w:t>)</w:t>
      </w:r>
      <w:r w:rsidR="001F29FB" w:rsidRPr="00DD3614">
        <w:rPr>
          <w:rFonts w:ascii="Book Antiqua" w:hAnsi="Book Antiqua" w:cstheme="minorHAnsi"/>
        </w:rPr>
        <w:t xml:space="preserve"> </w:t>
      </w:r>
      <w:r w:rsidRPr="00DD3614">
        <w:rPr>
          <w:rFonts w:ascii="Book Antiqua" w:hAnsi="Book Antiqua" w:cstheme="minorHAnsi"/>
        </w:rPr>
        <w:t>was</w:t>
      </w:r>
      <w:r w:rsidR="001F29FB" w:rsidRPr="00DD3614">
        <w:rPr>
          <w:rFonts w:ascii="Book Antiqua" w:hAnsi="Book Antiqua" w:cstheme="minorHAnsi"/>
        </w:rPr>
        <w:t xml:space="preserve"> different </w:t>
      </w:r>
      <w:r w:rsidR="006D4C17" w:rsidRPr="00DD3614">
        <w:rPr>
          <w:rFonts w:ascii="Book Antiqua" w:hAnsi="Book Antiqua" w:cstheme="minorHAnsi"/>
        </w:rPr>
        <w:t xml:space="preserve">than </w:t>
      </w:r>
      <w:r w:rsidR="00761D3C" w:rsidRPr="00DD3614">
        <w:rPr>
          <w:rFonts w:ascii="Book Antiqua" w:hAnsi="Book Antiqua" w:cstheme="minorHAnsi"/>
        </w:rPr>
        <w:t>previous</w:t>
      </w:r>
      <w:r w:rsidR="001F29FB" w:rsidRPr="00DD3614">
        <w:rPr>
          <w:rFonts w:ascii="Book Antiqua" w:hAnsi="Book Antiqua" w:cstheme="minorHAnsi"/>
        </w:rPr>
        <w:t xml:space="preserve"> CV outcome trials of GLP-1 agonists as it was </w:t>
      </w:r>
      <w:r w:rsidRPr="00DD3614">
        <w:rPr>
          <w:rFonts w:ascii="Book Antiqua" w:hAnsi="Book Antiqua" w:cstheme="minorHAnsi"/>
        </w:rPr>
        <w:t>performed</w:t>
      </w:r>
      <w:r w:rsidR="00761D3C" w:rsidRPr="00DD3614">
        <w:rPr>
          <w:rFonts w:ascii="Book Antiqua" w:hAnsi="Book Antiqua" w:cstheme="minorHAnsi"/>
        </w:rPr>
        <w:t xml:space="preserve"> </w:t>
      </w:r>
      <w:r w:rsidRPr="00DD3614">
        <w:rPr>
          <w:rFonts w:ascii="Book Antiqua" w:hAnsi="Book Antiqua" w:cstheme="minorHAnsi"/>
        </w:rPr>
        <w:t>in a usual-care setting among patients</w:t>
      </w:r>
      <w:r w:rsidR="001F29FB" w:rsidRPr="00DD3614">
        <w:rPr>
          <w:rFonts w:ascii="Book Antiqua" w:hAnsi="Book Antiqua" w:cstheme="minorHAnsi"/>
        </w:rPr>
        <w:t xml:space="preserve"> </w:t>
      </w:r>
      <w:r w:rsidRPr="00DD3614">
        <w:rPr>
          <w:rFonts w:ascii="Book Antiqua" w:hAnsi="Book Antiqua" w:cstheme="minorHAnsi"/>
        </w:rPr>
        <w:t xml:space="preserve">with </w:t>
      </w:r>
      <w:r w:rsidR="004C2595" w:rsidRPr="00DD3614">
        <w:rPr>
          <w:rFonts w:ascii="Book Antiqua" w:hAnsi="Book Antiqua" w:cstheme="minorHAnsi"/>
        </w:rPr>
        <w:t xml:space="preserve">T2DM </w:t>
      </w:r>
      <w:r w:rsidR="001F29FB" w:rsidRPr="00DD3614">
        <w:rPr>
          <w:rFonts w:ascii="Book Antiqua" w:hAnsi="Book Antiqua" w:cstheme="minorHAnsi"/>
        </w:rPr>
        <w:t xml:space="preserve">at a wide range of </w:t>
      </w:r>
      <w:r w:rsidR="004C2595" w:rsidRPr="00DD3614">
        <w:rPr>
          <w:rFonts w:ascii="Book Antiqua" w:hAnsi="Book Antiqua" w:cstheme="minorHAnsi"/>
        </w:rPr>
        <w:t>CV</w:t>
      </w:r>
      <w:r w:rsidR="001F29FB" w:rsidRPr="00DD3614">
        <w:rPr>
          <w:rFonts w:ascii="Book Antiqua" w:hAnsi="Book Antiqua" w:cstheme="minorHAnsi"/>
        </w:rPr>
        <w:t xml:space="preserve"> </w:t>
      </w:r>
      <w:proofErr w:type="gramStart"/>
      <w:r w:rsidR="001F29FB" w:rsidRPr="00DD3614">
        <w:rPr>
          <w:rFonts w:ascii="Book Antiqua" w:hAnsi="Book Antiqua" w:cstheme="minorHAnsi"/>
        </w:rPr>
        <w:t>risk</w:t>
      </w:r>
      <w:r w:rsidR="00A678A6" w:rsidRPr="00DD3614">
        <w:rPr>
          <w:rFonts w:ascii="Book Antiqua" w:hAnsi="Book Antiqua" w:cstheme="minorHAnsi"/>
          <w:vertAlign w:val="superscript"/>
        </w:rPr>
        <w:t>[</w:t>
      </w:r>
      <w:proofErr w:type="gramEnd"/>
      <w:r w:rsidR="00A678A6" w:rsidRPr="00DD3614">
        <w:rPr>
          <w:rFonts w:ascii="Book Antiqua" w:hAnsi="Book Antiqua" w:cstheme="minorHAnsi"/>
          <w:vertAlign w:val="superscript"/>
        </w:rPr>
        <w:t>12]</w:t>
      </w:r>
      <w:r w:rsidR="001F29FB" w:rsidRPr="00DD3614">
        <w:rPr>
          <w:rFonts w:ascii="Book Antiqua" w:hAnsi="Book Antiqua" w:cstheme="minorHAnsi"/>
        </w:rPr>
        <w:t xml:space="preserve">. </w:t>
      </w:r>
      <w:r w:rsidR="00F905D6" w:rsidRPr="00DD3614">
        <w:rPr>
          <w:rFonts w:ascii="Book Antiqua" w:hAnsi="Book Antiqua" w:cstheme="minorHAnsi"/>
        </w:rPr>
        <w:t>Unlike prev</w:t>
      </w:r>
      <w:r w:rsidR="004C2595" w:rsidRPr="00DD3614">
        <w:rPr>
          <w:rFonts w:ascii="Book Antiqua" w:hAnsi="Book Antiqua" w:cstheme="minorHAnsi"/>
        </w:rPr>
        <w:t xml:space="preserve">ious CV outcome trials studying GLP-1 </w:t>
      </w:r>
      <w:r w:rsidR="00DD3614" w:rsidRPr="00DD3614">
        <w:rPr>
          <w:rFonts w:ascii="Book Antiqua" w:hAnsi="Book Antiqua"/>
        </w:rPr>
        <w:t>RA</w:t>
      </w:r>
      <w:r w:rsidR="004C2595" w:rsidRPr="00DD3614">
        <w:rPr>
          <w:rFonts w:ascii="Book Antiqua" w:hAnsi="Book Antiqua" w:cstheme="minorHAnsi"/>
        </w:rPr>
        <w:t xml:space="preserve">s, </w:t>
      </w:r>
      <w:r w:rsidR="00F905D6" w:rsidRPr="00DD3614">
        <w:rPr>
          <w:rFonts w:ascii="Book Antiqua" w:hAnsi="Book Antiqua" w:cstheme="minorHAnsi"/>
        </w:rPr>
        <w:t xml:space="preserve">where patients with high risks for CV disease were enrolled, </w:t>
      </w:r>
      <w:r w:rsidR="001F29FB" w:rsidRPr="00DD3614">
        <w:rPr>
          <w:rFonts w:ascii="Book Antiqua" w:hAnsi="Book Antiqua" w:cstheme="minorHAnsi"/>
        </w:rPr>
        <w:t xml:space="preserve">26.9% of subjects </w:t>
      </w:r>
      <w:r w:rsidR="00F905D6" w:rsidRPr="00DD3614">
        <w:rPr>
          <w:rFonts w:ascii="Book Antiqua" w:hAnsi="Book Antiqua" w:cstheme="minorHAnsi"/>
        </w:rPr>
        <w:t xml:space="preserve">in EXSCEL trial did not have </w:t>
      </w:r>
      <w:r w:rsidR="001C4712" w:rsidRPr="00DD3614">
        <w:rPr>
          <w:rFonts w:ascii="Book Antiqua" w:hAnsi="Book Antiqua" w:cstheme="minorHAnsi"/>
        </w:rPr>
        <w:t>previous CV disease</w:t>
      </w:r>
      <w:r w:rsidR="00F905D6" w:rsidRPr="00DD3614">
        <w:rPr>
          <w:rFonts w:ascii="Book Antiqua" w:hAnsi="Book Antiqua" w:cstheme="minorHAnsi"/>
        </w:rPr>
        <w:t xml:space="preserve"> at randomization. </w:t>
      </w:r>
      <w:r w:rsidR="004420FD" w:rsidRPr="00DD3614">
        <w:rPr>
          <w:rFonts w:ascii="Book Antiqua" w:hAnsi="Book Antiqua" w:cstheme="minorHAnsi"/>
        </w:rPr>
        <w:t>After a median follow up of 3.2 y</w:t>
      </w:r>
      <w:r w:rsidR="00DD3614" w:rsidRPr="00DD3614">
        <w:rPr>
          <w:rFonts w:ascii="Book Antiqua" w:eastAsiaTheme="minorEastAsia" w:hAnsi="Book Antiqua" w:cstheme="minorHAnsi"/>
          <w:lang w:eastAsia="zh-CN"/>
        </w:rPr>
        <w:t>ea</w:t>
      </w:r>
      <w:r w:rsidR="004420FD" w:rsidRPr="00DD3614">
        <w:rPr>
          <w:rFonts w:ascii="Book Antiqua" w:hAnsi="Book Antiqua" w:cstheme="minorHAnsi"/>
        </w:rPr>
        <w:t>rs, once weekly exenatide was non</w:t>
      </w:r>
      <w:r w:rsidR="004C2595" w:rsidRPr="00DD3614">
        <w:rPr>
          <w:rFonts w:ascii="Book Antiqua" w:hAnsi="Book Antiqua" w:cstheme="minorHAnsi"/>
        </w:rPr>
        <w:t xml:space="preserve">-inferior to placebo for </w:t>
      </w:r>
      <w:r w:rsidR="004420FD" w:rsidRPr="00DD3614">
        <w:rPr>
          <w:rFonts w:ascii="Book Antiqua" w:hAnsi="Book Antiqua" w:cstheme="minorHAnsi"/>
        </w:rPr>
        <w:t>MACE</w:t>
      </w:r>
      <w:r w:rsidR="004C2595" w:rsidRPr="00DD3614">
        <w:rPr>
          <w:rFonts w:ascii="Book Antiqua" w:hAnsi="Book Antiqua" w:cstheme="minorHAnsi"/>
        </w:rPr>
        <w:t xml:space="preserve"> (composite of CV death, nonfatal MI, or nonfatal stroke)</w:t>
      </w:r>
      <w:r w:rsidR="004420FD" w:rsidRPr="00DD3614">
        <w:rPr>
          <w:rFonts w:ascii="Book Antiqua" w:hAnsi="Book Antiqua" w:cstheme="minorHAnsi"/>
        </w:rPr>
        <w:t xml:space="preserve"> but failed to show superiority (11.4% </w:t>
      </w:r>
      <w:r w:rsidR="004420FD" w:rsidRPr="00DD3614">
        <w:rPr>
          <w:rFonts w:ascii="Book Antiqua" w:hAnsi="Book Antiqua" w:cstheme="minorHAnsi"/>
          <w:i/>
        </w:rPr>
        <w:t>vs</w:t>
      </w:r>
      <w:r w:rsidR="004420FD" w:rsidRPr="00DD3614">
        <w:rPr>
          <w:rFonts w:ascii="Book Antiqua" w:hAnsi="Book Antiqua" w:cstheme="minorHAnsi"/>
        </w:rPr>
        <w:t xml:space="preserve"> 12.2% events, HR, 0.91;</w:t>
      </w:r>
      <w:r w:rsidR="004C2595" w:rsidRPr="00DD3614">
        <w:rPr>
          <w:rFonts w:ascii="Book Antiqua" w:hAnsi="Book Antiqua" w:cstheme="minorHAnsi"/>
        </w:rPr>
        <w:t xml:space="preserve"> </w:t>
      </w:r>
      <w:r w:rsidR="00DD3614" w:rsidRPr="00DD3614">
        <w:rPr>
          <w:rFonts w:ascii="Book Antiqua" w:hAnsi="Book Antiqua" w:cstheme="minorHAnsi"/>
        </w:rPr>
        <w:t>95%CI:</w:t>
      </w:r>
      <w:r w:rsidR="004420FD" w:rsidRPr="00DD3614">
        <w:rPr>
          <w:rFonts w:ascii="Book Antiqua" w:hAnsi="Book Antiqua" w:cstheme="minorHAnsi"/>
        </w:rPr>
        <w:t xml:space="preserve"> 0.83 to 1.00; </w:t>
      </w:r>
      <w:r w:rsidR="00DD3614" w:rsidRPr="00DD3614">
        <w:rPr>
          <w:rFonts w:ascii="Book Antiqua" w:hAnsi="Book Antiqua" w:cstheme="minorHAnsi"/>
          <w:i/>
        </w:rPr>
        <w:t>P</w:t>
      </w:r>
      <w:r w:rsidR="00DD3614" w:rsidRPr="00DD3614">
        <w:rPr>
          <w:rFonts w:ascii="Book Antiqua" w:hAnsi="Book Antiqua" w:cstheme="minorHAnsi"/>
        </w:rPr>
        <w:t xml:space="preserve"> </w:t>
      </w:r>
      <w:r w:rsidR="004420FD" w:rsidRPr="00DD3614">
        <w:rPr>
          <w:rFonts w:ascii="Book Antiqua" w:hAnsi="Book Antiqua" w:cstheme="minorHAnsi"/>
        </w:rPr>
        <w:t>&lt;</w:t>
      </w:r>
      <w:r w:rsidR="00DD3614" w:rsidRPr="00DD3614">
        <w:rPr>
          <w:rFonts w:ascii="Book Antiqua" w:hAnsi="Book Antiqua" w:cstheme="minorHAnsi"/>
        </w:rPr>
        <w:t xml:space="preserve"> </w:t>
      </w:r>
      <w:r w:rsidR="004420FD" w:rsidRPr="00DD3614">
        <w:rPr>
          <w:rFonts w:ascii="Book Antiqua" w:hAnsi="Book Antiqua" w:cstheme="minorHAnsi"/>
        </w:rPr>
        <w:t xml:space="preserve">0.001 for noninferiority and </w:t>
      </w:r>
      <w:r w:rsidR="00DD3614" w:rsidRPr="00DD3614">
        <w:rPr>
          <w:rFonts w:ascii="Book Antiqua" w:hAnsi="Book Antiqua" w:cstheme="minorHAnsi"/>
          <w:i/>
        </w:rPr>
        <w:t>P</w:t>
      </w:r>
      <w:r w:rsidR="004420FD" w:rsidRPr="00DD3614">
        <w:rPr>
          <w:rFonts w:ascii="Book Antiqua" w:hAnsi="Book Antiqua" w:cstheme="minorHAnsi"/>
        </w:rPr>
        <w:t xml:space="preserve"> = 0.06 for superiority). </w:t>
      </w:r>
      <w:r w:rsidR="00EC7301" w:rsidRPr="00DD3614">
        <w:rPr>
          <w:rFonts w:ascii="Book Antiqua" w:hAnsi="Book Antiqua" w:cstheme="minorHAnsi"/>
        </w:rPr>
        <w:t xml:space="preserve">Even though there was 14% lower rate of death from any cause in the exenatide group compared to placebo (HR, 0.86; </w:t>
      </w:r>
      <w:r w:rsidR="00DD3614" w:rsidRPr="00DD3614">
        <w:rPr>
          <w:rFonts w:ascii="Book Antiqua" w:hAnsi="Book Antiqua" w:cstheme="minorHAnsi"/>
        </w:rPr>
        <w:t>95%CI:</w:t>
      </w:r>
      <w:r w:rsidR="00EC7301" w:rsidRPr="00DD3614">
        <w:rPr>
          <w:rFonts w:ascii="Book Antiqua" w:hAnsi="Book Antiqua" w:cstheme="minorHAnsi"/>
        </w:rPr>
        <w:t xml:space="preserve"> 0.77 to 0.97); this difference was not considered to be statistically significant on the basis of the hierarchical testing plan.</w:t>
      </w:r>
      <w:r w:rsidR="00256C10" w:rsidRPr="00DD3614">
        <w:rPr>
          <w:rFonts w:ascii="Book Antiqua" w:hAnsi="Book Antiqua" w:cstheme="minorHAnsi"/>
        </w:rPr>
        <w:t xml:space="preserve"> </w:t>
      </w:r>
      <w:r w:rsidR="002D6771" w:rsidRPr="00DD3614">
        <w:rPr>
          <w:rFonts w:ascii="Book Antiqua" w:hAnsi="Book Antiqua" w:cstheme="minorHAnsi"/>
        </w:rPr>
        <w:t>A large proportion, 43%, of exenatide</w:t>
      </w:r>
      <w:r w:rsidR="00256C10" w:rsidRPr="00DD3614">
        <w:rPr>
          <w:rFonts w:ascii="Book Antiqua" w:hAnsi="Book Antiqua" w:cstheme="minorHAnsi"/>
        </w:rPr>
        <w:t xml:space="preserve"> treated subjects</w:t>
      </w:r>
      <w:r w:rsidR="002D6771" w:rsidRPr="00DD3614">
        <w:rPr>
          <w:rFonts w:ascii="Book Antiqua" w:hAnsi="Book Antiqua" w:cstheme="minorHAnsi"/>
        </w:rPr>
        <w:t xml:space="preserve"> prematurely discontinued </w:t>
      </w:r>
      <w:r w:rsidR="006D4C17" w:rsidRPr="00DD3614">
        <w:rPr>
          <w:rFonts w:ascii="Book Antiqua" w:hAnsi="Book Antiqua" w:cstheme="minorHAnsi"/>
        </w:rPr>
        <w:t xml:space="preserve">the </w:t>
      </w:r>
      <w:r w:rsidR="002D6771" w:rsidRPr="00DD3614">
        <w:rPr>
          <w:rFonts w:ascii="Book Antiqua" w:hAnsi="Book Antiqua" w:cstheme="minorHAnsi"/>
        </w:rPr>
        <w:t xml:space="preserve">trial regimen, which authors speculated to be due to complexity of first generation exenatide injection device </w:t>
      </w:r>
      <w:r w:rsidR="00256C10" w:rsidRPr="00DD3614">
        <w:rPr>
          <w:rFonts w:ascii="Book Antiqua" w:hAnsi="Book Antiqua" w:cstheme="minorHAnsi"/>
        </w:rPr>
        <w:t xml:space="preserve">used in </w:t>
      </w:r>
      <w:r w:rsidR="006D4C17" w:rsidRPr="00DD3614">
        <w:rPr>
          <w:rFonts w:ascii="Book Antiqua" w:hAnsi="Book Antiqua" w:cstheme="minorHAnsi"/>
        </w:rPr>
        <w:t xml:space="preserve">the </w:t>
      </w:r>
      <w:r w:rsidR="00256C10" w:rsidRPr="00DD3614">
        <w:rPr>
          <w:rFonts w:ascii="Book Antiqua" w:hAnsi="Book Antiqua" w:cstheme="minorHAnsi"/>
        </w:rPr>
        <w:t xml:space="preserve">trial </w:t>
      </w:r>
      <w:r w:rsidR="002D6771" w:rsidRPr="00DD3614">
        <w:rPr>
          <w:rFonts w:ascii="Book Antiqua" w:hAnsi="Book Antiqua" w:cstheme="minorHAnsi"/>
        </w:rPr>
        <w:t xml:space="preserve">and lack of run in period. </w:t>
      </w:r>
      <w:r w:rsidR="001C4712" w:rsidRPr="00DD3614">
        <w:rPr>
          <w:rFonts w:ascii="Book Antiqua" w:hAnsi="Book Antiqua" w:cstheme="minorHAnsi"/>
        </w:rPr>
        <w:t xml:space="preserve">Even with these limitations and a quarter of </w:t>
      </w:r>
      <w:r w:rsidR="006D4C17" w:rsidRPr="00DD3614">
        <w:rPr>
          <w:rFonts w:ascii="Book Antiqua" w:hAnsi="Book Antiqua" w:cstheme="minorHAnsi"/>
        </w:rPr>
        <w:t xml:space="preserve">the </w:t>
      </w:r>
      <w:r w:rsidR="001C4712" w:rsidRPr="00DD3614">
        <w:rPr>
          <w:rFonts w:ascii="Book Antiqua" w:hAnsi="Book Antiqua" w:cstheme="minorHAnsi"/>
        </w:rPr>
        <w:t xml:space="preserve">study population without history of CV disease, </w:t>
      </w:r>
      <w:r w:rsidR="006D4C17" w:rsidRPr="00DD3614">
        <w:rPr>
          <w:rFonts w:ascii="Book Antiqua" w:hAnsi="Book Antiqua" w:cstheme="minorHAnsi"/>
        </w:rPr>
        <w:t xml:space="preserve">treatment with </w:t>
      </w:r>
      <w:r w:rsidR="001C4712" w:rsidRPr="00DD3614">
        <w:rPr>
          <w:rFonts w:ascii="Book Antiqua" w:hAnsi="Book Antiqua" w:cstheme="minorHAnsi"/>
        </w:rPr>
        <w:t>exenatide almost reached statis</w:t>
      </w:r>
      <w:r w:rsidR="00EF7C89" w:rsidRPr="00DD3614">
        <w:rPr>
          <w:rFonts w:ascii="Book Antiqua" w:hAnsi="Book Antiqua" w:cstheme="minorHAnsi"/>
        </w:rPr>
        <w:t>tical significance for primary endpoint MACE</w:t>
      </w:r>
      <w:r w:rsidR="006D4C17" w:rsidRPr="00DD3614">
        <w:rPr>
          <w:rFonts w:ascii="Book Antiqua" w:hAnsi="Book Antiqua" w:cstheme="minorHAnsi"/>
        </w:rPr>
        <w:t>,</w:t>
      </w:r>
      <w:r w:rsidR="00EF7C89" w:rsidRPr="00DD3614">
        <w:rPr>
          <w:rFonts w:ascii="Book Antiqua" w:hAnsi="Book Antiqua" w:cstheme="minorHAnsi"/>
        </w:rPr>
        <w:t xml:space="preserve"> </w:t>
      </w:r>
      <w:r w:rsidR="001C4712" w:rsidRPr="00DD3614">
        <w:rPr>
          <w:rFonts w:ascii="Book Antiqua" w:hAnsi="Book Antiqua" w:cstheme="minorHAnsi"/>
        </w:rPr>
        <w:t xml:space="preserve">and it’s encouraging that direction of CV outcomes </w:t>
      </w:r>
      <w:r w:rsidR="006D4C17" w:rsidRPr="00DD3614">
        <w:rPr>
          <w:rFonts w:ascii="Book Antiqua" w:hAnsi="Book Antiqua" w:cstheme="minorHAnsi"/>
        </w:rPr>
        <w:t xml:space="preserve">was </w:t>
      </w:r>
      <w:r w:rsidR="001C4712" w:rsidRPr="00DD3614">
        <w:rPr>
          <w:rFonts w:ascii="Book Antiqua" w:hAnsi="Book Antiqua" w:cstheme="minorHAnsi"/>
        </w:rPr>
        <w:t xml:space="preserve">consistent with beneficial effects seen in previous trials. </w:t>
      </w:r>
    </w:p>
    <w:p w:rsidR="00401A46" w:rsidRPr="00DD3614" w:rsidRDefault="00C71243" w:rsidP="00DD3614">
      <w:pPr>
        <w:autoSpaceDE w:val="0"/>
        <w:autoSpaceDN w:val="0"/>
        <w:adjustRightInd w:val="0"/>
        <w:spacing w:line="360" w:lineRule="auto"/>
        <w:ind w:firstLineChars="100" w:firstLine="240"/>
        <w:jc w:val="both"/>
        <w:rPr>
          <w:rFonts w:ascii="Book Antiqua" w:hAnsi="Book Antiqua" w:cstheme="minorHAnsi"/>
        </w:rPr>
      </w:pPr>
      <w:r w:rsidRPr="00DD3614">
        <w:rPr>
          <w:rFonts w:ascii="Book Antiqua" w:hAnsi="Book Antiqua" w:cstheme="minorHAnsi"/>
        </w:rPr>
        <w:t xml:space="preserve">CV outcome trial (REWIND) </w:t>
      </w:r>
      <w:r w:rsidR="00A65B52">
        <w:rPr>
          <w:rFonts w:ascii="Book Antiqua" w:hAnsi="Book Antiqua" w:cstheme="minorHAnsi"/>
        </w:rPr>
        <w:t>for</w:t>
      </w:r>
      <w:r w:rsidR="00A65B52" w:rsidRPr="00DD3614">
        <w:rPr>
          <w:rFonts w:ascii="Book Antiqua" w:hAnsi="Book Antiqua" w:cstheme="minorHAnsi"/>
        </w:rPr>
        <w:t xml:space="preserve"> </w:t>
      </w:r>
      <w:proofErr w:type="spellStart"/>
      <w:proofErr w:type="gramStart"/>
      <w:r w:rsidRPr="00DD3614">
        <w:rPr>
          <w:rFonts w:ascii="Book Antiqua" w:hAnsi="Book Antiqua" w:cstheme="minorHAnsi"/>
        </w:rPr>
        <w:t>dulaglutide</w:t>
      </w:r>
      <w:proofErr w:type="spellEnd"/>
      <w:r w:rsidRPr="00DD3614">
        <w:rPr>
          <w:rFonts w:ascii="Book Antiqua" w:hAnsi="Book Antiqua" w:cstheme="minorHAnsi"/>
        </w:rPr>
        <w:t>,</w:t>
      </w:r>
      <w:proofErr w:type="gramEnd"/>
      <w:r w:rsidRPr="00DD3614">
        <w:rPr>
          <w:rFonts w:ascii="Book Antiqua" w:hAnsi="Book Antiqua" w:cstheme="minorHAnsi"/>
        </w:rPr>
        <w:t xml:space="preserve"> has been completed but results are not published yet. However, </w:t>
      </w:r>
      <w:r w:rsidR="006D4C17" w:rsidRPr="00DD3614">
        <w:rPr>
          <w:rFonts w:ascii="Book Antiqua" w:hAnsi="Book Antiqua" w:cstheme="minorHAnsi"/>
        </w:rPr>
        <w:t xml:space="preserve">the </w:t>
      </w:r>
      <w:r w:rsidR="001F4FE5" w:rsidRPr="00DD3614">
        <w:rPr>
          <w:rFonts w:ascii="Book Antiqua" w:hAnsi="Book Antiqua" w:cstheme="minorHAnsi"/>
        </w:rPr>
        <w:t xml:space="preserve">manufacturer </w:t>
      </w:r>
      <w:r w:rsidR="006D4C17" w:rsidRPr="00DD3614">
        <w:rPr>
          <w:rFonts w:ascii="Book Antiqua" w:hAnsi="Book Antiqua" w:cstheme="minorHAnsi"/>
        </w:rPr>
        <w:t xml:space="preserve">of dulaglutide </w:t>
      </w:r>
      <w:r w:rsidR="001F4FE5" w:rsidRPr="00DD3614">
        <w:rPr>
          <w:rFonts w:ascii="Book Antiqua" w:hAnsi="Book Antiqua" w:cstheme="minorHAnsi"/>
        </w:rPr>
        <w:t>announced in a press release that patient</w:t>
      </w:r>
      <w:r w:rsidR="006D4C17" w:rsidRPr="00DD3614">
        <w:rPr>
          <w:rFonts w:ascii="Book Antiqua" w:hAnsi="Book Antiqua" w:cstheme="minorHAnsi"/>
        </w:rPr>
        <w:t>s</w:t>
      </w:r>
      <w:r w:rsidR="001F4FE5" w:rsidRPr="00DD3614">
        <w:rPr>
          <w:rFonts w:ascii="Book Antiqua" w:hAnsi="Book Antiqua" w:cstheme="minorHAnsi"/>
        </w:rPr>
        <w:t xml:space="preserve"> who were treated with dulaglutide in REWIND trial had significantly</w:t>
      </w:r>
      <w:r w:rsidR="00EF7C89" w:rsidRPr="00DD3614">
        <w:rPr>
          <w:rFonts w:ascii="Book Antiqua" w:hAnsi="Book Antiqua" w:cstheme="minorHAnsi"/>
        </w:rPr>
        <w:t xml:space="preserve"> reduced CV</w:t>
      </w:r>
      <w:r w:rsidR="001F4FE5" w:rsidRPr="00DD3614">
        <w:rPr>
          <w:rFonts w:ascii="Book Antiqua" w:hAnsi="Book Antiqua" w:cstheme="minorHAnsi"/>
        </w:rPr>
        <w:t xml:space="preserve"> outcome</w:t>
      </w:r>
      <w:r w:rsidR="006D4C17" w:rsidRPr="00DD3614">
        <w:rPr>
          <w:rFonts w:ascii="Book Antiqua" w:hAnsi="Book Antiqua" w:cstheme="minorHAnsi"/>
        </w:rPr>
        <w:t>s</w:t>
      </w:r>
      <w:r w:rsidR="001F4FE5" w:rsidRPr="00DD3614">
        <w:rPr>
          <w:rFonts w:ascii="Book Antiqua" w:hAnsi="Book Antiqua" w:cstheme="minorHAnsi"/>
        </w:rPr>
        <w:t xml:space="preserve"> compared </w:t>
      </w:r>
      <w:r w:rsidR="006D4C17" w:rsidRPr="00DD3614">
        <w:rPr>
          <w:rFonts w:ascii="Book Antiqua" w:hAnsi="Book Antiqua" w:cstheme="minorHAnsi"/>
        </w:rPr>
        <w:t xml:space="preserve">with </w:t>
      </w:r>
      <w:r w:rsidR="001F4FE5" w:rsidRPr="00DD3614">
        <w:rPr>
          <w:rFonts w:ascii="Book Antiqua" w:hAnsi="Book Antiqua" w:cstheme="minorHAnsi"/>
        </w:rPr>
        <w:t xml:space="preserve">placebo, meeting the primary trial </w:t>
      </w:r>
      <w:proofErr w:type="gramStart"/>
      <w:r w:rsidR="001F4FE5" w:rsidRPr="00DD3614">
        <w:rPr>
          <w:rFonts w:ascii="Book Antiqua" w:hAnsi="Book Antiqua" w:cstheme="minorHAnsi"/>
        </w:rPr>
        <w:t>endpoint</w:t>
      </w:r>
      <w:r w:rsidR="00A678A6" w:rsidRPr="00DD3614">
        <w:rPr>
          <w:rFonts w:ascii="Book Antiqua" w:hAnsi="Book Antiqua" w:cstheme="minorHAnsi"/>
          <w:vertAlign w:val="superscript"/>
        </w:rPr>
        <w:t>[</w:t>
      </w:r>
      <w:proofErr w:type="gramEnd"/>
      <w:r w:rsidR="00F35D58" w:rsidRPr="00DD3614">
        <w:rPr>
          <w:rFonts w:ascii="Book Antiqua" w:hAnsi="Book Antiqua" w:cstheme="minorHAnsi"/>
          <w:vertAlign w:val="superscript"/>
        </w:rPr>
        <w:t>13</w:t>
      </w:r>
      <w:r w:rsidR="00A678A6" w:rsidRPr="00DD3614">
        <w:rPr>
          <w:rFonts w:ascii="Book Antiqua" w:hAnsi="Book Antiqua" w:cstheme="minorHAnsi"/>
          <w:vertAlign w:val="superscript"/>
        </w:rPr>
        <w:t>]</w:t>
      </w:r>
      <w:r w:rsidR="001F4FE5" w:rsidRPr="00DD3614">
        <w:rPr>
          <w:rFonts w:ascii="Book Antiqua" w:hAnsi="Book Antiqua" w:cstheme="minorHAnsi"/>
        </w:rPr>
        <w:t xml:space="preserve">. </w:t>
      </w:r>
    </w:p>
    <w:p w:rsidR="00E12D48" w:rsidRPr="00DD3614" w:rsidRDefault="00FB5D78" w:rsidP="00DD3614">
      <w:pPr>
        <w:autoSpaceDE w:val="0"/>
        <w:autoSpaceDN w:val="0"/>
        <w:adjustRightInd w:val="0"/>
        <w:spacing w:line="360" w:lineRule="auto"/>
        <w:ind w:firstLineChars="100" w:firstLine="240"/>
        <w:jc w:val="both"/>
        <w:rPr>
          <w:rFonts w:ascii="Book Antiqua" w:hAnsi="Book Antiqua" w:cstheme="minorHAnsi"/>
        </w:rPr>
      </w:pPr>
      <w:r w:rsidRPr="00DD3614">
        <w:rPr>
          <w:rFonts w:ascii="Book Antiqua" w:hAnsi="Book Antiqua" w:cstheme="minorHAnsi"/>
        </w:rPr>
        <w:t xml:space="preserve">Meta-analysis of 4 major CV outcome trials of GLP-1 </w:t>
      </w:r>
      <w:r w:rsidR="00DD3614" w:rsidRPr="00DD3614">
        <w:rPr>
          <w:rFonts w:ascii="Book Antiqua" w:hAnsi="Book Antiqua"/>
        </w:rPr>
        <w:t>RA</w:t>
      </w:r>
      <w:r w:rsidRPr="00DD3614">
        <w:rPr>
          <w:rFonts w:ascii="Book Antiqua" w:hAnsi="Book Antiqua" w:cstheme="minorHAnsi"/>
        </w:rPr>
        <w:t>s, ELIXA (</w:t>
      </w:r>
      <w:proofErr w:type="spellStart"/>
      <w:r w:rsidRPr="00DD3614">
        <w:rPr>
          <w:rFonts w:ascii="Book Antiqua" w:hAnsi="Book Antiqua" w:cstheme="minorHAnsi"/>
        </w:rPr>
        <w:t>lixisenatide</w:t>
      </w:r>
      <w:proofErr w:type="spellEnd"/>
      <w:r w:rsidRPr="00DD3614">
        <w:rPr>
          <w:rFonts w:ascii="Book Antiqua" w:hAnsi="Book Antiqua" w:cstheme="minorHAnsi"/>
        </w:rPr>
        <w:t>), LEADER (</w:t>
      </w:r>
      <w:proofErr w:type="spellStart"/>
      <w:r w:rsidRPr="00DD3614">
        <w:rPr>
          <w:rFonts w:ascii="Book Antiqua" w:hAnsi="Book Antiqua" w:cstheme="minorHAnsi"/>
        </w:rPr>
        <w:t>liraglutide</w:t>
      </w:r>
      <w:proofErr w:type="spellEnd"/>
      <w:r w:rsidRPr="00DD3614">
        <w:rPr>
          <w:rFonts w:ascii="Book Antiqua" w:hAnsi="Book Antiqua" w:cstheme="minorHAnsi"/>
        </w:rPr>
        <w:t>), SUSTAIN 6 (</w:t>
      </w:r>
      <w:proofErr w:type="spellStart"/>
      <w:r w:rsidRPr="00DD3614">
        <w:rPr>
          <w:rFonts w:ascii="Book Antiqua" w:hAnsi="Book Antiqua" w:cstheme="minorHAnsi"/>
        </w:rPr>
        <w:t>semaglutide</w:t>
      </w:r>
      <w:proofErr w:type="spellEnd"/>
      <w:r w:rsidRPr="00DD3614">
        <w:rPr>
          <w:rFonts w:ascii="Book Antiqua" w:hAnsi="Book Antiqua" w:cstheme="minorHAnsi"/>
        </w:rPr>
        <w:t xml:space="preserve">), and EXSCEL (extended-release exenatide) provided further valuable information regarding </w:t>
      </w:r>
      <w:r w:rsidR="00B33B06" w:rsidRPr="00DD3614">
        <w:rPr>
          <w:rFonts w:ascii="Book Antiqua" w:hAnsi="Book Antiqua" w:cstheme="minorHAnsi"/>
        </w:rPr>
        <w:t>CV</w:t>
      </w:r>
      <w:r w:rsidRPr="00DD3614">
        <w:rPr>
          <w:rFonts w:ascii="Book Antiqua" w:hAnsi="Book Antiqua" w:cstheme="minorHAnsi"/>
        </w:rPr>
        <w:t xml:space="preserve"> safety and efficacy of </w:t>
      </w:r>
      <w:r w:rsidR="00F203D6" w:rsidRPr="00DD3614">
        <w:rPr>
          <w:rFonts w:ascii="Book Antiqua" w:hAnsi="Book Antiqua" w:cstheme="minorHAnsi"/>
        </w:rPr>
        <w:t xml:space="preserve">the </w:t>
      </w:r>
      <w:r w:rsidRPr="00DD3614">
        <w:rPr>
          <w:rFonts w:ascii="Book Antiqua" w:hAnsi="Book Antiqua" w:cstheme="minorHAnsi"/>
        </w:rPr>
        <w:t xml:space="preserve">GLP-1 </w:t>
      </w:r>
      <w:r w:rsidR="00DD3614" w:rsidRPr="00DD3614">
        <w:rPr>
          <w:rFonts w:ascii="Book Antiqua" w:hAnsi="Book Antiqua"/>
        </w:rPr>
        <w:t>RA</w:t>
      </w:r>
      <w:r w:rsidR="005A72FE" w:rsidRPr="00DD3614">
        <w:rPr>
          <w:rFonts w:ascii="Book Antiqua" w:hAnsi="Book Antiqua" w:cstheme="minorHAnsi"/>
        </w:rPr>
        <w:t xml:space="preserve"> drug </w:t>
      </w:r>
      <w:proofErr w:type="gramStart"/>
      <w:r w:rsidR="005A72FE" w:rsidRPr="00DD3614">
        <w:rPr>
          <w:rFonts w:ascii="Book Antiqua" w:hAnsi="Book Antiqua" w:cstheme="minorHAnsi"/>
        </w:rPr>
        <w:t>clas</w:t>
      </w:r>
      <w:r w:rsidR="00A678A6" w:rsidRPr="00DD3614">
        <w:rPr>
          <w:rFonts w:ascii="Book Antiqua" w:hAnsi="Book Antiqua" w:cstheme="minorHAnsi"/>
        </w:rPr>
        <w:t>s</w:t>
      </w:r>
      <w:r w:rsidR="00A678A6" w:rsidRPr="00DD3614">
        <w:rPr>
          <w:rFonts w:ascii="Book Antiqua" w:hAnsi="Book Antiqua" w:cstheme="minorHAnsi"/>
          <w:vertAlign w:val="superscript"/>
        </w:rPr>
        <w:t>[</w:t>
      </w:r>
      <w:proofErr w:type="gramEnd"/>
      <w:r w:rsidR="00F35D58" w:rsidRPr="00DD3614">
        <w:rPr>
          <w:rFonts w:ascii="Book Antiqua" w:hAnsi="Book Antiqua" w:cstheme="minorHAnsi"/>
          <w:vertAlign w:val="superscript"/>
        </w:rPr>
        <w:t>14</w:t>
      </w:r>
      <w:r w:rsidR="00A678A6" w:rsidRPr="00DD3614">
        <w:rPr>
          <w:rFonts w:ascii="Book Antiqua" w:hAnsi="Book Antiqua" w:cstheme="minorHAnsi"/>
          <w:vertAlign w:val="superscript"/>
        </w:rPr>
        <w:t>]</w:t>
      </w:r>
      <w:r w:rsidRPr="00DD3614">
        <w:rPr>
          <w:rFonts w:ascii="Book Antiqua" w:hAnsi="Book Antiqua" w:cstheme="minorHAnsi"/>
        </w:rPr>
        <w:t>. A total of 33457 pa</w:t>
      </w:r>
      <w:r w:rsidR="005A72FE" w:rsidRPr="00DD3614">
        <w:rPr>
          <w:rFonts w:ascii="Book Antiqua" w:hAnsi="Book Antiqua" w:cstheme="minorHAnsi"/>
        </w:rPr>
        <w:t xml:space="preserve">rticipants were included from four </w:t>
      </w:r>
      <w:r w:rsidRPr="00DD3614">
        <w:rPr>
          <w:rFonts w:ascii="Book Antiqua" w:hAnsi="Book Antiqua" w:cstheme="minorHAnsi"/>
        </w:rPr>
        <w:t>CV outcome trials in</w:t>
      </w:r>
      <w:r w:rsidR="00F203D6" w:rsidRPr="00DD3614">
        <w:rPr>
          <w:rFonts w:ascii="Book Antiqua" w:hAnsi="Book Antiqua" w:cstheme="minorHAnsi"/>
        </w:rPr>
        <w:t xml:space="preserve"> the</w:t>
      </w:r>
      <w:r w:rsidRPr="00DD3614">
        <w:rPr>
          <w:rFonts w:ascii="Book Antiqua" w:hAnsi="Book Antiqua" w:cstheme="minorHAnsi"/>
        </w:rPr>
        <w:t xml:space="preserve"> meta-analysis. GLP-1 </w:t>
      </w:r>
      <w:r w:rsidR="00DD3614" w:rsidRPr="00DD3614">
        <w:rPr>
          <w:rFonts w:ascii="Book Antiqua" w:hAnsi="Book Antiqua"/>
        </w:rPr>
        <w:t>RA</w:t>
      </w:r>
      <w:r w:rsidR="00F203D6" w:rsidRPr="00DD3614">
        <w:rPr>
          <w:rFonts w:ascii="Book Antiqua" w:hAnsi="Book Antiqua" w:cstheme="minorHAnsi"/>
        </w:rPr>
        <w:t xml:space="preserve">s as a </w:t>
      </w:r>
      <w:r w:rsidR="00130537" w:rsidRPr="00DD3614">
        <w:rPr>
          <w:rFonts w:ascii="Book Antiqua" w:hAnsi="Book Antiqua" w:cstheme="minorHAnsi"/>
        </w:rPr>
        <w:t xml:space="preserve">class showed robust </w:t>
      </w:r>
      <w:r w:rsidR="00B852F5" w:rsidRPr="00DD3614">
        <w:rPr>
          <w:rFonts w:ascii="Book Antiqua" w:hAnsi="Book Antiqua"/>
        </w:rPr>
        <w:t>CV</w:t>
      </w:r>
      <w:r w:rsidR="00130537" w:rsidRPr="00DD3614">
        <w:rPr>
          <w:rFonts w:ascii="Book Antiqua" w:hAnsi="Book Antiqua" w:cstheme="minorHAnsi"/>
        </w:rPr>
        <w:t xml:space="preserve"> safety and efficacy. Patients treated with GLP-1 </w:t>
      </w:r>
      <w:r w:rsidR="00DD3614" w:rsidRPr="00DD3614">
        <w:rPr>
          <w:rFonts w:ascii="Book Antiqua" w:hAnsi="Book Antiqua"/>
        </w:rPr>
        <w:t>RA</w:t>
      </w:r>
      <w:r w:rsidR="00130537" w:rsidRPr="00DD3614">
        <w:rPr>
          <w:rFonts w:ascii="Book Antiqua" w:hAnsi="Book Antiqua" w:cstheme="minorHAnsi"/>
        </w:rPr>
        <w:t xml:space="preserve">s </w:t>
      </w:r>
      <w:r w:rsidR="00411E98" w:rsidRPr="00DD3614">
        <w:rPr>
          <w:rFonts w:ascii="Book Antiqua" w:hAnsi="Book Antiqua" w:cstheme="minorHAnsi"/>
        </w:rPr>
        <w:t>demonstrated</w:t>
      </w:r>
      <w:r w:rsidR="00130537" w:rsidRPr="00DD3614">
        <w:rPr>
          <w:rFonts w:ascii="Book Antiqua" w:hAnsi="Book Antiqua" w:cstheme="minorHAnsi"/>
        </w:rPr>
        <w:t xml:space="preserve"> 10% reduced risk of </w:t>
      </w:r>
      <w:r w:rsidR="00411E98" w:rsidRPr="00DD3614">
        <w:rPr>
          <w:rFonts w:ascii="Book Antiqua" w:hAnsi="Book Antiqua" w:cstheme="minorHAnsi"/>
        </w:rPr>
        <w:t>MACE, a composite of CV death, nonfatal MI, or nonfatal stroke, (</w:t>
      </w:r>
      <w:r w:rsidR="00130537" w:rsidRPr="00DD3614">
        <w:rPr>
          <w:rFonts w:ascii="Book Antiqua" w:hAnsi="Book Antiqua" w:cstheme="minorHAnsi"/>
        </w:rPr>
        <w:t>HR</w:t>
      </w:r>
      <w:r w:rsidR="00411E98" w:rsidRPr="00DD3614">
        <w:rPr>
          <w:rFonts w:ascii="Book Antiqua" w:hAnsi="Book Antiqua" w:cstheme="minorHAnsi"/>
        </w:rPr>
        <w:t>,</w:t>
      </w:r>
      <w:r w:rsidR="00130537" w:rsidRPr="00DD3614">
        <w:rPr>
          <w:rFonts w:ascii="Book Antiqua" w:hAnsi="Book Antiqua" w:cstheme="minorHAnsi"/>
        </w:rPr>
        <w:t xml:space="preserve"> 0</w:t>
      </w:r>
      <w:r w:rsidR="00DD3614" w:rsidRPr="00DD3614">
        <w:rPr>
          <w:rFonts w:ascii="Book Antiqua" w:hAnsi="Book Antiqua" w:cstheme="minorHAnsi"/>
        </w:rPr>
        <w:t>.</w:t>
      </w:r>
      <w:r w:rsidR="00130537" w:rsidRPr="00DD3614">
        <w:rPr>
          <w:rFonts w:ascii="Book Antiqua" w:hAnsi="Book Antiqua" w:cstheme="minorHAnsi"/>
        </w:rPr>
        <w:t xml:space="preserve">90, </w:t>
      </w:r>
      <w:r w:rsidR="00DD3614" w:rsidRPr="00DD3614">
        <w:rPr>
          <w:rFonts w:ascii="Book Antiqua" w:hAnsi="Book Antiqua" w:cstheme="minorHAnsi"/>
        </w:rPr>
        <w:t>95%CI:</w:t>
      </w:r>
      <w:r w:rsidR="00130537" w:rsidRPr="00DD3614">
        <w:rPr>
          <w:rFonts w:ascii="Book Antiqua" w:hAnsi="Book Antiqua" w:cstheme="minorHAnsi"/>
        </w:rPr>
        <w:t xml:space="preserve"> 0</w:t>
      </w:r>
      <w:r w:rsidR="00DD3614" w:rsidRPr="00DD3614">
        <w:rPr>
          <w:rFonts w:ascii="Book Antiqua" w:hAnsi="Book Antiqua" w:cstheme="minorHAnsi"/>
        </w:rPr>
        <w:t>.</w:t>
      </w:r>
      <w:r w:rsidR="00130537" w:rsidRPr="00DD3614">
        <w:rPr>
          <w:rFonts w:ascii="Book Antiqua" w:hAnsi="Book Antiqua" w:cstheme="minorHAnsi"/>
        </w:rPr>
        <w:t>82–0</w:t>
      </w:r>
      <w:r w:rsidR="00DD3614" w:rsidRPr="00DD3614">
        <w:rPr>
          <w:rFonts w:ascii="Book Antiqua" w:hAnsi="Book Antiqua" w:cstheme="minorHAnsi"/>
        </w:rPr>
        <w:t>.</w:t>
      </w:r>
      <w:r w:rsidR="00130537" w:rsidRPr="00DD3614">
        <w:rPr>
          <w:rFonts w:ascii="Book Antiqua" w:hAnsi="Book Antiqua" w:cstheme="minorHAnsi"/>
        </w:rPr>
        <w:t xml:space="preserve">99; </w:t>
      </w:r>
      <w:r w:rsidR="00DD3614" w:rsidRPr="00DD3614">
        <w:rPr>
          <w:rFonts w:ascii="Book Antiqua" w:hAnsi="Book Antiqua" w:cstheme="minorHAnsi"/>
          <w:i/>
        </w:rPr>
        <w:t>P</w:t>
      </w:r>
      <w:r w:rsidR="00DD3614" w:rsidRPr="00DD3614">
        <w:rPr>
          <w:rFonts w:ascii="Book Antiqua" w:hAnsi="Book Antiqua" w:cstheme="minorHAnsi"/>
        </w:rPr>
        <w:t xml:space="preserve"> </w:t>
      </w:r>
      <w:r w:rsidR="00130537" w:rsidRPr="00DD3614">
        <w:rPr>
          <w:rFonts w:ascii="Book Antiqua" w:hAnsi="Book Antiqua" w:cstheme="minorHAnsi"/>
        </w:rPr>
        <w:t>=</w:t>
      </w:r>
      <w:r w:rsidR="00DD3614" w:rsidRPr="00DD3614">
        <w:rPr>
          <w:rFonts w:ascii="Book Antiqua" w:hAnsi="Book Antiqua" w:cstheme="minorHAnsi"/>
        </w:rPr>
        <w:t xml:space="preserve"> </w:t>
      </w:r>
      <w:r w:rsidR="00130537" w:rsidRPr="00DD3614">
        <w:rPr>
          <w:rFonts w:ascii="Book Antiqua" w:hAnsi="Book Antiqua" w:cstheme="minorHAnsi"/>
        </w:rPr>
        <w:t>0</w:t>
      </w:r>
      <w:r w:rsidR="00DD3614" w:rsidRPr="00DD3614">
        <w:rPr>
          <w:rFonts w:ascii="Book Antiqua" w:hAnsi="Book Antiqua" w:cstheme="minorHAnsi"/>
        </w:rPr>
        <w:t>.</w:t>
      </w:r>
      <w:r w:rsidR="00130537" w:rsidRPr="00DD3614">
        <w:rPr>
          <w:rFonts w:ascii="Book Antiqua" w:hAnsi="Book Antiqua" w:cstheme="minorHAnsi"/>
        </w:rPr>
        <w:t xml:space="preserve">033), a 13% </w:t>
      </w:r>
      <w:r w:rsidRPr="00DD3614">
        <w:rPr>
          <w:rFonts w:ascii="Book Antiqua" w:hAnsi="Book Antiqua" w:cstheme="minorHAnsi"/>
        </w:rPr>
        <w:t xml:space="preserve">risk reduction in </w:t>
      </w:r>
      <w:r w:rsidR="00130537" w:rsidRPr="00DD3614">
        <w:rPr>
          <w:rFonts w:ascii="Book Antiqua" w:hAnsi="Book Antiqua" w:cstheme="minorHAnsi"/>
        </w:rPr>
        <w:t xml:space="preserve">CV </w:t>
      </w:r>
      <w:r w:rsidRPr="00DD3614">
        <w:rPr>
          <w:rFonts w:ascii="Book Antiqua" w:hAnsi="Book Antiqua" w:cstheme="minorHAnsi"/>
        </w:rPr>
        <w:t>mortality (HR</w:t>
      </w:r>
      <w:r w:rsidR="00411E98" w:rsidRPr="00DD3614">
        <w:rPr>
          <w:rFonts w:ascii="Book Antiqua" w:hAnsi="Book Antiqua" w:cstheme="minorHAnsi"/>
        </w:rPr>
        <w:t>,</w:t>
      </w:r>
      <w:r w:rsidRPr="00DD3614">
        <w:rPr>
          <w:rFonts w:ascii="Book Antiqua" w:hAnsi="Book Antiqua" w:cstheme="minorHAnsi"/>
        </w:rPr>
        <w:t xml:space="preserve"> 0</w:t>
      </w:r>
      <w:r w:rsidR="00DD3614" w:rsidRPr="00DD3614">
        <w:rPr>
          <w:rFonts w:ascii="Book Antiqua" w:hAnsi="Book Antiqua" w:cstheme="minorHAnsi"/>
        </w:rPr>
        <w:t>.</w:t>
      </w:r>
      <w:r w:rsidRPr="00DD3614">
        <w:rPr>
          <w:rFonts w:ascii="Book Antiqua" w:hAnsi="Book Antiqua" w:cstheme="minorHAnsi"/>
        </w:rPr>
        <w:t xml:space="preserve">87; </w:t>
      </w:r>
      <w:r w:rsidR="00DD3614" w:rsidRPr="00DD3614">
        <w:rPr>
          <w:rFonts w:ascii="Book Antiqua" w:hAnsi="Book Antiqua" w:cstheme="minorHAnsi"/>
        </w:rPr>
        <w:t>95%CI:</w:t>
      </w:r>
      <w:r w:rsidRPr="00DD3614">
        <w:rPr>
          <w:rFonts w:ascii="Book Antiqua" w:hAnsi="Book Antiqua" w:cstheme="minorHAnsi"/>
        </w:rPr>
        <w:t xml:space="preserve"> 0</w:t>
      </w:r>
      <w:r w:rsidR="00DD3614" w:rsidRPr="00DD3614">
        <w:rPr>
          <w:rFonts w:ascii="Book Antiqua" w:hAnsi="Book Antiqua" w:cstheme="minorHAnsi"/>
        </w:rPr>
        <w:t>.</w:t>
      </w:r>
      <w:r w:rsidRPr="00DD3614">
        <w:rPr>
          <w:rFonts w:ascii="Book Antiqua" w:hAnsi="Book Antiqua" w:cstheme="minorHAnsi"/>
        </w:rPr>
        <w:t>79–0</w:t>
      </w:r>
      <w:r w:rsidR="00DD3614" w:rsidRPr="00DD3614">
        <w:rPr>
          <w:rFonts w:ascii="Book Antiqua" w:hAnsi="Book Antiqua" w:cstheme="minorHAnsi"/>
        </w:rPr>
        <w:t>.</w:t>
      </w:r>
      <w:r w:rsidRPr="00DD3614">
        <w:rPr>
          <w:rFonts w:ascii="Book Antiqua" w:hAnsi="Book Antiqua" w:cstheme="minorHAnsi"/>
        </w:rPr>
        <w:t xml:space="preserve">96; </w:t>
      </w:r>
      <w:r w:rsidR="00DD3614" w:rsidRPr="00DD3614">
        <w:rPr>
          <w:rFonts w:ascii="Book Antiqua" w:hAnsi="Book Antiqua" w:cstheme="minorHAnsi"/>
          <w:i/>
        </w:rPr>
        <w:t>P</w:t>
      </w:r>
      <w:r w:rsidR="00DD3614" w:rsidRPr="00DD3614">
        <w:rPr>
          <w:rFonts w:ascii="Book Antiqua" w:hAnsi="Book Antiqua" w:cstheme="minorHAnsi"/>
        </w:rPr>
        <w:t xml:space="preserve"> </w:t>
      </w:r>
      <w:r w:rsidRPr="00DD3614">
        <w:rPr>
          <w:rFonts w:ascii="Book Antiqua" w:hAnsi="Book Antiqua" w:cstheme="minorHAnsi"/>
        </w:rPr>
        <w:t>=</w:t>
      </w:r>
      <w:r w:rsidR="00DD3614" w:rsidRPr="00DD3614">
        <w:rPr>
          <w:rFonts w:ascii="Book Antiqua" w:hAnsi="Book Antiqua" w:cstheme="minorHAnsi"/>
        </w:rPr>
        <w:t xml:space="preserve"> </w:t>
      </w:r>
      <w:r w:rsidRPr="00DD3614">
        <w:rPr>
          <w:rFonts w:ascii="Book Antiqua" w:hAnsi="Book Antiqua" w:cstheme="minorHAnsi"/>
        </w:rPr>
        <w:t>0</w:t>
      </w:r>
      <w:r w:rsidR="00DD3614" w:rsidRPr="00DD3614">
        <w:rPr>
          <w:rFonts w:ascii="Book Antiqua" w:hAnsi="Book Antiqua" w:cstheme="minorHAnsi"/>
        </w:rPr>
        <w:t>.</w:t>
      </w:r>
      <w:r w:rsidRPr="00DD3614">
        <w:rPr>
          <w:rFonts w:ascii="Book Antiqua" w:hAnsi="Book Antiqua" w:cstheme="minorHAnsi"/>
        </w:rPr>
        <w:t>007), and a 12% relative risk reduction in all-cause mortality (HR</w:t>
      </w:r>
      <w:r w:rsidR="00411E98" w:rsidRPr="00DD3614">
        <w:rPr>
          <w:rFonts w:ascii="Book Antiqua" w:hAnsi="Book Antiqua" w:cstheme="minorHAnsi"/>
        </w:rPr>
        <w:t>,</w:t>
      </w:r>
      <w:r w:rsidRPr="00DD3614">
        <w:rPr>
          <w:rFonts w:ascii="Book Antiqua" w:hAnsi="Book Antiqua" w:cstheme="minorHAnsi"/>
        </w:rPr>
        <w:t xml:space="preserve"> 0</w:t>
      </w:r>
      <w:r w:rsidR="00DD3614" w:rsidRPr="00DD3614">
        <w:rPr>
          <w:rFonts w:ascii="Book Antiqua" w:hAnsi="Book Antiqua" w:cstheme="minorHAnsi"/>
        </w:rPr>
        <w:t>.</w:t>
      </w:r>
      <w:r w:rsidRPr="00DD3614">
        <w:rPr>
          <w:rFonts w:ascii="Book Antiqua" w:hAnsi="Book Antiqua" w:cstheme="minorHAnsi"/>
        </w:rPr>
        <w:t xml:space="preserve">88, </w:t>
      </w:r>
      <w:r w:rsidR="00DD3614" w:rsidRPr="00DD3614">
        <w:rPr>
          <w:rFonts w:ascii="Book Antiqua" w:hAnsi="Book Antiqua" w:cstheme="minorHAnsi"/>
        </w:rPr>
        <w:t>95%CI:</w:t>
      </w:r>
      <w:r w:rsidRPr="00DD3614">
        <w:rPr>
          <w:rFonts w:ascii="Book Antiqua" w:hAnsi="Book Antiqua" w:cstheme="minorHAnsi"/>
        </w:rPr>
        <w:t xml:space="preserve"> 0</w:t>
      </w:r>
      <w:r w:rsidR="00DD3614" w:rsidRPr="00DD3614">
        <w:rPr>
          <w:rFonts w:ascii="Book Antiqua" w:hAnsi="Book Antiqua" w:cstheme="minorHAnsi"/>
        </w:rPr>
        <w:t>.</w:t>
      </w:r>
      <w:r w:rsidRPr="00DD3614">
        <w:rPr>
          <w:rFonts w:ascii="Book Antiqua" w:hAnsi="Book Antiqua" w:cstheme="minorHAnsi"/>
        </w:rPr>
        <w:t>81–0</w:t>
      </w:r>
      <w:r w:rsidR="00DD3614" w:rsidRPr="00DD3614">
        <w:rPr>
          <w:rFonts w:ascii="Book Antiqua" w:hAnsi="Book Antiqua" w:cstheme="minorHAnsi"/>
        </w:rPr>
        <w:t>.</w:t>
      </w:r>
      <w:r w:rsidRPr="00DD3614">
        <w:rPr>
          <w:rFonts w:ascii="Book Antiqua" w:hAnsi="Book Antiqua" w:cstheme="minorHAnsi"/>
        </w:rPr>
        <w:t xml:space="preserve">95; </w:t>
      </w:r>
      <w:r w:rsidR="00DD3614" w:rsidRPr="00DD3614">
        <w:rPr>
          <w:rFonts w:ascii="Book Antiqua" w:hAnsi="Book Antiqua" w:cstheme="minorHAnsi"/>
          <w:i/>
        </w:rPr>
        <w:t>P</w:t>
      </w:r>
      <w:r w:rsidR="00DD3614" w:rsidRPr="00DD3614">
        <w:rPr>
          <w:rFonts w:ascii="Book Antiqua" w:hAnsi="Book Antiqua" w:cstheme="minorHAnsi"/>
        </w:rPr>
        <w:t xml:space="preserve"> </w:t>
      </w:r>
      <w:r w:rsidRPr="00DD3614">
        <w:rPr>
          <w:rFonts w:ascii="Book Antiqua" w:hAnsi="Book Antiqua" w:cstheme="minorHAnsi"/>
        </w:rPr>
        <w:t>=</w:t>
      </w:r>
      <w:r w:rsidR="00DD3614" w:rsidRPr="00DD3614">
        <w:rPr>
          <w:rFonts w:ascii="Book Antiqua" w:hAnsi="Book Antiqua" w:cstheme="minorHAnsi"/>
        </w:rPr>
        <w:t xml:space="preserve"> </w:t>
      </w:r>
      <w:r w:rsidRPr="00DD3614">
        <w:rPr>
          <w:rFonts w:ascii="Book Antiqua" w:hAnsi="Book Antiqua" w:cstheme="minorHAnsi"/>
        </w:rPr>
        <w:t>0</w:t>
      </w:r>
      <w:r w:rsidR="00DD3614" w:rsidRPr="00DD3614">
        <w:rPr>
          <w:rFonts w:ascii="Book Antiqua" w:hAnsi="Book Antiqua" w:cstheme="minorHAnsi"/>
        </w:rPr>
        <w:t>.</w:t>
      </w:r>
      <w:r w:rsidRPr="00DD3614">
        <w:rPr>
          <w:rFonts w:ascii="Book Antiqua" w:hAnsi="Book Antiqua" w:cstheme="minorHAnsi"/>
        </w:rPr>
        <w:t xml:space="preserve">002), </w:t>
      </w:r>
      <w:r w:rsidR="00130537" w:rsidRPr="00DD3614">
        <w:rPr>
          <w:rFonts w:ascii="Book Antiqua" w:hAnsi="Book Antiqua" w:cstheme="minorHAnsi"/>
        </w:rPr>
        <w:t xml:space="preserve">compared to those treated with placebo. </w:t>
      </w:r>
    </w:p>
    <w:p w:rsidR="00E12D48" w:rsidRPr="00DD3614" w:rsidRDefault="00E12D48" w:rsidP="00441037">
      <w:pPr>
        <w:autoSpaceDE w:val="0"/>
        <w:autoSpaceDN w:val="0"/>
        <w:adjustRightInd w:val="0"/>
        <w:spacing w:line="360" w:lineRule="auto"/>
        <w:jc w:val="both"/>
        <w:rPr>
          <w:rFonts w:ascii="Book Antiqua" w:hAnsi="Book Antiqua" w:cstheme="minorHAnsi"/>
        </w:rPr>
      </w:pPr>
    </w:p>
    <w:p w:rsidR="00BE490E" w:rsidRPr="00DD3614" w:rsidRDefault="00DD3614" w:rsidP="00441037">
      <w:pPr>
        <w:autoSpaceDE w:val="0"/>
        <w:autoSpaceDN w:val="0"/>
        <w:adjustRightInd w:val="0"/>
        <w:spacing w:line="360" w:lineRule="auto"/>
        <w:jc w:val="both"/>
        <w:rPr>
          <w:rFonts w:ascii="Book Antiqua" w:hAnsi="Book Antiqua" w:cstheme="minorHAnsi"/>
          <w:b/>
        </w:rPr>
      </w:pPr>
      <w:r w:rsidRPr="00DD3614">
        <w:rPr>
          <w:rFonts w:ascii="Book Antiqua" w:hAnsi="Book Antiqua" w:cstheme="minorHAnsi"/>
          <w:b/>
        </w:rPr>
        <w:t xml:space="preserve">GLP1 </w:t>
      </w:r>
      <w:r w:rsidRPr="00DD3614">
        <w:rPr>
          <w:rFonts w:ascii="Book Antiqua" w:hAnsi="Book Antiqua"/>
          <w:b/>
        </w:rPr>
        <w:t>RA</w:t>
      </w:r>
      <w:r w:rsidRPr="00DD3614">
        <w:rPr>
          <w:rFonts w:ascii="Book Antiqua" w:hAnsi="Book Antiqua" w:cstheme="minorHAnsi"/>
          <w:b/>
        </w:rPr>
        <w:t xml:space="preserve"> CV OUTCOME STUDIES DISCUSSION</w:t>
      </w:r>
    </w:p>
    <w:p w:rsidR="0093669A" w:rsidRPr="00DD3614" w:rsidRDefault="00633E38" w:rsidP="00441037">
      <w:pPr>
        <w:autoSpaceDE w:val="0"/>
        <w:autoSpaceDN w:val="0"/>
        <w:adjustRightInd w:val="0"/>
        <w:spacing w:line="360" w:lineRule="auto"/>
        <w:jc w:val="both"/>
        <w:rPr>
          <w:rFonts w:ascii="Book Antiqua" w:hAnsi="Book Antiqua" w:cstheme="minorHAnsi"/>
        </w:rPr>
      </w:pPr>
      <w:r w:rsidRPr="00DD3614">
        <w:rPr>
          <w:rFonts w:ascii="Book Antiqua" w:hAnsi="Book Antiqua" w:cstheme="minorHAnsi"/>
        </w:rPr>
        <w:t>Even though the statistical results differ in all</w:t>
      </w:r>
      <w:r w:rsidR="00C34169" w:rsidRPr="00DD3614">
        <w:rPr>
          <w:rFonts w:ascii="Book Antiqua" w:hAnsi="Book Antiqua" w:cstheme="minorHAnsi"/>
        </w:rPr>
        <w:t xml:space="preserve"> four</w:t>
      </w:r>
      <w:r w:rsidR="0047284A" w:rsidRPr="00DD3614">
        <w:rPr>
          <w:rFonts w:ascii="Book Antiqua" w:hAnsi="Book Antiqua" w:cstheme="minorHAnsi"/>
        </w:rPr>
        <w:t xml:space="preserve"> major CV outcome trials for GLP</w:t>
      </w:r>
      <w:r w:rsidRPr="00DD3614">
        <w:rPr>
          <w:rFonts w:ascii="Book Antiqua" w:hAnsi="Book Antiqua" w:cstheme="minorHAnsi"/>
        </w:rPr>
        <w:t xml:space="preserve">-1 </w:t>
      </w:r>
      <w:r w:rsidR="00DD3614" w:rsidRPr="00DD3614">
        <w:rPr>
          <w:rFonts w:ascii="Book Antiqua" w:hAnsi="Book Antiqua"/>
        </w:rPr>
        <w:t>RA</w:t>
      </w:r>
      <w:r w:rsidRPr="00DD3614">
        <w:rPr>
          <w:rFonts w:ascii="Book Antiqua" w:hAnsi="Book Antiqua" w:cstheme="minorHAnsi"/>
        </w:rPr>
        <w:t>s, the overall trend and magnitude of results</w:t>
      </w:r>
      <w:r w:rsidR="00C34169" w:rsidRPr="00DD3614">
        <w:rPr>
          <w:rFonts w:ascii="Book Antiqua" w:hAnsi="Book Antiqua" w:cstheme="minorHAnsi"/>
        </w:rPr>
        <w:t xml:space="preserve"> were similar towards CV efficacy </w:t>
      </w:r>
      <w:r w:rsidRPr="00DD3614">
        <w:rPr>
          <w:rFonts w:ascii="Book Antiqua" w:hAnsi="Book Antiqua" w:cstheme="minorHAnsi"/>
        </w:rPr>
        <w:t xml:space="preserve">except in </w:t>
      </w:r>
      <w:r w:rsidR="00F203D6" w:rsidRPr="00DD3614">
        <w:rPr>
          <w:rFonts w:ascii="Book Antiqua" w:hAnsi="Book Antiqua" w:cstheme="minorHAnsi"/>
        </w:rPr>
        <w:t xml:space="preserve">the </w:t>
      </w:r>
      <w:r w:rsidRPr="00DD3614">
        <w:rPr>
          <w:rFonts w:ascii="Book Antiqua" w:hAnsi="Book Antiqua" w:cstheme="minorHAnsi"/>
        </w:rPr>
        <w:t>ELIXA trial</w:t>
      </w:r>
      <w:r w:rsidR="00EC2BFD" w:rsidRPr="00DD3614">
        <w:rPr>
          <w:rFonts w:ascii="Book Antiqua" w:hAnsi="Book Antiqua" w:cstheme="minorHAnsi"/>
        </w:rPr>
        <w:t xml:space="preserve"> (Table 1)</w:t>
      </w:r>
      <w:r w:rsidRPr="00DD3614">
        <w:rPr>
          <w:rFonts w:ascii="Book Antiqua" w:hAnsi="Book Antiqua" w:cstheme="minorHAnsi"/>
        </w:rPr>
        <w:t xml:space="preserve">. </w:t>
      </w:r>
      <w:proofErr w:type="spellStart"/>
      <w:r w:rsidR="0047284A" w:rsidRPr="00DD3614">
        <w:rPr>
          <w:rFonts w:ascii="Book Antiqua" w:hAnsi="Book Antiqua" w:cstheme="minorHAnsi"/>
        </w:rPr>
        <w:t>Liraglutide</w:t>
      </w:r>
      <w:proofErr w:type="spellEnd"/>
      <w:r w:rsidR="0047284A" w:rsidRPr="00DD3614">
        <w:rPr>
          <w:rFonts w:ascii="Book Antiqua" w:hAnsi="Book Antiqua" w:cstheme="minorHAnsi"/>
        </w:rPr>
        <w:t xml:space="preserve"> and </w:t>
      </w:r>
      <w:proofErr w:type="spellStart"/>
      <w:r w:rsidR="00617049" w:rsidRPr="00DD3614">
        <w:rPr>
          <w:rFonts w:ascii="Book Antiqua" w:hAnsi="Book Antiqua" w:cstheme="minorHAnsi"/>
        </w:rPr>
        <w:t>semaglutide</w:t>
      </w:r>
      <w:proofErr w:type="spellEnd"/>
      <w:r w:rsidR="0047284A" w:rsidRPr="00DD3614">
        <w:rPr>
          <w:rFonts w:ascii="Book Antiqua" w:hAnsi="Book Antiqua" w:cstheme="minorHAnsi"/>
        </w:rPr>
        <w:t xml:space="preserve"> </w:t>
      </w:r>
      <w:r w:rsidR="00617049" w:rsidRPr="00DD3614">
        <w:rPr>
          <w:rFonts w:ascii="Book Antiqua" w:hAnsi="Book Antiqua" w:cstheme="minorHAnsi"/>
        </w:rPr>
        <w:t>significantly reduce</w:t>
      </w:r>
      <w:r w:rsidR="002325C1" w:rsidRPr="00DD3614">
        <w:rPr>
          <w:rFonts w:ascii="Book Antiqua" w:hAnsi="Book Antiqua" w:cstheme="minorHAnsi"/>
        </w:rPr>
        <w:t>d</w:t>
      </w:r>
      <w:r w:rsidR="00BE490E" w:rsidRPr="00DD3614">
        <w:rPr>
          <w:rFonts w:ascii="Book Antiqua" w:hAnsi="Book Antiqua" w:cstheme="minorHAnsi"/>
        </w:rPr>
        <w:t xml:space="preserve"> risk for primary endpoint </w:t>
      </w:r>
      <w:r w:rsidR="00764251" w:rsidRPr="00DD3614">
        <w:rPr>
          <w:rFonts w:ascii="Book Antiqua" w:hAnsi="Book Antiqua" w:cstheme="minorHAnsi"/>
        </w:rPr>
        <w:t xml:space="preserve">of </w:t>
      </w:r>
      <w:r w:rsidR="0047284A" w:rsidRPr="00DD3614">
        <w:rPr>
          <w:rFonts w:ascii="Book Antiqua" w:hAnsi="Book Antiqua" w:cstheme="minorHAnsi"/>
        </w:rPr>
        <w:t>MACE</w:t>
      </w:r>
      <w:r w:rsidR="00BE490E" w:rsidRPr="00DD3614">
        <w:rPr>
          <w:rFonts w:ascii="Book Antiqua" w:hAnsi="Book Antiqua" w:cstheme="minorHAnsi"/>
        </w:rPr>
        <w:t xml:space="preserve"> (a composite of CV death, nonfatal MI, or nonfatal stroke)</w:t>
      </w:r>
      <w:r w:rsidR="00617049" w:rsidRPr="00DD3614">
        <w:rPr>
          <w:rFonts w:ascii="Book Antiqua" w:hAnsi="Book Antiqua" w:cstheme="minorHAnsi"/>
        </w:rPr>
        <w:t>. CV deaths and all-cause mortality risk</w:t>
      </w:r>
      <w:r w:rsidR="00C34169" w:rsidRPr="00DD3614">
        <w:rPr>
          <w:rFonts w:ascii="Book Antiqua" w:hAnsi="Book Antiqua" w:cstheme="minorHAnsi"/>
        </w:rPr>
        <w:t>s</w:t>
      </w:r>
      <w:r w:rsidR="00617049" w:rsidRPr="00DD3614">
        <w:rPr>
          <w:rFonts w:ascii="Book Antiqua" w:hAnsi="Book Antiqua" w:cstheme="minorHAnsi"/>
        </w:rPr>
        <w:t xml:space="preserve"> were significantly lower with </w:t>
      </w:r>
      <w:proofErr w:type="spellStart"/>
      <w:r w:rsidR="00617049" w:rsidRPr="00DD3614">
        <w:rPr>
          <w:rFonts w:ascii="Book Antiqua" w:hAnsi="Book Antiqua" w:cstheme="minorHAnsi"/>
        </w:rPr>
        <w:t>liraglutide</w:t>
      </w:r>
      <w:proofErr w:type="spellEnd"/>
      <w:r w:rsidR="00617049" w:rsidRPr="00DD3614">
        <w:rPr>
          <w:rFonts w:ascii="Book Antiqua" w:hAnsi="Book Antiqua" w:cstheme="minorHAnsi"/>
        </w:rPr>
        <w:t xml:space="preserve"> use and </w:t>
      </w:r>
      <w:proofErr w:type="spellStart"/>
      <w:r w:rsidR="00617049" w:rsidRPr="00DD3614">
        <w:rPr>
          <w:rFonts w:ascii="Book Antiqua" w:hAnsi="Book Antiqua" w:cstheme="minorHAnsi"/>
        </w:rPr>
        <w:t>semaglutide</w:t>
      </w:r>
      <w:proofErr w:type="spellEnd"/>
      <w:r w:rsidR="00617049" w:rsidRPr="00DD3614">
        <w:rPr>
          <w:rFonts w:ascii="Book Antiqua" w:hAnsi="Book Antiqua" w:cstheme="minorHAnsi"/>
        </w:rPr>
        <w:t xml:space="preserve"> </w:t>
      </w:r>
      <w:r w:rsidR="00C34169" w:rsidRPr="00DD3614">
        <w:rPr>
          <w:rFonts w:ascii="Book Antiqua" w:hAnsi="Book Antiqua" w:cstheme="minorHAnsi"/>
        </w:rPr>
        <w:t>decreased risk for</w:t>
      </w:r>
      <w:r w:rsidR="00617049" w:rsidRPr="00DD3614">
        <w:rPr>
          <w:rFonts w:ascii="Book Antiqua" w:hAnsi="Book Antiqua" w:cstheme="minorHAnsi"/>
        </w:rPr>
        <w:t xml:space="preserve"> nonfatal stroke by 39% after 2 years of treatment. </w:t>
      </w:r>
      <w:proofErr w:type="spellStart"/>
      <w:r w:rsidR="00617049" w:rsidRPr="00DD3614">
        <w:rPr>
          <w:rFonts w:ascii="Book Antiqua" w:hAnsi="Book Antiqua" w:cstheme="minorHAnsi"/>
        </w:rPr>
        <w:t>Lixisenatide</w:t>
      </w:r>
      <w:proofErr w:type="spellEnd"/>
      <w:r w:rsidR="00617049" w:rsidRPr="00DD3614">
        <w:rPr>
          <w:rFonts w:ascii="Book Antiqua" w:hAnsi="Book Antiqua" w:cstheme="minorHAnsi"/>
        </w:rPr>
        <w:t xml:space="preserve"> and once weekly exenatide failed to show </w:t>
      </w:r>
      <w:r w:rsidR="00BE490E" w:rsidRPr="00DD3614">
        <w:rPr>
          <w:rFonts w:ascii="Book Antiqua" w:hAnsi="Book Antiqua" w:cstheme="minorHAnsi"/>
        </w:rPr>
        <w:t>CV</w:t>
      </w:r>
      <w:r w:rsidR="00617049" w:rsidRPr="00DD3614">
        <w:rPr>
          <w:rFonts w:ascii="Book Antiqua" w:hAnsi="Book Antiqua" w:cstheme="minorHAnsi"/>
        </w:rPr>
        <w:t xml:space="preserve"> efficacy. Once weekly e</w:t>
      </w:r>
      <w:r w:rsidR="00DA227B" w:rsidRPr="00DD3614">
        <w:rPr>
          <w:rFonts w:ascii="Book Antiqua" w:hAnsi="Book Antiqua" w:cstheme="minorHAnsi"/>
        </w:rPr>
        <w:t>xenat</w:t>
      </w:r>
      <w:r w:rsidR="00BE490E" w:rsidRPr="00DD3614">
        <w:rPr>
          <w:rFonts w:ascii="Book Antiqua" w:hAnsi="Book Antiqua" w:cstheme="minorHAnsi"/>
        </w:rPr>
        <w:t xml:space="preserve">ide, however, decreased </w:t>
      </w:r>
      <w:r w:rsidR="00DA227B" w:rsidRPr="00DD3614">
        <w:rPr>
          <w:rFonts w:ascii="Book Antiqua" w:hAnsi="Book Antiqua" w:cstheme="minorHAnsi"/>
        </w:rPr>
        <w:t xml:space="preserve">MACE by 9% and all-cause mortality risk by 14% after 3.2 years of treatment but just failed to reach statistical significance. </w:t>
      </w:r>
      <w:r w:rsidR="0093669A" w:rsidRPr="00DD3614">
        <w:rPr>
          <w:rFonts w:ascii="Book Antiqua" w:hAnsi="Book Antiqua" w:cstheme="minorHAnsi"/>
        </w:rPr>
        <w:t xml:space="preserve">Notably, CV benefits of GLP-1 </w:t>
      </w:r>
      <w:r w:rsidR="00DD3614" w:rsidRPr="00DD3614">
        <w:rPr>
          <w:rFonts w:ascii="Book Antiqua" w:hAnsi="Book Antiqua"/>
        </w:rPr>
        <w:t>RA</w:t>
      </w:r>
      <w:r w:rsidR="0093669A" w:rsidRPr="00DD3614">
        <w:rPr>
          <w:rFonts w:ascii="Book Antiqua" w:hAnsi="Book Antiqua" w:cstheme="minorHAnsi"/>
        </w:rPr>
        <w:t xml:space="preserve">s were shown even with patients receiving standard of care management for CV risk management including anti-platelet medications and treatment for hypertension and hyperlipidemia. </w:t>
      </w:r>
    </w:p>
    <w:p w:rsidR="008E64C7" w:rsidRPr="00DD3614" w:rsidRDefault="00E12D48" w:rsidP="00A17AD4">
      <w:pPr>
        <w:autoSpaceDE w:val="0"/>
        <w:autoSpaceDN w:val="0"/>
        <w:adjustRightInd w:val="0"/>
        <w:spacing w:line="360" w:lineRule="auto"/>
        <w:ind w:firstLineChars="100" w:firstLine="240"/>
        <w:jc w:val="both"/>
        <w:rPr>
          <w:rFonts w:ascii="Book Antiqua" w:hAnsi="Book Antiqua" w:cstheme="minorHAnsi"/>
        </w:rPr>
      </w:pPr>
      <w:r w:rsidRPr="00DD3614">
        <w:rPr>
          <w:rFonts w:ascii="Book Antiqua" w:hAnsi="Book Antiqua" w:cstheme="minorHAnsi"/>
        </w:rPr>
        <w:t xml:space="preserve">Differences in CV outcomes could be explained by differences </w:t>
      </w:r>
      <w:r w:rsidR="004876DC" w:rsidRPr="00DD3614">
        <w:rPr>
          <w:rFonts w:ascii="Book Antiqua" w:hAnsi="Book Antiqua" w:cstheme="minorHAnsi"/>
        </w:rPr>
        <w:t xml:space="preserve">in </w:t>
      </w:r>
      <w:r w:rsidRPr="00DD3614">
        <w:rPr>
          <w:rFonts w:ascii="Book Antiqua" w:hAnsi="Book Antiqua" w:cstheme="minorHAnsi"/>
        </w:rPr>
        <w:t>study population mainly in terms of CV disease</w:t>
      </w:r>
      <w:r w:rsidR="00C34169" w:rsidRPr="00DD3614">
        <w:rPr>
          <w:rFonts w:ascii="Book Antiqua" w:hAnsi="Book Antiqua" w:cstheme="minorHAnsi"/>
        </w:rPr>
        <w:t xml:space="preserve"> risk</w:t>
      </w:r>
      <w:r w:rsidRPr="00DD3614">
        <w:rPr>
          <w:rFonts w:ascii="Book Antiqua" w:hAnsi="Book Antiqua" w:cstheme="minorHAnsi"/>
        </w:rPr>
        <w:t xml:space="preserve">, duration of follow up and adherence to trial drug. ELIXA had neutral results for </w:t>
      </w:r>
      <w:r w:rsidR="004876DC" w:rsidRPr="00DD3614">
        <w:rPr>
          <w:rFonts w:ascii="Book Antiqua" w:hAnsi="Book Antiqua" w:cstheme="minorHAnsi"/>
        </w:rPr>
        <w:t>CV</w:t>
      </w:r>
      <w:r w:rsidRPr="00DD3614">
        <w:rPr>
          <w:rFonts w:ascii="Book Antiqua" w:hAnsi="Book Antiqua" w:cstheme="minorHAnsi"/>
        </w:rPr>
        <w:t xml:space="preserve"> </w:t>
      </w:r>
      <w:r w:rsidR="00C34169" w:rsidRPr="00DD3614">
        <w:rPr>
          <w:rFonts w:ascii="Book Antiqua" w:hAnsi="Book Antiqua" w:cstheme="minorHAnsi"/>
        </w:rPr>
        <w:t>efficacy</w:t>
      </w:r>
      <w:r w:rsidR="007C348D" w:rsidRPr="00DD3614">
        <w:rPr>
          <w:rFonts w:ascii="Book Antiqua" w:hAnsi="Book Antiqua" w:cstheme="minorHAnsi"/>
        </w:rPr>
        <w:t>,</w:t>
      </w:r>
      <w:r w:rsidR="007D69C1" w:rsidRPr="00DD3614">
        <w:rPr>
          <w:rFonts w:ascii="Book Antiqua" w:hAnsi="Book Antiqua" w:cstheme="minorHAnsi"/>
        </w:rPr>
        <w:t xml:space="preserve"> </w:t>
      </w:r>
      <w:r w:rsidRPr="00DD3614">
        <w:rPr>
          <w:rFonts w:ascii="Book Antiqua" w:hAnsi="Book Antiqua" w:cstheme="minorHAnsi"/>
        </w:rPr>
        <w:t xml:space="preserve">but this was the only trial that only enrolled subjects with recent MI or hospitalization for unstable </w:t>
      </w:r>
      <w:proofErr w:type="gramStart"/>
      <w:r w:rsidRPr="00DD3614">
        <w:rPr>
          <w:rFonts w:ascii="Book Antiqua" w:hAnsi="Book Antiqua" w:cstheme="minorHAnsi"/>
        </w:rPr>
        <w:t>angina</w:t>
      </w:r>
      <w:r w:rsidR="00A678A6" w:rsidRPr="00DD3614">
        <w:rPr>
          <w:rFonts w:ascii="Book Antiqua" w:hAnsi="Book Antiqua" w:cstheme="minorHAnsi"/>
          <w:vertAlign w:val="superscript"/>
        </w:rPr>
        <w:t>[</w:t>
      </w:r>
      <w:proofErr w:type="gramEnd"/>
      <w:r w:rsidR="00A678A6" w:rsidRPr="00DD3614">
        <w:rPr>
          <w:rFonts w:ascii="Book Antiqua" w:hAnsi="Book Antiqua" w:cstheme="minorHAnsi"/>
          <w:vertAlign w:val="superscript"/>
        </w:rPr>
        <w:t>9]</w:t>
      </w:r>
      <w:r w:rsidRPr="00DD3614">
        <w:rPr>
          <w:rFonts w:ascii="Book Antiqua" w:hAnsi="Book Antiqua" w:cstheme="minorHAnsi"/>
        </w:rPr>
        <w:t xml:space="preserve">. </w:t>
      </w:r>
      <w:r w:rsidR="002325C1" w:rsidRPr="00DD3614">
        <w:rPr>
          <w:rFonts w:ascii="Book Antiqua" w:hAnsi="Book Antiqua" w:cstheme="minorHAnsi"/>
        </w:rPr>
        <w:t xml:space="preserve">It can be argued that patients already </w:t>
      </w:r>
      <w:r w:rsidR="004876DC" w:rsidRPr="00DD3614">
        <w:rPr>
          <w:rFonts w:ascii="Book Antiqua" w:hAnsi="Book Antiqua" w:cstheme="minorHAnsi"/>
        </w:rPr>
        <w:t xml:space="preserve">had too </w:t>
      </w:r>
      <w:r w:rsidR="007C348D" w:rsidRPr="00DD3614">
        <w:rPr>
          <w:rFonts w:ascii="Book Antiqua" w:hAnsi="Book Antiqua" w:cstheme="minorHAnsi"/>
        </w:rPr>
        <w:t xml:space="preserve">far </w:t>
      </w:r>
      <w:r w:rsidR="004876DC" w:rsidRPr="00DD3614">
        <w:rPr>
          <w:rFonts w:ascii="Book Antiqua" w:hAnsi="Book Antiqua" w:cstheme="minorHAnsi"/>
        </w:rPr>
        <w:t>advanced atherosclerotic</w:t>
      </w:r>
      <w:r w:rsidR="002325C1" w:rsidRPr="00DD3614">
        <w:rPr>
          <w:rFonts w:ascii="Book Antiqua" w:hAnsi="Book Antiqua" w:cstheme="minorHAnsi"/>
        </w:rPr>
        <w:t xml:space="preserve"> disease to benefit from drug. </w:t>
      </w:r>
      <w:r w:rsidRPr="00DD3614">
        <w:rPr>
          <w:rFonts w:ascii="Book Antiqua" w:hAnsi="Book Antiqua" w:cstheme="minorHAnsi"/>
        </w:rPr>
        <w:t>On the other hand</w:t>
      </w:r>
      <w:r w:rsidR="004876DC" w:rsidRPr="00DD3614">
        <w:rPr>
          <w:rFonts w:ascii="Book Antiqua" w:hAnsi="Book Antiqua" w:cstheme="minorHAnsi"/>
        </w:rPr>
        <w:t>, EXSCEL is the only trial that</w:t>
      </w:r>
      <w:r w:rsidRPr="00DD3614">
        <w:rPr>
          <w:rFonts w:ascii="Book Antiqua" w:hAnsi="Book Antiqua" w:cstheme="minorHAnsi"/>
        </w:rPr>
        <w:t xml:space="preserve"> included </w:t>
      </w:r>
      <w:r w:rsidR="0005382F" w:rsidRPr="00DD3614">
        <w:rPr>
          <w:rFonts w:ascii="Book Antiqua" w:hAnsi="Book Antiqua" w:cstheme="minorHAnsi"/>
        </w:rPr>
        <w:t>patients with diverse CV risks (</w:t>
      </w:r>
      <w:r w:rsidR="00A17AD4">
        <w:rPr>
          <w:rFonts w:ascii="Book Antiqua" w:hAnsi="Book Antiqua" w:cstheme="minorHAnsi"/>
        </w:rPr>
        <w:t xml:space="preserve">approximately </w:t>
      </w:r>
      <w:r w:rsidRPr="00DD3614">
        <w:rPr>
          <w:rFonts w:ascii="Book Antiqua" w:hAnsi="Book Antiqua" w:cstheme="minorHAnsi"/>
        </w:rPr>
        <w:t>27% of patients without known CV disease</w:t>
      </w:r>
      <w:r w:rsidR="0005382F" w:rsidRPr="00DD3614">
        <w:rPr>
          <w:rFonts w:ascii="Book Antiqua" w:hAnsi="Book Antiqua" w:cstheme="minorHAnsi"/>
        </w:rPr>
        <w:t>)</w:t>
      </w:r>
      <w:r w:rsidRPr="00DD3614">
        <w:rPr>
          <w:rFonts w:ascii="Book Antiqua" w:hAnsi="Book Antiqua" w:cstheme="minorHAnsi"/>
        </w:rPr>
        <w:t>, which makes its results mor</w:t>
      </w:r>
      <w:r w:rsidR="0005382F" w:rsidRPr="00DD3614">
        <w:rPr>
          <w:rFonts w:ascii="Book Antiqua" w:hAnsi="Book Antiqua" w:cstheme="minorHAnsi"/>
        </w:rPr>
        <w:t>e applicable to</w:t>
      </w:r>
      <w:r w:rsidR="007C348D" w:rsidRPr="00DD3614">
        <w:rPr>
          <w:rFonts w:ascii="Book Antiqua" w:hAnsi="Book Antiqua" w:cstheme="minorHAnsi"/>
        </w:rPr>
        <w:t xml:space="preserve"> a</w:t>
      </w:r>
      <w:r w:rsidR="0005382F" w:rsidRPr="00DD3614">
        <w:rPr>
          <w:rFonts w:ascii="Book Antiqua" w:hAnsi="Book Antiqua" w:cstheme="minorHAnsi"/>
        </w:rPr>
        <w:t xml:space="preserve"> broad range of p</w:t>
      </w:r>
      <w:r w:rsidRPr="00DD3614">
        <w:rPr>
          <w:rFonts w:ascii="Book Antiqua" w:hAnsi="Book Antiqua" w:cstheme="minorHAnsi"/>
        </w:rPr>
        <w:t>atients with T2DM seen i</w:t>
      </w:r>
      <w:r w:rsidR="007C348D" w:rsidRPr="00DD3614">
        <w:rPr>
          <w:rFonts w:ascii="Book Antiqua" w:hAnsi="Book Antiqua" w:cstheme="minorHAnsi"/>
        </w:rPr>
        <w:t>n</w:t>
      </w:r>
      <w:r w:rsidR="004876DC" w:rsidRPr="00DD3614">
        <w:rPr>
          <w:rFonts w:ascii="Book Antiqua" w:hAnsi="Book Antiqua" w:cstheme="minorHAnsi"/>
        </w:rPr>
        <w:t xml:space="preserve"> usual</w:t>
      </w:r>
      <w:r w:rsidRPr="00DD3614">
        <w:rPr>
          <w:rFonts w:ascii="Book Antiqua" w:hAnsi="Book Antiqua" w:cstheme="minorHAnsi"/>
        </w:rPr>
        <w:t xml:space="preserve"> clinical </w:t>
      </w:r>
      <w:proofErr w:type="gramStart"/>
      <w:r w:rsidRPr="00DD3614">
        <w:rPr>
          <w:rFonts w:ascii="Book Antiqua" w:hAnsi="Book Antiqua" w:cstheme="minorHAnsi"/>
        </w:rPr>
        <w:t>practice</w:t>
      </w:r>
      <w:r w:rsidR="00A678A6" w:rsidRPr="00DD3614">
        <w:rPr>
          <w:rFonts w:ascii="Book Antiqua" w:hAnsi="Book Antiqua" w:cstheme="minorHAnsi"/>
          <w:vertAlign w:val="superscript"/>
        </w:rPr>
        <w:t>[</w:t>
      </w:r>
      <w:proofErr w:type="gramEnd"/>
      <w:r w:rsidR="00A678A6" w:rsidRPr="00DD3614">
        <w:rPr>
          <w:rFonts w:ascii="Book Antiqua" w:hAnsi="Book Antiqua" w:cstheme="minorHAnsi"/>
          <w:vertAlign w:val="superscript"/>
        </w:rPr>
        <w:t>12]</w:t>
      </w:r>
      <w:r w:rsidR="007C348D" w:rsidRPr="00DD3614">
        <w:rPr>
          <w:rFonts w:ascii="Book Antiqua" w:hAnsi="Book Antiqua" w:cstheme="minorHAnsi"/>
        </w:rPr>
        <w:t>. However, including lower risk subjects</w:t>
      </w:r>
      <w:r w:rsidRPr="00DD3614">
        <w:rPr>
          <w:rFonts w:ascii="Book Antiqua" w:hAnsi="Book Antiqua" w:cstheme="minorHAnsi"/>
        </w:rPr>
        <w:t xml:space="preserve"> also makes it more likely to not accrue sufficient adverse CV events in </w:t>
      </w:r>
      <w:r w:rsidR="007C348D" w:rsidRPr="00DD3614">
        <w:rPr>
          <w:rFonts w:ascii="Book Antiqua" w:hAnsi="Book Antiqua" w:cstheme="minorHAnsi"/>
        </w:rPr>
        <w:t xml:space="preserve">a </w:t>
      </w:r>
      <w:r w:rsidRPr="00DD3614">
        <w:rPr>
          <w:rFonts w:ascii="Book Antiqua" w:hAnsi="Book Antiqua" w:cstheme="minorHAnsi"/>
        </w:rPr>
        <w:t xml:space="preserve">timely manner to reach statistical significance. </w:t>
      </w:r>
      <w:r w:rsidR="007C348D" w:rsidRPr="00DD3614">
        <w:rPr>
          <w:rFonts w:ascii="Book Antiqua" w:hAnsi="Book Antiqua" w:cstheme="minorHAnsi"/>
        </w:rPr>
        <w:t>The o</w:t>
      </w:r>
      <w:r w:rsidRPr="00DD3614">
        <w:rPr>
          <w:rFonts w:ascii="Book Antiqua" w:hAnsi="Book Antiqua" w:cstheme="minorHAnsi"/>
        </w:rPr>
        <w:t xml:space="preserve">ther two trials recruited patients with T2DM </w:t>
      </w:r>
      <w:r w:rsidR="00C34169" w:rsidRPr="00DD3614">
        <w:rPr>
          <w:rFonts w:ascii="Book Antiqua" w:hAnsi="Book Antiqua" w:cstheme="minorHAnsi"/>
        </w:rPr>
        <w:t xml:space="preserve">who were at </w:t>
      </w:r>
      <w:r w:rsidRPr="00DD3614">
        <w:rPr>
          <w:rFonts w:ascii="Book Antiqua" w:hAnsi="Book Antiqua" w:cstheme="minorHAnsi"/>
        </w:rPr>
        <w:t>high risk for CV events and it can be argued that it may</w:t>
      </w:r>
      <w:r w:rsidR="00C34169" w:rsidRPr="00DD3614">
        <w:rPr>
          <w:rFonts w:ascii="Book Antiqua" w:hAnsi="Book Antiqua" w:cstheme="minorHAnsi"/>
        </w:rPr>
        <w:t xml:space="preserve"> have</w:t>
      </w:r>
      <w:r w:rsidRPr="00DD3614">
        <w:rPr>
          <w:rFonts w:ascii="Book Antiqua" w:hAnsi="Book Antiqua" w:cstheme="minorHAnsi"/>
        </w:rPr>
        <w:t xml:space="preserve"> helped to show superior CV safety with relatively short duration of follow up. </w:t>
      </w:r>
      <w:r w:rsidR="003E2AE3" w:rsidRPr="00DD3614">
        <w:rPr>
          <w:rFonts w:ascii="Book Antiqua" w:hAnsi="Book Antiqua" w:cstheme="minorHAnsi"/>
        </w:rPr>
        <w:t>It cannot be disputed that d</w:t>
      </w:r>
      <w:r w:rsidR="004876DC" w:rsidRPr="00DD3614">
        <w:rPr>
          <w:rFonts w:ascii="Book Antiqua" w:hAnsi="Book Antiqua" w:cstheme="minorHAnsi"/>
        </w:rPr>
        <w:t xml:space="preserve">rug specific differences </w:t>
      </w:r>
      <w:r w:rsidR="003E2AE3" w:rsidRPr="00DD3614">
        <w:rPr>
          <w:rFonts w:ascii="Book Antiqua" w:hAnsi="Book Antiqua" w:cstheme="minorHAnsi"/>
        </w:rPr>
        <w:t xml:space="preserve">in GLP-1 </w:t>
      </w:r>
      <w:r w:rsidR="00DD3614" w:rsidRPr="00DD3614">
        <w:rPr>
          <w:rFonts w:ascii="Book Antiqua" w:hAnsi="Book Antiqua"/>
        </w:rPr>
        <w:t>RA</w:t>
      </w:r>
      <w:r w:rsidR="003E2AE3" w:rsidRPr="00DD3614">
        <w:rPr>
          <w:rFonts w:ascii="Book Antiqua" w:hAnsi="Book Antiqua" w:cstheme="minorHAnsi"/>
        </w:rPr>
        <w:t xml:space="preserve"> class </w:t>
      </w:r>
      <w:r w:rsidR="004876DC" w:rsidRPr="00DD3614">
        <w:rPr>
          <w:rFonts w:ascii="Book Antiqua" w:hAnsi="Book Antiqua" w:cstheme="minorHAnsi"/>
        </w:rPr>
        <w:t xml:space="preserve">(structural </w:t>
      </w:r>
      <w:r w:rsidR="0005382F" w:rsidRPr="00DD3614">
        <w:rPr>
          <w:rFonts w:ascii="Book Antiqua" w:hAnsi="Book Antiqua" w:cstheme="minorHAnsi"/>
        </w:rPr>
        <w:t>similarities to human GLP-1</w:t>
      </w:r>
      <w:r w:rsidR="007C348D" w:rsidRPr="00DD3614">
        <w:rPr>
          <w:rFonts w:ascii="Book Antiqua" w:hAnsi="Book Antiqua" w:cstheme="minorHAnsi"/>
        </w:rPr>
        <w:t>,</w:t>
      </w:r>
      <w:r w:rsidR="0005382F" w:rsidRPr="00DD3614">
        <w:rPr>
          <w:rFonts w:ascii="Book Antiqua" w:hAnsi="Book Antiqua" w:cstheme="minorHAnsi"/>
        </w:rPr>
        <w:t xml:space="preserve"> and short acting vs longer acting GLP-1 </w:t>
      </w:r>
      <w:r w:rsidR="00DD3614" w:rsidRPr="00DD3614">
        <w:rPr>
          <w:rFonts w:ascii="Book Antiqua" w:hAnsi="Book Antiqua"/>
        </w:rPr>
        <w:t>RA</w:t>
      </w:r>
      <w:r w:rsidR="0005382F" w:rsidRPr="00DD3614">
        <w:rPr>
          <w:rFonts w:ascii="Book Antiqua" w:hAnsi="Book Antiqua" w:cstheme="minorHAnsi"/>
        </w:rPr>
        <w:t xml:space="preserve">s) may also have contributed to </w:t>
      </w:r>
      <w:r w:rsidR="00C34169" w:rsidRPr="00DD3614">
        <w:rPr>
          <w:rFonts w:ascii="Book Antiqua" w:hAnsi="Book Antiqua" w:cstheme="minorHAnsi"/>
        </w:rPr>
        <w:t xml:space="preserve">variable CV efficacy </w:t>
      </w:r>
      <w:r w:rsidR="0005382F" w:rsidRPr="00DD3614">
        <w:rPr>
          <w:rFonts w:ascii="Book Antiqua" w:hAnsi="Book Antiqua" w:cstheme="minorHAnsi"/>
        </w:rPr>
        <w:t xml:space="preserve">outcome. However, there is robust evidence </w:t>
      </w:r>
      <w:r w:rsidR="0047284A" w:rsidRPr="00DD3614">
        <w:rPr>
          <w:rFonts w:ascii="Book Antiqua" w:hAnsi="Book Antiqua" w:cstheme="minorHAnsi"/>
        </w:rPr>
        <w:t xml:space="preserve">for </w:t>
      </w:r>
      <w:r w:rsidR="00B852F5" w:rsidRPr="00DD3614">
        <w:rPr>
          <w:rFonts w:ascii="Book Antiqua" w:hAnsi="Book Antiqua"/>
        </w:rPr>
        <w:t>CV</w:t>
      </w:r>
      <w:r w:rsidR="0047284A" w:rsidRPr="00DD3614">
        <w:rPr>
          <w:rFonts w:ascii="Book Antiqua" w:hAnsi="Book Antiqua" w:cstheme="minorHAnsi"/>
        </w:rPr>
        <w:t xml:space="preserve"> safety of all </w:t>
      </w:r>
      <w:r w:rsidR="0005382F" w:rsidRPr="00DD3614">
        <w:rPr>
          <w:rFonts w:ascii="Book Antiqua" w:hAnsi="Book Antiqua" w:cstheme="minorHAnsi"/>
        </w:rPr>
        <w:t xml:space="preserve">GLP-1 </w:t>
      </w:r>
      <w:r w:rsidR="00DD3614" w:rsidRPr="00DD3614">
        <w:rPr>
          <w:rFonts w:ascii="Book Antiqua" w:hAnsi="Book Antiqua"/>
        </w:rPr>
        <w:t>RA</w:t>
      </w:r>
      <w:r w:rsidR="0047284A" w:rsidRPr="00DD3614">
        <w:rPr>
          <w:rFonts w:ascii="Book Antiqua" w:hAnsi="Book Antiqua" w:cstheme="minorHAnsi"/>
        </w:rPr>
        <w:t>s and it stand</w:t>
      </w:r>
      <w:r w:rsidR="007C348D" w:rsidRPr="00DD3614">
        <w:rPr>
          <w:rFonts w:ascii="Book Antiqua" w:hAnsi="Book Antiqua" w:cstheme="minorHAnsi"/>
        </w:rPr>
        <w:t>s</w:t>
      </w:r>
      <w:r w:rsidR="0047284A" w:rsidRPr="00DD3614">
        <w:rPr>
          <w:rFonts w:ascii="Book Antiqua" w:hAnsi="Book Antiqua" w:cstheme="minorHAnsi"/>
        </w:rPr>
        <w:t xml:space="preserve"> to reason that GLP-1 </w:t>
      </w:r>
      <w:r w:rsidR="00DD3614" w:rsidRPr="00DD3614">
        <w:rPr>
          <w:rFonts w:ascii="Book Antiqua" w:hAnsi="Book Antiqua"/>
        </w:rPr>
        <w:t>RA</w:t>
      </w:r>
      <w:r w:rsidR="0047284A" w:rsidRPr="00DD3614">
        <w:rPr>
          <w:rFonts w:ascii="Book Antiqua" w:hAnsi="Book Antiqua" w:cstheme="minorHAnsi"/>
        </w:rPr>
        <w:t xml:space="preserve"> drug class has favorable effect</w:t>
      </w:r>
      <w:r w:rsidR="007C348D" w:rsidRPr="00DD3614">
        <w:rPr>
          <w:rFonts w:ascii="Book Antiqua" w:hAnsi="Book Antiqua" w:cstheme="minorHAnsi"/>
        </w:rPr>
        <w:t>s</w:t>
      </w:r>
      <w:r w:rsidR="0047284A" w:rsidRPr="00DD3614">
        <w:rPr>
          <w:rFonts w:ascii="Book Antiqua" w:hAnsi="Book Antiqua" w:cstheme="minorHAnsi"/>
        </w:rPr>
        <w:t xml:space="preserve"> on </w:t>
      </w:r>
      <w:r w:rsidR="00B852F5" w:rsidRPr="00DD3614">
        <w:rPr>
          <w:rFonts w:ascii="Book Antiqua" w:hAnsi="Book Antiqua"/>
        </w:rPr>
        <w:t>MACE</w:t>
      </w:r>
      <w:r w:rsidR="00617049" w:rsidRPr="00DD3614">
        <w:rPr>
          <w:rFonts w:ascii="Book Antiqua" w:hAnsi="Book Antiqua" w:cstheme="minorHAnsi"/>
        </w:rPr>
        <w:t xml:space="preserve"> (CV death, non</w:t>
      </w:r>
      <w:r w:rsidR="0047284A" w:rsidRPr="00DD3614">
        <w:rPr>
          <w:rFonts w:ascii="Book Antiqua" w:hAnsi="Book Antiqua" w:cstheme="minorHAnsi"/>
        </w:rPr>
        <w:t>fatal MI and nonfatal stroke)</w:t>
      </w:r>
      <w:r w:rsidR="006D1235" w:rsidRPr="00DD3614">
        <w:rPr>
          <w:rFonts w:ascii="Book Antiqua" w:hAnsi="Book Antiqua" w:cstheme="minorHAnsi"/>
        </w:rPr>
        <w:t>.</w:t>
      </w:r>
    </w:p>
    <w:p w:rsidR="00D02456" w:rsidRPr="00DD3614" w:rsidRDefault="00D02456" w:rsidP="00441037">
      <w:pPr>
        <w:autoSpaceDE w:val="0"/>
        <w:autoSpaceDN w:val="0"/>
        <w:adjustRightInd w:val="0"/>
        <w:spacing w:line="360" w:lineRule="auto"/>
        <w:jc w:val="both"/>
        <w:rPr>
          <w:rFonts w:ascii="Book Antiqua" w:hAnsi="Book Antiqua" w:cstheme="minorHAnsi"/>
        </w:rPr>
      </w:pPr>
    </w:p>
    <w:p w:rsidR="00D02456" w:rsidRPr="00DD3614" w:rsidRDefault="00FC2F01" w:rsidP="00441037">
      <w:pPr>
        <w:spacing w:line="360" w:lineRule="auto"/>
        <w:jc w:val="both"/>
        <w:rPr>
          <w:rFonts w:ascii="Book Antiqua" w:hAnsi="Book Antiqua" w:cstheme="minorHAnsi"/>
          <w:b/>
        </w:rPr>
      </w:pPr>
      <w:r w:rsidRPr="00FC2F01">
        <w:rPr>
          <w:rFonts w:ascii="Book Antiqua" w:hAnsi="Book Antiqua"/>
          <w:b/>
        </w:rPr>
        <w:t>SGLT-2</w:t>
      </w:r>
      <w:r w:rsidR="00A17AD4" w:rsidRPr="00DD3614">
        <w:rPr>
          <w:rFonts w:ascii="Book Antiqua" w:hAnsi="Book Antiqua" w:cstheme="minorHAnsi"/>
          <w:b/>
        </w:rPr>
        <w:t>-INHIBITORS</w:t>
      </w:r>
    </w:p>
    <w:p w:rsidR="00D02456" w:rsidRPr="00DD3614" w:rsidRDefault="00FC2F01" w:rsidP="00441037">
      <w:pPr>
        <w:spacing w:line="360" w:lineRule="auto"/>
        <w:jc w:val="both"/>
        <w:rPr>
          <w:rFonts w:ascii="Book Antiqua" w:hAnsi="Book Antiqua" w:cstheme="minorHAnsi"/>
        </w:rPr>
      </w:pPr>
      <w:r w:rsidRPr="00DD3614">
        <w:rPr>
          <w:rFonts w:ascii="Book Antiqua" w:hAnsi="Book Antiqua"/>
        </w:rPr>
        <w:t>SGLT-2</w:t>
      </w:r>
      <w:r w:rsidR="00D02456" w:rsidRPr="00DD3614">
        <w:rPr>
          <w:rFonts w:ascii="Book Antiqua" w:hAnsi="Book Antiqua" w:cstheme="minorHAnsi"/>
        </w:rPr>
        <w:t xml:space="preserve"> proteins are expressed in the proximal convoluted tubule of the kidneys and are responsible for </w:t>
      </w:r>
      <w:r w:rsidR="00A17AD4">
        <w:rPr>
          <w:rFonts w:ascii="Book Antiqua" w:hAnsi="Book Antiqua" w:cstheme="minorHAnsi"/>
        </w:rPr>
        <w:t>approximately</w:t>
      </w:r>
      <w:r w:rsidR="00D02456" w:rsidRPr="00DD3614">
        <w:rPr>
          <w:rFonts w:ascii="Book Antiqua" w:hAnsi="Book Antiqua" w:cstheme="minorHAnsi"/>
        </w:rPr>
        <w:t xml:space="preserve"> 90% </w:t>
      </w:r>
      <w:r w:rsidR="00A678A6" w:rsidRPr="00DD3614">
        <w:rPr>
          <w:rFonts w:ascii="Book Antiqua" w:hAnsi="Book Antiqua" w:cstheme="minorHAnsi"/>
        </w:rPr>
        <w:t xml:space="preserve">of renal glucose </w:t>
      </w:r>
      <w:proofErr w:type="gramStart"/>
      <w:r w:rsidR="00A678A6" w:rsidRPr="00DD3614">
        <w:rPr>
          <w:rFonts w:ascii="Book Antiqua" w:hAnsi="Book Antiqua" w:cstheme="minorHAnsi"/>
        </w:rPr>
        <w:t>reabsorption</w:t>
      </w:r>
      <w:r w:rsidR="00A678A6" w:rsidRPr="00DD3614">
        <w:rPr>
          <w:rFonts w:ascii="Book Antiqua" w:hAnsi="Book Antiqua" w:cstheme="minorHAnsi"/>
          <w:vertAlign w:val="superscript"/>
        </w:rPr>
        <w:t>[</w:t>
      </w:r>
      <w:proofErr w:type="gramEnd"/>
      <w:r w:rsidR="00A678A6" w:rsidRPr="00DD3614">
        <w:rPr>
          <w:rFonts w:ascii="Book Antiqua" w:hAnsi="Book Antiqua" w:cstheme="minorHAnsi"/>
          <w:vertAlign w:val="superscript"/>
        </w:rPr>
        <w:t>15,</w:t>
      </w:r>
      <w:r w:rsidR="002F5CC0" w:rsidRPr="00DD3614">
        <w:rPr>
          <w:rFonts w:ascii="Book Antiqua" w:hAnsi="Book Antiqua" w:cstheme="minorHAnsi"/>
          <w:vertAlign w:val="superscript"/>
        </w:rPr>
        <w:t>16</w:t>
      </w:r>
      <w:r w:rsidR="00A678A6" w:rsidRPr="00DD3614">
        <w:rPr>
          <w:rFonts w:ascii="Book Antiqua" w:hAnsi="Book Antiqua" w:cstheme="minorHAnsi"/>
          <w:vertAlign w:val="superscript"/>
        </w:rPr>
        <w:t>]</w:t>
      </w:r>
      <w:r w:rsidR="00D02456" w:rsidRPr="00DD3614">
        <w:rPr>
          <w:rFonts w:ascii="Book Antiqua" w:hAnsi="Book Antiqua" w:cstheme="minorHAnsi"/>
        </w:rPr>
        <w:t xml:space="preserve">. </w:t>
      </w:r>
      <w:r w:rsidRPr="00DD3614">
        <w:rPr>
          <w:rFonts w:ascii="Book Antiqua" w:hAnsi="Book Antiqua"/>
        </w:rPr>
        <w:t>SGLT-2</w:t>
      </w:r>
      <w:r w:rsidR="00D02456" w:rsidRPr="00DD3614">
        <w:rPr>
          <w:rFonts w:ascii="Book Antiqua" w:hAnsi="Book Antiqua" w:cstheme="minorHAnsi"/>
        </w:rPr>
        <w:t xml:space="preserve"> inhibitors are FDA approved drugs </w:t>
      </w:r>
      <w:r w:rsidR="00DF77F7" w:rsidRPr="00DD3614">
        <w:rPr>
          <w:rFonts w:ascii="Book Antiqua" w:hAnsi="Book Antiqua" w:cstheme="minorHAnsi"/>
        </w:rPr>
        <w:t>for treatment of patients with T2DM that work through a unique</w:t>
      </w:r>
      <w:r w:rsidR="00D02456" w:rsidRPr="00DD3614">
        <w:rPr>
          <w:rFonts w:ascii="Book Antiqua" w:hAnsi="Book Antiqua" w:cstheme="minorHAnsi"/>
        </w:rPr>
        <w:t xml:space="preserve"> mechanism of reducing renal threshold for glucose reabsorption</w:t>
      </w:r>
      <w:r w:rsidR="00807846" w:rsidRPr="00DD3614">
        <w:rPr>
          <w:rFonts w:ascii="Book Antiqua" w:hAnsi="Book Antiqua" w:cstheme="minorHAnsi"/>
        </w:rPr>
        <w:t>,</w:t>
      </w:r>
      <w:r w:rsidR="00D02456" w:rsidRPr="00DD3614">
        <w:rPr>
          <w:rFonts w:ascii="Book Antiqua" w:hAnsi="Book Antiqua" w:cstheme="minorHAnsi"/>
        </w:rPr>
        <w:t xml:space="preserve"> resulting in increased glycosuria and decreased blood glucose. There ar</w:t>
      </w:r>
      <w:r w:rsidR="00004F8A" w:rsidRPr="00DD3614">
        <w:rPr>
          <w:rFonts w:ascii="Book Antiqua" w:hAnsi="Book Antiqua" w:cstheme="minorHAnsi"/>
        </w:rPr>
        <w:t xml:space="preserve">e currently four drugs in </w:t>
      </w:r>
      <w:r w:rsidRPr="00DD3614">
        <w:rPr>
          <w:rFonts w:ascii="Book Antiqua" w:hAnsi="Book Antiqua"/>
        </w:rPr>
        <w:t>SGLT-2</w:t>
      </w:r>
      <w:r w:rsidR="00004F8A" w:rsidRPr="00DD3614">
        <w:rPr>
          <w:rFonts w:ascii="Book Antiqua" w:hAnsi="Book Antiqua" w:cstheme="minorHAnsi"/>
        </w:rPr>
        <w:t>-</w:t>
      </w:r>
      <w:r w:rsidR="00D02456" w:rsidRPr="00DD3614">
        <w:rPr>
          <w:rFonts w:ascii="Book Antiqua" w:hAnsi="Book Antiqua" w:cstheme="minorHAnsi"/>
        </w:rPr>
        <w:t>inhibitor class approved by US FDA; Canagliflozin (approved in 2013), Dapagliflozin (approved in 2014), Empagliflozin (approved in 2014) and Ertugliflozin (approved in 2017).</w:t>
      </w:r>
      <w:r w:rsidR="00DE5F30" w:rsidRPr="00DD3614">
        <w:rPr>
          <w:rFonts w:ascii="Book Antiqua" w:hAnsi="Book Antiqua" w:cstheme="minorHAnsi"/>
        </w:rPr>
        <w:t xml:space="preserve"> </w:t>
      </w:r>
      <w:r w:rsidRPr="00DD3614">
        <w:rPr>
          <w:rFonts w:ascii="Book Antiqua" w:hAnsi="Book Antiqua"/>
        </w:rPr>
        <w:t>SGLT-2</w:t>
      </w:r>
      <w:r w:rsidR="00DE5F30" w:rsidRPr="00DD3614">
        <w:rPr>
          <w:rFonts w:ascii="Book Antiqua" w:hAnsi="Book Antiqua" w:cstheme="minorHAnsi"/>
        </w:rPr>
        <w:t xml:space="preserve">-inhibitor drugs are only approved for estimated glomerular filtration rate (GFR) &gt; 45. </w:t>
      </w:r>
      <w:r w:rsidR="00004F8A" w:rsidRPr="00DD3614">
        <w:rPr>
          <w:rFonts w:ascii="Book Antiqua" w:hAnsi="Book Antiqua" w:cstheme="minorHAnsi"/>
        </w:rPr>
        <w:t>Several recent l</w:t>
      </w:r>
      <w:r w:rsidR="00D02456" w:rsidRPr="00DD3614">
        <w:rPr>
          <w:rFonts w:ascii="Book Antiqua" w:hAnsi="Book Antiqua" w:cstheme="minorHAnsi"/>
        </w:rPr>
        <w:t xml:space="preserve">arge-scale clinical trials have provided exciting data on CV safety and efficacy of empagliflozin, canagliflozin and dapagliflozin. </w:t>
      </w:r>
      <w:r w:rsidR="007C348D" w:rsidRPr="00DD3614">
        <w:rPr>
          <w:rFonts w:ascii="Book Antiqua" w:hAnsi="Book Antiqua" w:cstheme="minorHAnsi"/>
        </w:rPr>
        <w:t>A c</w:t>
      </w:r>
      <w:r w:rsidR="00D02456" w:rsidRPr="00DD3614">
        <w:rPr>
          <w:rFonts w:ascii="Book Antiqua" w:hAnsi="Book Antiqua" w:cstheme="minorHAnsi"/>
        </w:rPr>
        <w:t xml:space="preserve">linical trial looking at the CV safety of Ertugliflozin is currently ongoing and is expected to be completed in September, 2019. </w:t>
      </w:r>
    </w:p>
    <w:p w:rsidR="00D62B2E" w:rsidRPr="00DD3614" w:rsidRDefault="00D62B2E" w:rsidP="00441037">
      <w:pPr>
        <w:spacing w:line="360" w:lineRule="auto"/>
        <w:jc w:val="both"/>
        <w:rPr>
          <w:rFonts w:ascii="Book Antiqua" w:hAnsi="Book Antiqua" w:cstheme="minorHAnsi"/>
        </w:rPr>
      </w:pPr>
    </w:p>
    <w:p w:rsidR="00D02456" w:rsidRPr="00DD3614" w:rsidRDefault="00FC2F01" w:rsidP="00441037">
      <w:pPr>
        <w:spacing w:line="360" w:lineRule="auto"/>
        <w:jc w:val="both"/>
        <w:rPr>
          <w:rFonts w:ascii="Book Antiqua" w:hAnsi="Book Antiqua" w:cstheme="minorHAnsi"/>
          <w:b/>
        </w:rPr>
      </w:pPr>
      <w:r w:rsidRPr="00FC2F01">
        <w:rPr>
          <w:rFonts w:ascii="Book Antiqua" w:hAnsi="Book Antiqua"/>
          <w:b/>
        </w:rPr>
        <w:t>SGLT-2</w:t>
      </w:r>
      <w:r w:rsidR="00A17AD4" w:rsidRPr="00DD3614">
        <w:rPr>
          <w:rFonts w:ascii="Book Antiqua" w:hAnsi="Book Antiqua" w:cstheme="minorHAnsi"/>
          <w:b/>
        </w:rPr>
        <w:t>-INHIBITORS CV OUTCOME STUDIES</w:t>
      </w:r>
    </w:p>
    <w:p w:rsidR="00D02456" w:rsidRPr="00DD3614" w:rsidRDefault="00D02456" w:rsidP="00441037">
      <w:pPr>
        <w:spacing w:line="360" w:lineRule="auto"/>
        <w:jc w:val="both"/>
        <w:rPr>
          <w:rFonts w:ascii="Book Antiqua" w:hAnsi="Book Antiqua" w:cstheme="minorHAnsi"/>
        </w:rPr>
      </w:pPr>
      <w:r w:rsidRPr="00DD3614">
        <w:rPr>
          <w:rFonts w:ascii="Book Antiqua" w:hAnsi="Book Antiqua" w:cstheme="minorHAnsi"/>
        </w:rPr>
        <w:t>Empagliflozin, Cardiovascular Outcomes, and Mortality in Type 2 Diabetes (EMPA-REG OUTCOME) studied</w:t>
      </w:r>
      <w:r w:rsidR="00B228E8" w:rsidRPr="00DD3614">
        <w:rPr>
          <w:rFonts w:ascii="Book Antiqua" w:hAnsi="Book Antiqua" w:cstheme="minorHAnsi"/>
        </w:rPr>
        <w:t xml:space="preserve"> CV</w:t>
      </w:r>
      <w:r w:rsidRPr="00DD3614">
        <w:rPr>
          <w:rFonts w:ascii="Book Antiqua" w:hAnsi="Book Antiqua" w:cstheme="minorHAnsi"/>
        </w:rPr>
        <w:t xml:space="preserve"> safety and efficacy of empagliflozin in 7028 patients with T2DM and established CV </w:t>
      </w:r>
      <w:proofErr w:type="gramStart"/>
      <w:r w:rsidRPr="00DD3614">
        <w:rPr>
          <w:rFonts w:ascii="Book Antiqua" w:hAnsi="Book Antiqua" w:cstheme="minorHAnsi"/>
        </w:rPr>
        <w:t>disease</w:t>
      </w:r>
      <w:r w:rsidR="00A678A6" w:rsidRPr="00DD3614">
        <w:rPr>
          <w:rFonts w:ascii="Book Antiqua" w:hAnsi="Book Antiqua" w:cstheme="minorHAnsi"/>
          <w:vertAlign w:val="superscript"/>
        </w:rPr>
        <w:t>[</w:t>
      </w:r>
      <w:proofErr w:type="gramEnd"/>
      <w:r w:rsidR="00A678A6" w:rsidRPr="00DD3614">
        <w:rPr>
          <w:rFonts w:ascii="Book Antiqua" w:hAnsi="Book Antiqua" w:cstheme="minorHAnsi"/>
          <w:vertAlign w:val="superscript"/>
        </w:rPr>
        <w:t>17]</w:t>
      </w:r>
      <w:r w:rsidRPr="00DD3614">
        <w:rPr>
          <w:rFonts w:ascii="Book Antiqua" w:hAnsi="Book Antiqua" w:cstheme="minorHAnsi"/>
        </w:rPr>
        <w:t xml:space="preserve">. Patients were randomized in a 1:1:1 fashion to receive either empagliflozin 10 mg, empagliflozin 25 mg, or placebo. Pooled </w:t>
      </w:r>
      <w:r w:rsidRPr="008B3D7C">
        <w:rPr>
          <w:rFonts w:ascii="Book Antiqua" w:hAnsi="Book Antiqua" w:cstheme="minorHAnsi"/>
        </w:rPr>
        <w:t>empagliflozin</w:t>
      </w:r>
      <w:r w:rsidRPr="00DD3614">
        <w:rPr>
          <w:rFonts w:ascii="Book Antiqua" w:hAnsi="Book Antiqua" w:cstheme="minorHAnsi"/>
        </w:rPr>
        <w:t xml:space="preserve"> was superior </w:t>
      </w:r>
      <w:r w:rsidR="006D3D28" w:rsidRPr="00DD3614">
        <w:rPr>
          <w:rFonts w:ascii="Book Antiqua" w:hAnsi="Book Antiqua" w:cstheme="minorHAnsi"/>
        </w:rPr>
        <w:t xml:space="preserve">to placebo </w:t>
      </w:r>
      <w:r w:rsidRPr="00DD3614">
        <w:rPr>
          <w:rFonts w:ascii="Book Antiqua" w:hAnsi="Book Antiqua" w:cstheme="minorHAnsi"/>
        </w:rPr>
        <w:t>for primary composite outcome of MACE (a composite of CV death, nonfatal MI, or nonfatal stroke</w:t>
      </w:r>
      <w:r w:rsidR="006D3D28" w:rsidRPr="00DD3614">
        <w:rPr>
          <w:rFonts w:ascii="Book Antiqua" w:hAnsi="Book Antiqua" w:cstheme="minorHAnsi"/>
        </w:rPr>
        <w:t>)</w:t>
      </w:r>
      <w:r w:rsidRPr="00DD3614">
        <w:rPr>
          <w:rFonts w:ascii="Book Antiqua" w:hAnsi="Book Antiqua" w:cstheme="minorHAnsi"/>
        </w:rPr>
        <w:t xml:space="preserve">. Results were similar for two doses of empagliflozin vs placebo </w:t>
      </w:r>
      <w:r w:rsidR="006D3D28" w:rsidRPr="00DD3614">
        <w:rPr>
          <w:rFonts w:ascii="Book Antiqua" w:hAnsi="Book Antiqua" w:cstheme="minorHAnsi"/>
        </w:rPr>
        <w:t>for the primary end</w:t>
      </w:r>
      <w:r w:rsidRPr="00DD3614">
        <w:rPr>
          <w:rFonts w:ascii="Book Antiqua" w:hAnsi="Book Antiqua" w:cstheme="minorHAnsi"/>
        </w:rPr>
        <w:t xml:space="preserve">point. Pooled empagliflozin group showed 14% reduced relative risk </w:t>
      </w:r>
      <w:r w:rsidR="007462BA" w:rsidRPr="00DD3614">
        <w:rPr>
          <w:rFonts w:ascii="Book Antiqua" w:hAnsi="Book Antiqua" w:cstheme="minorHAnsi"/>
        </w:rPr>
        <w:t>for</w:t>
      </w:r>
      <w:r w:rsidRPr="00DD3614">
        <w:rPr>
          <w:rFonts w:ascii="Book Antiqua" w:hAnsi="Book Antiqua" w:cstheme="minorHAnsi"/>
        </w:rPr>
        <w:t xml:space="preserve"> MACE (10.5%</w:t>
      </w:r>
      <w:r w:rsidRPr="006F744A">
        <w:rPr>
          <w:rFonts w:ascii="Book Antiqua" w:hAnsi="Book Antiqua" w:cstheme="minorHAnsi"/>
          <w:i/>
        </w:rPr>
        <w:t xml:space="preserve"> vs </w:t>
      </w:r>
      <w:r w:rsidRPr="00DD3614">
        <w:rPr>
          <w:rFonts w:ascii="Book Antiqua" w:hAnsi="Book Antiqua" w:cstheme="minorHAnsi"/>
        </w:rPr>
        <w:t>12.1% events; HR</w:t>
      </w:r>
      <w:r w:rsidR="007462BA" w:rsidRPr="00DD3614">
        <w:rPr>
          <w:rFonts w:ascii="Book Antiqua" w:hAnsi="Book Antiqua" w:cstheme="minorHAnsi"/>
        </w:rPr>
        <w:t>,</w:t>
      </w:r>
      <w:r w:rsidRPr="00DD3614">
        <w:rPr>
          <w:rFonts w:ascii="Book Antiqua" w:hAnsi="Book Antiqua" w:cstheme="minorHAnsi"/>
        </w:rPr>
        <w:t xml:space="preserve"> 0.86; </w:t>
      </w:r>
      <w:r w:rsidR="00DD3614" w:rsidRPr="00DD3614">
        <w:rPr>
          <w:rFonts w:ascii="Book Antiqua" w:hAnsi="Book Antiqua" w:cstheme="minorHAnsi"/>
        </w:rPr>
        <w:t>95%CI:</w:t>
      </w:r>
      <w:r w:rsidRPr="00DD3614">
        <w:rPr>
          <w:rFonts w:ascii="Book Antiqua" w:hAnsi="Book Antiqua" w:cstheme="minorHAnsi"/>
        </w:rPr>
        <w:t xml:space="preserve"> 0.74 to 0.99; </w:t>
      </w:r>
      <w:r w:rsidR="006F744A" w:rsidRPr="006F744A">
        <w:rPr>
          <w:rFonts w:ascii="Book Antiqua" w:hAnsi="Book Antiqua" w:cstheme="minorHAnsi"/>
          <w:i/>
        </w:rPr>
        <w:t>P</w:t>
      </w:r>
      <w:r w:rsidRPr="00DD3614">
        <w:rPr>
          <w:rFonts w:ascii="Book Antiqua" w:hAnsi="Book Antiqua" w:cstheme="minorHAnsi"/>
        </w:rPr>
        <w:t xml:space="preserve"> &lt; 0.001 for noninferiority; </w:t>
      </w:r>
      <w:r w:rsidR="006F744A" w:rsidRPr="006F744A">
        <w:rPr>
          <w:rFonts w:ascii="Book Antiqua" w:hAnsi="Book Antiqua" w:cstheme="minorHAnsi"/>
          <w:i/>
        </w:rPr>
        <w:t>P</w:t>
      </w:r>
      <w:r w:rsidRPr="00DD3614">
        <w:rPr>
          <w:rFonts w:ascii="Book Antiqua" w:hAnsi="Book Antiqua" w:cstheme="minorHAnsi"/>
        </w:rPr>
        <w:t xml:space="preserve"> = 0.04 for superiority), 38% relative risk reduction for CV deaths (3.7% </w:t>
      </w:r>
      <w:r w:rsidRPr="006F744A">
        <w:rPr>
          <w:rFonts w:ascii="Book Antiqua" w:hAnsi="Book Antiqua" w:cstheme="minorHAnsi"/>
          <w:i/>
        </w:rPr>
        <w:t>vs</w:t>
      </w:r>
      <w:r w:rsidRPr="00DD3614">
        <w:rPr>
          <w:rFonts w:ascii="Book Antiqua" w:hAnsi="Book Antiqua" w:cstheme="minorHAnsi"/>
        </w:rPr>
        <w:t xml:space="preserve"> 5.9%, </w:t>
      </w:r>
      <w:r w:rsidR="006F744A" w:rsidRPr="006F744A">
        <w:rPr>
          <w:rFonts w:ascii="Book Antiqua" w:hAnsi="Book Antiqua" w:cstheme="minorHAnsi"/>
          <w:i/>
        </w:rPr>
        <w:t>P</w:t>
      </w:r>
      <w:r w:rsidRPr="00DD3614">
        <w:rPr>
          <w:rFonts w:ascii="Book Antiqua" w:hAnsi="Book Antiqua" w:cstheme="minorHAnsi"/>
        </w:rPr>
        <w:t xml:space="preserve"> &lt; 0.001), 35% relative risk reduction for CHF hospitalization (2.7%</w:t>
      </w:r>
      <w:r w:rsidRPr="006F744A">
        <w:rPr>
          <w:rFonts w:ascii="Book Antiqua" w:hAnsi="Book Antiqua" w:cstheme="minorHAnsi"/>
          <w:i/>
        </w:rPr>
        <w:t xml:space="preserve"> vs</w:t>
      </w:r>
      <w:r w:rsidRPr="00DD3614">
        <w:rPr>
          <w:rFonts w:ascii="Book Antiqua" w:hAnsi="Book Antiqua" w:cstheme="minorHAnsi"/>
        </w:rPr>
        <w:t xml:space="preserve"> 4.1%,</w:t>
      </w:r>
      <w:r w:rsidR="006F744A" w:rsidRPr="006F744A">
        <w:rPr>
          <w:rFonts w:ascii="Book Antiqua" w:hAnsi="Book Antiqua" w:cstheme="minorHAnsi"/>
          <w:i/>
        </w:rPr>
        <w:t xml:space="preserve"> P</w:t>
      </w:r>
      <w:r w:rsidRPr="00DD3614">
        <w:rPr>
          <w:rFonts w:ascii="Book Antiqua" w:hAnsi="Book Antiqua" w:cstheme="minorHAnsi"/>
        </w:rPr>
        <w:t xml:space="preserve"> = 0.002) and 32% relative risk reduction for all</w:t>
      </w:r>
      <w:r w:rsidR="00152140" w:rsidRPr="00DD3614">
        <w:rPr>
          <w:rFonts w:ascii="Book Antiqua" w:hAnsi="Book Antiqua" w:cstheme="minorHAnsi"/>
        </w:rPr>
        <w:t xml:space="preserve">-cause mortality (5.7% </w:t>
      </w:r>
      <w:r w:rsidR="00152140" w:rsidRPr="006F744A">
        <w:rPr>
          <w:rFonts w:ascii="Book Antiqua" w:hAnsi="Book Antiqua" w:cstheme="minorHAnsi"/>
          <w:i/>
        </w:rPr>
        <w:t>vs</w:t>
      </w:r>
      <w:r w:rsidR="00152140" w:rsidRPr="00DD3614">
        <w:rPr>
          <w:rFonts w:ascii="Book Antiqua" w:hAnsi="Book Antiqua" w:cstheme="minorHAnsi"/>
        </w:rPr>
        <w:t xml:space="preserve"> 8.3%,</w:t>
      </w:r>
      <w:r w:rsidRPr="00DD3614">
        <w:rPr>
          <w:rFonts w:ascii="Book Antiqua" w:hAnsi="Book Antiqua" w:cstheme="minorHAnsi"/>
        </w:rPr>
        <w:t xml:space="preserve"> </w:t>
      </w:r>
      <w:r w:rsidR="006F744A" w:rsidRPr="006F744A">
        <w:rPr>
          <w:rFonts w:ascii="Book Antiqua" w:hAnsi="Book Antiqua" w:cstheme="minorHAnsi"/>
          <w:i/>
        </w:rPr>
        <w:t>P</w:t>
      </w:r>
      <w:r w:rsidRPr="00DD3614">
        <w:rPr>
          <w:rFonts w:ascii="Book Antiqua" w:hAnsi="Book Antiqua" w:cstheme="minorHAnsi"/>
        </w:rPr>
        <w:t xml:space="preserve"> &lt; 0.0</w:t>
      </w:r>
      <w:r w:rsidR="00152140" w:rsidRPr="00DD3614">
        <w:rPr>
          <w:rFonts w:ascii="Book Antiqua" w:hAnsi="Book Antiqua" w:cstheme="minorHAnsi"/>
        </w:rPr>
        <w:t>0</w:t>
      </w:r>
      <w:r w:rsidRPr="00DD3614">
        <w:rPr>
          <w:rFonts w:ascii="Book Antiqua" w:hAnsi="Book Antiqua" w:cstheme="minorHAnsi"/>
        </w:rPr>
        <w:t xml:space="preserve">1). </w:t>
      </w:r>
      <w:r w:rsidR="00AD7AF9" w:rsidRPr="00DD3614">
        <w:rPr>
          <w:rFonts w:ascii="Book Antiqua" w:hAnsi="Book Antiqua" w:cstheme="minorHAnsi"/>
        </w:rPr>
        <w:t>Heart failure</w:t>
      </w:r>
      <w:r w:rsidRPr="00DD3614">
        <w:rPr>
          <w:rFonts w:ascii="Book Antiqua" w:hAnsi="Book Antiqua" w:cstheme="minorHAnsi"/>
        </w:rPr>
        <w:t xml:space="preserve"> hospitalization risk reduction results were similar in patients with and without CHF at baseline. Patients with established chronic kidney disease had numerically higher event rates for all outcomes than in patients with estimated GFR &gt; 60 m</w:t>
      </w:r>
      <w:r w:rsidR="006F744A" w:rsidRPr="00DD3614">
        <w:rPr>
          <w:rFonts w:ascii="Book Antiqua" w:hAnsi="Book Antiqua" w:cstheme="minorHAnsi"/>
        </w:rPr>
        <w:t>L</w:t>
      </w:r>
      <w:r w:rsidRPr="00DD3614">
        <w:rPr>
          <w:rFonts w:ascii="Book Antiqua" w:hAnsi="Book Antiqua" w:cstheme="minorHAnsi"/>
        </w:rPr>
        <w:t xml:space="preserve">/min in both treatment and placebo groups. </w:t>
      </w:r>
    </w:p>
    <w:p w:rsidR="003C0367" w:rsidRPr="00DD3614" w:rsidRDefault="00D02456" w:rsidP="006F744A">
      <w:pPr>
        <w:spacing w:line="360" w:lineRule="auto"/>
        <w:ind w:firstLineChars="100" w:firstLine="240"/>
        <w:jc w:val="both"/>
        <w:rPr>
          <w:rFonts w:ascii="Book Antiqua" w:hAnsi="Book Antiqua" w:cstheme="minorHAnsi"/>
        </w:rPr>
      </w:pPr>
      <w:r w:rsidRPr="00DD3614">
        <w:rPr>
          <w:rFonts w:ascii="Book Antiqua" w:hAnsi="Book Antiqua" w:cstheme="minorHAnsi"/>
        </w:rPr>
        <w:t xml:space="preserve">The Canagliflozin Cardiovascular Assessment Study (CANVAS) comprised of two identical trials studying non-inferiority and superiority of canagliflozin compared </w:t>
      </w:r>
      <w:r w:rsidR="007C348D" w:rsidRPr="00DD3614">
        <w:rPr>
          <w:rFonts w:ascii="Book Antiqua" w:hAnsi="Book Antiqua" w:cstheme="minorHAnsi"/>
        </w:rPr>
        <w:t xml:space="preserve">with </w:t>
      </w:r>
      <w:r w:rsidRPr="00DD3614">
        <w:rPr>
          <w:rFonts w:ascii="Book Antiqua" w:hAnsi="Book Antiqua" w:cstheme="minorHAnsi"/>
        </w:rPr>
        <w:t xml:space="preserve">placebo </w:t>
      </w:r>
      <w:r w:rsidR="00101EDF" w:rsidRPr="00DD3614">
        <w:rPr>
          <w:rFonts w:ascii="Book Antiqua" w:hAnsi="Book Antiqua" w:cstheme="minorHAnsi"/>
        </w:rPr>
        <w:t>on</w:t>
      </w:r>
      <w:r w:rsidRPr="00DD3614">
        <w:rPr>
          <w:rFonts w:ascii="Book Antiqua" w:hAnsi="Book Antiqua" w:cstheme="minorHAnsi"/>
        </w:rPr>
        <w:t xml:space="preserve"> MACE (a composite of CV death, nonfatal MI, or nonfatal stroke); CV death and death from any </w:t>
      </w:r>
      <w:proofErr w:type="gramStart"/>
      <w:r w:rsidRPr="00DD3614">
        <w:rPr>
          <w:rFonts w:ascii="Book Antiqua" w:hAnsi="Book Antiqua" w:cstheme="minorHAnsi"/>
        </w:rPr>
        <w:t>cause</w:t>
      </w:r>
      <w:r w:rsidR="00A678A6" w:rsidRPr="00DD3614">
        <w:rPr>
          <w:rFonts w:ascii="Book Antiqua" w:hAnsi="Book Antiqua" w:cstheme="minorHAnsi"/>
          <w:vertAlign w:val="superscript"/>
        </w:rPr>
        <w:t>[</w:t>
      </w:r>
      <w:proofErr w:type="gramEnd"/>
      <w:r w:rsidR="00A678A6" w:rsidRPr="00DD3614">
        <w:rPr>
          <w:rFonts w:ascii="Book Antiqua" w:hAnsi="Book Antiqua" w:cstheme="minorHAnsi"/>
          <w:vertAlign w:val="superscript"/>
        </w:rPr>
        <w:t>18]</w:t>
      </w:r>
      <w:r w:rsidRPr="00DD3614">
        <w:rPr>
          <w:rFonts w:ascii="Book Antiqua" w:hAnsi="Book Antiqua" w:cstheme="minorHAnsi"/>
        </w:rPr>
        <w:t>. A total of 9</w:t>
      </w:r>
      <w:r w:rsidR="007C348D" w:rsidRPr="00DD3614">
        <w:rPr>
          <w:rFonts w:ascii="Book Antiqua" w:hAnsi="Book Antiqua" w:cstheme="minorHAnsi"/>
        </w:rPr>
        <w:t>,</w:t>
      </w:r>
      <w:r w:rsidRPr="00DD3614">
        <w:rPr>
          <w:rFonts w:ascii="Book Antiqua" w:hAnsi="Book Antiqua" w:cstheme="minorHAnsi"/>
        </w:rPr>
        <w:t>734 patients with T2DM and either established CV disease (age 30 years or above) or high risk of CV disease (age 50 years or above with 2 or more risk factors) completed the trial with a mean follow up of 188.2 wk. Results showed a</w:t>
      </w:r>
      <w:r w:rsidR="00101EDF" w:rsidRPr="00DD3614">
        <w:rPr>
          <w:rFonts w:ascii="Book Antiqua" w:hAnsi="Book Antiqua" w:cstheme="minorHAnsi"/>
        </w:rPr>
        <w:t xml:space="preserve"> significant decrease in primary endpoint of</w:t>
      </w:r>
      <w:r w:rsidRPr="00DD3614">
        <w:rPr>
          <w:rFonts w:ascii="Book Antiqua" w:hAnsi="Book Antiqua" w:cstheme="minorHAnsi"/>
        </w:rPr>
        <w:t xml:space="preserve"> MACE in canagliflozin </w:t>
      </w:r>
      <w:r w:rsidR="007C348D" w:rsidRPr="00DD3614">
        <w:rPr>
          <w:rFonts w:ascii="Book Antiqua" w:hAnsi="Book Antiqua" w:cstheme="minorHAnsi"/>
        </w:rPr>
        <w:t xml:space="preserve">treated individuals </w:t>
      </w:r>
      <w:r w:rsidRPr="00DD3614">
        <w:rPr>
          <w:rFonts w:ascii="Book Antiqua" w:hAnsi="Book Antiqua" w:cstheme="minorHAnsi"/>
        </w:rPr>
        <w:t xml:space="preserve">compared </w:t>
      </w:r>
      <w:r w:rsidR="007C348D" w:rsidRPr="00DD3614">
        <w:rPr>
          <w:rFonts w:ascii="Book Antiqua" w:hAnsi="Book Antiqua" w:cstheme="minorHAnsi"/>
        </w:rPr>
        <w:t xml:space="preserve">with </w:t>
      </w:r>
      <w:r w:rsidRPr="00DD3614">
        <w:rPr>
          <w:rFonts w:ascii="Book Antiqua" w:hAnsi="Book Antiqua" w:cstheme="minorHAnsi"/>
        </w:rPr>
        <w:t>placebo</w:t>
      </w:r>
      <w:r w:rsidR="00E93919" w:rsidRPr="00DD3614">
        <w:rPr>
          <w:rFonts w:ascii="Book Antiqua" w:hAnsi="Book Antiqua" w:cstheme="minorHAnsi"/>
        </w:rPr>
        <w:t xml:space="preserve"> (</w:t>
      </w:r>
      <w:r w:rsidRPr="00DD3614">
        <w:rPr>
          <w:rFonts w:ascii="Book Antiqua" w:hAnsi="Book Antiqua" w:cstheme="minorHAnsi"/>
        </w:rPr>
        <w:t xml:space="preserve">26.9 </w:t>
      </w:r>
      <w:r w:rsidRPr="006F744A">
        <w:rPr>
          <w:rFonts w:ascii="Book Antiqua" w:hAnsi="Book Antiqua" w:cstheme="minorHAnsi"/>
          <w:i/>
        </w:rPr>
        <w:t>vs</w:t>
      </w:r>
      <w:r w:rsidRPr="00DD3614">
        <w:rPr>
          <w:rFonts w:ascii="Book Antiqua" w:hAnsi="Book Antiqua" w:cstheme="minorHAnsi"/>
        </w:rPr>
        <w:t xml:space="preserve"> 31.5 participants with a</w:t>
      </w:r>
      <w:r w:rsidR="00E93919" w:rsidRPr="00DD3614">
        <w:rPr>
          <w:rFonts w:ascii="Book Antiqua" w:hAnsi="Book Antiqua" w:cstheme="minorHAnsi"/>
        </w:rPr>
        <w:t>n event per 1000 patient-years; HR</w:t>
      </w:r>
      <w:r w:rsidRPr="00DD3614">
        <w:rPr>
          <w:rFonts w:ascii="Book Antiqua" w:hAnsi="Book Antiqua" w:cstheme="minorHAnsi"/>
        </w:rPr>
        <w:t xml:space="preserve">, 0.86; </w:t>
      </w:r>
      <w:r w:rsidR="00DD3614" w:rsidRPr="00DD3614">
        <w:rPr>
          <w:rFonts w:ascii="Book Antiqua" w:hAnsi="Book Antiqua" w:cstheme="minorHAnsi"/>
        </w:rPr>
        <w:t>95%CI:</w:t>
      </w:r>
      <w:r w:rsidRPr="00DD3614">
        <w:rPr>
          <w:rFonts w:ascii="Book Antiqua" w:hAnsi="Book Antiqua" w:cstheme="minorHAnsi"/>
        </w:rPr>
        <w:t xml:space="preserve"> 0.75 to 0.97; </w:t>
      </w:r>
      <w:r w:rsidR="006F744A" w:rsidRPr="006F744A">
        <w:rPr>
          <w:rFonts w:ascii="Book Antiqua" w:hAnsi="Book Antiqua" w:cstheme="minorHAnsi"/>
          <w:i/>
        </w:rPr>
        <w:t>P</w:t>
      </w:r>
      <w:r w:rsidR="006F744A" w:rsidRPr="00DD3614">
        <w:rPr>
          <w:rFonts w:ascii="Book Antiqua" w:hAnsi="Book Antiqua" w:cstheme="minorHAnsi"/>
        </w:rPr>
        <w:t xml:space="preserve"> </w:t>
      </w:r>
      <w:r w:rsidRPr="00DD3614">
        <w:rPr>
          <w:rFonts w:ascii="Book Antiqua" w:hAnsi="Book Antiqua" w:cstheme="minorHAnsi"/>
        </w:rPr>
        <w:t>&lt;</w:t>
      </w:r>
      <w:r w:rsidR="006F744A">
        <w:rPr>
          <w:rFonts w:ascii="Book Antiqua" w:hAnsi="Book Antiqua" w:cstheme="minorHAnsi"/>
        </w:rPr>
        <w:t xml:space="preserve"> </w:t>
      </w:r>
      <w:r w:rsidRPr="00DD3614">
        <w:rPr>
          <w:rFonts w:ascii="Book Antiqua" w:hAnsi="Book Antiqua" w:cstheme="minorHAnsi"/>
        </w:rPr>
        <w:t xml:space="preserve">0.001 for noninferiority; </w:t>
      </w:r>
      <w:r w:rsidR="006F744A" w:rsidRPr="006F744A">
        <w:rPr>
          <w:rFonts w:ascii="Book Antiqua" w:hAnsi="Book Antiqua" w:cstheme="minorHAnsi"/>
          <w:i/>
        </w:rPr>
        <w:t>P</w:t>
      </w:r>
      <w:r w:rsidR="006F744A" w:rsidRPr="00DD3614">
        <w:rPr>
          <w:rFonts w:ascii="Book Antiqua" w:hAnsi="Book Antiqua" w:cstheme="minorHAnsi"/>
        </w:rPr>
        <w:t xml:space="preserve"> </w:t>
      </w:r>
      <w:r w:rsidRPr="00DD3614">
        <w:rPr>
          <w:rFonts w:ascii="Book Antiqua" w:hAnsi="Book Antiqua" w:cstheme="minorHAnsi"/>
        </w:rPr>
        <w:t>=</w:t>
      </w:r>
      <w:r w:rsidR="006F744A">
        <w:rPr>
          <w:rFonts w:ascii="Book Antiqua" w:hAnsi="Book Antiqua" w:cstheme="minorHAnsi"/>
        </w:rPr>
        <w:t xml:space="preserve"> </w:t>
      </w:r>
      <w:r w:rsidRPr="00DD3614">
        <w:rPr>
          <w:rFonts w:ascii="Book Antiqua" w:hAnsi="Book Antiqua" w:cstheme="minorHAnsi"/>
        </w:rPr>
        <w:t>0.02 for superiority). Patients treated with canagliflozin had significantly lower rate</w:t>
      </w:r>
      <w:r w:rsidR="007C348D" w:rsidRPr="00DD3614">
        <w:rPr>
          <w:rFonts w:ascii="Book Antiqua" w:hAnsi="Book Antiqua" w:cstheme="minorHAnsi"/>
        </w:rPr>
        <w:t>s</w:t>
      </w:r>
      <w:r w:rsidRPr="00DD3614">
        <w:rPr>
          <w:rFonts w:ascii="Book Antiqua" w:hAnsi="Book Antiqua" w:cstheme="minorHAnsi"/>
        </w:rPr>
        <w:t xml:space="preserve"> of hospitalization for heart failure (HR 0.67; </w:t>
      </w:r>
      <w:r w:rsidR="00DD3614" w:rsidRPr="00DD3614">
        <w:rPr>
          <w:rFonts w:ascii="Book Antiqua" w:hAnsi="Book Antiqua" w:cstheme="minorHAnsi"/>
        </w:rPr>
        <w:t>95%CI:</w:t>
      </w:r>
      <w:r w:rsidRPr="00DD3614">
        <w:rPr>
          <w:rFonts w:ascii="Book Antiqua" w:hAnsi="Book Antiqua" w:cstheme="minorHAnsi"/>
        </w:rPr>
        <w:t xml:space="preserve"> 0.52–0.87). No significant difference was found in the two groups for outcomes of death from any cause and death from CV causes. There was a higher risk of amputation of toes, feet or legs</w:t>
      </w:r>
      <w:r w:rsidR="00E93919" w:rsidRPr="00DD3614">
        <w:rPr>
          <w:rFonts w:ascii="Book Antiqua" w:hAnsi="Book Antiqua" w:cstheme="minorHAnsi"/>
        </w:rPr>
        <w:t xml:space="preserve"> (primarily at </w:t>
      </w:r>
      <w:r w:rsidR="000E3E0B" w:rsidRPr="00DD3614">
        <w:rPr>
          <w:rFonts w:ascii="Book Antiqua" w:hAnsi="Book Antiqua" w:cstheme="minorHAnsi"/>
        </w:rPr>
        <w:t>level of toe</w:t>
      </w:r>
      <w:r w:rsidR="00E93919" w:rsidRPr="00DD3614">
        <w:rPr>
          <w:rFonts w:ascii="Book Antiqua" w:hAnsi="Book Antiqua" w:cstheme="minorHAnsi"/>
        </w:rPr>
        <w:t xml:space="preserve"> and metatarsal)</w:t>
      </w:r>
      <w:r w:rsidRPr="00DD3614">
        <w:rPr>
          <w:rFonts w:ascii="Book Antiqua" w:hAnsi="Book Antiqua" w:cstheme="minorHAnsi"/>
        </w:rPr>
        <w:t xml:space="preserve"> with canagliflozin vs placebo (6.3 </w:t>
      </w:r>
      <w:r w:rsidRPr="006F744A">
        <w:rPr>
          <w:rFonts w:ascii="Book Antiqua" w:hAnsi="Book Antiqua" w:cstheme="minorHAnsi"/>
          <w:i/>
        </w:rPr>
        <w:t>vs</w:t>
      </w:r>
      <w:r w:rsidRPr="00DD3614">
        <w:rPr>
          <w:rFonts w:ascii="Book Antiqua" w:hAnsi="Book Antiqua" w:cstheme="minorHAnsi"/>
        </w:rPr>
        <w:t xml:space="preserve"> 3.4 participants with am</w:t>
      </w:r>
      <w:r w:rsidR="00E93919" w:rsidRPr="00DD3614">
        <w:rPr>
          <w:rFonts w:ascii="Book Antiqua" w:hAnsi="Book Antiqua" w:cstheme="minorHAnsi"/>
        </w:rPr>
        <w:t xml:space="preserve">putation per 1000 patient-years; HR, </w:t>
      </w:r>
      <w:r w:rsidRPr="00DD3614">
        <w:rPr>
          <w:rFonts w:ascii="Book Antiqua" w:hAnsi="Book Antiqua" w:cstheme="minorHAnsi"/>
        </w:rPr>
        <w:t xml:space="preserve">1.97; </w:t>
      </w:r>
      <w:r w:rsidR="00DD3614" w:rsidRPr="00DD3614">
        <w:rPr>
          <w:rFonts w:ascii="Book Antiqua" w:hAnsi="Book Antiqua" w:cstheme="minorHAnsi"/>
        </w:rPr>
        <w:t>95%CI:</w:t>
      </w:r>
      <w:r w:rsidRPr="00DD3614">
        <w:rPr>
          <w:rFonts w:ascii="Book Antiqua" w:hAnsi="Book Antiqua" w:cstheme="minorHAnsi"/>
        </w:rPr>
        <w:t xml:space="preserve"> 1.41 to 2.75).</w:t>
      </w:r>
      <w:r w:rsidR="003C0367" w:rsidRPr="00DD3614">
        <w:rPr>
          <w:rFonts w:ascii="Book Antiqua" w:hAnsi="Book Antiqua" w:cstheme="minorHAnsi"/>
        </w:rPr>
        <w:t xml:space="preserve"> Of no</w:t>
      </w:r>
      <w:r w:rsidR="00D62B2E" w:rsidRPr="00DD3614">
        <w:rPr>
          <w:rFonts w:ascii="Book Antiqua" w:hAnsi="Book Antiqua" w:cstheme="minorHAnsi"/>
        </w:rPr>
        <w:t>te, canagliflozin treated group showed 27% reduction in progression of albuminuria and 40% reduction in adverse renal outcome</w:t>
      </w:r>
      <w:r w:rsidR="003B6E83" w:rsidRPr="00DD3614">
        <w:rPr>
          <w:rFonts w:ascii="Book Antiqua" w:hAnsi="Book Antiqua" w:cstheme="minorHAnsi"/>
        </w:rPr>
        <w:t xml:space="preserve"> (</w:t>
      </w:r>
      <w:r w:rsidR="00D62B2E" w:rsidRPr="00DD3614">
        <w:rPr>
          <w:rFonts w:ascii="Book Antiqua" w:hAnsi="Book Antiqua" w:cstheme="minorHAnsi"/>
        </w:rPr>
        <w:t xml:space="preserve">a composite of sustained 40% reduction in the estimated </w:t>
      </w:r>
      <w:r w:rsidR="00DE5F30" w:rsidRPr="00DD3614">
        <w:rPr>
          <w:rFonts w:ascii="Book Antiqua" w:hAnsi="Book Antiqua" w:cstheme="minorHAnsi"/>
        </w:rPr>
        <w:t>GFR</w:t>
      </w:r>
      <w:r w:rsidR="00D62B2E" w:rsidRPr="00DD3614">
        <w:rPr>
          <w:rFonts w:ascii="Book Antiqua" w:hAnsi="Book Antiqua" w:cstheme="minorHAnsi"/>
        </w:rPr>
        <w:t>, the need for renal-replacement therapy, or death from renal causes</w:t>
      </w:r>
      <w:r w:rsidR="003B6E83" w:rsidRPr="00DD3614">
        <w:rPr>
          <w:rFonts w:ascii="Book Antiqua" w:hAnsi="Book Antiqua" w:cstheme="minorHAnsi"/>
        </w:rPr>
        <w:t>)</w:t>
      </w:r>
      <w:r w:rsidR="00D62B2E" w:rsidRPr="00DD3614">
        <w:rPr>
          <w:rFonts w:ascii="Book Antiqua" w:hAnsi="Book Antiqua" w:cstheme="minorHAnsi"/>
        </w:rPr>
        <w:t>. However, based on pre</w:t>
      </w:r>
      <w:r w:rsidR="003B6E83" w:rsidRPr="00DD3614">
        <w:rPr>
          <w:rFonts w:ascii="Book Antiqua" w:hAnsi="Book Antiqua" w:cstheme="minorHAnsi"/>
        </w:rPr>
        <w:t>-</w:t>
      </w:r>
      <w:r w:rsidR="00D62B2E" w:rsidRPr="00DD3614">
        <w:rPr>
          <w:rFonts w:ascii="Book Antiqua" w:hAnsi="Book Antiqua" w:cstheme="minorHAnsi"/>
        </w:rPr>
        <w:t>specified hypothesis testing sequenc</w:t>
      </w:r>
      <w:r w:rsidR="003B6E83" w:rsidRPr="00DD3614">
        <w:rPr>
          <w:rFonts w:ascii="Book Antiqua" w:hAnsi="Book Antiqua" w:cstheme="minorHAnsi"/>
        </w:rPr>
        <w:t>e</w:t>
      </w:r>
      <w:r w:rsidR="00D62B2E" w:rsidRPr="00DD3614">
        <w:rPr>
          <w:rFonts w:ascii="Book Antiqua" w:hAnsi="Book Antiqua" w:cstheme="minorHAnsi"/>
        </w:rPr>
        <w:t>, the renal outcomes were not considered statistically significant.</w:t>
      </w:r>
    </w:p>
    <w:p w:rsidR="00D02456" w:rsidRPr="00DD3614" w:rsidRDefault="00D02456" w:rsidP="006F744A">
      <w:pPr>
        <w:spacing w:line="360" w:lineRule="auto"/>
        <w:ind w:firstLineChars="100" w:firstLine="240"/>
        <w:jc w:val="both"/>
        <w:rPr>
          <w:rFonts w:ascii="Book Antiqua" w:hAnsi="Book Antiqua" w:cstheme="minorHAnsi"/>
        </w:rPr>
      </w:pPr>
      <w:r w:rsidRPr="00DD3614">
        <w:rPr>
          <w:rFonts w:ascii="Book Antiqua" w:hAnsi="Book Antiqua" w:cstheme="minorHAnsi"/>
        </w:rPr>
        <w:t xml:space="preserve">The </w:t>
      </w:r>
      <w:r w:rsidR="006F744A" w:rsidRPr="00DD3614">
        <w:rPr>
          <w:rFonts w:ascii="Book Antiqua" w:hAnsi="Book Antiqua" w:cstheme="minorHAnsi"/>
        </w:rPr>
        <w:t>Dapagliflozin Effect on Cardio-vascular Events–Thrombolysis in Myocardial Infarction 58</w:t>
      </w:r>
      <w:r w:rsidRPr="00DD3614">
        <w:rPr>
          <w:rFonts w:ascii="Book Antiqua" w:hAnsi="Book Antiqua" w:cstheme="minorHAnsi"/>
        </w:rPr>
        <w:t xml:space="preserve"> (</w:t>
      </w:r>
      <w:r w:rsidR="006F744A" w:rsidRPr="00DD3614">
        <w:rPr>
          <w:rFonts w:ascii="Book Antiqua" w:hAnsi="Book Antiqua" w:cstheme="minorHAnsi"/>
        </w:rPr>
        <w:t>DECLARE-TIMI 58</w:t>
      </w:r>
      <w:r w:rsidRPr="00DD3614">
        <w:rPr>
          <w:rFonts w:ascii="Book Antiqua" w:hAnsi="Book Antiqua" w:cstheme="minorHAnsi"/>
        </w:rPr>
        <w:t>) was a randomized, double-blind, placebo controlled, phase 3 trial that evaluated the non-inferiority of dapagliflozin</w:t>
      </w:r>
      <w:r w:rsidR="007314BC" w:rsidRPr="00DD3614">
        <w:rPr>
          <w:rFonts w:ascii="Book Antiqua" w:hAnsi="Book Antiqua" w:cstheme="minorHAnsi"/>
        </w:rPr>
        <w:t xml:space="preserve"> on</w:t>
      </w:r>
      <w:r w:rsidRPr="00DD3614">
        <w:rPr>
          <w:rFonts w:ascii="Book Antiqua" w:hAnsi="Book Antiqua" w:cstheme="minorHAnsi"/>
        </w:rPr>
        <w:t xml:space="preserve"> MACE (a composite of CV death, nonfatal MI, or nonfatal stroke) and a composite of </w:t>
      </w:r>
      <w:r w:rsidR="00970C6B" w:rsidRPr="00DD3614">
        <w:rPr>
          <w:rFonts w:ascii="Book Antiqua" w:hAnsi="Book Antiqua" w:cstheme="minorHAnsi"/>
        </w:rPr>
        <w:t>CV</w:t>
      </w:r>
      <w:r w:rsidRPr="00DD3614">
        <w:rPr>
          <w:rFonts w:ascii="Book Antiqua" w:hAnsi="Book Antiqua" w:cstheme="minorHAnsi"/>
        </w:rPr>
        <w:t xml:space="preserve"> death or hospitalization for heart failure, in patients with </w:t>
      </w:r>
      <w:r w:rsidR="007314BC" w:rsidRPr="00DD3614">
        <w:rPr>
          <w:rFonts w:ascii="Book Antiqua" w:hAnsi="Book Antiqua" w:cstheme="minorHAnsi"/>
        </w:rPr>
        <w:t>T2DM</w:t>
      </w:r>
      <w:r w:rsidRPr="00DD3614">
        <w:rPr>
          <w:rFonts w:ascii="Book Antiqua" w:hAnsi="Book Antiqua" w:cstheme="minorHAnsi"/>
        </w:rPr>
        <w:t xml:space="preserve"> (40 years or older) and established atherosclerotic </w:t>
      </w:r>
      <w:r w:rsidR="007314BC" w:rsidRPr="00DD3614">
        <w:rPr>
          <w:rFonts w:ascii="Book Antiqua" w:hAnsi="Book Antiqua" w:cstheme="minorHAnsi"/>
        </w:rPr>
        <w:t>CV</w:t>
      </w:r>
      <w:r w:rsidRPr="00DD3614">
        <w:rPr>
          <w:rFonts w:ascii="Book Antiqua" w:hAnsi="Book Antiqua" w:cstheme="minorHAnsi"/>
        </w:rPr>
        <w:t xml:space="preserve"> disease or multiple risk factors for atherosclerotic </w:t>
      </w:r>
      <w:r w:rsidR="007314BC" w:rsidRPr="00DD3614">
        <w:rPr>
          <w:rFonts w:ascii="Book Antiqua" w:hAnsi="Book Antiqua" w:cstheme="minorHAnsi"/>
        </w:rPr>
        <w:t>CV</w:t>
      </w:r>
      <w:r w:rsidRPr="00DD3614">
        <w:rPr>
          <w:rFonts w:ascii="Book Antiqua" w:hAnsi="Book Antiqua" w:cstheme="minorHAnsi"/>
        </w:rPr>
        <w:t xml:space="preserve"> disease</w:t>
      </w:r>
      <w:r w:rsidR="00A678A6" w:rsidRPr="00DD3614">
        <w:rPr>
          <w:rFonts w:ascii="Book Antiqua" w:hAnsi="Book Antiqua" w:cstheme="minorHAnsi"/>
          <w:vertAlign w:val="superscript"/>
        </w:rPr>
        <w:t>[19]</w:t>
      </w:r>
      <w:r w:rsidRPr="00DD3614">
        <w:rPr>
          <w:rFonts w:ascii="Book Antiqua" w:hAnsi="Book Antiqua" w:cstheme="minorHAnsi"/>
        </w:rPr>
        <w:t xml:space="preserve">. </w:t>
      </w:r>
      <w:r w:rsidR="005C079A" w:rsidRPr="00DD3614">
        <w:rPr>
          <w:rFonts w:ascii="Book Antiqua" w:hAnsi="Book Antiqua" w:cstheme="minorHAnsi"/>
        </w:rPr>
        <w:t xml:space="preserve">A total of </w:t>
      </w:r>
      <w:r w:rsidRPr="00DD3614">
        <w:rPr>
          <w:rFonts w:ascii="Book Antiqua" w:hAnsi="Book Antiqua" w:cstheme="minorHAnsi"/>
        </w:rPr>
        <w:t>13198 out of 17160 randomized participants completed the trial with a median follow up of 4.2 years. This trial included the highest proportion of patients</w:t>
      </w:r>
      <w:r w:rsidR="00914FBA" w:rsidRPr="00DD3614">
        <w:rPr>
          <w:rFonts w:ascii="Book Antiqua" w:hAnsi="Book Antiqua" w:cstheme="minorHAnsi"/>
        </w:rPr>
        <w:t xml:space="preserve"> (</w:t>
      </w:r>
      <w:r w:rsidRPr="00DD3614">
        <w:rPr>
          <w:rFonts w:ascii="Book Antiqua" w:hAnsi="Book Antiqua" w:cstheme="minorHAnsi"/>
        </w:rPr>
        <w:t>more than 10000 patients</w:t>
      </w:r>
      <w:r w:rsidR="00914FBA" w:rsidRPr="00DD3614">
        <w:rPr>
          <w:rFonts w:ascii="Book Antiqua" w:hAnsi="Book Antiqua" w:cstheme="minorHAnsi"/>
        </w:rPr>
        <w:t>)</w:t>
      </w:r>
      <w:r w:rsidRPr="00DD3614">
        <w:rPr>
          <w:rFonts w:ascii="Book Antiqua" w:hAnsi="Book Antiqua" w:cstheme="minorHAnsi"/>
        </w:rPr>
        <w:t>, without established atherosclerotic CV disease</w:t>
      </w:r>
      <w:r w:rsidR="00970C6B" w:rsidRPr="00DD3614">
        <w:rPr>
          <w:rFonts w:ascii="Book Antiqua" w:hAnsi="Book Antiqua" w:cstheme="minorHAnsi"/>
        </w:rPr>
        <w:t xml:space="preserve"> compared to previous CV outcome trials</w:t>
      </w:r>
      <w:r w:rsidR="007C348D" w:rsidRPr="00DD3614">
        <w:rPr>
          <w:rFonts w:ascii="Book Antiqua" w:hAnsi="Book Antiqua" w:cstheme="minorHAnsi"/>
        </w:rPr>
        <w:t>. Individuals</w:t>
      </w:r>
      <w:r w:rsidRPr="00DD3614">
        <w:rPr>
          <w:rFonts w:ascii="Book Antiqua" w:hAnsi="Book Antiqua" w:cstheme="minorHAnsi"/>
        </w:rPr>
        <w:t xml:space="preserve"> with a creatinine clearance &lt;</w:t>
      </w:r>
      <w:r w:rsidR="007C348D" w:rsidRPr="00DD3614">
        <w:rPr>
          <w:rFonts w:ascii="Book Antiqua" w:hAnsi="Book Antiqua" w:cstheme="minorHAnsi"/>
        </w:rPr>
        <w:t xml:space="preserve"> </w:t>
      </w:r>
      <w:r w:rsidRPr="00DD3614">
        <w:rPr>
          <w:rFonts w:ascii="Book Antiqua" w:hAnsi="Book Antiqua" w:cstheme="minorHAnsi"/>
        </w:rPr>
        <w:t>60 m</w:t>
      </w:r>
      <w:r w:rsidR="006F744A" w:rsidRPr="00DD3614">
        <w:rPr>
          <w:rFonts w:ascii="Book Antiqua" w:hAnsi="Book Antiqua" w:cstheme="minorHAnsi"/>
        </w:rPr>
        <w:t>L</w:t>
      </w:r>
      <w:r w:rsidRPr="00DD3614">
        <w:rPr>
          <w:rFonts w:ascii="Book Antiqua" w:hAnsi="Book Antiqua" w:cstheme="minorHAnsi"/>
        </w:rPr>
        <w:t xml:space="preserve"> per minute </w:t>
      </w:r>
      <w:r w:rsidR="007C348D" w:rsidRPr="00DD3614">
        <w:rPr>
          <w:rFonts w:ascii="Book Antiqua" w:hAnsi="Book Antiqua" w:cstheme="minorHAnsi"/>
        </w:rPr>
        <w:t xml:space="preserve">were </w:t>
      </w:r>
      <w:r w:rsidRPr="00DD3614">
        <w:rPr>
          <w:rFonts w:ascii="Book Antiqua" w:hAnsi="Book Antiqua" w:cstheme="minorHAnsi"/>
        </w:rPr>
        <w:t xml:space="preserve">excluded from trial. Results showed that dapagliflozin was noninferior to placebo for MACE but failed to show superiority (8.8% </w:t>
      </w:r>
      <w:r w:rsidRPr="006F744A">
        <w:rPr>
          <w:rFonts w:ascii="Book Antiqua" w:hAnsi="Book Antiqua" w:cstheme="minorHAnsi"/>
          <w:i/>
        </w:rPr>
        <w:t xml:space="preserve">vs </w:t>
      </w:r>
      <w:r w:rsidRPr="00DD3614">
        <w:rPr>
          <w:rFonts w:ascii="Book Antiqua" w:hAnsi="Book Antiqua" w:cstheme="minorHAnsi"/>
        </w:rPr>
        <w:t xml:space="preserve">9.4% events; HR, 0.93; </w:t>
      </w:r>
      <w:r w:rsidR="00DD3614" w:rsidRPr="00DD3614">
        <w:rPr>
          <w:rFonts w:ascii="Book Antiqua" w:hAnsi="Book Antiqua" w:cstheme="minorHAnsi"/>
        </w:rPr>
        <w:t>95%CI:</w:t>
      </w:r>
      <w:r w:rsidRPr="00DD3614">
        <w:rPr>
          <w:rFonts w:ascii="Book Antiqua" w:hAnsi="Book Antiqua" w:cstheme="minorHAnsi"/>
        </w:rPr>
        <w:t xml:space="preserve"> 0.84 to 1.03; </w:t>
      </w:r>
      <w:r w:rsidR="006F744A" w:rsidRPr="006F744A">
        <w:rPr>
          <w:rFonts w:ascii="Book Antiqua" w:hAnsi="Book Antiqua" w:cstheme="minorHAnsi"/>
          <w:i/>
        </w:rPr>
        <w:t>P</w:t>
      </w:r>
      <w:r w:rsidRPr="00DD3614">
        <w:rPr>
          <w:rFonts w:ascii="Book Antiqua" w:hAnsi="Book Antiqua" w:cstheme="minorHAnsi"/>
        </w:rPr>
        <w:t xml:space="preserve"> = 0.17). A</w:t>
      </w:r>
      <w:r w:rsidR="00D64864" w:rsidRPr="00DD3614">
        <w:rPr>
          <w:rFonts w:ascii="Book Antiqua" w:hAnsi="Book Antiqua" w:cstheme="minorHAnsi"/>
        </w:rPr>
        <w:t xml:space="preserve"> significantly</w:t>
      </w:r>
      <w:r w:rsidRPr="00DD3614">
        <w:rPr>
          <w:rFonts w:ascii="Book Antiqua" w:hAnsi="Book Antiqua" w:cstheme="minorHAnsi"/>
        </w:rPr>
        <w:t xml:space="preserve"> lower rate of hospitalization for heart failure was noted in the dapagliflozin group (HR, 0.73; </w:t>
      </w:r>
      <w:r w:rsidR="00DD3614" w:rsidRPr="00DD3614">
        <w:rPr>
          <w:rFonts w:ascii="Book Antiqua" w:hAnsi="Book Antiqua" w:cstheme="minorHAnsi"/>
        </w:rPr>
        <w:t>95%CI:</w:t>
      </w:r>
      <w:r w:rsidRPr="00DD3614">
        <w:rPr>
          <w:rFonts w:ascii="Book Antiqua" w:hAnsi="Book Antiqua" w:cstheme="minorHAnsi"/>
        </w:rPr>
        <w:t xml:space="preserve"> 0.61 to 0.88); there was no difference in the rate of </w:t>
      </w:r>
      <w:r w:rsidR="00970C6B" w:rsidRPr="00DD3614">
        <w:rPr>
          <w:rFonts w:ascii="Book Antiqua" w:hAnsi="Book Antiqua" w:cstheme="minorHAnsi"/>
        </w:rPr>
        <w:t>CV</w:t>
      </w:r>
      <w:r w:rsidRPr="00DD3614">
        <w:rPr>
          <w:rFonts w:ascii="Book Antiqua" w:hAnsi="Book Antiqua" w:cstheme="minorHAnsi"/>
        </w:rPr>
        <w:t xml:space="preserve"> death in the two groups (HR, 0.98; </w:t>
      </w:r>
      <w:r w:rsidR="00DD3614" w:rsidRPr="00DD3614">
        <w:rPr>
          <w:rFonts w:ascii="Book Antiqua" w:hAnsi="Book Antiqua" w:cstheme="minorHAnsi"/>
        </w:rPr>
        <w:t>95%CI:</w:t>
      </w:r>
      <w:r w:rsidRPr="00DD3614">
        <w:rPr>
          <w:rFonts w:ascii="Book Antiqua" w:hAnsi="Book Antiqua" w:cstheme="minorHAnsi"/>
        </w:rPr>
        <w:t xml:space="preserve"> 0.82 to 1.17). Diabetic ketoacidosis was more common in the dapagliflozin group than in the placebo group (0.3% </w:t>
      </w:r>
      <w:r w:rsidRPr="006F744A">
        <w:rPr>
          <w:rFonts w:ascii="Book Antiqua" w:hAnsi="Book Antiqua" w:cstheme="minorHAnsi"/>
          <w:i/>
        </w:rPr>
        <w:t>vs</w:t>
      </w:r>
      <w:r w:rsidRPr="00DD3614">
        <w:rPr>
          <w:rFonts w:ascii="Book Antiqua" w:hAnsi="Book Antiqua" w:cstheme="minorHAnsi"/>
        </w:rPr>
        <w:t xml:space="preserve"> 0.1%; hazard ratio, 2.18; </w:t>
      </w:r>
      <w:r w:rsidR="00DD3614" w:rsidRPr="00DD3614">
        <w:rPr>
          <w:rFonts w:ascii="Book Antiqua" w:hAnsi="Book Antiqua" w:cstheme="minorHAnsi"/>
        </w:rPr>
        <w:t>95%CI:</w:t>
      </w:r>
      <w:r w:rsidRPr="00DD3614">
        <w:rPr>
          <w:rFonts w:ascii="Book Antiqua" w:hAnsi="Book Antiqua" w:cstheme="minorHAnsi"/>
        </w:rPr>
        <w:t xml:space="preserve"> 1.10 to 4.30; </w:t>
      </w:r>
      <w:r w:rsidR="006F744A" w:rsidRPr="006F744A">
        <w:rPr>
          <w:rFonts w:ascii="Book Antiqua" w:hAnsi="Book Antiqua" w:cstheme="minorHAnsi"/>
          <w:i/>
        </w:rPr>
        <w:t>P</w:t>
      </w:r>
      <w:r w:rsidR="006F744A" w:rsidRPr="00DD3614">
        <w:rPr>
          <w:rFonts w:ascii="Book Antiqua" w:hAnsi="Book Antiqua" w:cstheme="minorHAnsi"/>
        </w:rPr>
        <w:t xml:space="preserve"> </w:t>
      </w:r>
      <w:r w:rsidRPr="00DD3614">
        <w:rPr>
          <w:rFonts w:ascii="Book Antiqua" w:hAnsi="Book Antiqua" w:cstheme="minorHAnsi"/>
        </w:rPr>
        <w:t>=</w:t>
      </w:r>
      <w:r w:rsidR="006F744A">
        <w:rPr>
          <w:rFonts w:ascii="Book Antiqua" w:hAnsi="Book Antiqua" w:cstheme="minorHAnsi"/>
        </w:rPr>
        <w:t xml:space="preserve"> </w:t>
      </w:r>
      <w:r w:rsidRPr="00DD3614">
        <w:rPr>
          <w:rFonts w:ascii="Book Antiqua" w:hAnsi="Book Antiqua" w:cstheme="minorHAnsi"/>
        </w:rPr>
        <w:t xml:space="preserve">0.02). There was no difference in the rates </w:t>
      </w:r>
      <w:r w:rsidR="00914FBA" w:rsidRPr="00DD3614">
        <w:rPr>
          <w:rFonts w:ascii="Book Antiqua" w:hAnsi="Book Antiqua" w:cstheme="minorHAnsi"/>
        </w:rPr>
        <w:t>of</w:t>
      </w:r>
      <w:r w:rsidRPr="00DD3614">
        <w:rPr>
          <w:rFonts w:ascii="Book Antiqua" w:hAnsi="Book Antiqua" w:cstheme="minorHAnsi"/>
        </w:rPr>
        <w:t xml:space="preserve"> amputations in the two groups. </w:t>
      </w:r>
    </w:p>
    <w:p w:rsidR="00D02456" w:rsidRPr="00DD3614" w:rsidRDefault="00D02456" w:rsidP="006F744A">
      <w:pPr>
        <w:autoSpaceDE w:val="0"/>
        <w:autoSpaceDN w:val="0"/>
        <w:adjustRightInd w:val="0"/>
        <w:spacing w:line="360" w:lineRule="auto"/>
        <w:ind w:firstLineChars="100" w:firstLine="240"/>
        <w:jc w:val="both"/>
        <w:rPr>
          <w:rFonts w:ascii="Book Antiqua" w:hAnsi="Book Antiqua" w:cstheme="minorHAnsi"/>
        </w:rPr>
      </w:pPr>
      <w:proofErr w:type="spellStart"/>
      <w:r w:rsidRPr="00DD3614">
        <w:rPr>
          <w:rFonts w:ascii="Book Antiqua" w:hAnsi="Book Antiqua" w:cstheme="minorHAnsi"/>
        </w:rPr>
        <w:t>Zelniker</w:t>
      </w:r>
      <w:proofErr w:type="spellEnd"/>
      <w:r w:rsidRPr="00DD3614">
        <w:rPr>
          <w:rFonts w:ascii="Book Antiqua" w:hAnsi="Book Antiqua" w:cstheme="minorHAnsi"/>
        </w:rPr>
        <w:t xml:space="preserve"> </w:t>
      </w:r>
      <w:r w:rsidRPr="006F744A">
        <w:rPr>
          <w:rFonts w:ascii="Book Antiqua" w:hAnsi="Book Antiqua" w:cstheme="minorHAnsi"/>
          <w:i/>
        </w:rPr>
        <w:t xml:space="preserve">et </w:t>
      </w:r>
      <w:proofErr w:type="gramStart"/>
      <w:r w:rsidRPr="006F744A">
        <w:rPr>
          <w:rFonts w:ascii="Book Antiqua" w:hAnsi="Book Antiqua" w:cstheme="minorHAnsi"/>
          <w:i/>
        </w:rPr>
        <w:t>al</w:t>
      </w:r>
      <w:r w:rsidR="006F744A" w:rsidRPr="00DD3614">
        <w:rPr>
          <w:rFonts w:ascii="Book Antiqua" w:hAnsi="Book Antiqua" w:cstheme="minorHAnsi"/>
          <w:vertAlign w:val="superscript"/>
        </w:rPr>
        <w:t>[</w:t>
      </w:r>
      <w:proofErr w:type="gramEnd"/>
      <w:r w:rsidR="006F744A" w:rsidRPr="00DD3614">
        <w:rPr>
          <w:rFonts w:ascii="Book Antiqua" w:hAnsi="Book Antiqua" w:cstheme="minorHAnsi"/>
          <w:vertAlign w:val="superscript"/>
        </w:rPr>
        <w:t>20]</w:t>
      </w:r>
      <w:r w:rsidRPr="00DD3614">
        <w:rPr>
          <w:rFonts w:ascii="Book Antiqua" w:hAnsi="Book Antiqua" w:cstheme="minorHAnsi"/>
        </w:rPr>
        <w:t xml:space="preserve"> performed a meta-analysis of all maj</w:t>
      </w:r>
      <w:r w:rsidR="009A0FB6" w:rsidRPr="00DD3614">
        <w:rPr>
          <w:rFonts w:ascii="Book Antiqua" w:hAnsi="Book Antiqua" w:cstheme="minorHAnsi"/>
        </w:rPr>
        <w:t xml:space="preserve">or CV outcome trials of </w:t>
      </w:r>
      <w:r w:rsidR="00FC2F01" w:rsidRPr="00DD3614">
        <w:rPr>
          <w:rFonts w:ascii="Book Antiqua" w:hAnsi="Book Antiqua"/>
        </w:rPr>
        <w:t>SGLT-2</w:t>
      </w:r>
      <w:r w:rsidR="009A0FB6" w:rsidRPr="00DD3614">
        <w:rPr>
          <w:rFonts w:ascii="Book Antiqua" w:hAnsi="Book Antiqua" w:cstheme="minorHAnsi"/>
        </w:rPr>
        <w:t xml:space="preserve">-Inhibitors </w:t>
      </w:r>
      <w:r w:rsidRPr="00DD3614">
        <w:rPr>
          <w:rFonts w:ascii="Book Antiqua" w:hAnsi="Book Antiqua" w:cstheme="minorHAnsi"/>
        </w:rPr>
        <w:t>in patients with T2DM. A total of 34322 patients we</w:t>
      </w:r>
      <w:r w:rsidR="009A0FB6" w:rsidRPr="00DD3614">
        <w:rPr>
          <w:rFonts w:ascii="Book Antiqua" w:hAnsi="Book Antiqua" w:cstheme="minorHAnsi"/>
        </w:rPr>
        <w:t>re included from 3 major trials;</w:t>
      </w:r>
      <w:r w:rsidRPr="00DD3614">
        <w:rPr>
          <w:rFonts w:ascii="Book Antiqua" w:hAnsi="Book Antiqua" w:cstheme="minorHAnsi"/>
        </w:rPr>
        <w:t xml:space="preserve"> 60.2% of patients had established CV disease and rest had multiple risks factors for CV disease. As a group</w:t>
      </w:r>
      <w:r w:rsidR="00906E55" w:rsidRPr="00DD3614">
        <w:rPr>
          <w:rFonts w:ascii="Book Antiqua" w:hAnsi="Book Antiqua" w:cstheme="minorHAnsi"/>
        </w:rPr>
        <w:t>,</w:t>
      </w:r>
      <w:r w:rsidRPr="00DD3614">
        <w:rPr>
          <w:rFonts w:ascii="Book Antiqua" w:hAnsi="Book Antiqua" w:cstheme="minorHAnsi"/>
        </w:rPr>
        <w:t xml:space="preserve"> </w:t>
      </w:r>
      <w:r w:rsidR="00FC2F01" w:rsidRPr="00DD3614">
        <w:rPr>
          <w:rFonts w:ascii="Book Antiqua" w:hAnsi="Book Antiqua"/>
        </w:rPr>
        <w:t>SGLT-2</w:t>
      </w:r>
      <w:r w:rsidRPr="00DD3614">
        <w:rPr>
          <w:rFonts w:ascii="Book Antiqua" w:hAnsi="Book Antiqua" w:cstheme="minorHAnsi"/>
        </w:rPr>
        <w:t>-</w:t>
      </w:r>
      <w:r w:rsidR="00FC2F01" w:rsidRPr="00DD3614">
        <w:rPr>
          <w:rFonts w:ascii="Book Antiqua" w:hAnsi="Book Antiqua" w:cstheme="minorHAnsi"/>
        </w:rPr>
        <w:t>i</w:t>
      </w:r>
      <w:r w:rsidR="009A0FB6" w:rsidRPr="00DD3614">
        <w:rPr>
          <w:rFonts w:ascii="Book Antiqua" w:hAnsi="Book Antiqua" w:cstheme="minorHAnsi"/>
        </w:rPr>
        <w:t>nhibitors</w:t>
      </w:r>
      <w:r w:rsidRPr="00DD3614">
        <w:rPr>
          <w:rFonts w:ascii="Book Antiqua" w:hAnsi="Book Antiqua" w:cstheme="minorHAnsi"/>
        </w:rPr>
        <w:t xml:space="preserve"> demonstrated 11% reduction in MACE</w:t>
      </w:r>
      <w:r w:rsidR="009A0FB6" w:rsidRPr="00DD3614">
        <w:rPr>
          <w:rFonts w:ascii="Book Antiqua" w:hAnsi="Book Antiqua" w:cstheme="minorHAnsi"/>
        </w:rPr>
        <w:t>, a composite of CV death, nonfatal MI, or nonfatal stroke</w:t>
      </w:r>
      <w:r w:rsidRPr="00DD3614">
        <w:rPr>
          <w:rFonts w:ascii="Book Antiqua" w:hAnsi="Book Antiqua" w:cstheme="minorHAnsi"/>
        </w:rPr>
        <w:t xml:space="preserve"> (HR</w:t>
      </w:r>
      <w:r w:rsidR="009A0FB6" w:rsidRPr="00DD3614">
        <w:rPr>
          <w:rFonts w:ascii="Book Antiqua" w:hAnsi="Book Antiqua" w:cstheme="minorHAnsi"/>
        </w:rPr>
        <w:t>,</w:t>
      </w:r>
      <w:r w:rsidRPr="00DD3614">
        <w:rPr>
          <w:rFonts w:ascii="Book Antiqua" w:hAnsi="Book Antiqua" w:cstheme="minorHAnsi"/>
        </w:rPr>
        <w:t xml:space="preserve"> 0.89; </w:t>
      </w:r>
      <w:r w:rsidR="00DD3614" w:rsidRPr="00DD3614">
        <w:rPr>
          <w:rFonts w:ascii="Book Antiqua" w:hAnsi="Book Antiqua" w:cstheme="minorHAnsi"/>
        </w:rPr>
        <w:t>95%CI:</w:t>
      </w:r>
      <w:r w:rsidRPr="00DD3614">
        <w:rPr>
          <w:rFonts w:ascii="Book Antiqua" w:hAnsi="Book Antiqua" w:cstheme="minorHAnsi"/>
        </w:rPr>
        <w:t xml:space="preserve"> 0.83-0.96; </w:t>
      </w:r>
      <w:r w:rsidRPr="00DD3614">
        <w:rPr>
          <w:rFonts w:ascii="Book Antiqua" w:hAnsi="Book Antiqua" w:cstheme="minorHAnsi"/>
          <w:i/>
        </w:rPr>
        <w:t>P</w:t>
      </w:r>
      <w:r w:rsidRPr="00DD3614">
        <w:rPr>
          <w:rFonts w:ascii="Book Antiqua" w:hAnsi="Book Antiqua" w:cstheme="minorHAnsi"/>
        </w:rPr>
        <w:t xml:space="preserve"> = 0.0014) but benefit was not seen in patients without established atherosclerotic CV disease. There was 23% relative risk reduction of CV death or hospitalization for heart failure in </w:t>
      </w:r>
      <w:r w:rsidR="00FC2F01" w:rsidRPr="00DD3614">
        <w:rPr>
          <w:rFonts w:ascii="Book Antiqua" w:hAnsi="Book Antiqua"/>
        </w:rPr>
        <w:t>SGLT-2</w:t>
      </w:r>
      <w:r w:rsidRPr="00DD3614">
        <w:rPr>
          <w:rFonts w:ascii="Book Antiqua" w:hAnsi="Book Antiqua" w:cstheme="minorHAnsi"/>
        </w:rPr>
        <w:t>-</w:t>
      </w:r>
      <w:r w:rsidR="00FC2F01" w:rsidRPr="00DD3614">
        <w:rPr>
          <w:rFonts w:ascii="Book Antiqua" w:hAnsi="Book Antiqua" w:cstheme="minorHAnsi"/>
        </w:rPr>
        <w:t>i</w:t>
      </w:r>
      <w:r w:rsidR="009A0FB6" w:rsidRPr="00DD3614">
        <w:rPr>
          <w:rFonts w:ascii="Book Antiqua" w:hAnsi="Book Antiqua" w:cstheme="minorHAnsi"/>
        </w:rPr>
        <w:t>nhibitors</w:t>
      </w:r>
      <w:r w:rsidRPr="00DD3614">
        <w:rPr>
          <w:rFonts w:ascii="Book Antiqua" w:hAnsi="Book Antiqua" w:cstheme="minorHAnsi"/>
        </w:rPr>
        <w:t xml:space="preserve"> treated patients compared to placebo (HR</w:t>
      </w:r>
      <w:r w:rsidR="009A0FB6" w:rsidRPr="00DD3614">
        <w:rPr>
          <w:rFonts w:ascii="Book Antiqua" w:hAnsi="Book Antiqua" w:cstheme="minorHAnsi"/>
        </w:rPr>
        <w:t>,</w:t>
      </w:r>
      <w:r w:rsidRPr="00DD3614">
        <w:rPr>
          <w:rFonts w:ascii="Book Antiqua" w:hAnsi="Book Antiqua" w:cstheme="minorHAnsi"/>
        </w:rPr>
        <w:t xml:space="preserve"> 0.77; </w:t>
      </w:r>
      <w:r w:rsidR="00DD3614" w:rsidRPr="00DD3614">
        <w:rPr>
          <w:rFonts w:ascii="Book Antiqua" w:hAnsi="Book Antiqua" w:cstheme="minorHAnsi"/>
        </w:rPr>
        <w:t>95%CI:</w:t>
      </w:r>
      <w:r w:rsidRPr="00DD3614">
        <w:rPr>
          <w:rFonts w:ascii="Book Antiqua" w:hAnsi="Book Antiqua" w:cstheme="minorHAnsi"/>
        </w:rPr>
        <w:t xml:space="preserve"> 0.71</w:t>
      </w:r>
      <w:r w:rsidR="006442BE" w:rsidRPr="00DD3614">
        <w:rPr>
          <w:rFonts w:ascii="Book Antiqua" w:hAnsi="Book Antiqua" w:cstheme="minorHAnsi"/>
        </w:rPr>
        <w:t xml:space="preserve">-0.84; </w:t>
      </w:r>
      <w:r w:rsidR="00DD3614" w:rsidRPr="00DD3614">
        <w:rPr>
          <w:rFonts w:ascii="Book Antiqua" w:hAnsi="Book Antiqua" w:cstheme="minorHAnsi"/>
          <w:i/>
        </w:rPr>
        <w:t>P</w:t>
      </w:r>
      <w:r w:rsidR="006442BE" w:rsidRPr="00DD3614">
        <w:rPr>
          <w:rFonts w:ascii="Book Antiqua" w:hAnsi="Book Antiqua" w:cstheme="minorHAnsi"/>
        </w:rPr>
        <w:t xml:space="preserve"> &lt; 0.0001), with favorable effect</w:t>
      </w:r>
      <w:r w:rsidR="00D64864" w:rsidRPr="00DD3614">
        <w:rPr>
          <w:rFonts w:ascii="Book Antiqua" w:hAnsi="Book Antiqua" w:cstheme="minorHAnsi"/>
        </w:rPr>
        <w:t>s</w:t>
      </w:r>
      <w:r w:rsidRPr="00DD3614">
        <w:rPr>
          <w:rFonts w:ascii="Book Antiqua" w:hAnsi="Book Antiqua" w:cstheme="minorHAnsi"/>
        </w:rPr>
        <w:t xml:space="preserve"> seen regardless of presence or absence of atherosclerotic CV disease or heart failure. Though beyond the scope this review article, it</w:t>
      </w:r>
      <w:r w:rsidR="00300C26" w:rsidRPr="00DD3614">
        <w:rPr>
          <w:rFonts w:ascii="Book Antiqua" w:hAnsi="Book Antiqua" w:cstheme="minorHAnsi"/>
        </w:rPr>
        <w:t xml:space="preserve"> i</w:t>
      </w:r>
      <w:r w:rsidRPr="00DD3614">
        <w:rPr>
          <w:rFonts w:ascii="Book Antiqua" w:hAnsi="Book Antiqua" w:cstheme="minorHAnsi"/>
        </w:rPr>
        <w:t xml:space="preserve">s important to mention that </w:t>
      </w:r>
      <w:r w:rsidR="00FC2F01" w:rsidRPr="00DD3614">
        <w:rPr>
          <w:rFonts w:ascii="Book Antiqua" w:hAnsi="Book Antiqua"/>
        </w:rPr>
        <w:t>SGLT-2</w:t>
      </w:r>
      <w:r w:rsidR="00FC2F01" w:rsidRPr="00DD3614">
        <w:rPr>
          <w:rFonts w:ascii="Book Antiqua" w:hAnsi="Book Antiqua" w:cstheme="minorHAnsi"/>
        </w:rPr>
        <w:t>-i</w:t>
      </w:r>
      <w:r w:rsidR="006442BE" w:rsidRPr="00DD3614">
        <w:rPr>
          <w:rFonts w:ascii="Book Antiqua" w:hAnsi="Book Antiqua" w:cstheme="minorHAnsi"/>
        </w:rPr>
        <w:t>nhibitors</w:t>
      </w:r>
      <w:r w:rsidRPr="00DD3614">
        <w:rPr>
          <w:rFonts w:ascii="Book Antiqua" w:hAnsi="Book Antiqua" w:cstheme="minorHAnsi"/>
        </w:rPr>
        <w:t xml:space="preserve"> significantly reduced (45%) progression of renal disease irrespective of baseline atherosclerotic CV disease. Patients with worse renal function had greater benefit in terms of hospitalization for heart failure. </w:t>
      </w:r>
    </w:p>
    <w:p w:rsidR="00A2108B" w:rsidRPr="00DD3614" w:rsidRDefault="00A2108B" w:rsidP="00441037">
      <w:pPr>
        <w:autoSpaceDE w:val="0"/>
        <w:autoSpaceDN w:val="0"/>
        <w:adjustRightInd w:val="0"/>
        <w:spacing w:line="360" w:lineRule="auto"/>
        <w:jc w:val="both"/>
        <w:rPr>
          <w:rFonts w:ascii="Book Antiqua" w:hAnsi="Book Antiqua" w:cstheme="minorHAnsi"/>
        </w:rPr>
      </w:pPr>
    </w:p>
    <w:p w:rsidR="009C5D2C" w:rsidRPr="00DD3614" w:rsidRDefault="00FC2F01" w:rsidP="00441037">
      <w:pPr>
        <w:autoSpaceDE w:val="0"/>
        <w:autoSpaceDN w:val="0"/>
        <w:adjustRightInd w:val="0"/>
        <w:spacing w:line="360" w:lineRule="auto"/>
        <w:jc w:val="both"/>
        <w:rPr>
          <w:rFonts w:ascii="Book Antiqua" w:hAnsi="Book Antiqua" w:cstheme="minorHAnsi"/>
        </w:rPr>
      </w:pPr>
      <w:r w:rsidRPr="00FC2F01">
        <w:rPr>
          <w:rFonts w:ascii="Book Antiqua" w:hAnsi="Book Antiqua"/>
          <w:b/>
        </w:rPr>
        <w:t>SGLT-2</w:t>
      </w:r>
      <w:r w:rsidR="006F744A" w:rsidRPr="00DD3614">
        <w:rPr>
          <w:rFonts w:ascii="Book Antiqua" w:hAnsi="Book Antiqua" w:cstheme="minorHAnsi"/>
          <w:b/>
        </w:rPr>
        <w:t>-INHIBITORS CV OUTCOME STUDIES</w:t>
      </w:r>
      <w:r w:rsidR="006F744A" w:rsidRPr="00DD3614">
        <w:rPr>
          <w:rFonts w:ascii="Book Antiqua" w:hAnsi="Book Antiqua" w:cstheme="minorHAnsi"/>
        </w:rPr>
        <w:t xml:space="preserve"> </w:t>
      </w:r>
      <w:r w:rsidR="006F744A" w:rsidRPr="00DD3614">
        <w:rPr>
          <w:rFonts w:ascii="Book Antiqua" w:hAnsi="Book Antiqua" w:cstheme="minorHAnsi"/>
          <w:b/>
        </w:rPr>
        <w:t>DISCUSSION</w:t>
      </w:r>
    </w:p>
    <w:p w:rsidR="00D02456" w:rsidRPr="00DD3614" w:rsidRDefault="00D02456" w:rsidP="00441037">
      <w:pPr>
        <w:autoSpaceDE w:val="0"/>
        <w:autoSpaceDN w:val="0"/>
        <w:adjustRightInd w:val="0"/>
        <w:spacing w:line="360" w:lineRule="auto"/>
        <w:jc w:val="both"/>
        <w:rPr>
          <w:rFonts w:ascii="Book Antiqua" w:hAnsi="Book Antiqua" w:cstheme="minorHAnsi"/>
        </w:rPr>
      </w:pPr>
      <w:r w:rsidRPr="00DD3614">
        <w:rPr>
          <w:rFonts w:ascii="Book Antiqua" w:hAnsi="Book Antiqua" w:cstheme="minorHAnsi"/>
        </w:rPr>
        <w:t xml:space="preserve">Empagliflozin and canagliflozin both showed </w:t>
      </w:r>
      <w:r w:rsidR="00D64864" w:rsidRPr="00DD3614">
        <w:rPr>
          <w:rFonts w:ascii="Book Antiqua" w:hAnsi="Book Antiqua" w:cstheme="minorHAnsi"/>
        </w:rPr>
        <w:t xml:space="preserve">a </w:t>
      </w:r>
      <w:r w:rsidRPr="00DD3614">
        <w:rPr>
          <w:rFonts w:ascii="Book Antiqua" w:hAnsi="Book Antiqua" w:cstheme="minorHAnsi"/>
        </w:rPr>
        <w:t>14% risk reduction in MACE (</w:t>
      </w:r>
      <w:r w:rsidR="00F40F65" w:rsidRPr="00DD3614">
        <w:rPr>
          <w:rFonts w:ascii="Book Antiqua" w:hAnsi="Book Antiqua" w:cstheme="minorHAnsi"/>
        </w:rPr>
        <w:t>a composite of CV death, nonfatal MI, or nonfatal stroke</w:t>
      </w:r>
      <w:r w:rsidRPr="00DD3614">
        <w:rPr>
          <w:rFonts w:ascii="Book Antiqua" w:hAnsi="Book Antiqua" w:cstheme="minorHAnsi"/>
        </w:rPr>
        <w:t>) but dapagliflozin neither decreased nor increased the risk for MACE in patients with T2DM</w:t>
      </w:r>
      <w:r w:rsidR="00296346" w:rsidRPr="00DD3614">
        <w:rPr>
          <w:rFonts w:ascii="Book Antiqua" w:hAnsi="Book Antiqua" w:cstheme="minorHAnsi"/>
        </w:rPr>
        <w:t>, compared to placebo</w:t>
      </w:r>
      <w:r w:rsidR="00EC2BFD" w:rsidRPr="00DD3614">
        <w:rPr>
          <w:rFonts w:ascii="Book Antiqua" w:hAnsi="Book Antiqua" w:cstheme="minorHAnsi"/>
        </w:rPr>
        <w:t xml:space="preserve"> (Table 2).</w:t>
      </w:r>
      <w:r w:rsidRPr="00DD3614">
        <w:rPr>
          <w:rFonts w:ascii="Book Antiqua" w:hAnsi="Book Antiqua" w:cstheme="minorHAnsi"/>
        </w:rPr>
        <w:t xml:space="preserve"> Empagliflozin also showed robust risk reduction for CV death (38%), hospitalization for HF (35%) and all-cause mortality (32%) in patients with T2DM and established atherosclerotic CV disease after a median </w:t>
      </w:r>
      <w:r w:rsidR="00296346" w:rsidRPr="00DD3614">
        <w:rPr>
          <w:rFonts w:ascii="Book Antiqua" w:hAnsi="Book Antiqua" w:cstheme="minorHAnsi"/>
        </w:rPr>
        <w:t>follow up</w:t>
      </w:r>
      <w:r w:rsidRPr="00DD3614">
        <w:rPr>
          <w:rFonts w:ascii="Book Antiqua" w:hAnsi="Book Antiqua" w:cstheme="minorHAnsi"/>
        </w:rPr>
        <w:t xml:space="preserve"> of 3.1 year. Canagliflozin and dapagliflozin treatment resulted in </w:t>
      </w:r>
      <w:r w:rsidR="00D64864" w:rsidRPr="00DD3614">
        <w:rPr>
          <w:rFonts w:ascii="Book Antiqua" w:hAnsi="Book Antiqua" w:cstheme="minorHAnsi"/>
        </w:rPr>
        <w:t xml:space="preserve">a </w:t>
      </w:r>
      <w:r w:rsidRPr="00DD3614">
        <w:rPr>
          <w:rFonts w:ascii="Book Antiqua" w:hAnsi="Book Antiqua" w:cstheme="minorHAnsi"/>
        </w:rPr>
        <w:t xml:space="preserve">significantly lower rate of hospitalization for heart failure (33% relative risk reduction for canagliflozin and 27% for dapagliflozin) but failed to significantly decrease death from CV causes or death from any </w:t>
      </w:r>
      <w:proofErr w:type="gramStart"/>
      <w:r w:rsidRPr="00DD3614">
        <w:rPr>
          <w:rFonts w:ascii="Book Antiqua" w:hAnsi="Book Antiqua" w:cstheme="minorHAnsi"/>
        </w:rPr>
        <w:t>cause</w:t>
      </w:r>
      <w:r w:rsidR="00BA403B" w:rsidRPr="00DD3614">
        <w:rPr>
          <w:rFonts w:ascii="Book Antiqua" w:hAnsi="Book Antiqua" w:cstheme="minorHAnsi"/>
          <w:vertAlign w:val="superscript"/>
        </w:rPr>
        <w:t>[</w:t>
      </w:r>
      <w:proofErr w:type="gramEnd"/>
      <w:r w:rsidR="00BA403B" w:rsidRPr="00DD3614">
        <w:rPr>
          <w:rFonts w:ascii="Book Antiqua" w:hAnsi="Book Antiqua" w:cstheme="minorHAnsi"/>
          <w:vertAlign w:val="superscript"/>
        </w:rPr>
        <w:t>18,19]</w:t>
      </w:r>
      <w:r w:rsidRPr="00DD3614">
        <w:rPr>
          <w:rFonts w:ascii="Book Antiqua" w:hAnsi="Book Antiqua" w:cstheme="minorHAnsi"/>
        </w:rPr>
        <w:t xml:space="preserve">. As a group, </w:t>
      </w:r>
      <w:r w:rsidR="00FC2F01" w:rsidRPr="00DD3614">
        <w:rPr>
          <w:rFonts w:ascii="Book Antiqua" w:hAnsi="Book Antiqua"/>
        </w:rPr>
        <w:t>SGLT-2</w:t>
      </w:r>
      <w:r w:rsidRPr="00DD3614">
        <w:rPr>
          <w:rFonts w:ascii="Book Antiqua" w:hAnsi="Book Antiqua" w:cstheme="minorHAnsi"/>
        </w:rPr>
        <w:t>-</w:t>
      </w:r>
      <w:r w:rsidR="00FC2F01" w:rsidRPr="00DD3614">
        <w:rPr>
          <w:rFonts w:ascii="Book Antiqua" w:hAnsi="Book Antiqua" w:cstheme="minorHAnsi"/>
        </w:rPr>
        <w:t>i</w:t>
      </w:r>
      <w:r w:rsidR="007002F9" w:rsidRPr="00DD3614">
        <w:rPr>
          <w:rFonts w:ascii="Book Antiqua" w:hAnsi="Book Antiqua" w:cstheme="minorHAnsi"/>
        </w:rPr>
        <w:t>nhibitors</w:t>
      </w:r>
      <w:r w:rsidRPr="00DD3614">
        <w:rPr>
          <w:rFonts w:ascii="Book Antiqua" w:hAnsi="Book Antiqua" w:cstheme="minorHAnsi"/>
        </w:rPr>
        <w:t xml:space="preserve"> have shown more robust and consistent effect on prevention of hospitalization for heart failure in patients with T2DM with or without history of heart failure or atherosclerotic CV </w:t>
      </w:r>
      <w:proofErr w:type="gramStart"/>
      <w:r w:rsidRPr="00DD3614">
        <w:rPr>
          <w:rFonts w:ascii="Book Antiqua" w:hAnsi="Book Antiqua" w:cstheme="minorHAnsi"/>
        </w:rPr>
        <w:t>disease</w:t>
      </w:r>
      <w:r w:rsidR="00BA403B" w:rsidRPr="00DD3614">
        <w:rPr>
          <w:rFonts w:ascii="Book Antiqua" w:hAnsi="Book Antiqua" w:cstheme="minorHAnsi"/>
          <w:vertAlign w:val="superscript"/>
        </w:rPr>
        <w:t>[</w:t>
      </w:r>
      <w:proofErr w:type="gramEnd"/>
      <w:r w:rsidR="00BA403B" w:rsidRPr="00DD3614">
        <w:rPr>
          <w:rFonts w:ascii="Book Antiqua" w:hAnsi="Book Antiqua" w:cstheme="minorHAnsi"/>
          <w:vertAlign w:val="superscript"/>
        </w:rPr>
        <w:t>20]</w:t>
      </w:r>
      <w:r w:rsidRPr="00DD3614">
        <w:rPr>
          <w:rFonts w:ascii="Book Antiqua" w:hAnsi="Book Antiqua" w:cstheme="minorHAnsi"/>
        </w:rPr>
        <w:t xml:space="preserve">. Beneficial effects on major adverse </w:t>
      </w:r>
      <w:r w:rsidR="007002F9" w:rsidRPr="00DD3614">
        <w:rPr>
          <w:rFonts w:ascii="Book Antiqua" w:hAnsi="Book Antiqua" w:cstheme="minorHAnsi"/>
        </w:rPr>
        <w:t>CV events was</w:t>
      </w:r>
      <w:r w:rsidRPr="00DD3614">
        <w:rPr>
          <w:rFonts w:ascii="Book Antiqua" w:hAnsi="Book Antiqua" w:cstheme="minorHAnsi"/>
        </w:rPr>
        <w:t xml:space="preserve"> not only moderate</w:t>
      </w:r>
      <w:r w:rsidR="00D64864" w:rsidRPr="00DD3614">
        <w:rPr>
          <w:rFonts w:ascii="Book Antiqua" w:hAnsi="Book Antiqua" w:cstheme="minorHAnsi"/>
        </w:rPr>
        <w:t>,</w:t>
      </w:r>
      <w:r w:rsidRPr="00DD3614">
        <w:rPr>
          <w:rFonts w:ascii="Book Antiqua" w:hAnsi="Book Antiqua" w:cstheme="minorHAnsi"/>
        </w:rPr>
        <w:t xml:space="preserve"> but also limited to patient</w:t>
      </w:r>
      <w:r w:rsidR="007002F9" w:rsidRPr="00DD3614">
        <w:rPr>
          <w:rFonts w:ascii="Book Antiqua" w:hAnsi="Book Antiqua" w:cstheme="minorHAnsi"/>
        </w:rPr>
        <w:t xml:space="preserve">s with established CV disease. </w:t>
      </w:r>
    </w:p>
    <w:p w:rsidR="00D02456" w:rsidRPr="00DD3614" w:rsidRDefault="00D02456" w:rsidP="00E45122">
      <w:pPr>
        <w:autoSpaceDE w:val="0"/>
        <w:autoSpaceDN w:val="0"/>
        <w:adjustRightInd w:val="0"/>
        <w:spacing w:line="360" w:lineRule="auto"/>
        <w:ind w:firstLineChars="100" w:firstLine="240"/>
        <w:jc w:val="both"/>
        <w:rPr>
          <w:rFonts w:ascii="Book Antiqua" w:hAnsi="Book Antiqua" w:cstheme="minorHAnsi"/>
        </w:rPr>
      </w:pPr>
      <w:r w:rsidRPr="00DD3614">
        <w:rPr>
          <w:rFonts w:ascii="Book Antiqua" w:hAnsi="Book Antiqua" w:cstheme="minorHAnsi"/>
        </w:rPr>
        <w:t>H</w:t>
      </w:r>
      <w:r w:rsidR="00F9503A" w:rsidRPr="00DD3614">
        <w:rPr>
          <w:rFonts w:ascii="Book Antiqua" w:hAnsi="Book Antiqua" w:cstheme="minorHAnsi"/>
        </w:rPr>
        <w:t>eterogeneity of</w:t>
      </w:r>
      <w:r w:rsidRPr="00DD3614">
        <w:rPr>
          <w:rFonts w:ascii="Book Antiqua" w:hAnsi="Book Antiqua" w:cstheme="minorHAnsi"/>
        </w:rPr>
        <w:t xml:space="preserve"> CV efficacy</w:t>
      </w:r>
      <w:r w:rsidR="00F9503A" w:rsidRPr="00DD3614">
        <w:rPr>
          <w:rFonts w:ascii="Book Antiqua" w:hAnsi="Book Antiqua" w:cstheme="minorHAnsi"/>
        </w:rPr>
        <w:t xml:space="preserve"> outcome</w:t>
      </w:r>
      <w:r w:rsidR="00D64864" w:rsidRPr="00DD3614">
        <w:rPr>
          <w:rFonts w:ascii="Book Antiqua" w:hAnsi="Book Antiqua" w:cstheme="minorHAnsi"/>
        </w:rPr>
        <w:t>s</w:t>
      </w:r>
      <w:r w:rsidRPr="00DD3614">
        <w:rPr>
          <w:rFonts w:ascii="Book Antiqua" w:hAnsi="Book Antiqua" w:cstheme="minorHAnsi"/>
        </w:rPr>
        <w:t xml:space="preserve"> </w:t>
      </w:r>
      <w:r w:rsidR="00F9503A" w:rsidRPr="00DD3614">
        <w:rPr>
          <w:rFonts w:ascii="Book Antiqua" w:hAnsi="Book Antiqua" w:cstheme="minorHAnsi"/>
        </w:rPr>
        <w:t xml:space="preserve">for various </w:t>
      </w:r>
      <w:r w:rsidR="00FC2F01" w:rsidRPr="00DD3614">
        <w:rPr>
          <w:rFonts w:ascii="Book Antiqua" w:hAnsi="Book Antiqua"/>
        </w:rPr>
        <w:t>SGLT-2</w:t>
      </w:r>
      <w:r w:rsidR="00F9503A" w:rsidRPr="00DD3614">
        <w:rPr>
          <w:rFonts w:ascii="Book Antiqua" w:hAnsi="Book Antiqua" w:cstheme="minorHAnsi"/>
        </w:rPr>
        <w:t>-</w:t>
      </w:r>
      <w:r w:rsidR="00D64864" w:rsidRPr="00DD3614">
        <w:rPr>
          <w:rFonts w:ascii="Book Antiqua" w:hAnsi="Book Antiqua" w:cstheme="minorHAnsi"/>
        </w:rPr>
        <w:t>i</w:t>
      </w:r>
      <w:r w:rsidR="00F9503A" w:rsidRPr="00DD3614">
        <w:rPr>
          <w:rFonts w:ascii="Book Antiqua" w:hAnsi="Book Antiqua" w:cstheme="minorHAnsi"/>
        </w:rPr>
        <w:t xml:space="preserve">nhibitors may be explained by </w:t>
      </w:r>
      <w:r w:rsidRPr="00DD3614">
        <w:rPr>
          <w:rFonts w:ascii="Book Antiqua" w:hAnsi="Book Antiqua" w:cstheme="minorHAnsi"/>
        </w:rPr>
        <w:t>differences in individual drug</w:t>
      </w:r>
      <w:r w:rsidR="00D64864" w:rsidRPr="00DD3614">
        <w:rPr>
          <w:rFonts w:ascii="Book Antiqua" w:hAnsi="Book Antiqua" w:cstheme="minorHAnsi"/>
        </w:rPr>
        <w:t>s,</w:t>
      </w:r>
      <w:r w:rsidRPr="00DD3614">
        <w:rPr>
          <w:rFonts w:ascii="Book Antiqua" w:hAnsi="Book Antiqua" w:cstheme="minorHAnsi"/>
        </w:rPr>
        <w:t xml:space="preserve"> but cannot be definitively stated due to lack of head to head randomized controlled trials. However, differences in CV outcome</w:t>
      </w:r>
      <w:r w:rsidR="00D64864" w:rsidRPr="00DD3614">
        <w:rPr>
          <w:rFonts w:ascii="Book Antiqua" w:hAnsi="Book Antiqua" w:cstheme="minorHAnsi"/>
        </w:rPr>
        <w:t>s</w:t>
      </w:r>
      <w:r w:rsidRPr="00DD3614">
        <w:rPr>
          <w:rFonts w:ascii="Book Antiqua" w:hAnsi="Book Antiqua" w:cstheme="minorHAnsi"/>
        </w:rPr>
        <w:t xml:space="preserve"> of </w:t>
      </w:r>
      <w:r w:rsidR="00FC2F01" w:rsidRPr="00DD3614">
        <w:rPr>
          <w:rFonts w:ascii="Book Antiqua" w:hAnsi="Book Antiqua"/>
        </w:rPr>
        <w:t>SGLT-2</w:t>
      </w:r>
      <w:r w:rsidRPr="00DD3614">
        <w:rPr>
          <w:rFonts w:ascii="Book Antiqua" w:hAnsi="Book Antiqua" w:cstheme="minorHAnsi"/>
        </w:rPr>
        <w:t>-</w:t>
      </w:r>
      <w:r w:rsidR="00D64864" w:rsidRPr="00DD3614">
        <w:rPr>
          <w:rFonts w:ascii="Book Antiqua" w:hAnsi="Book Antiqua" w:cstheme="minorHAnsi"/>
        </w:rPr>
        <w:t>i</w:t>
      </w:r>
      <w:r w:rsidR="00092215" w:rsidRPr="00DD3614">
        <w:rPr>
          <w:rFonts w:ascii="Book Antiqua" w:hAnsi="Book Antiqua" w:cstheme="minorHAnsi"/>
        </w:rPr>
        <w:t>nhibitor</w:t>
      </w:r>
      <w:r w:rsidRPr="00DD3614">
        <w:rPr>
          <w:rFonts w:ascii="Book Antiqua" w:hAnsi="Book Antiqua" w:cstheme="minorHAnsi"/>
        </w:rPr>
        <w:t xml:space="preserve"> drugs can be explained, at least in part, due to </w:t>
      </w:r>
      <w:r w:rsidRPr="008B3D7C">
        <w:rPr>
          <w:rFonts w:ascii="Book Antiqua" w:hAnsi="Book Antiqua" w:cstheme="minorHAnsi"/>
        </w:rPr>
        <w:t>differences</w:t>
      </w:r>
      <w:r w:rsidRPr="00DD3614">
        <w:rPr>
          <w:rFonts w:ascii="Book Antiqua" w:hAnsi="Book Antiqua" w:cstheme="minorHAnsi"/>
        </w:rPr>
        <w:t xml:space="preserve"> in study design and patient population</w:t>
      </w:r>
      <w:r w:rsidR="00D64864" w:rsidRPr="00DD3614">
        <w:rPr>
          <w:rFonts w:ascii="Book Antiqua" w:hAnsi="Book Antiqua" w:cstheme="minorHAnsi"/>
        </w:rPr>
        <w:t>s</w:t>
      </w:r>
      <w:r w:rsidRPr="00DD3614">
        <w:rPr>
          <w:rFonts w:ascii="Book Antiqua" w:hAnsi="Book Antiqua" w:cstheme="minorHAnsi"/>
        </w:rPr>
        <w:t xml:space="preserve"> studied. EMPA-REG OUTCOME</w:t>
      </w:r>
      <w:r w:rsidR="00D64864" w:rsidRPr="00DD3614">
        <w:rPr>
          <w:rFonts w:ascii="Book Antiqua" w:hAnsi="Book Antiqua" w:cstheme="minorHAnsi"/>
        </w:rPr>
        <w:t xml:space="preserve"> </w:t>
      </w:r>
      <w:r w:rsidRPr="00DD3614">
        <w:rPr>
          <w:rFonts w:ascii="Book Antiqua" w:hAnsi="Book Antiqua" w:cstheme="minorHAnsi"/>
        </w:rPr>
        <w:t>only included patients with established CV disease but 65.6% patients enrolled in CANVAS program</w:t>
      </w:r>
      <w:r w:rsidR="00D64864" w:rsidRPr="00DD3614">
        <w:rPr>
          <w:rFonts w:ascii="Book Antiqua" w:hAnsi="Book Antiqua" w:cstheme="minorHAnsi"/>
        </w:rPr>
        <w:t>,</w:t>
      </w:r>
      <w:r w:rsidRPr="00DD3614">
        <w:rPr>
          <w:rFonts w:ascii="Book Antiqua" w:hAnsi="Book Antiqua" w:cstheme="minorHAnsi"/>
        </w:rPr>
        <w:t xml:space="preserve"> and only 40.5% patients in DECLARE-TIMI 58 had established CV </w:t>
      </w:r>
      <w:proofErr w:type="gramStart"/>
      <w:r w:rsidRPr="00DD3614">
        <w:rPr>
          <w:rFonts w:ascii="Book Antiqua" w:hAnsi="Book Antiqua" w:cstheme="minorHAnsi"/>
        </w:rPr>
        <w:t>disease</w:t>
      </w:r>
      <w:r w:rsidR="00BA403B" w:rsidRPr="00DD3614">
        <w:rPr>
          <w:rFonts w:ascii="Book Antiqua" w:hAnsi="Book Antiqua" w:cstheme="minorHAnsi"/>
          <w:vertAlign w:val="superscript"/>
        </w:rPr>
        <w:t>[</w:t>
      </w:r>
      <w:proofErr w:type="gramEnd"/>
      <w:r w:rsidR="00BA403B" w:rsidRPr="00DD3614">
        <w:rPr>
          <w:rFonts w:ascii="Book Antiqua" w:hAnsi="Book Antiqua" w:cstheme="minorHAnsi"/>
          <w:vertAlign w:val="superscript"/>
        </w:rPr>
        <w:t>17-19]</w:t>
      </w:r>
      <w:r w:rsidRPr="00DD3614">
        <w:rPr>
          <w:rFonts w:ascii="Book Antiqua" w:hAnsi="Book Antiqua" w:cstheme="minorHAnsi"/>
        </w:rPr>
        <w:t xml:space="preserve">. Since reduction of MACE with </w:t>
      </w:r>
      <w:r w:rsidR="00FC2F01" w:rsidRPr="00DD3614">
        <w:rPr>
          <w:rFonts w:ascii="Book Antiqua" w:hAnsi="Book Antiqua"/>
        </w:rPr>
        <w:t>SGLT-2</w:t>
      </w:r>
      <w:r w:rsidRPr="00DD3614">
        <w:rPr>
          <w:rFonts w:ascii="Book Antiqua" w:hAnsi="Book Antiqua" w:cstheme="minorHAnsi"/>
        </w:rPr>
        <w:t>-</w:t>
      </w:r>
      <w:r w:rsidR="00FC2F01" w:rsidRPr="00DD3614">
        <w:rPr>
          <w:rFonts w:ascii="Book Antiqua" w:hAnsi="Book Antiqua" w:cstheme="minorHAnsi"/>
        </w:rPr>
        <w:t>i</w:t>
      </w:r>
      <w:r w:rsidR="00092215" w:rsidRPr="00DD3614">
        <w:rPr>
          <w:rFonts w:ascii="Book Antiqua" w:hAnsi="Book Antiqua" w:cstheme="minorHAnsi"/>
        </w:rPr>
        <w:t>nhibitors</w:t>
      </w:r>
      <w:r w:rsidRPr="00DD3614">
        <w:rPr>
          <w:rFonts w:ascii="Book Antiqua" w:hAnsi="Book Antiqua" w:cstheme="minorHAnsi"/>
        </w:rPr>
        <w:t xml:space="preserve"> was only seen in patients with established atherosclerotic </w:t>
      </w:r>
      <w:r w:rsidR="00092215" w:rsidRPr="00DD3614">
        <w:rPr>
          <w:rFonts w:ascii="Book Antiqua" w:hAnsi="Book Antiqua" w:cstheme="minorHAnsi"/>
        </w:rPr>
        <w:t xml:space="preserve">CV </w:t>
      </w:r>
      <w:r w:rsidRPr="00DD3614">
        <w:rPr>
          <w:rFonts w:ascii="Book Antiqua" w:hAnsi="Book Antiqua" w:cstheme="minorHAnsi"/>
        </w:rPr>
        <w:t>disease,</w:t>
      </w:r>
      <w:r w:rsidR="00D64864" w:rsidRPr="00DD3614">
        <w:rPr>
          <w:rFonts w:ascii="Book Antiqua" w:hAnsi="Book Antiqua" w:cstheme="minorHAnsi"/>
        </w:rPr>
        <w:t xml:space="preserve"> a</w:t>
      </w:r>
      <w:r w:rsidRPr="00DD3614">
        <w:rPr>
          <w:rFonts w:ascii="Book Antiqua" w:hAnsi="Book Antiqua" w:cstheme="minorHAnsi"/>
        </w:rPr>
        <w:t xml:space="preserve"> low</w:t>
      </w:r>
      <w:r w:rsidR="00092215" w:rsidRPr="00DD3614">
        <w:rPr>
          <w:rFonts w:ascii="Book Antiqua" w:hAnsi="Book Antiqua" w:cstheme="minorHAnsi"/>
        </w:rPr>
        <w:t>er</w:t>
      </w:r>
      <w:r w:rsidRPr="00DD3614">
        <w:rPr>
          <w:rFonts w:ascii="Book Antiqua" w:hAnsi="Book Antiqua" w:cstheme="minorHAnsi"/>
        </w:rPr>
        <w:t xml:space="preserve"> proportion of this patient population in DECLARE-TIMI 58 may have resulted in failure to show superiority for </w:t>
      </w:r>
      <w:r w:rsidR="00D64864" w:rsidRPr="00DD3614">
        <w:rPr>
          <w:rFonts w:ascii="Book Antiqua" w:hAnsi="Book Antiqua" w:cstheme="minorHAnsi"/>
        </w:rPr>
        <w:t xml:space="preserve">the </w:t>
      </w:r>
      <w:r w:rsidRPr="00DD3614">
        <w:rPr>
          <w:rFonts w:ascii="Book Antiqua" w:hAnsi="Book Antiqua" w:cstheme="minorHAnsi"/>
        </w:rPr>
        <w:t>primary composite</w:t>
      </w:r>
      <w:r w:rsidR="00D64864" w:rsidRPr="00DD3614">
        <w:rPr>
          <w:rFonts w:ascii="Book Antiqua" w:hAnsi="Book Antiqua" w:cstheme="minorHAnsi"/>
        </w:rPr>
        <w:t xml:space="preserve"> MACE</w:t>
      </w:r>
      <w:r w:rsidR="00212E28" w:rsidRPr="00DD3614">
        <w:rPr>
          <w:rFonts w:ascii="Book Antiqua" w:hAnsi="Book Antiqua" w:cstheme="minorHAnsi"/>
        </w:rPr>
        <w:t xml:space="preserve"> endpoint</w:t>
      </w:r>
      <w:r w:rsidRPr="00DD3614">
        <w:rPr>
          <w:rFonts w:ascii="Book Antiqua" w:hAnsi="Book Antiqua" w:cstheme="minorHAnsi"/>
        </w:rPr>
        <w:t xml:space="preserve">. Also, DECLARE-TIMI </w:t>
      </w:r>
      <w:r w:rsidR="0008719F" w:rsidRPr="00DD3614">
        <w:rPr>
          <w:rFonts w:ascii="Book Antiqua" w:hAnsi="Book Antiqua" w:cstheme="minorHAnsi"/>
        </w:rPr>
        <w:t xml:space="preserve">58 trial </w:t>
      </w:r>
      <w:r w:rsidRPr="00DD3614">
        <w:rPr>
          <w:rFonts w:ascii="Book Antiqua" w:hAnsi="Book Antiqua" w:cstheme="minorHAnsi"/>
        </w:rPr>
        <w:t>excluded patients with creatinine clearance &lt;</w:t>
      </w:r>
      <w:r w:rsidR="00D64864" w:rsidRPr="00DD3614">
        <w:rPr>
          <w:rFonts w:ascii="Book Antiqua" w:hAnsi="Book Antiqua" w:cstheme="minorHAnsi"/>
        </w:rPr>
        <w:t xml:space="preserve"> </w:t>
      </w:r>
      <w:r w:rsidRPr="00DD3614">
        <w:rPr>
          <w:rFonts w:ascii="Book Antiqua" w:hAnsi="Book Antiqua" w:cstheme="minorHAnsi"/>
        </w:rPr>
        <w:t>60 m</w:t>
      </w:r>
      <w:r w:rsidR="00E45122" w:rsidRPr="00DD3614">
        <w:rPr>
          <w:rFonts w:ascii="Book Antiqua" w:hAnsi="Book Antiqua" w:cstheme="minorHAnsi"/>
        </w:rPr>
        <w:t>L</w:t>
      </w:r>
      <w:r w:rsidRPr="00DD3614">
        <w:rPr>
          <w:rFonts w:ascii="Book Antiqua" w:hAnsi="Book Antiqua" w:cstheme="minorHAnsi"/>
        </w:rPr>
        <w:t xml:space="preserve"> per minute</w:t>
      </w:r>
      <w:r w:rsidR="00D64864" w:rsidRPr="00DD3614">
        <w:rPr>
          <w:rFonts w:ascii="Book Antiqua" w:hAnsi="Book Antiqua" w:cstheme="minorHAnsi"/>
        </w:rPr>
        <w:t>,</w:t>
      </w:r>
      <w:r w:rsidRPr="00DD3614">
        <w:rPr>
          <w:rFonts w:ascii="Book Antiqua" w:hAnsi="Book Antiqua" w:cstheme="minorHAnsi"/>
        </w:rPr>
        <w:t xml:space="preserve"> but other two </w:t>
      </w:r>
      <w:r w:rsidR="00325DA9" w:rsidRPr="00DD3614">
        <w:rPr>
          <w:rFonts w:ascii="Book Antiqua" w:hAnsi="Book Antiqua" w:cstheme="minorHAnsi"/>
        </w:rPr>
        <w:t xml:space="preserve">trials </w:t>
      </w:r>
      <w:r w:rsidRPr="00DD3614">
        <w:rPr>
          <w:rFonts w:ascii="Book Antiqua" w:hAnsi="Book Antiqua" w:cstheme="minorHAnsi"/>
        </w:rPr>
        <w:t xml:space="preserve">had </w:t>
      </w:r>
      <w:r w:rsidR="00D64864" w:rsidRPr="00DD3614">
        <w:rPr>
          <w:rFonts w:ascii="Book Antiqua" w:hAnsi="Book Antiqua" w:cstheme="minorHAnsi"/>
        </w:rPr>
        <w:t xml:space="preserve">a </w:t>
      </w:r>
      <w:r w:rsidRPr="00DD3614">
        <w:rPr>
          <w:rFonts w:ascii="Book Antiqua" w:hAnsi="Book Antiqua" w:cstheme="minorHAnsi"/>
        </w:rPr>
        <w:t>higher proportion of patients with renal insufficiency (eGFR &lt;</w:t>
      </w:r>
      <w:r w:rsidR="00D64864" w:rsidRPr="00DD3614">
        <w:rPr>
          <w:rFonts w:ascii="Book Antiqua" w:hAnsi="Book Antiqua" w:cstheme="minorHAnsi"/>
        </w:rPr>
        <w:t xml:space="preserve"> </w:t>
      </w:r>
      <w:r w:rsidRPr="00DD3614">
        <w:rPr>
          <w:rFonts w:ascii="Book Antiqua" w:hAnsi="Book Antiqua" w:cstheme="minorHAnsi"/>
        </w:rPr>
        <w:t>60 m</w:t>
      </w:r>
      <w:r w:rsidR="00E45122" w:rsidRPr="00DD3614">
        <w:rPr>
          <w:rFonts w:ascii="Book Antiqua" w:hAnsi="Book Antiqua" w:cstheme="minorHAnsi"/>
        </w:rPr>
        <w:t>L</w:t>
      </w:r>
      <w:r w:rsidRPr="00DD3614">
        <w:rPr>
          <w:rFonts w:ascii="Book Antiqua" w:hAnsi="Book Antiqua" w:cstheme="minorHAnsi"/>
        </w:rPr>
        <w:t>/min per 1.73 m</w:t>
      </w:r>
      <w:r w:rsidRPr="00DD3614">
        <w:rPr>
          <w:rFonts w:ascii="Book Antiqua" w:hAnsi="Book Antiqua" w:cstheme="minorHAnsi"/>
          <w:vertAlign w:val="superscript"/>
        </w:rPr>
        <w:t>2</w:t>
      </w:r>
      <w:r w:rsidR="0008719F" w:rsidRPr="00DD3614">
        <w:rPr>
          <w:rFonts w:ascii="Book Antiqua" w:hAnsi="Book Antiqua" w:cstheme="minorHAnsi"/>
        </w:rPr>
        <w:t xml:space="preserve">); </w:t>
      </w:r>
      <w:r w:rsidRPr="00DD3614">
        <w:rPr>
          <w:rFonts w:ascii="Book Antiqua" w:hAnsi="Book Antiqua" w:cstheme="minorHAnsi"/>
        </w:rPr>
        <w:t xml:space="preserve">25.9% in EMPA-REG OUTCOME and 20.1% in CANVAS. </w:t>
      </w:r>
      <w:r w:rsidR="00D64864" w:rsidRPr="00DD3614">
        <w:rPr>
          <w:rFonts w:ascii="Book Antiqua" w:hAnsi="Book Antiqua" w:cstheme="minorHAnsi"/>
        </w:rPr>
        <w:t>A l</w:t>
      </w:r>
      <w:r w:rsidRPr="00DD3614">
        <w:rPr>
          <w:rFonts w:ascii="Book Antiqua" w:hAnsi="Book Antiqua" w:cstheme="minorHAnsi"/>
        </w:rPr>
        <w:t xml:space="preserve">ower proportion of </w:t>
      </w:r>
      <w:r w:rsidR="00D64864" w:rsidRPr="00DD3614">
        <w:rPr>
          <w:rFonts w:ascii="Book Antiqua" w:hAnsi="Book Antiqua" w:cstheme="minorHAnsi"/>
        </w:rPr>
        <w:t xml:space="preserve">individuals </w:t>
      </w:r>
      <w:r w:rsidRPr="00DD3614">
        <w:rPr>
          <w:rFonts w:ascii="Book Antiqua" w:hAnsi="Book Antiqua" w:cstheme="minorHAnsi"/>
        </w:rPr>
        <w:t xml:space="preserve">with renal insufficiency and established atherosclerotic </w:t>
      </w:r>
      <w:r w:rsidR="00561303" w:rsidRPr="00DD3614">
        <w:rPr>
          <w:rFonts w:ascii="Book Antiqua" w:hAnsi="Book Antiqua" w:cstheme="minorHAnsi"/>
        </w:rPr>
        <w:t xml:space="preserve">CV </w:t>
      </w:r>
      <w:r w:rsidRPr="00DD3614">
        <w:rPr>
          <w:rFonts w:ascii="Book Antiqua" w:hAnsi="Book Antiqua" w:cstheme="minorHAnsi"/>
        </w:rPr>
        <w:t xml:space="preserve">disease may have been responsible for lower mortality rates in </w:t>
      </w:r>
      <w:r w:rsidR="00D64864" w:rsidRPr="00DD3614">
        <w:rPr>
          <w:rFonts w:ascii="Book Antiqua" w:hAnsi="Book Antiqua" w:cstheme="minorHAnsi"/>
        </w:rPr>
        <w:t xml:space="preserve">the </w:t>
      </w:r>
      <w:r w:rsidRPr="00DD3614">
        <w:rPr>
          <w:rFonts w:ascii="Book Antiqua" w:hAnsi="Book Antiqua" w:cstheme="minorHAnsi"/>
        </w:rPr>
        <w:t>placebo group in DECLARE-TIMI 58 compared to EMPA-REG OUTCOME. It cannot be assessed how much of these differences in patient population affected the final CV outcome</w:t>
      </w:r>
      <w:r w:rsidR="00D64864" w:rsidRPr="00DD3614">
        <w:rPr>
          <w:rFonts w:ascii="Book Antiqua" w:hAnsi="Book Antiqua" w:cstheme="minorHAnsi"/>
        </w:rPr>
        <w:t xml:space="preserve">, </w:t>
      </w:r>
      <w:r w:rsidRPr="00DD3614">
        <w:rPr>
          <w:rFonts w:ascii="Book Antiqua" w:hAnsi="Book Antiqua" w:cstheme="minorHAnsi"/>
        </w:rPr>
        <w:t xml:space="preserve">but </w:t>
      </w:r>
      <w:r w:rsidR="00992C71" w:rsidRPr="00DD3614">
        <w:rPr>
          <w:rFonts w:ascii="Book Antiqua" w:hAnsi="Book Antiqua" w:cstheme="minorHAnsi"/>
        </w:rPr>
        <w:t>these observations underscore</w:t>
      </w:r>
      <w:r w:rsidR="00561303" w:rsidRPr="00DD3614">
        <w:rPr>
          <w:rFonts w:ascii="Book Antiqua" w:hAnsi="Book Antiqua" w:cstheme="minorHAnsi"/>
        </w:rPr>
        <w:t xml:space="preserve"> the fact </w:t>
      </w:r>
      <w:r w:rsidRPr="00DD3614">
        <w:rPr>
          <w:rFonts w:ascii="Book Antiqua" w:hAnsi="Book Antiqua" w:cstheme="minorHAnsi"/>
        </w:rPr>
        <w:t>that</w:t>
      </w:r>
      <w:r w:rsidR="00992C71" w:rsidRPr="00DD3614">
        <w:rPr>
          <w:rFonts w:ascii="Book Antiqua" w:hAnsi="Book Antiqua" w:cstheme="minorHAnsi"/>
        </w:rPr>
        <w:t xml:space="preserve"> clinicians should be cautious in generalizing results of these CV outcome trials to patients with diverse CV risk factors. </w:t>
      </w:r>
      <w:r w:rsidRPr="00DD3614">
        <w:rPr>
          <w:rFonts w:ascii="Book Antiqua" w:hAnsi="Book Antiqua" w:cstheme="minorHAnsi"/>
        </w:rPr>
        <w:t xml:space="preserve">However, </w:t>
      </w:r>
      <w:r w:rsidR="00D64864" w:rsidRPr="00DD3614">
        <w:rPr>
          <w:rFonts w:ascii="Book Antiqua" w:hAnsi="Book Antiqua" w:cstheme="minorHAnsi"/>
        </w:rPr>
        <w:t xml:space="preserve">the above </w:t>
      </w:r>
      <w:r w:rsidRPr="00DD3614">
        <w:rPr>
          <w:rFonts w:ascii="Book Antiqua" w:hAnsi="Book Antiqua" w:cstheme="minorHAnsi"/>
        </w:rPr>
        <w:t xml:space="preserve">reviewed CV outcome trials have confirmed CV safety of </w:t>
      </w:r>
      <w:r w:rsidR="00FC2F01" w:rsidRPr="00DD3614">
        <w:rPr>
          <w:rFonts w:ascii="Book Antiqua" w:hAnsi="Book Antiqua"/>
        </w:rPr>
        <w:t>SGLT-2</w:t>
      </w:r>
      <w:r w:rsidRPr="00DD3614">
        <w:rPr>
          <w:rFonts w:ascii="Book Antiqua" w:hAnsi="Book Antiqua" w:cstheme="minorHAnsi"/>
        </w:rPr>
        <w:t>-</w:t>
      </w:r>
      <w:r w:rsidR="00D64864" w:rsidRPr="00DD3614">
        <w:rPr>
          <w:rFonts w:ascii="Book Antiqua" w:hAnsi="Book Antiqua" w:cstheme="minorHAnsi"/>
        </w:rPr>
        <w:t>i</w:t>
      </w:r>
      <w:r w:rsidR="00992C71" w:rsidRPr="00DD3614">
        <w:rPr>
          <w:rFonts w:ascii="Book Antiqua" w:hAnsi="Book Antiqua" w:cstheme="minorHAnsi"/>
        </w:rPr>
        <w:t>nhibitor</w:t>
      </w:r>
      <w:r w:rsidR="00D64864" w:rsidRPr="00DD3614">
        <w:rPr>
          <w:rFonts w:ascii="Book Antiqua" w:hAnsi="Book Antiqua" w:cstheme="minorHAnsi"/>
        </w:rPr>
        <w:t>s</w:t>
      </w:r>
      <w:r w:rsidRPr="00DD3614">
        <w:rPr>
          <w:rFonts w:ascii="Book Antiqua" w:hAnsi="Book Antiqua" w:cstheme="minorHAnsi"/>
        </w:rPr>
        <w:t xml:space="preserve">. </w:t>
      </w:r>
      <w:r w:rsidR="00D64864" w:rsidRPr="00DD3614">
        <w:rPr>
          <w:rFonts w:ascii="Book Antiqua" w:hAnsi="Book Antiqua" w:cstheme="minorHAnsi"/>
        </w:rPr>
        <w:t>Overall, the e</w:t>
      </w:r>
      <w:r w:rsidRPr="00DD3614">
        <w:rPr>
          <w:rFonts w:ascii="Book Antiqua" w:hAnsi="Book Antiqua" w:cstheme="minorHAnsi"/>
        </w:rPr>
        <w:t>vidence is strong for beneficial effect</w:t>
      </w:r>
      <w:r w:rsidR="00D64864" w:rsidRPr="00DD3614">
        <w:rPr>
          <w:rFonts w:ascii="Book Antiqua" w:hAnsi="Book Antiqua" w:cstheme="minorHAnsi"/>
        </w:rPr>
        <w:t>s</w:t>
      </w:r>
      <w:r w:rsidRPr="00DD3614">
        <w:rPr>
          <w:rFonts w:ascii="Book Antiqua" w:hAnsi="Book Antiqua" w:cstheme="minorHAnsi"/>
        </w:rPr>
        <w:t xml:space="preserve"> of </w:t>
      </w:r>
      <w:r w:rsidR="00FC2F01" w:rsidRPr="00DD3614">
        <w:rPr>
          <w:rFonts w:ascii="Book Antiqua" w:hAnsi="Book Antiqua"/>
        </w:rPr>
        <w:t>SGLT-2</w:t>
      </w:r>
      <w:r w:rsidRPr="00DD3614">
        <w:rPr>
          <w:rFonts w:ascii="Book Antiqua" w:hAnsi="Book Antiqua" w:cstheme="minorHAnsi"/>
        </w:rPr>
        <w:t>-</w:t>
      </w:r>
      <w:r w:rsidR="00D64864" w:rsidRPr="00DD3614">
        <w:rPr>
          <w:rFonts w:ascii="Book Antiqua" w:hAnsi="Book Antiqua" w:cstheme="minorHAnsi"/>
        </w:rPr>
        <w:t>i</w:t>
      </w:r>
      <w:r w:rsidR="00992C71" w:rsidRPr="00DD3614">
        <w:rPr>
          <w:rFonts w:ascii="Book Antiqua" w:hAnsi="Book Antiqua" w:cstheme="minorHAnsi"/>
        </w:rPr>
        <w:t>nhibitor</w:t>
      </w:r>
      <w:r w:rsidR="00D64864" w:rsidRPr="00DD3614">
        <w:rPr>
          <w:rFonts w:ascii="Book Antiqua" w:hAnsi="Book Antiqua" w:cstheme="minorHAnsi"/>
        </w:rPr>
        <w:t>s</w:t>
      </w:r>
      <w:r w:rsidRPr="00DD3614">
        <w:rPr>
          <w:rFonts w:ascii="Book Antiqua" w:hAnsi="Book Antiqua" w:cstheme="minorHAnsi"/>
        </w:rPr>
        <w:t xml:space="preserve"> on reducing hospitalization for heart failure</w:t>
      </w:r>
      <w:r w:rsidR="00D64864" w:rsidRPr="00DD3614">
        <w:rPr>
          <w:rFonts w:ascii="Book Antiqua" w:hAnsi="Book Antiqua" w:cstheme="minorHAnsi"/>
        </w:rPr>
        <w:t>,</w:t>
      </w:r>
      <w:r w:rsidRPr="00DD3614">
        <w:rPr>
          <w:rFonts w:ascii="Book Antiqua" w:hAnsi="Book Antiqua" w:cstheme="minorHAnsi"/>
        </w:rPr>
        <w:t xml:space="preserve"> and moderate reduction of major adverse CV events</w:t>
      </w:r>
      <w:r w:rsidR="00D64864" w:rsidRPr="00DD3614">
        <w:rPr>
          <w:rFonts w:ascii="Book Antiqua" w:hAnsi="Book Antiqua" w:cstheme="minorHAnsi"/>
        </w:rPr>
        <w:t xml:space="preserve"> has only been clearly demonstrated</w:t>
      </w:r>
      <w:r w:rsidRPr="00DD3614">
        <w:rPr>
          <w:rFonts w:ascii="Book Antiqua" w:hAnsi="Book Antiqua" w:cstheme="minorHAnsi"/>
        </w:rPr>
        <w:t xml:space="preserve"> </w:t>
      </w:r>
      <w:r w:rsidR="00D64864" w:rsidRPr="00DD3614">
        <w:rPr>
          <w:rFonts w:ascii="Book Antiqua" w:hAnsi="Book Antiqua" w:cstheme="minorHAnsi"/>
        </w:rPr>
        <w:t xml:space="preserve">in individuals </w:t>
      </w:r>
      <w:r w:rsidRPr="00DD3614">
        <w:rPr>
          <w:rFonts w:ascii="Book Antiqua" w:hAnsi="Book Antiqua" w:cstheme="minorHAnsi"/>
        </w:rPr>
        <w:t xml:space="preserve">with T2DM and established atherosclerotic </w:t>
      </w:r>
      <w:r w:rsidR="00992C71" w:rsidRPr="00DD3614">
        <w:rPr>
          <w:rFonts w:ascii="Book Antiqua" w:hAnsi="Book Antiqua" w:cstheme="minorHAnsi"/>
        </w:rPr>
        <w:t>CV disease.</w:t>
      </w:r>
    </w:p>
    <w:p w:rsidR="00FB25AC" w:rsidRPr="00DD3614" w:rsidRDefault="00FB25AC" w:rsidP="00441037">
      <w:pPr>
        <w:autoSpaceDE w:val="0"/>
        <w:autoSpaceDN w:val="0"/>
        <w:adjustRightInd w:val="0"/>
        <w:spacing w:line="360" w:lineRule="auto"/>
        <w:jc w:val="both"/>
        <w:rPr>
          <w:rFonts w:ascii="Book Antiqua" w:hAnsi="Book Antiqua" w:cstheme="minorHAnsi"/>
        </w:rPr>
      </w:pPr>
    </w:p>
    <w:p w:rsidR="00D02456" w:rsidRPr="00DD3614" w:rsidRDefault="00E45122" w:rsidP="00441037">
      <w:pPr>
        <w:autoSpaceDE w:val="0"/>
        <w:autoSpaceDN w:val="0"/>
        <w:adjustRightInd w:val="0"/>
        <w:spacing w:line="360" w:lineRule="auto"/>
        <w:jc w:val="both"/>
        <w:rPr>
          <w:rFonts w:ascii="Book Antiqua" w:hAnsi="Book Antiqua" w:cstheme="minorHAnsi"/>
          <w:b/>
        </w:rPr>
      </w:pPr>
      <w:r w:rsidRPr="00DD3614">
        <w:rPr>
          <w:rFonts w:ascii="Book Antiqua" w:hAnsi="Book Antiqua" w:cstheme="minorHAnsi"/>
          <w:b/>
        </w:rPr>
        <w:t>CONCLUSION</w:t>
      </w:r>
    </w:p>
    <w:p w:rsidR="008F70A9" w:rsidRDefault="00860613" w:rsidP="00291D39">
      <w:pPr>
        <w:pStyle w:val="Default"/>
        <w:spacing w:line="360" w:lineRule="auto"/>
        <w:jc w:val="both"/>
        <w:rPr>
          <w:rFonts w:ascii="Book Antiqua" w:hAnsi="Book Antiqua" w:cstheme="minorHAnsi"/>
          <w:color w:val="auto"/>
          <w:lang w:eastAsia="zh-CN"/>
        </w:rPr>
      </w:pPr>
      <w:r w:rsidRPr="00DD3614">
        <w:rPr>
          <w:rFonts w:ascii="Book Antiqua" w:hAnsi="Book Antiqua" w:cstheme="minorHAnsi"/>
          <w:color w:val="auto"/>
        </w:rPr>
        <w:t>Multiple CV outcome trials performed</w:t>
      </w:r>
      <w:r w:rsidR="00D02456" w:rsidRPr="00DD3614">
        <w:rPr>
          <w:rFonts w:ascii="Book Antiqua" w:hAnsi="Book Antiqua" w:cstheme="minorHAnsi"/>
          <w:color w:val="auto"/>
        </w:rPr>
        <w:t xml:space="preserve"> mainly to meet regulatory requirements by US FDA have provided </w:t>
      </w:r>
      <w:r w:rsidR="00D64864" w:rsidRPr="00DD3614">
        <w:rPr>
          <w:rFonts w:ascii="Book Antiqua" w:hAnsi="Book Antiqua" w:cstheme="minorHAnsi"/>
          <w:color w:val="auto"/>
        </w:rPr>
        <w:t xml:space="preserve">very </w:t>
      </w:r>
      <w:r w:rsidR="00D02456" w:rsidRPr="00DD3614">
        <w:rPr>
          <w:rFonts w:ascii="Book Antiqua" w:hAnsi="Book Antiqua" w:cstheme="minorHAnsi"/>
          <w:color w:val="auto"/>
        </w:rPr>
        <w:t>important findings on CV safety and efficacy of new</w:t>
      </w:r>
      <w:r w:rsidRPr="00DD3614">
        <w:rPr>
          <w:rFonts w:ascii="Book Antiqua" w:hAnsi="Book Antiqua" w:cstheme="minorHAnsi"/>
          <w:color w:val="auto"/>
        </w:rPr>
        <w:t>er</w:t>
      </w:r>
      <w:r w:rsidR="00D02456" w:rsidRPr="00DD3614">
        <w:rPr>
          <w:rFonts w:ascii="Book Antiqua" w:hAnsi="Book Antiqua" w:cstheme="minorHAnsi"/>
          <w:color w:val="auto"/>
        </w:rPr>
        <w:t xml:space="preserve"> anti-diabetic drugs. All drugs in GLP-1 </w:t>
      </w:r>
      <w:r w:rsidR="00DD3614" w:rsidRPr="00DD3614">
        <w:rPr>
          <w:rFonts w:ascii="Book Antiqua" w:hAnsi="Book Antiqua"/>
          <w:color w:val="auto"/>
        </w:rPr>
        <w:t>RA</w:t>
      </w:r>
      <w:r w:rsidR="00D02456" w:rsidRPr="00DD3614">
        <w:rPr>
          <w:rFonts w:ascii="Book Antiqua" w:hAnsi="Book Antiqua" w:cstheme="minorHAnsi"/>
          <w:color w:val="auto"/>
        </w:rPr>
        <w:t xml:space="preserve"> and </w:t>
      </w:r>
      <w:r w:rsidR="00FC2F01" w:rsidRPr="00DD3614">
        <w:rPr>
          <w:rFonts w:ascii="Book Antiqua" w:hAnsi="Book Antiqua"/>
          <w:color w:val="auto"/>
        </w:rPr>
        <w:t>SGLT-2</w:t>
      </w:r>
      <w:r w:rsidR="00D02456" w:rsidRPr="00DD3614">
        <w:rPr>
          <w:rFonts w:ascii="Book Antiqua" w:hAnsi="Book Antiqua" w:cstheme="minorHAnsi"/>
          <w:color w:val="auto"/>
        </w:rPr>
        <w:t>-</w:t>
      </w:r>
      <w:r w:rsidR="00D64864" w:rsidRPr="00DD3614">
        <w:rPr>
          <w:rFonts w:ascii="Book Antiqua" w:hAnsi="Book Antiqua" w:cstheme="minorHAnsi"/>
          <w:color w:val="auto"/>
        </w:rPr>
        <w:t>i</w:t>
      </w:r>
      <w:r w:rsidR="00297D9D" w:rsidRPr="00DD3614">
        <w:rPr>
          <w:rFonts w:ascii="Book Antiqua" w:hAnsi="Book Antiqua" w:cstheme="minorHAnsi"/>
          <w:color w:val="auto"/>
        </w:rPr>
        <w:t>nhibitor</w:t>
      </w:r>
      <w:r w:rsidR="00D02456" w:rsidRPr="00DD3614">
        <w:rPr>
          <w:rFonts w:ascii="Book Antiqua" w:hAnsi="Book Antiqua" w:cstheme="minorHAnsi"/>
          <w:color w:val="auto"/>
        </w:rPr>
        <w:t xml:space="preserve"> class</w:t>
      </w:r>
      <w:r w:rsidR="00D64864" w:rsidRPr="00DD3614">
        <w:rPr>
          <w:rFonts w:ascii="Book Antiqua" w:hAnsi="Book Antiqua" w:cstheme="minorHAnsi"/>
          <w:color w:val="auto"/>
        </w:rPr>
        <w:t>es</w:t>
      </w:r>
      <w:r w:rsidR="00D02456" w:rsidRPr="00DD3614">
        <w:rPr>
          <w:rFonts w:ascii="Book Antiqua" w:hAnsi="Book Antiqua" w:cstheme="minorHAnsi"/>
          <w:color w:val="auto"/>
        </w:rPr>
        <w:t xml:space="preserve"> have shown to </w:t>
      </w:r>
      <w:r w:rsidR="00297D9D" w:rsidRPr="00DD3614">
        <w:rPr>
          <w:rFonts w:ascii="Book Antiqua" w:hAnsi="Book Antiqua" w:cstheme="minorHAnsi"/>
          <w:color w:val="auto"/>
        </w:rPr>
        <w:t xml:space="preserve">be CV safe </w:t>
      </w:r>
      <w:r w:rsidR="00D02456" w:rsidRPr="00DD3614">
        <w:rPr>
          <w:rFonts w:ascii="Book Antiqua" w:hAnsi="Book Antiqua" w:cstheme="minorHAnsi"/>
          <w:color w:val="auto"/>
        </w:rPr>
        <w:t xml:space="preserve">with heterogeneous results on CV efficacy. However, </w:t>
      </w:r>
      <w:r w:rsidR="00D64864" w:rsidRPr="00DD3614">
        <w:rPr>
          <w:rFonts w:ascii="Book Antiqua" w:hAnsi="Book Antiqua" w:cstheme="minorHAnsi"/>
          <w:color w:val="auto"/>
        </w:rPr>
        <w:t xml:space="preserve">the </w:t>
      </w:r>
      <w:r w:rsidR="00D02456" w:rsidRPr="00DD3614">
        <w:rPr>
          <w:rFonts w:ascii="Book Antiqua" w:hAnsi="Book Antiqua" w:cstheme="minorHAnsi"/>
          <w:color w:val="auto"/>
        </w:rPr>
        <w:t>overall trend and magnitude of CV outcome</w:t>
      </w:r>
      <w:r w:rsidR="00D64864" w:rsidRPr="00DD3614">
        <w:rPr>
          <w:rFonts w:ascii="Book Antiqua" w:hAnsi="Book Antiqua" w:cstheme="minorHAnsi"/>
          <w:color w:val="auto"/>
        </w:rPr>
        <w:t>s</w:t>
      </w:r>
      <w:r w:rsidR="00D02456" w:rsidRPr="00DD3614">
        <w:rPr>
          <w:rFonts w:ascii="Book Antiqua" w:hAnsi="Book Antiqua" w:cstheme="minorHAnsi"/>
          <w:color w:val="auto"/>
        </w:rPr>
        <w:t xml:space="preserve"> is similar</w:t>
      </w:r>
      <w:r w:rsidR="00297D9D" w:rsidRPr="00DD3614">
        <w:rPr>
          <w:rFonts w:ascii="Book Antiqua" w:hAnsi="Book Antiqua" w:cstheme="minorHAnsi"/>
          <w:color w:val="auto"/>
        </w:rPr>
        <w:t xml:space="preserve"> with</w:t>
      </w:r>
      <w:r w:rsidR="00D02456" w:rsidRPr="00DD3614">
        <w:rPr>
          <w:rFonts w:ascii="Book Antiqua" w:hAnsi="Book Antiqua" w:cstheme="minorHAnsi"/>
          <w:color w:val="auto"/>
        </w:rPr>
        <w:t>in the drug class</w:t>
      </w:r>
      <w:r w:rsidR="00875175" w:rsidRPr="00DD3614">
        <w:rPr>
          <w:rFonts w:ascii="Book Antiqua" w:hAnsi="Book Antiqua" w:cstheme="minorHAnsi"/>
          <w:color w:val="auto"/>
        </w:rPr>
        <w:t>es</w:t>
      </w:r>
      <w:r w:rsidR="00D02456" w:rsidRPr="00DD3614">
        <w:rPr>
          <w:rFonts w:ascii="Book Antiqua" w:hAnsi="Book Antiqua" w:cstheme="minorHAnsi"/>
          <w:color w:val="auto"/>
        </w:rPr>
        <w:t xml:space="preserve">. GLP-1 </w:t>
      </w:r>
      <w:r w:rsidR="00DD3614" w:rsidRPr="00DD3614">
        <w:rPr>
          <w:rFonts w:ascii="Book Antiqua" w:hAnsi="Book Antiqua"/>
          <w:color w:val="auto"/>
        </w:rPr>
        <w:t>RA</w:t>
      </w:r>
      <w:r w:rsidR="00875175" w:rsidRPr="00DD3614">
        <w:rPr>
          <w:rFonts w:ascii="Book Antiqua" w:hAnsi="Book Antiqua" w:cstheme="minorHAnsi"/>
          <w:color w:val="auto"/>
        </w:rPr>
        <w:t>s have</w:t>
      </w:r>
      <w:r w:rsidR="00D02456" w:rsidRPr="00DD3614">
        <w:rPr>
          <w:rFonts w:ascii="Book Antiqua" w:hAnsi="Book Antiqua" w:cstheme="minorHAnsi"/>
          <w:color w:val="auto"/>
        </w:rPr>
        <w:t xml:space="preserve"> beneficial effect</w:t>
      </w:r>
      <w:r w:rsidR="00875175" w:rsidRPr="00DD3614">
        <w:rPr>
          <w:rFonts w:ascii="Book Antiqua" w:hAnsi="Book Antiqua" w:cstheme="minorHAnsi"/>
          <w:color w:val="auto"/>
        </w:rPr>
        <w:t>s</w:t>
      </w:r>
      <w:r w:rsidR="00D02456" w:rsidRPr="00DD3614">
        <w:rPr>
          <w:rFonts w:ascii="Book Antiqua" w:hAnsi="Book Antiqua" w:cstheme="minorHAnsi"/>
          <w:color w:val="auto"/>
        </w:rPr>
        <w:t xml:space="preserve"> on </w:t>
      </w:r>
      <w:r w:rsidR="00B852F5" w:rsidRPr="00DD3614">
        <w:rPr>
          <w:rFonts w:ascii="Book Antiqua" w:hAnsi="Book Antiqua"/>
          <w:color w:val="auto"/>
        </w:rPr>
        <w:t>MACE</w:t>
      </w:r>
      <w:r w:rsidR="00D02456" w:rsidRPr="00DD3614">
        <w:rPr>
          <w:rFonts w:ascii="Book Antiqua" w:hAnsi="Book Antiqua" w:cstheme="minorHAnsi"/>
          <w:color w:val="auto"/>
        </w:rPr>
        <w:t xml:space="preserve"> (a composite of CV death, nonfatal MI and nonfatal stroke). </w:t>
      </w:r>
      <w:r w:rsidR="00FC2F01" w:rsidRPr="00DD3614">
        <w:rPr>
          <w:rFonts w:ascii="Book Antiqua" w:hAnsi="Book Antiqua"/>
          <w:color w:val="auto"/>
        </w:rPr>
        <w:t>SGLT-2</w:t>
      </w:r>
      <w:r w:rsidR="00D02456" w:rsidRPr="00DD3614">
        <w:rPr>
          <w:rFonts w:ascii="Book Antiqua" w:hAnsi="Book Antiqua" w:cstheme="minorHAnsi"/>
          <w:color w:val="auto"/>
        </w:rPr>
        <w:t>-</w:t>
      </w:r>
      <w:r w:rsidR="00FC2F01" w:rsidRPr="00DD3614">
        <w:rPr>
          <w:rFonts w:ascii="Book Antiqua" w:hAnsi="Book Antiqua" w:cstheme="minorHAnsi"/>
          <w:color w:val="auto"/>
        </w:rPr>
        <w:t>i</w:t>
      </w:r>
      <w:r w:rsidR="00785A75" w:rsidRPr="00DD3614">
        <w:rPr>
          <w:rFonts w:ascii="Book Antiqua" w:hAnsi="Book Antiqua" w:cstheme="minorHAnsi"/>
          <w:color w:val="auto"/>
        </w:rPr>
        <w:t>nhibitors</w:t>
      </w:r>
      <w:r w:rsidR="00D02456" w:rsidRPr="00DD3614">
        <w:rPr>
          <w:rFonts w:ascii="Book Antiqua" w:hAnsi="Book Antiqua" w:cstheme="minorHAnsi"/>
          <w:color w:val="auto"/>
        </w:rPr>
        <w:t xml:space="preserve"> have strong</w:t>
      </w:r>
      <w:r w:rsidR="00785A75" w:rsidRPr="00DD3614">
        <w:rPr>
          <w:rFonts w:ascii="Book Antiqua" w:hAnsi="Book Antiqua" w:cstheme="minorHAnsi"/>
          <w:color w:val="auto"/>
        </w:rPr>
        <w:t>er</w:t>
      </w:r>
      <w:r w:rsidR="00D02456" w:rsidRPr="00DD3614">
        <w:rPr>
          <w:rFonts w:ascii="Book Antiqua" w:hAnsi="Book Antiqua" w:cstheme="minorHAnsi"/>
          <w:color w:val="auto"/>
        </w:rPr>
        <w:t xml:space="preserve"> and consistent evidence for prevention of hospitalization for heart failure than on atherosclerotic </w:t>
      </w:r>
      <w:r w:rsidR="00B852F5" w:rsidRPr="00DD3614">
        <w:rPr>
          <w:rFonts w:ascii="Book Antiqua" w:hAnsi="Book Antiqua"/>
          <w:color w:val="auto"/>
        </w:rPr>
        <w:t>MACE</w:t>
      </w:r>
      <w:r w:rsidR="00785A75" w:rsidRPr="00DD3614">
        <w:rPr>
          <w:rFonts w:ascii="Book Antiqua" w:hAnsi="Book Antiqua" w:cstheme="minorHAnsi"/>
          <w:color w:val="auto"/>
        </w:rPr>
        <w:t xml:space="preserve">, where beneficial outcome </w:t>
      </w:r>
      <w:r w:rsidR="00D02456" w:rsidRPr="00DD3614">
        <w:rPr>
          <w:rFonts w:ascii="Book Antiqua" w:hAnsi="Book Antiqua" w:cstheme="minorHAnsi"/>
          <w:color w:val="auto"/>
        </w:rPr>
        <w:t>was only seen in patients with T2DM and establis</w:t>
      </w:r>
      <w:r w:rsidR="0083486B" w:rsidRPr="00DD3614">
        <w:rPr>
          <w:rFonts w:ascii="Book Antiqua" w:hAnsi="Book Antiqua" w:cstheme="minorHAnsi"/>
          <w:color w:val="auto"/>
        </w:rPr>
        <w:t>hed atherosclerotic CV disease. G</w:t>
      </w:r>
      <w:r w:rsidR="00D02456" w:rsidRPr="00DD3614">
        <w:rPr>
          <w:rFonts w:ascii="Book Antiqua" w:hAnsi="Book Antiqua" w:cstheme="minorHAnsi"/>
          <w:color w:val="auto"/>
        </w:rPr>
        <w:t xml:space="preserve">iven twofold higher CV disease mortality in patients with DM than without </w:t>
      </w:r>
      <w:proofErr w:type="gramStart"/>
      <w:r w:rsidR="00D02456" w:rsidRPr="00DD3614">
        <w:rPr>
          <w:rFonts w:ascii="Book Antiqua" w:hAnsi="Book Antiqua" w:cstheme="minorHAnsi"/>
          <w:color w:val="auto"/>
        </w:rPr>
        <w:t>DM</w:t>
      </w:r>
      <w:r w:rsidR="00BA403B" w:rsidRPr="00DD3614">
        <w:rPr>
          <w:rFonts w:ascii="Book Antiqua" w:hAnsi="Book Antiqua" w:cstheme="minorHAnsi"/>
          <w:color w:val="auto"/>
          <w:vertAlign w:val="superscript"/>
        </w:rPr>
        <w:t>[</w:t>
      </w:r>
      <w:proofErr w:type="gramEnd"/>
      <w:r w:rsidR="00BA403B" w:rsidRPr="00DD3614">
        <w:rPr>
          <w:rFonts w:ascii="Book Antiqua" w:hAnsi="Book Antiqua" w:cstheme="minorHAnsi"/>
          <w:color w:val="auto"/>
          <w:vertAlign w:val="superscript"/>
        </w:rPr>
        <w:t>21]</w:t>
      </w:r>
      <w:r w:rsidR="00D02456" w:rsidRPr="00DD3614">
        <w:rPr>
          <w:rFonts w:ascii="Book Antiqua" w:hAnsi="Book Antiqua" w:cstheme="minorHAnsi"/>
          <w:color w:val="auto"/>
        </w:rPr>
        <w:t xml:space="preserve">, GLP-1 </w:t>
      </w:r>
      <w:r w:rsidR="00DD3614" w:rsidRPr="00DD3614">
        <w:rPr>
          <w:rFonts w:ascii="Book Antiqua" w:hAnsi="Book Antiqua"/>
          <w:color w:val="auto"/>
        </w:rPr>
        <w:t>RA</w:t>
      </w:r>
      <w:r w:rsidR="00D02456" w:rsidRPr="00DD3614">
        <w:rPr>
          <w:rFonts w:ascii="Book Antiqua" w:hAnsi="Book Antiqua" w:cstheme="minorHAnsi"/>
          <w:color w:val="auto"/>
        </w:rPr>
        <w:t xml:space="preserve">s and </w:t>
      </w:r>
      <w:r w:rsidR="00FC2F01" w:rsidRPr="00DD3614">
        <w:rPr>
          <w:rFonts w:ascii="Book Antiqua" w:hAnsi="Book Antiqua"/>
          <w:color w:val="auto"/>
        </w:rPr>
        <w:t>SGLT-2</w:t>
      </w:r>
      <w:r w:rsidR="00D02456" w:rsidRPr="00DD3614">
        <w:rPr>
          <w:rFonts w:ascii="Book Antiqua" w:hAnsi="Book Antiqua" w:cstheme="minorHAnsi"/>
          <w:color w:val="auto"/>
        </w:rPr>
        <w:t>-</w:t>
      </w:r>
      <w:r w:rsidR="00875175" w:rsidRPr="00DD3614">
        <w:rPr>
          <w:rFonts w:ascii="Book Antiqua" w:hAnsi="Book Antiqua" w:cstheme="minorHAnsi"/>
          <w:color w:val="auto"/>
        </w:rPr>
        <w:t>i</w:t>
      </w:r>
      <w:r w:rsidR="00785A75" w:rsidRPr="00DD3614">
        <w:rPr>
          <w:rFonts w:ascii="Book Antiqua" w:hAnsi="Book Antiqua" w:cstheme="minorHAnsi"/>
          <w:color w:val="auto"/>
        </w:rPr>
        <w:t>nhibitors</w:t>
      </w:r>
      <w:r w:rsidR="00D02456" w:rsidRPr="00DD3614">
        <w:rPr>
          <w:rFonts w:ascii="Book Antiqua" w:hAnsi="Book Antiqua" w:cstheme="minorHAnsi"/>
          <w:color w:val="auto"/>
        </w:rPr>
        <w:t xml:space="preserve"> are important additions to clinician’s armamentarium and should be second line-therapy particularly in patients with T2DM and established </w:t>
      </w:r>
      <w:r w:rsidR="00785A75" w:rsidRPr="00DD3614">
        <w:rPr>
          <w:rFonts w:ascii="Book Antiqua" w:hAnsi="Book Antiqua" w:cstheme="minorHAnsi"/>
          <w:color w:val="auto"/>
        </w:rPr>
        <w:t xml:space="preserve">atherosclerotic </w:t>
      </w:r>
      <w:r w:rsidR="00D02456" w:rsidRPr="00DD3614">
        <w:rPr>
          <w:rFonts w:ascii="Book Antiqua" w:hAnsi="Book Antiqua" w:cstheme="minorHAnsi"/>
          <w:color w:val="auto"/>
        </w:rPr>
        <w:t xml:space="preserve">CV disease or high risks for CV disease. </w:t>
      </w:r>
      <w:r w:rsidR="00875175" w:rsidRPr="00DD3614">
        <w:rPr>
          <w:rFonts w:ascii="Book Antiqua" w:hAnsi="Book Antiqua" w:cstheme="minorHAnsi"/>
          <w:color w:val="auto"/>
        </w:rPr>
        <w:t xml:space="preserve">In fact, the recent consensus statement from the ADA and EASD confirms this point and suggests GLP-1 RA’s and </w:t>
      </w:r>
      <w:r w:rsidR="00FC2F01" w:rsidRPr="00DD3614">
        <w:rPr>
          <w:rFonts w:ascii="Book Antiqua" w:hAnsi="Book Antiqua"/>
          <w:color w:val="auto"/>
        </w:rPr>
        <w:t>SGLT-2</w:t>
      </w:r>
      <w:r w:rsidR="00875175" w:rsidRPr="00DD3614">
        <w:rPr>
          <w:rFonts w:ascii="Book Antiqua" w:hAnsi="Book Antiqua" w:cstheme="minorHAnsi"/>
          <w:color w:val="auto"/>
        </w:rPr>
        <w:t xml:space="preserve"> inhibitors after metformin in high CV-risk </w:t>
      </w:r>
      <w:proofErr w:type="gramStart"/>
      <w:r w:rsidR="00875175" w:rsidRPr="00DD3614">
        <w:rPr>
          <w:rFonts w:ascii="Book Antiqua" w:hAnsi="Book Antiqua" w:cstheme="minorHAnsi"/>
          <w:color w:val="auto"/>
        </w:rPr>
        <w:t>individuals</w:t>
      </w:r>
      <w:r w:rsidR="00BA403B" w:rsidRPr="00DD3614">
        <w:rPr>
          <w:rFonts w:ascii="Book Antiqua" w:hAnsi="Book Antiqua" w:cstheme="minorHAnsi"/>
          <w:color w:val="auto"/>
          <w:vertAlign w:val="superscript"/>
        </w:rPr>
        <w:t>[</w:t>
      </w:r>
      <w:proofErr w:type="gramEnd"/>
      <w:r w:rsidR="00BA403B" w:rsidRPr="00DD3614">
        <w:rPr>
          <w:rFonts w:ascii="Book Antiqua" w:hAnsi="Book Antiqua" w:cstheme="minorHAnsi"/>
          <w:color w:val="auto"/>
          <w:vertAlign w:val="superscript"/>
        </w:rPr>
        <w:t>22]</w:t>
      </w:r>
      <w:r w:rsidR="00875175" w:rsidRPr="00DD3614">
        <w:rPr>
          <w:rFonts w:ascii="Book Antiqua" w:hAnsi="Book Antiqua" w:cstheme="minorHAnsi"/>
          <w:color w:val="auto"/>
        </w:rPr>
        <w:t>.</w:t>
      </w:r>
      <w:r w:rsidR="00D10D81" w:rsidRPr="00DD3614">
        <w:rPr>
          <w:rFonts w:ascii="Book Antiqua" w:hAnsi="Book Antiqua" w:cstheme="minorHAnsi"/>
          <w:color w:val="auto"/>
        </w:rPr>
        <w:t xml:space="preserve"> </w:t>
      </w:r>
    </w:p>
    <w:p w:rsidR="00291D39" w:rsidRPr="008F70A9" w:rsidRDefault="00291D39" w:rsidP="00291D39">
      <w:pPr>
        <w:pStyle w:val="Default"/>
        <w:spacing w:line="360" w:lineRule="auto"/>
        <w:jc w:val="both"/>
        <w:rPr>
          <w:rFonts w:ascii="Book Antiqua" w:hAnsi="Book Antiqua" w:cstheme="minorHAnsi"/>
          <w:lang w:eastAsia="zh-CN"/>
        </w:rPr>
      </w:pPr>
    </w:p>
    <w:p w:rsidR="008F70A9" w:rsidRPr="008F70A9" w:rsidRDefault="008F70A9" w:rsidP="007258D6">
      <w:pPr>
        <w:spacing w:line="360" w:lineRule="auto"/>
        <w:jc w:val="both"/>
        <w:rPr>
          <w:rFonts w:ascii="Book Antiqua" w:hAnsi="Book Antiqua" w:cstheme="minorHAnsi"/>
        </w:rPr>
      </w:pPr>
      <w:r w:rsidRPr="008F70A9">
        <w:rPr>
          <w:rFonts w:ascii="Book Antiqua" w:hAnsi="Book Antiqua" w:cstheme="minorHAnsi"/>
          <w:b/>
        </w:rPr>
        <w:t>REFERENCES</w:t>
      </w:r>
    </w:p>
    <w:p w:rsidR="008F70A9" w:rsidRPr="008F70A9" w:rsidRDefault="008F70A9" w:rsidP="008F70A9">
      <w:pPr>
        <w:spacing w:line="360" w:lineRule="auto"/>
        <w:jc w:val="both"/>
        <w:rPr>
          <w:rFonts w:ascii="Book Antiqua" w:hAnsi="Book Antiqua"/>
        </w:rPr>
      </w:pPr>
      <w:r w:rsidRPr="008F70A9">
        <w:rPr>
          <w:rFonts w:ascii="Book Antiqua" w:hAnsi="Book Antiqua"/>
        </w:rPr>
        <w:t xml:space="preserve">1 Intensive blood-glucose control with </w:t>
      </w:r>
      <w:proofErr w:type="spellStart"/>
      <w:r w:rsidRPr="008F70A9">
        <w:rPr>
          <w:rFonts w:ascii="Book Antiqua" w:hAnsi="Book Antiqua"/>
        </w:rPr>
        <w:t>sulphonylureas</w:t>
      </w:r>
      <w:proofErr w:type="spellEnd"/>
      <w:r w:rsidRPr="008F70A9">
        <w:rPr>
          <w:rFonts w:ascii="Book Antiqua" w:hAnsi="Book Antiqua"/>
        </w:rPr>
        <w:t xml:space="preserve"> or insulin compared with conventional treatment and risk of complications in patients with type 2 diabetes (UKPDS 33). UK Prospective Diabetes Study (UKPDS) Group. </w:t>
      </w:r>
      <w:r w:rsidRPr="008F70A9">
        <w:rPr>
          <w:rFonts w:ascii="Book Antiqua" w:hAnsi="Book Antiqua"/>
          <w:i/>
        </w:rPr>
        <w:t>Lancet</w:t>
      </w:r>
      <w:r w:rsidRPr="008F70A9">
        <w:rPr>
          <w:rFonts w:ascii="Book Antiqua" w:hAnsi="Book Antiqua"/>
        </w:rPr>
        <w:t xml:space="preserve"> 1998; </w:t>
      </w:r>
      <w:r w:rsidRPr="008F70A9">
        <w:rPr>
          <w:rFonts w:ascii="Book Antiqua" w:hAnsi="Book Antiqua"/>
          <w:b/>
        </w:rPr>
        <w:t>352</w:t>
      </w:r>
      <w:r w:rsidRPr="008F70A9">
        <w:rPr>
          <w:rFonts w:ascii="Book Antiqua" w:hAnsi="Book Antiqua"/>
        </w:rPr>
        <w:t>: 837-853 [PMID: 9742976]</w:t>
      </w:r>
    </w:p>
    <w:p w:rsidR="008F70A9" w:rsidRPr="008F70A9" w:rsidRDefault="008F70A9" w:rsidP="008F70A9">
      <w:pPr>
        <w:spacing w:line="360" w:lineRule="auto"/>
        <w:jc w:val="both"/>
        <w:rPr>
          <w:rFonts w:ascii="Book Antiqua" w:hAnsi="Book Antiqua"/>
        </w:rPr>
      </w:pPr>
      <w:r w:rsidRPr="008F70A9">
        <w:rPr>
          <w:rFonts w:ascii="Book Antiqua" w:hAnsi="Book Antiqua"/>
        </w:rPr>
        <w:t xml:space="preserve">2 </w:t>
      </w:r>
      <w:r w:rsidRPr="008F70A9">
        <w:rPr>
          <w:rFonts w:ascii="Book Antiqua" w:hAnsi="Book Antiqua"/>
          <w:b/>
        </w:rPr>
        <w:t>Holman RR</w:t>
      </w:r>
      <w:r w:rsidRPr="008F70A9">
        <w:rPr>
          <w:rFonts w:ascii="Book Antiqua" w:hAnsi="Book Antiqua"/>
        </w:rPr>
        <w:t xml:space="preserve">, Paul SK, Bethel MA, Matthews DR, Neil HA. 10-year follow-up of intensive glucose control in type 2 diabetes. </w:t>
      </w:r>
      <w:r w:rsidRPr="008F70A9">
        <w:rPr>
          <w:rFonts w:ascii="Book Antiqua" w:hAnsi="Book Antiqua"/>
          <w:i/>
        </w:rPr>
        <w:t xml:space="preserve">N </w:t>
      </w:r>
      <w:proofErr w:type="spellStart"/>
      <w:r w:rsidRPr="008F70A9">
        <w:rPr>
          <w:rFonts w:ascii="Book Antiqua" w:hAnsi="Book Antiqua"/>
          <w:i/>
        </w:rPr>
        <w:t>Engl</w:t>
      </w:r>
      <w:proofErr w:type="spellEnd"/>
      <w:r w:rsidRPr="008F70A9">
        <w:rPr>
          <w:rFonts w:ascii="Book Antiqua" w:hAnsi="Book Antiqua"/>
          <w:i/>
        </w:rPr>
        <w:t xml:space="preserve"> J Med</w:t>
      </w:r>
      <w:r w:rsidRPr="008F70A9">
        <w:rPr>
          <w:rFonts w:ascii="Book Antiqua" w:hAnsi="Book Antiqua"/>
        </w:rPr>
        <w:t xml:space="preserve"> 2008; </w:t>
      </w:r>
      <w:r w:rsidRPr="008F70A9">
        <w:rPr>
          <w:rFonts w:ascii="Book Antiqua" w:hAnsi="Book Antiqua"/>
          <w:b/>
        </w:rPr>
        <w:t>359</w:t>
      </w:r>
      <w:r w:rsidRPr="008F70A9">
        <w:rPr>
          <w:rFonts w:ascii="Book Antiqua" w:hAnsi="Book Antiqua"/>
        </w:rPr>
        <w:t>: 1577-1589 [PMID: 18784090 DOI: 10.1056/NEJMoa0806470]</w:t>
      </w:r>
    </w:p>
    <w:p w:rsidR="008F70A9" w:rsidRPr="008F70A9" w:rsidRDefault="008F70A9" w:rsidP="008F70A9">
      <w:pPr>
        <w:spacing w:line="360" w:lineRule="auto"/>
        <w:jc w:val="both"/>
        <w:rPr>
          <w:rFonts w:ascii="Book Antiqua" w:hAnsi="Book Antiqua"/>
        </w:rPr>
      </w:pPr>
      <w:r w:rsidRPr="008F70A9">
        <w:rPr>
          <w:rFonts w:ascii="Book Antiqua" w:hAnsi="Book Antiqua"/>
        </w:rPr>
        <w:t xml:space="preserve">3 </w:t>
      </w:r>
      <w:r w:rsidRPr="008F70A9">
        <w:rPr>
          <w:rFonts w:ascii="Book Antiqua" w:hAnsi="Book Antiqua"/>
          <w:b/>
        </w:rPr>
        <w:t>Action to Control Cardiovascular Risk in Diabetes Study Group</w:t>
      </w:r>
      <w:r w:rsidRPr="008F70A9">
        <w:rPr>
          <w:rFonts w:ascii="Book Antiqua" w:hAnsi="Book Antiqua"/>
        </w:rPr>
        <w:t xml:space="preserve">, Gerstein HC, Miller ME, Byington RP, Goff DC Jr, Bigger JT, </w:t>
      </w:r>
      <w:proofErr w:type="spellStart"/>
      <w:r w:rsidRPr="008F70A9">
        <w:rPr>
          <w:rFonts w:ascii="Book Antiqua" w:hAnsi="Book Antiqua"/>
        </w:rPr>
        <w:t>Buse</w:t>
      </w:r>
      <w:proofErr w:type="spellEnd"/>
      <w:r w:rsidRPr="008F70A9">
        <w:rPr>
          <w:rFonts w:ascii="Book Antiqua" w:hAnsi="Book Antiqua"/>
        </w:rPr>
        <w:t xml:space="preserve"> JB, Cushman WC, </w:t>
      </w:r>
      <w:proofErr w:type="spellStart"/>
      <w:r w:rsidRPr="008F70A9">
        <w:rPr>
          <w:rFonts w:ascii="Book Antiqua" w:hAnsi="Book Antiqua"/>
        </w:rPr>
        <w:t>Genuth</w:t>
      </w:r>
      <w:proofErr w:type="spellEnd"/>
      <w:r w:rsidRPr="008F70A9">
        <w:rPr>
          <w:rFonts w:ascii="Book Antiqua" w:hAnsi="Book Antiqua"/>
        </w:rPr>
        <w:t xml:space="preserve"> S, Ismail-</w:t>
      </w:r>
      <w:proofErr w:type="spellStart"/>
      <w:r w:rsidRPr="008F70A9">
        <w:rPr>
          <w:rFonts w:ascii="Book Antiqua" w:hAnsi="Book Antiqua"/>
        </w:rPr>
        <w:t>Beigi</w:t>
      </w:r>
      <w:proofErr w:type="spellEnd"/>
      <w:r w:rsidRPr="008F70A9">
        <w:rPr>
          <w:rFonts w:ascii="Book Antiqua" w:hAnsi="Book Antiqua"/>
        </w:rPr>
        <w:t xml:space="preserve"> F, Grimm RH Jr, </w:t>
      </w:r>
      <w:proofErr w:type="spellStart"/>
      <w:r w:rsidRPr="008F70A9">
        <w:rPr>
          <w:rFonts w:ascii="Book Antiqua" w:hAnsi="Book Antiqua"/>
        </w:rPr>
        <w:t>Probstfield</w:t>
      </w:r>
      <w:proofErr w:type="spellEnd"/>
      <w:r w:rsidRPr="008F70A9">
        <w:rPr>
          <w:rFonts w:ascii="Book Antiqua" w:hAnsi="Book Antiqua"/>
        </w:rPr>
        <w:t xml:space="preserve"> JL, Simons-Morton DG, </w:t>
      </w:r>
      <w:proofErr w:type="spellStart"/>
      <w:r w:rsidRPr="008F70A9">
        <w:rPr>
          <w:rFonts w:ascii="Book Antiqua" w:hAnsi="Book Antiqua"/>
        </w:rPr>
        <w:t>Friedewald</w:t>
      </w:r>
      <w:proofErr w:type="spellEnd"/>
      <w:r w:rsidRPr="008F70A9">
        <w:rPr>
          <w:rFonts w:ascii="Book Antiqua" w:hAnsi="Book Antiqua"/>
        </w:rPr>
        <w:t xml:space="preserve"> WT. Effects of intensive glucose lowering in type 2 diabetes. </w:t>
      </w:r>
      <w:r w:rsidRPr="008F70A9">
        <w:rPr>
          <w:rFonts w:ascii="Book Antiqua" w:hAnsi="Book Antiqua"/>
          <w:i/>
        </w:rPr>
        <w:t xml:space="preserve">N </w:t>
      </w:r>
      <w:proofErr w:type="spellStart"/>
      <w:r w:rsidRPr="008F70A9">
        <w:rPr>
          <w:rFonts w:ascii="Book Antiqua" w:hAnsi="Book Antiqua"/>
          <w:i/>
        </w:rPr>
        <w:t>Engl</w:t>
      </w:r>
      <w:proofErr w:type="spellEnd"/>
      <w:r w:rsidRPr="008F70A9">
        <w:rPr>
          <w:rFonts w:ascii="Book Antiqua" w:hAnsi="Book Antiqua"/>
          <w:i/>
        </w:rPr>
        <w:t xml:space="preserve"> J Med</w:t>
      </w:r>
      <w:r w:rsidRPr="008F70A9">
        <w:rPr>
          <w:rFonts w:ascii="Book Antiqua" w:hAnsi="Book Antiqua"/>
        </w:rPr>
        <w:t xml:space="preserve"> 2008; </w:t>
      </w:r>
      <w:r w:rsidRPr="008F70A9">
        <w:rPr>
          <w:rFonts w:ascii="Book Antiqua" w:hAnsi="Book Antiqua"/>
          <w:b/>
        </w:rPr>
        <w:t>358</w:t>
      </w:r>
      <w:r w:rsidRPr="008F70A9">
        <w:rPr>
          <w:rFonts w:ascii="Book Antiqua" w:hAnsi="Book Antiqua"/>
        </w:rPr>
        <w:t>: 2545-2559 [PMID: 18539917 DOI: 10.1056/NEJMoa0802743]</w:t>
      </w:r>
    </w:p>
    <w:p w:rsidR="008F70A9" w:rsidRPr="008F70A9" w:rsidRDefault="008F70A9" w:rsidP="008F70A9">
      <w:pPr>
        <w:spacing w:line="360" w:lineRule="auto"/>
        <w:jc w:val="both"/>
        <w:rPr>
          <w:rFonts w:ascii="Book Antiqua" w:hAnsi="Book Antiqua"/>
        </w:rPr>
      </w:pPr>
      <w:r w:rsidRPr="008F70A9">
        <w:rPr>
          <w:rFonts w:ascii="Book Antiqua" w:hAnsi="Book Antiqua"/>
        </w:rPr>
        <w:t xml:space="preserve">4 </w:t>
      </w:r>
      <w:proofErr w:type="spellStart"/>
      <w:r w:rsidRPr="008F70A9">
        <w:rPr>
          <w:rFonts w:ascii="Book Antiqua" w:hAnsi="Book Antiqua"/>
          <w:b/>
        </w:rPr>
        <w:t>Azoulay</w:t>
      </w:r>
      <w:proofErr w:type="spellEnd"/>
      <w:r w:rsidRPr="008F70A9">
        <w:rPr>
          <w:rFonts w:ascii="Book Antiqua" w:hAnsi="Book Antiqua"/>
          <w:b/>
        </w:rPr>
        <w:t xml:space="preserve"> L</w:t>
      </w:r>
      <w:r w:rsidRPr="008F70A9">
        <w:rPr>
          <w:rFonts w:ascii="Book Antiqua" w:hAnsi="Book Antiqua"/>
        </w:rPr>
        <w:t xml:space="preserve">, </w:t>
      </w:r>
      <w:proofErr w:type="spellStart"/>
      <w:r w:rsidRPr="008F70A9">
        <w:rPr>
          <w:rFonts w:ascii="Book Antiqua" w:hAnsi="Book Antiqua"/>
        </w:rPr>
        <w:t>Suissa</w:t>
      </w:r>
      <w:proofErr w:type="spellEnd"/>
      <w:r w:rsidRPr="008F70A9">
        <w:rPr>
          <w:rFonts w:ascii="Book Antiqua" w:hAnsi="Book Antiqua"/>
        </w:rPr>
        <w:t xml:space="preserve"> S. Sulfonylureas and the Risks of Cardiovascular Events and Death: A Methodological Meta-Regression Analysis of the Observational Studies. </w:t>
      </w:r>
      <w:r w:rsidRPr="008F70A9">
        <w:rPr>
          <w:rFonts w:ascii="Book Antiqua" w:hAnsi="Book Antiqua"/>
          <w:i/>
        </w:rPr>
        <w:t>Diabetes Care</w:t>
      </w:r>
      <w:r w:rsidRPr="008F70A9">
        <w:rPr>
          <w:rFonts w:ascii="Book Antiqua" w:hAnsi="Book Antiqua"/>
        </w:rPr>
        <w:t xml:space="preserve"> 2017; </w:t>
      </w:r>
      <w:r w:rsidRPr="008F70A9">
        <w:rPr>
          <w:rFonts w:ascii="Book Antiqua" w:hAnsi="Book Antiqua"/>
          <w:b/>
        </w:rPr>
        <w:t>40</w:t>
      </w:r>
      <w:r w:rsidRPr="008F70A9">
        <w:rPr>
          <w:rFonts w:ascii="Book Antiqua" w:hAnsi="Book Antiqua"/>
        </w:rPr>
        <w:t>: 706-714 [PMID: 28428321 DOI: 10.2337/dc16-1943]</w:t>
      </w:r>
    </w:p>
    <w:p w:rsidR="008F70A9" w:rsidRPr="008F70A9" w:rsidRDefault="008F70A9" w:rsidP="008F70A9">
      <w:pPr>
        <w:spacing w:line="360" w:lineRule="auto"/>
        <w:jc w:val="both"/>
        <w:rPr>
          <w:rFonts w:ascii="Book Antiqua" w:hAnsi="Book Antiqua"/>
        </w:rPr>
      </w:pPr>
      <w:r w:rsidRPr="008F70A9">
        <w:rPr>
          <w:rFonts w:ascii="Book Antiqua" w:hAnsi="Book Antiqua"/>
        </w:rPr>
        <w:t xml:space="preserve">5 </w:t>
      </w:r>
      <w:r w:rsidRPr="008F70A9">
        <w:rPr>
          <w:rFonts w:ascii="Book Antiqua" w:hAnsi="Book Antiqua"/>
          <w:b/>
        </w:rPr>
        <w:t>Nissen SE</w:t>
      </w:r>
      <w:r w:rsidRPr="008F70A9">
        <w:rPr>
          <w:rFonts w:ascii="Book Antiqua" w:hAnsi="Book Antiqua"/>
        </w:rPr>
        <w:t xml:space="preserve">, Wolski K. Effect of rosiglitazone on the risk of myocardial infarction and death from cardiovascular causes. </w:t>
      </w:r>
      <w:r w:rsidRPr="008F70A9">
        <w:rPr>
          <w:rFonts w:ascii="Book Antiqua" w:hAnsi="Book Antiqua"/>
          <w:i/>
        </w:rPr>
        <w:t xml:space="preserve">N </w:t>
      </w:r>
      <w:proofErr w:type="spellStart"/>
      <w:r w:rsidRPr="008F70A9">
        <w:rPr>
          <w:rFonts w:ascii="Book Antiqua" w:hAnsi="Book Antiqua"/>
          <w:i/>
        </w:rPr>
        <w:t>Engl</w:t>
      </w:r>
      <w:proofErr w:type="spellEnd"/>
      <w:r w:rsidRPr="008F70A9">
        <w:rPr>
          <w:rFonts w:ascii="Book Antiqua" w:hAnsi="Book Antiqua"/>
          <w:i/>
        </w:rPr>
        <w:t xml:space="preserve"> J Med</w:t>
      </w:r>
      <w:r w:rsidRPr="008F70A9">
        <w:rPr>
          <w:rFonts w:ascii="Book Antiqua" w:hAnsi="Book Antiqua"/>
        </w:rPr>
        <w:t xml:space="preserve"> 2007; </w:t>
      </w:r>
      <w:r w:rsidRPr="008F70A9">
        <w:rPr>
          <w:rFonts w:ascii="Book Antiqua" w:hAnsi="Book Antiqua"/>
          <w:b/>
        </w:rPr>
        <w:t>356</w:t>
      </w:r>
      <w:r w:rsidRPr="008F70A9">
        <w:rPr>
          <w:rFonts w:ascii="Book Antiqua" w:hAnsi="Book Antiqua"/>
        </w:rPr>
        <w:t>: 2457-2471 [PMID: 17517853 DOI: 10.1056/NEJMoa072761]</w:t>
      </w:r>
    </w:p>
    <w:p w:rsidR="008F70A9" w:rsidRPr="008F70A9" w:rsidRDefault="008F70A9" w:rsidP="008F70A9">
      <w:pPr>
        <w:spacing w:line="360" w:lineRule="auto"/>
        <w:jc w:val="both"/>
        <w:rPr>
          <w:rFonts w:ascii="Book Antiqua" w:hAnsi="Book Antiqua"/>
        </w:rPr>
      </w:pPr>
      <w:r w:rsidRPr="00B54C95">
        <w:rPr>
          <w:rFonts w:ascii="Book Antiqua" w:hAnsi="Book Antiqua"/>
        </w:rPr>
        <w:t xml:space="preserve">6 </w:t>
      </w:r>
      <w:r w:rsidRPr="00B54C95">
        <w:rPr>
          <w:rFonts w:ascii="Book Antiqua" w:hAnsi="Book Antiqua"/>
          <w:b/>
        </w:rPr>
        <w:t>U.S. Department of Health and Human Services</w:t>
      </w:r>
      <w:r w:rsidRPr="00B54C95">
        <w:rPr>
          <w:rFonts w:ascii="Book Antiqua" w:hAnsi="Book Antiqua"/>
        </w:rPr>
        <w:t>, Food and Drug Administration, Center for Drug Evaluation and Research (CDER). Guidance for industry. Diabetes mellitus: developing drugs and therapeutic biologics for treatment and prevention. 2008: 1-30. Available from: URL: https://www.fda.gov/regulatory-information/search-fda-guidance-documents/diabetes-mellitus-developing-drugs-and-therapeutic-biologics-treatment-and-prevention</w:t>
      </w:r>
    </w:p>
    <w:p w:rsidR="008F70A9" w:rsidRPr="008F70A9" w:rsidRDefault="008F70A9" w:rsidP="008F70A9">
      <w:pPr>
        <w:spacing w:line="360" w:lineRule="auto"/>
        <w:jc w:val="both"/>
        <w:rPr>
          <w:rFonts w:ascii="Book Antiqua" w:hAnsi="Book Antiqua"/>
        </w:rPr>
      </w:pPr>
      <w:r w:rsidRPr="008F70A9">
        <w:rPr>
          <w:rFonts w:ascii="Book Antiqua" w:hAnsi="Book Antiqua"/>
        </w:rPr>
        <w:t xml:space="preserve">7 </w:t>
      </w:r>
      <w:proofErr w:type="spellStart"/>
      <w:r w:rsidRPr="008F70A9">
        <w:rPr>
          <w:rFonts w:ascii="Book Antiqua" w:hAnsi="Book Antiqua"/>
          <w:b/>
        </w:rPr>
        <w:t>Cefalu</w:t>
      </w:r>
      <w:proofErr w:type="spellEnd"/>
      <w:r w:rsidRPr="008F70A9">
        <w:rPr>
          <w:rFonts w:ascii="Book Antiqua" w:hAnsi="Book Antiqua"/>
          <w:b/>
        </w:rPr>
        <w:t xml:space="preserve"> WT</w:t>
      </w:r>
      <w:r w:rsidRPr="008F70A9">
        <w:rPr>
          <w:rFonts w:ascii="Book Antiqua" w:hAnsi="Book Antiqua"/>
        </w:rPr>
        <w:t xml:space="preserve">, </w:t>
      </w:r>
      <w:proofErr w:type="spellStart"/>
      <w:r w:rsidRPr="008F70A9">
        <w:rPr>
          <w:rFonts w:ascii="Book Antiqua" w:hAnsi="Book Antiqua"/>
        </w:rPr>
        <w:t>Kaul</w:t>
      </w:r>
      <w:proofErr w:type="spellEnd"/>
      <w:r w:rsidRPr="008F70A9">
        <w:rPr>
          <w:rFonts w:ascii="Book Antiqua" w:hAnsi="Book Antiqua"/>
        </w:rPr>
        <w:t xml:space="preserve"> S, Gerstein HC, Holman RR, </w:t>
      </w:r>
      <w:proofErr w:type="spellStart"/>
      <w:r w:rsidRPr="008F70A9">
        <w:rPr>
          <w:rFonts w:ascii="Book Antiqua" w:hAnsi="Book Antiqua"/>
        </w:rPr>
        <w:t>Zinman</w:t>
      </w:r>
      <w:proofErr w:type="spellEnd"/>
      <w:r w:rsidRPr="008F70A9">
        <w:rPr>
          <w:rFonts w:ascii="Book Antiqua" w:hAnsi="Book Antiqua"/>
        </w:rPr>
        <w:t xml:space="preserve"> B, Skyler JS, Green JB, </w:t>
      </w:r>
      <w:proofErr w:type="spellStart"/>
      <w:r w:rsidRPr="008F70A9">
        <w:rPr>
          <w:rFonts w:ascii="Book Antiqua" w:hAnsi="Book Antiqua"/>
        </w:rPr>
        <w:t>Buse</w:t>
      </w:r>
      <w:proofErr w:type="spellEnd"/>
      <w:r w:rsidRPr="008F70A9">
        <w:rPr>
          <w:rFonts w:ascii="Book Antiqua" w:hAnsi="Book Antiqua"/>
        </w:rPr>
        <w:t xml:space="preserve"> JB, </w:t>
      </w:r>
      <w:proofErr w:type="spellStart"/>
      <w:r w:rsidRPr="008F70A9">
        <w:rPr>
          <w:rFonts w:ascii="Book Antiqua" w:hAnsi="Book Antiqua"/>
        </w:rPr>
        <w:t>Inzucchi</w:t>
      </w:r>
      <w:proofErr w:type="spellEnd"/>
      <w:r w:rsidRPr="008F70A9">
        <w:rPr>
          <w:rFonts w:ascii="Book Antiqua" w:hAnsi="Book Antiqua"/>
        </w:rPr>
        <w:t xml:space="preserve"> SE, Leiter LA, Raz I, Rosenstock J, Riddle MC. Cardiovascular Outcomes Trials in Type 2 Diabetes: Where Do We Go From Here? Reflections </w:t>
      </w:r>
      <w:proofErr w:type="gramStart"/>
      <w:r w:rsidRPr="008F70A9">
        <w:rPr>
          <w:rFonts w:ascii="Book Antiqua" w:hAnsi="Book Antiqua"/>
        </w:rPr>
        <w:t>From</w:t>
      </w:r>
      <w:proofErr w:type="gramEnd"/>
      <w:r w:rsidRPr="008F70A9">
        <w:rPr>
          <w:rFonts w:ascii="Book Antiqua" w:hAnsi="Book Antiqua"/>
        </w:rPr>
        <w:t xml:space="preserve"> a Diabetes Care Editors' Expert Forum. </w:t>
      </w:r>
      <w:r w:rsidRPr="008F70A9">
        <w:rPr>
          <w:rFonts w:ascii="Book Antiqua" w:hAnsi="Book Antiqua"/>
          <w:i/>
        </w:rPr>
        <w:t>Diabetes Care</w:t>
      </w:r>
      <w:r w:rsidRPr="008F70A9">
        <w:rPr>
          <w:rFonts w:ascii="Book Antiqua" w:hAnsi="Book Antiqua"/>
        </w:rPr>
        <w:t xml:space="preserve"> 2018; </w:t>
      </w:r>
      <w:r w:rsidRPr="008F70A9">
        <w:rPr>
          <w:rFonts w:ascii="Book Antiqua" w:hAnsi="Book Antiqua"/>
          <w:b/>
        </w:rPr>
        <w:t>41</w:t>
      </w:r>
      <w:r w:rsidRPr="008F70A9">
        <w:rPr>
          <w:rFonts w:ascii="Book Antiqua" w:hAnsi="Book Antiqua"/>
        </w:rPr>
        <w:t>: 14-31 [PMID: 29263194 DOI: 10.2337/dci17-0057]</w:t>
      </w:r>
    </w:p>
    <w:p w:rsidR="008F70A9" w:rsidRPr="008F70A9" w:rsidRDefault="008F70A9" w:rsidP="008F70A9">
      <w:pPr>
        <w:spacing w:line="360" w:lineRule="auto"/>
        <w:jc w:val="both"/>
        <w:rPr>
          <w:rFonts w:ascii="Book Antiqua" w:hAnsi="Book Antiqua"/>
        </w:rPr>
      </w:pPr>
      <w:r w:rsidRPr="008F70A9">
        <w:rPr>
          <w:rFonts w:ascii="Book Antiqua" w:hAnsi="Book Antiqua"/>
        </w:rPr>
        <w:t xml:space="preserve">8 </w:t>
      </w:r>
      <w:r w:rsidRPr="008F70A9">
        <w:rPr>
          <w:rFonts w:ascii="Book Antiqua" w:hAnsi="Book Antiqua"/>
          <w:b/>
        </w:rPr>
        <w:t>MacDonald PE</w:t>
      </w:r>
      <w:r w:rsidRPr="008F70A9">
        <w:rPr>
          <w:rFonts w:ascii="Book Antiqua" w:hAnsi="Book Antiqua"/>
        </w:rPr>
        <w:t>, El-</w:t>
      </w:r>
      <w:proofErr w:type="spellStart"/>
      <w:r w:rsidRPr="008F70A9">
        <w:rPr>
          <w:rFonts w:ascii="Book Antiqua" w:hAnsi="Book Antiqua"/>
        </w:rPr>
        <w:t>Kholy</w:t>
      </w:r>
      <w:proofErr w:type="spellEnd"/>
      <w:r w:rsidRPr="008F70A9">
        <w:rPr>
          <w:rFonts w:ascii="Book Antiqua" w:hAnsi="Book Antiqua"/>
        </w:rPr>
        <w:t xml:space="preserve"> W, Riedel MJ, </w:t>
      </w:r>
      <w:proofErr w:type="spellStart"/>
      <w:r w:rsidRPr="008F70A9">
        <w:rPr>
          <w:rFonts w:ascii="Book Antiqua" w:hAnsi="Book Antiqua"/>
        </w:rPr>
        <w:t>Salapatek</w:t>
      </w:r>
      <w:proofErr w:type="spellEnd"/>
      <w:r w:rsidRPr="008F70A9">
        <w:rPr>
          <w:rFonts w:ascii="Book Antiqua" w:hAnsi="Book Antiqua"/>
        </w:rPr>
        <w:t xml:space="preserve"> AM, Light PE, Wheeler MB. The multiple actions of GLP-1 on the process of glucose-stimulated insulin secretion. </w:t>
      </w:r>
      <w:r w:rsidRPr="008F70A9">
        <w:rPr>
          <w:rFonts w:ascii="Book Antiqua" w:hAnsi="Book Antiqua"/>
          <w:i/>
        </w:rPr>
        <w:t>Diabetes</w:t>
      </w:r>
      <w:r w:rsidRPr="008F70A9">
        <w:rPr>
          <w:rFonts w:ascii="Book Antiqua" w:hAnsi="Book Antiqua"/>
        </w:rPr>
        <w:t xml:space="preserve"> 2002; </w:t>
      </w:r>
      <w:r w:rsidRPr="008F70A9">
        <w:rPr>
          <w:rFonts w:ascii="Book Antiqua" w:hAnsi="Book Antiqua"/>
          <w:b/>
        </w:rPr>
        <w:t>51 Suppl 3</w:t>
      </w:r>
      <w:r w:rsidRPr="008F70A9">
        <w:rPr>
          <w:rFonts w:ascii="Book Antiqua" w:hAnsi="Book Antiqua"/>
        </w:rPr>
        <w:t>: S434-S442 [PMID: 12475787 DOI: 10.2337/diabetes.51.2007.S434]</w:t>
      </w:r>
    </w:p>
    <w:p w:rsidR="008F70A9" w:rsidRPr="008F70A9" w:rsidRDefault="008F70A9" w:rsidP="008F70A9">
      <w:pPr>
        <w:spacing w:line="360" w:lineRule="auto"/>
        <w:jc w:val="both"/>
        <w:rPr>
          <w:rFonts w:ascii="Book Antiqua" w:hAnsi="Book Antiqua"/>
        </w:rPr>
      </w:pPr>
      <w:r w:rsidRPr="008F70A9">
        <w:rPr>
          <w:rFonts w:ascii="Book Antiqua" w:hAnsi="Book Antiqua"/>
        </w:rPr>
        <w:t xml:space="preserve">9 </w:t>
      </w:r>
      <w:r w:rsidRPr="008F70A9">
        <w:rPr>
          <w:rFonts w:ascii="Book Antiqua" w:hAnsi="Book Antiqua"/>
          <w:b/>
        </w:rPr>
        <w:t>Pfeffer MA</w:t>
      </w:r>
      <w:r w:rsidRPr="008F70A9">
        <w:rPr>
          <w:rFonts w:ascii="Book Antiqua" w:hAnsi="Book Antiqua"/>
        </w:rPr>
        <w:t xml:space="preserve">, Claggett B, Diaz R, Dickstein K, Gerstein HC, </w:t>
      </w:r>
      <w:proofErr w:type="spellStart"/>
      <w:r w:rsidRPr="008F70A9">
        <w:rPr>
          <w:rFonts w:ascii="Book Antiqua" w:hAnsi="Book Antiqua"/>
        </w:rPr>
        <w:t>Køber</w:t>
      </w:r>
      <w:proofErr w:type="spellEnd"/>
      <w:r w:rsidRPr="008F70A9">
        <w:rPr>
          <w:rFonts w:ascii="Book Antiqua" w:hAnsi="Book Antiqua"/>
        </w:rPr>
        <w:t xml:space="preserve"> LV, Lawson FC, Ping L, Wei X, Lewis EF, </w:t>
      </w:r>
      <w:proofErr w:type="spellStart"/>
      <w:r w:rsidRPr="008F70A9">
        <w:rPr>
          <w:rFonts w:ascii="Book Antiqua" w:hAnsi="Book Antiqua"/>
        </w:rPr>
        <w:t>Maggioni</w:t>
      </w:r>
      <w:proofErr w:type="spellEnd"/>
      <w:r w:rsidRPr="008F70A9">
        <w:rPr>
          <w:rFonts w:ascii="Book Antiqua" w:hAnsi="Book Antiqua"/>
        </w:rPr>
        <w:t xml:space="preserve"> AP, McMurray JJ, </w:t>
      </w:r>
      <w:proofErr w:type="spellStart"/>
      <w:r w:rsidRPr="008F70A9">
        <w:rPr>
          <w:rFonts w:ascii="Book Antiqua" w:hAnsi="Book Antiqua"/>
        </w:rPr>
        <w:t>Probstfield</w:t>
      </w:r>
      <w:proofErr w:type="spellEnd"/>
      <w:r w:rsidRPr="008F70A9">
        <w:rPr>
          <w:rFonts w:ascii="Book Antiqua" w:hAnsi="Book Antiqua"/>
        </w:rPr>
        <w:t xml:space="preserve"> JL, Riddle MC, Solomon SD, Tardif JC; ELIXA Investigators. </w:t>
      </w:r>
      <w:proofErr w:type="spellStart"/>
      <w:r w:rsidRPr="008F70A9">
        <w:rPr>
          <w:rFonts w:ascii="Book Antiqua" w:hAnsi="Book Antiqua"/>
        </w:rPr>
        <w:t>Lixisenatide</w:t>
      </w:r>
      <w:proofErr w:type="spellEnd"/>
      <w:r w:rsidRPr="008F70A9">
        <w:rPr>
          <w:rFonts w:ascii="Book Antiqua" w:hAnsi="Book Antiqua"/>
        </w:rPr>
        <w:t xml:space="preserve"> in Patients with Type 2 Diabetes and Acute Coronary Syndrome. </w:t>
      </w:r>
      <w:r w:rsidRPr="008F70A9">
        <w:rPr>
          <w:rFonts w:ascii="Book Antiqua" w:hAnsi="Book Antiqua"/>
          <w:i/>
        </w:rPr>
        <w:t xml:space="preserve">N </w:t>
      </w:r>
      <w:proofErr w:type="spellStart"/>
      <w:r w:rsidRPr="008F70A9">
        <w:rPr>
          <w:rFonts w:ascii="Book Antiqua" w:hAnsi="Book Antiqua"/>
          <w:i/>
        </w:rPr>
        <w:t>Engl</w:t>
      </w:r>
      <w:proofErr w:type="spellEnd"/>
      <w:r w:rsidRPr="008F70A9">
        <w:rPr>
          <w:rFonts w:ascii="Book Antiqua" w:hAnsi="Book Antiqua"/>
          <w:i/>
        </w:rPr>
        <w:t xml:space="preserve"> J Med</w:t>
      </w:r>
      <w:r w:rsidRPr="008F70A9">
        <w:rPr>
          <w:rFonts w:ascii="Book Antiqua" w:hAnsi="Book Antiqua"/>
        </w:rPr>
        <w:t xml:space="preserve"> 2015; </w:t>
      </w:r>
      <w:r w:rsidRPr="008F70A9">
        <w:rPr>
          <w:rFonts w:ascii="Book Antiqua" w:hAnsi="Book Antiqua"/>
          <w:b/>
        </w:rPr>
        <w:t>373</w:t>
      </w:r>
      <w:r w:rsidRPr="008F70A9">
        <w:rPr>
          <w:rFonts w:ascii="Book Antiqua" w:hAnsi="Book Antiqua"/>
        </w:rPr>
        <w:t>: 2247-2257 [PMID: 26630143 DOI: 10.1056/NEJMoa1509225]</w:t>
      </w:r>
    </w:p>
    <w:p w:rsidR="008F70A9" w:rsidRPr="008F70A9" w:rsidRDefault="008F70A9" w:rsidP="008F70A9">
      <w:pPr>
        <w:spacing w:line="360" w:lineRule="auto"/>
        <w:jc w:val="both"/>
        <w:rPr>
          <w:rFonts w:ascii="Book Antiqua" w:hAnsi="Book Antiqua"/>
        </w:rPr>
      </w:pPr>
      <w:r w:rsidRPr="008F70A9">
        <w:rPr>
          <w:rFonts w:ascii="Book Antiqua" w:hAnsi="Book Antiqua"/>
        </w:rPr>
        <w:t xml:space="preserve">10 </w:t>
      </w:r>
      <w:proofErr w:type="spellStart"/>
      <w:r w:rsidRPr="008F70A9">
        <w:rPr>
          <w:rFonts w:ascii="Book Antiqua" w:hAnsi="Book Antiqua"/>
          <w:b/>
        </w:rPr>
        <w:t>Marso</w:t>
      </w:r>
      <w:proofErr w:type="spellEnd"/>
      <w:r w:rsidRPr="008F70A9">
        <w:rPr>
          <w:rFonts w:ascii="Book Antiqua" w:hAnsi="Book Antiqua"/>
          <w:b/>
        </w:rPr>
        <w:t xml:space="preserve"> SP</w:t>
      </w:r>
      <w:r w:rsidRPr="008F70A9">
        <w:rPr>
          <w:rFonts w:ascii="Book Antiqua" w:hAnsi="Book Antiqua"/>
        </w:rPr>
        <w:t xml:space="preserve">, Daniels GH, Brown-Frandsen K, Kristensen P, Mann JF, </w:t>
      </w:r>
      <w:proofErr w:type="spellStart"/>
      <w:r w:rsidRPr="008F70A9">
        <w:rPr>
          <w:rFonts w:ascii="Book Antiqua" w:hAnsi="Book Antiqua"/>
        </w:rPr>
        <w:t>Nauck</w:t>
      </w:r>
      <w:proofErr w:type="spellEnd"/>
      <w:r w:rsidRPr="008F70A9">
        <w:rPr>
          <w:rFonts w:ascii="Book Antiqua" w:hAnsi="Book Antiqua"/>
        </w:rPr>
        <w:t xml:space="preserve"> MA, </w:t>
      </w:r>
      <w:proofErr w:type="spellStart"/>
      <w:r w:rsidRPr="008F70A9">
        <w:rPr>
          <w:rFonts w:ascii="Book Antiqua" w:hAnsi="Book Antiqua"/>
        </w:rPr>
        <w:t>Nissen</w:t>
      </w:r>
      <w:proofErr w:type="spellEnd"/>
      <w:r w:rsidRPr="008F70A9">
        <w:rPr>
          <w:rFonts w:ascii="Book Antiqua" w:hAnsi="Book Antiqua"/>
        </w:rPr>
        <w:t xml:space="preserve"> SE, </w:t>
      </w:r>
      <w:proofErr w:type="spellStart"/>
      <w:r w:rsidRPr="008F70A9">
        <w:rPr>
          <w:rFonts w:ascii="Book Antiqua" w:hAnsi="Book Antiqua"/>
        </w:rPr>
        <w:t>Pocock</w:t>
      </w:r>
      <w:proofErr w:type="spellEnd"/>
      <w:r w:rsidRPr="008F70A9">
        <w:rPr>
          <w:rFonts w:ascii="Book Antiqua" w:hAnsi="Book Antiqua"/>
        </w:rPr>
        <w:t xml:space="preserve"> S, </w:t>
      </w:r>
      <w:proofErr w:type="spellStart"/>
      <w:r w:rsidRPr="008F70A9">
        <w:rPr>
          <w:rFonts w:ascii="Book Antiqua" w:hAnsi="Book Antiqua"/>
        </w:rPr>
        <w:t>Poulter</w:t>
      </w:r>
      <w:proofErr w:type="spellEnd"/>
      <w:r w:rsidRPr="008F70A9">
        <w:rPr>
          <w:rFonts w:ascii="Book Antiqua" w:hAnsi="Book Antiqua"/>
        </w:rPr>
        <w:t xml:space="preserve"> NR, </w:t>
      </w:r>
      <w:proofErr w:type="spellStart"/>
      <w:r w:rsidRPr="008F70A9">
        <w:rPr>
          <w:rFonts w:ascii="Book Antiqua" w:hAnsi="Book Antiqua"/>
        </w:rPr>
        <w:t>Ravn</w:t>
      </w:r>
      <w:proofErr w:type="spellEnd"/>
      <w:r w:rsidRPr="008F70A9">
        <w:rPr>
          <w:rFonts w:ascii="Book Antiqua" w:hAnsi="Book Antiqua"/>
        </w:rPr>
        <w:t xml:space="preserve"> LS, Steinberg WM, </w:t>
      </w:r>
      <w:proofErr w:type="spellStart"/>
      <w:r w:rsidRPr="008F70A9">
        <w:rPr>
          <w:rFonts w:ascii="Book Antiqua" w:hAnsi="Book Antiqua"/>
        </w:rPr>
        <w:t>Stockner</w:t>
      </w:r>
      <w:proofErr w:type="spellEnd"/>
      <w:r w:rsidRPr="008F70A9">
        <w:rPr>
          <w:rFonts w:ascii="Book Antiqua" w:hAnsi="Book Antiqua"/>
        </w:rPr>
        <w:t xml:space="preserve"> M, </w:t>
      </w:r>
      <w:proofErr w:type="spellStart"/>
      <w:r w:rsidRPr="008F70A9">
        <w:rPr>
          <w:rFonts w:ascii="Book Antiqua" w:hAnsi="Book Antiqua"/>
        </w:rPr>
        <w:t>Zinman</w:t>
      </w:r>
      <w:proofErr w:type="spellEnd"/>
      <w:r w:rsidRPr="008F70A9">
        <w:rPr>
          <w:rFonts w:ascii="Book Antiqua" w:hAnsi="Book Antiqua"/>
        </w:rPr>
        <w:t xml:space="preserve"> B, </w:t>
      </w:r>
      <w:proofErr w:type="spellStart"/>
      <w:r w:rsidRPr="008F70A9">
        <w:rPr>
          <w:rFonts w:ascii="Book Antiqua" w:hAnsi="Book Antiqua"/>
        </w:rPr>
        <w:t>Bergenstal</w:t>
      </w:r>
      <w:proofErr w:type="spellEnd"/>
      <w:r w:rsidRPr="008F70A9">
        <w:rPr>
          <w:rFonts w:ascii="Book Antiqua" w:hAnsi="Book Antiqua"/>
        </w:rPr>
        <w:t xml:space="preserve"> RM, </w:t>
      </w:r>
      <w:proofErr w:type="spellStart"/>
      <w:r w:rsidRPr="008F70A9">
        <w:rPr>
          <w:rFonts w:ascii="Book Antiqua" w:hAnsi="Book Antiqua"/>
        </w:rPr>
        <w:t>Buse</w:t>
      </w:r>
      <w:proofErr w:type="spellEnd"/>
      <w:r w:rsidRPr="008F70A9">
        <w:rPr>
          <w:rFonts w:ascii="Book Antiqua" w:hAnsi="Book Antiqua"/>
        </w:rPr>
        <w:t xml:space="preserve"> JB; LEADER Steering Committee; LEADER Trial Investigators. Liraglutide and Cardiovascular Outcomes in Type 2 Diabetes. </w:t>
      </w:r>
      <w:r w:rsidRPr="008F70A9">
        <w:rPr>
          <w:rFonts w:ascii="Book Antiqua" w:hAnsi="Book Antiqua"/>
          <w:i/>
        </w:rPr>
        <w:t xml:space="preserve">N </w:t>
      </w:r>
      <w:proofErr w:type="spellStart"/>
      <w:r w:rsidRPr="008F70A9">
        <w:rPr>
          <w:rFonts w:ascii="Book Antiqua" w:hAnsi="Book Antiqua"/>
          <w:i/>
        </w:rPr>
        <w:t>Engl</w:t>
      </w:r>
      <w:proofErr w:type="spellEnd"/>
      <w:r w:rsidRPr="008F70A9">
        <w:rPr>
          <w:rFonts w:ascii="Book Antiqua" w:hAnsi="Book Antiqua"/>
          <w:i/>
        </w:rPr>
        <w:t xml:space="preserve"> J Med</w:t>
      </w:r>
      <w:r w:rsidRPr="008F70A9">
        <w:rPr>
          <w:rFonts w:ascii="Book Antiqua" w:hAnsi="Book Antiqua"/>
        </w:rPr>
        <w:t xml:space="preserve"> 2016; </w:t>
      </w:r>
      <w:r w:rsidRPr="008F70A9">
        <w:rPr>
          <w:rFonts w:ascii="Book Antiqua" w:hAnsi="Book Antiqua"/>
          <w:b/>
        </w:rPr>
        <w:t>375</w:t>
      </w:r>
      <w:r w:rsidRPr="008F70A9">
        <w:rPr>
          <w:rFonts w:ascii="Book Antiqua" w:hAnsi="Book Antiqua"/>
        </w:rPr>
        <w:t>: 311-322 [PMID: 27295427 DOI: 10.1056/NEJMoa1603827]</w:t>
      </w:r>
    </w:p>
    <w:p w:rsidR="008F70A9" w:rsidRPr="008F70A9" w:rsidRDefault="008F70A9" w:rsidP="008F70A9">
      <w:pPr>
        <w:spacing w:line="360" w:lineRule="auto"/>
        <w:jc w:val="both"/>
        <w:rPr>
          <w:rFonts w:ascii="Book Antiqua" w:hAnsi="Book Antiqua"/>
        </w:rPr>
      </w:pPr>
      <w:r w:rsidRPr="008F70A9">
        <w:rPr>
          <w:rFonts w:ascii="Book Antiqua" w:hAnsi="Book Antiqua"/>
        </w:rPr>
        <w:t xml:space="preserve">11 </w:t>
      </w:r>
      <w:proofErr w:type="spellStart"/>
      <w:r w:rsidRPr="008F70A9">
        <w:rPr>
          <w:rFonts w:ascii="Book Antiqua" w:hAnsi="Book Antiqua"/>
          <w:b/>
        </w:rPr>
        <w:t>Marso</w:t>
      </w:r>
      <w:proofErr w:type="spellEnd"/>
      <w:r w:rsidRPr="008F70A9">
        <w:rPr>
          <w:rFonts w:ascii="Book Antiqua" w:hAnsi="Book Antiqua"/>
          <w:b/>
        </w:rPr>
        <w:t xml:space="preserve"> SP</w:t>
      </w:r>
      <w:r w:rsidRPr="008F70A9">
        <w:rPr>
          <w:rFonts w:ascii="Book Antiqua" w:hAnsi="Book Antiqua"/>
        </w:rPr>
        <w:t xml:space="preserve">, Bain SC, </w:t>
      </w:r>
      <w:proofErr w:type="spellStart"/>
      <w:r w:rsidRPr="008F70A9">
        <w:rPr>
          <w:rFonts w:ascii="Book Antiqua" w:hAnsi="Book Antiqua"/>
        </w:rPr>
        <w:t>Consoli</w:t>
      </w:r>
      <w:proofErr w:type="spellEnd"/>
      <w:r w:rsidRPr="008F70A9">
        <w:rPr>
          <w:rFonts w:ascii="Book Antiqua" w:hAnsi="Book Antiqua"/>
        </w:rPr>
        <w:t xml:space="preserve"> A, </w:t>
      </w:r>
      <w:proofErr w:type="spellStart"/>
      <w:r w:rsidRPr="008F70A9">
        <w:rPr>
          <w:rFonts w:ascii="Book Antiqua" w:hAnsi="Book Antiqua"/>
        </w:rPr>
        <w:t>Eliaschewitz</w:t>
      </w:r>
      <w:proofErr w:type="spellEnd"/>
      <w:r w:rsidRPr="008F70A9">
        <w:rPr>
          <w:rFonts w:ascii="Book Antiqua" w:hAnsi="Book Antiqua"/>
        </w:rPr>
        <w:t xml:space="preserve"> FG, </w:t>
      </w:r>
      <w:proofErr w:type="spellStart"/>
      <w:r w:rsidRPr="008F70A9">
        <w:rPr>
          <w:rFonts w:ascii="Book Antiqua" w:hAnsi="Book Antiqua"/>
        </w:rPr>
        <w:t>Jódar</w:t>
      </w:r>
      <w:proofErr w:type="spellEnd"/>
      <w:r w:rsidRPr="008F70A9">
        <w:rPr>
          <w:rFonts w:ascii="Book Antiqua" w:hAnsi="Book Antiqua"/>
        </w:rPr>
        <w:t xml:space="preserve"> E, Leiter LA, </w:t>
      </w:r>
      <w:proofErr w:type="spellStart"/>
      <w:r w:rsidRPr="008F70A9">
        <w:rPr>
          <w:rFonts w:ascii="Book Antiqua" w:hAnsi="Book Antiqua"/>
        </w:rPr>
        <w:t>Lingvay</w:t>
      </w:r>
      <w:proofErr w:type="spellEnd"/>
      <w:r w:rsidRPr="008F70A9">
        <w:rPr>
          <w:rFonts w:ascii="Book Antiqua" w:hAnsi="Book Antiqua"/>
        </w:rPr>
        <w:t xml:space="preserve"> I, </w:t>
      </w:r>
      <w:proofErr w:type="spellStart"/>
      <w:r w:rsidRPr="008F70A9">
        <w:rPr>
          <w:rFonts w:ascii="Book Antiqua" w:hAnsi="Book Antiqua"/>
        </w:rPr>
        <w:t>Rosenstock</w:t>
      </w:r>
      <w:proofErr w:type="spellEnd"/>
      <w:r w:rsidRPr="008F70A9">
        <w:rPr>
          <w:rFonts w:ascii="Book Antiqua" w:hAnsi="Book Antiqua"/>
        </w:rPr>
        <w:t xml:space="preserve"> J, Seufert J, Warren ML, Woo V, Hansen O, Holst AG, </w:t>
      </w:r>
      <w:proofErr w:type="spellStart"/>
      <w:r w:rsidRPr="008F70A9">
        <w:rPr>
          <w:rFonts w:ascii="Book Antiqua" w:hAnsi="Book Antiqua"/>
        </w:rPr>
        <w:t>Pettersson</w:t>
      </w:r>
      <w:proofErr w:type="spellEnd"/>
      <w:r w:rsidRPr="008F70A9">
        <w:rPr>
          <w:rFonts w:ascii="Book Antiqua" w:hAnsi="Book Antiqua"/>
        </w:rPr>
        <w:t xml:space="preserve"> J, </w:t>
      </w:r>
      <w:proofErr w:type="spellStart"/>
      <w:r w:rsidRPr="008F70A9">
        <w:rPr>
          <w:rFonts w:ascii="Book Antiqua" w:hAnsi="Book Antiqua"/>
        </w:rPr>
        <w:t>Vilsbøll</w:t>
      </w:r>
      <w:proofErr w:type="spellEnd"/>
      <w:r w:rsidRPr="008F70A9">
        <w:rPr>
          <w:rFonts w:ascii="Book Antiqua" w:hAnsi="Book Antiqua"/>
        </w:rPr>
        <w:t xml:space="preserve"> T; SUSTAIN-6 Investigators. </w:t>
      </w:r>
      <w:proofErr w:type="spellStart"/>
      <w:r w:rsidRPr="008F70A9">
        <w:rPr>
          <w:rFonts w:ascii="Book Antiqua" w:hAnsi="Book Antiqua"/>
        </w:rPr>
        <w:t>Semaglutide</w:t>
      </w:r>
      <w:proofErr w:type="spellEnd"/>
      <w:r w:rsidRPr="008F70A9">
        <w:rPr>
          <w:rFonts w:ascii="Book Antiqua" w:hAnsi="Book Antiqua"/>
        </w:rPr>
        <w:t xml:space="preserve"> and Cardiovascular Outcomes in Patients with Type 2 Diabetes. </w:t>
      </w:r>
      <w:r w:rsidRPr="008F70A9">
        <w:rPr>
          <w:rFonts w:ascii="Book Antiqua" w:hAnsi="Book Antiqua"/>
          <w:i/>
        </w:rPr>
        <w:t xml:space="preserve">N </w:t>
      </w:r>
      <w:proofErr w:type="spellStart"/>
      <w:r w:rsidRPr="008F70A9">
        <w:rPr>
          <w:rFonts w:ascii="Book Antiqua" w:hAnsi="Book Antiqua"/>
          <w:i/>
        </w:rPr>
        <w:t>Engl</w:t>
      </w:r>
      <w:proofErr w:type="spellEnd"/>
      <w:r w:rsidRPr="008F70A9">
        <w:rPr>
          <w:rFonts w:ascii="Book Antiqua" w:hAnsi="Book Antiqua"/>
          <w:i/>
        </w:rPr>
        <w:t xml:space="preserve"> J Med</w:t>
      </w:r>
      <w:r w:rsidRPr="008F70A9">
        <w:rPr>
          <w:rFonts w:ascii="Book Antiqua" w:hAnsi="Book Antiqua"/>
        </w:rPr>
        <w:t xml:space="preserve"> 2016; </w:t>
      </w:r>
      <w:r w:rsidRPr="008F70A9">
        <w:rPr>
          <w:rFonts w:ascii="Book Antiqua" w:hAnsi="Book Antiqua"/>
          <w:b/>
        </w:rPr>
        <w:t>375</w:t>
      </w:r>
      <w:r w:rsidRPr="008F70A9">
        <w:rPr>
          <w:rFonts w:ascii="Book Antiqua" w:hAnsi="Book Antiqua"/>
        </w:rPr>
        <w:t>: 1834-1844 [PMID: 27633186 DOI: 10.1056/NEJMoa1607141]</w:t>
      </w:r>
    </w:p>
    <w:p w:rsidR="008F70A9" w:rsidRPr="008F70A9" w:rsidRDefault="008F70A9" w:rsidP="008F70A9">
      <w:pPr>
        <w:spacing w:line="360" w:lineRule="auto"/>
        <w:jc w:val="both"/>
        <w:rPr>
          <w:rFonts w:ascii="Book Antiqua" w:hAnsi="Book Antiqua"/>
        </w:rPr>
      </w:pPr>
      <w:r w:rsidRPr="008F70A9">
        <w:rPr>
          <w:rFonts w:ascii="Book Antiqua" w:hAnsi="Book Antiqua"/>
        </w:rPr>
        <w:t xml:space="preserve">12 </w:t>
      </w:r>
      <w:r w:rsidRPr="008F70A9">
        <w:rPr>
          <w:rFonts w:ascii="Book Antiqua" w:hAnsi="Book Antiqua"/>
          <w:b/>
        </w:rPr>
        <w:t>Holman RR</w:t>
      </w:r>
      <w:r w:rsidRPr="008F70A9">
        <w:rPr>
          <w:rFonts w:ascii="Book Antiqua" w:hAnsi="Book Antiqua"/>
        </w:rPr>
        <w:t xml:space="preserve">, Bethel MA, Mentz RJ, Thompson VP, </w:t>
      </w:r>
      <w:proofErr w:type="spellStart"/>
      <w:r w:rsidRPr="008F70A9">
        <w:rPr>
          <w:rFonts w:ascii="Book Antiqua" w:hAnsi="Book Antiqua"/>
        </w:rPr>
        <w:t>Lokhnygina</w:t>
      </w:r>
      <w:proofErr w:type="spellEnd"/>
      <w:r w:rsidRPr="008F70A9">
        <w:rPr>
          <w:rFonts w:ascii="Book Antiqua" w:hAnsi="Book Antiqua"/>
        </w:rPr>
        <w:t xml:space="preserve"> Y, </w:t>
      </w:r>
      <w:proofErr w:type="spellStart"/>
      <w:r w:rsidRPr="008F70A9">
        <w:rPr>
          <w:rFonts w:ascii="Book Antiqua" w:hAnsi="Book Antiqua"/>
        </w:rPr>
        <w:t>Buse</w:t>
      </w:r>
      <w:proofErr w:type="spellEnd"/>
      <w:r w:rsidRPr="008F70A9">
        <w:rPr>
          <w:rFonts w:ascii="Book Antiqua" w:hAnsi="Book Antiqua"/>
        </w:rPr>
        <w:t xml:space="preserve"> JB, Chan JC, Choi J, </w:t>
      </w:r>
      <w:proofErr w:type="spellStart"/>
      <w:r w:rsidRPr="008F70A9">
        <w:rPr>
          <w:rFonts w:ascii="Book Antiqua" w:hAnsi="Book Antiqua"/>
        </w:rPr>
        <w:t>Gustavson</w:t>
      </w:r>
      <w:proofErr w:type="spellEnd"/>
      <w:r w:rsidRPr="008F70A9">
        <w:rPr>
          <w:rFonts w:ascii="Book Antiqua" w:hAnsi="Book Antiqua"/>
        </w:rPr>
        <w:t xml:space="preserve"> SM, Iqbal N, </w:t>
      </w:r>
      <w:proofErr w:type="spellStart"/>
      <w:r w:rsidRPr="008F70A9">
        <w:rPr>
          <w:rFonts w:ascii="Book Antiqua" w:hAnsi="Book Antiqua"/>
        </w:rPr>
        <w:t>Maggioni</w:t>
      </w:r>
      <w:proofErr w:type="spellEnd"/>
      <w:r w:rsidRPr="008F70A9">
        <w:rPr>
          <w:rFonts w:ascii="Book Antiqua" w:hAnsi="Book Antiqua"/>
        </w:rPr>
        <w:t xml:space="preserve"> AP, </w:t>
      </w:r>
      <w:proofErr w:type="spellStart"/>
      <w:r w:rsidRPr="008F70A9">
        <w:rPr>
          <w:rFonts w:ascii="Book Antiqua" w:hAnsi="Book Antiqua"/>
        </w:rPr>
        <w:t>Marso</w:t>
      </w:r>
      <w:proofErr w:type="spellEnd"/>
      <w:r w:rsidRPr="008F70A9">
        <w:rPr>
          <w:rFonts w:ascii="Book Antiqua" w:hAnsi="Book Antiqua"/>
        </w:rPr>
        <w:t xml:space="preserve"> SP, </w:t>
      </w:r>
      <w:proofErr w:type="spellStart"/>
      <w:r w:rsidRPr="008F70A9">
        <w:rPr>
          <w:rFonts w:ascii="Book Antiqua" w:hAnsi="Book Antiqua"/>
        </w:rPr>
        <w:t>Öhman</w:t>
      </w:r>
      <w:proofErr w:type="spellEnd"/>
      <w:r w:rsidRPr="008F70A9">
        <w:rPr>
          <w:rFonts w:ascii="Book Antiqua" w:hAnsi="Book Antiqua"/>
        </w:rPr>
        <w:t xml:space="preserve"> P, </w:t>
      </w:r>
      <w:proofErr w:type="spellStart"/>
      <w:r w:rsidRPr="008F70A9">
        <w:rPr>
          <w:rFonts w:ascii="Book Antiqua" w:hAnsi="Book Antiqua"/>
        </w:rPr>
        <w:t>Pagidipati</w:t>
      </w:r>
      <w:proofErr w:type="spellEnd"/>
      <w:r w:rsidRPr="008F70A9">
        <w:rPr>
          <w:rFonts w:ascii="Book Antiqua" w:hAnsi="Book Antiqua"/>
        </w:rPr>
        <w:t xml:space="preserve"> NJ, Poulter N, Ramachandran A, </w:t>
      </w:r>
      <w:proofErr w:type="spellStart"/>
      <w:r w:rsidRPr="008F70A9">
        <w:rPr>
          <w:rFonts w:ascii="Book Antiqua" w:hAnsi="Book Antiqua"/>
        </w:rPr>
        <w:t>Zinman</w:t>
      </w:r>
      <w:proofErr w:type="spellEnd"/>
      <w:r w:rsidRPr="008F70A9">
        <w:rPr>
          <w:rFonts w:ascii="Book Antiqua" w:hAnsi="Book Antiqua"/>
        </w:rPr>
        <w:t xml:space="preserve"> B, Hernandez AF; EXSCEL Study Group. Effects of Once-Weekly Exenatide on Cardiovascular Outcomes in Type 2 Diabetes. </w:t>
      </w:r>
      <w:r w:rsidRPr="008F70A9">
        <w:rPr>
          <w:rFonts w:ascii="Book Antiqua" w:hAnsi="Book Antiqua"/>
          <w:i/>
        </w:rPr>
        <w:t xml:space="preserve">N </w:t>
      </w:r>
      <w:proofErr w:type="spellStart"/>
      <w:r w:rsidRPr="008F70A9">
        <w:rPr>
          <w:rFonts w:ascii="Book Antiqua" w:hAnsi="Book Antiqua"/>
          <w:i/>
        </w:rPr>
        <w:t>Engl</w:t>
      </w:r>
      <w:proofErr w:type="spellEnd"/>
      <w:r w:rsidRPr="008F70A9">
        <w:rPr>
          <w:rFonts w:ascii="Book Antiqua" w:hAnsi="Book Antiqua"/>
          <w:i/>
        </w:rPr>
        <w:t xml:space="preserve"> J Med</w:t>
      </w:r>
      <w:r w:rsidRPr="008F70A9">
        <w:rPr>
          <w:rFonts w:ascii="Book Antiqua" w:hAnsi="Book Antiqua"/>
        </w:rPr>
        <w:t xml:space="preserve"> 2017; </w:t>
      </w:r>
      <w:r w:rsidRPr="008F70A9">
        <w:rPr>
          <w:rFonts w:ascii="Book Antiqua" w:hAnsi="Book Antiqua"/>
          <w:b/>
        </w:rPr>
        <w:t>377</w:t>
      </w:r>
      <w:r w:rsidRPr="008F70A9">
        <w:rPr>
          <w:rFonts w:ascii="Book Antiqua" w:hAnsi="Book Antiqua"/>
        </w:rPr>
        <w:t>: 1228-1239 [PMID: 28910237 DOI: 10.1056/NEJMoa1612917]</w:t>
      </w:r>
    </w:p>
    <w:p w:rsidR="008F70A9" w:rsidRPr="008F70A9" w:rsidRDefault="008F70A9" w:rsidP="008F70A9">
      <w:pPr>
        <w:spacing w:line="360" w:lineRule="auto"/>
        <w:jc w:val="both"/>
        <w:rPr>
          <w:rFonts w:ascii="Book Antiqua" w:hAnsi="Book Antiqua"/>
        </w:rPr>
      </w:pPr>
      <w:r w:rsidRPr="00B54C95">
        <w:rPr>
          <w:rFonts w:ascii="Book Antiqua" w:hAnsi="Book Antiqua"/>
        </w:rPr>
        <w:t xml:space="preserve">13 </w:t>
      </w:r>
      <w:r w:rsidRPr="00B54C95">
        <w:rPr>
          <w:rFonts w:ascii="Book Antiqua" w:hAnsi="Book Antiqua"/>
          <w:b/>
        </w:rPr>
        <w:t>Eli Lilly and Company</w:t>
      </w:r>
      <w:r w:rsidRPr="00B54C95">
        <w:rPr>
          <w:rFonts w:ascii="Book Antiqua" w:hAnsi="Book Antiqua"/>
        </w:rPr>
        <w:t>. Trulicity® (dulaglutide) demonstrates superiority in reduction of cardiovascular events for broad range of people with type 2 diabetes. 2018. Available from: URL: https://investor.lilly.com/news-releases/news-release-details/trulicityr-dulaglutide-demonstrates-superiority-reduction</w:t>
      </w:r>
    </w:p>
    <w:p w:rsidR="008F70A9" w:rsidRPr="008F70A9" w:rsidRDefault="008F70A9" w:rsidP="008F70A9">
      <w:pPr>
        <w:spacing w:line="360" w:lineRule="auto"/>
        <w:jc w:val="both"/>
        <w:rPr>
          <w:rFonts w:ascii="Book Antiqua" w:hAnsi="Book Antiqua"/>
        </w:rPr>
      </w:pPr>
      <w:r w:rsidRPr="008F70A9">
        <w:rPr>
          <w:rFonts w:ascii="Book Antiqua" w:hAnsi="Book Antiqua"/>
        </w:rPr>
        <w:t xml:space="preserve">14 </w:t>
      </w:r>
      <w:r w:rsidRPr="008F70A9">
        <w:rPr>
          <w:rFonts w:ascii="Book Antiqua" w:hAnsi="Book Antiqua"/>
          <w:b/>
        </w:rPr>
        <w:t>Bethel MA</w:t>
      </w:r>
      <w:r w:rsidRPr="008F70A9">
        <w:rPr>
          <w:rFonts w:ascii="Book Antiqua" w:hAnsi="Book Antiqua"/>
        </w:rPr>
        <w:t xml:space="preserve">, Patel RA, Merrill P, </w:t>
      </w:r>
      <w:proofErr w:type="spellStart"/>
      <w:r w:rsidRPr="008F70A9">
        <w:rPr>
          <w:rFonts w:ascii="Book Antiqua" w:hAnsi="Book Antiqua"/>
        </w:rPr>
        <w:t>Lokhnygina</w:t>
      </w:r>
      <w:proofErr w:type="spellEnd"/>
      <w:r w:rsidRPr="008F70A9">
        <w:rPr>
          <w:rFonts w:ascii="Book Antiqua" w:hAnsi="Book Antiqua"/>
        </w:rPr>
        <w:t xml:space="preserve"> Y, </w:t>
      </w:r>
      <w:proofErr w:type="spellStart"/>
      <w:r w:rsidRPr="008F70A9">
        <w:rPr>
          <w:rFonts w:ascii="Book Antiqua" w:hAnsi="Book Antiqua"/>
        </w:rPr>
        <w:t>Buse</w:t>
      </w:r>
      <w:proofErr w:type="spellEnd"/>
      <w:r w:rsidRPr="008F70A9">
        <w:rPr>
          <w:rFonts w:ascii="Book Antiqua" w:hAnsi="Book Antiqua"/>
        </w:rPr>
        <w:t xml:space="preserve"> JB, Mentz RJ, </w:t>
      </w:r>
      <w:proofErr w:type="spellStart"/>
      <w:r w:rsidRPr="008F70A9">
        <w:rPr>
          <w:rFonts w:ascii="Book Antiqua" w:hAnsi="Book Antiqua"/>
        </w:rPr>
        <w:t>Pagidipati</w:t>
      </w:r>
      <w:proofErr w:type="spellEnd"/>
      <w:r w:rsidRPr="008F70A9">
        <w:rPr>
          <w:rFonts w:ascii="Book Antiqua" w:hAnsi="Book Antiqua"/>
        </w:rPr>
        <w:t xml:space="preserve"> NJ, Chan JC, </w:t>
      </w:r>
      <w:proofErr w:type="spellStart"/>
      <w:r w:rsidRPr="008F70A9">
        <w:rPr>
          <w:rFonts w:ascii="Book Antiqua" w:hAnsi="Book Antiqua"/>
        </w:rPr>
        <w:t>Gustavson</w:t>
      </w:r>
      <w:proofErr w:type="spellEnd"/>
      <w:r w:rsidRPr="008F70A9">
        <w:rPr>
          <w:rFonts w:ascii="Book Antiqua" w:hAnsi="Book Antiqua"/>
        </w:rPr>
        <w:t xml:space="preserve"> SM, Iqbal N, </w:t>
      </w:r>
      <w:proofErr w:type="spellStart"/>
      <w:r w:rsidRPr="008F70A9">
        <w:rPr>
          <w:rFonts w:ascii="Book Antiqua" w:hAnsi="Book Antiqua"/>
        </w:rPr>
        <w:t>Maggioni</w:t>
      </w:r>
      <w:proofErr w:type="spellEnd"/>
      <w:r w:rsidRPr="008F70A9">
        <w:rPr>
          <w:rFonts w:ascii="Book Antiqua" w:hAnsi="Book Antiqua"/>
        </w:rPr>
        <w:t xml:space="preserve"> AP, </w:t>
      </w:r>
      <w:proofErr w:type="spellStart"/>
      <w:r w:rsidRPr="008F70A9">
        <w:rPr>
          <w:rFonts w:ascii="Book Antiqua" w:hAnsi="Book Antiqua"/>
        </w:rPr>
        <w:t>Öhman</w:t>
      </w:r>
      <w:proofErr w:type="spellEnd"/>
      <w:r w:rsidRPr="008F70A9">
        <w:rPr>
          <w:rFonts w:ascii="Book Antiqua" w:hAnsi="Book Antiqua"/>
        </w:rPr>
        <w:t xml:space="preserve"> P, Poulter NR, Ramachandran A, </w:t>
      </w:r>
      <w:proofErr w:type="spellStart"/>
      <w:r w:rsidRPr="008F70A9">
        <w:rPr>
          <w:rFonts w:ascii="Book Antiqua" w:hAnsi="Book Antiqua"/>
        </w:rPr>
        <w:t>Zinman</w:t>
      </w:r>
      <w:proofErr w:type="spellEnd"/>
      <w:r w:rsidRPr="008F70A9">
        <w:rPr>
          <w:rFonts w:ascii="Book Antiqua" w:hAnsi="Book Antiqua"/>
        </w:rPr>
        <w:t xml:space="preserve"> B, Hernandez AF, Holman RR; EXSCEL Study Group. Cardiovascular outcomes with glucagon-like peptide-1 receptor agonists in patients with type 2 diabetes: a meta-analysis. </w:t>
      </w:r>
      <w:r w:rsidRPr="008F70A9">
        <w:rPr>
          <w:rFonts w:ascii="Book Antiqua" w:hAnsi="Book Antiqua"/>
          <w:i/>
        </w:rPr>
        <w:t>Lancet Diabetes Endocrinol</w:t>
      </w:r>
      <w:r w:rsidRPr="008F70A9">
        <w:rPr>
          <w:rFonts w:ascii="Book Antiqua" w:hAnsi="Book Antiqua"/>
        </w:rPr>
        <w:t xml:space="preserve"> 2018; </w:t>
      </w:r>
      <w:r w:rsidRPr="008F70A9">
        <w:rPr>
          <w:rFonts w:ascii="Book Antiqua" w:hAnsi="Book Antiqua"/>
          <w:b/>
        </w:rPr>
        <w:t>6</w:t>
      </w:r>
      <w:r w:rsidRPr="008F70A9">
        <w:rPr>
          <w:rFonts w:ascii="Book Antiqua" w:hAnsi="Book Antiqua"/>
        </w:rPr>
        <w:t>: 105-113 [PMID: 29221659 DOI: 10.1016/S2213-8587(17)30412-6]</w:t>
      </w:r>
    </w:p>
    <w:p w:rsidR="008F70A9" w:rsidRPr="008F70A9" w:rsidRDefault="008F70A9" w:rsidP="008F70A9">
      <w:pPr>
        <w:spacing w:line="360" w:lineRule="auto"/>
        <w:jc w:val="both"/>
        <w:rPr>
          <w:rFonts w:ascii="Book Antiqua" w:hAnsi="Book Antiqua"/>
        </w:rPr>
      </w:pPr>
      <w:r w:rsidRPr="008F70A9">
        <w:rPr>
          <w:rFonts w:ascii="Book Antiqua" w:hAnsi="Book Antiqua"/>
        </w:rPr>
        <w:t xml:space="preserve">15 </w:t>
      </w:r>
      <w:r w:rsidRPr="008F70A9">
        <w:rPr>
          <w:rFonts w:ascii="Book Antiqua" w:hAnsi="Book Antiqua"/>
          <w:b/>
        </w:rPr>
        <w:t>Hsia DS</w:t>
      </w:r>
      <w:r w:rsidRPr="008F70A9">
        <w:rPr>
          <w:rFonts w:ascii="Book Antiqua" w:hAnsi="Book Antiqua"/>
        </w:rPr>
        <w:t xml:space="preserve">, Grove O, </w:t>
      </w:r>
      <w:proofErr w:type="spellStart"/>
      <w:r w:rsidRPr="008F70A9">
        <w:rPr>
          <w:rFonts w:ascii="Book Antiqua" w:hAnsi="Book Antiqua"/>
        </w:rPr>
        <w:t>Cefalu</w:t>
      </w:r>
      <w:proofErr w:type="spellEnd"/>
      <w:r w:rsidRPr="008F70A9">
        <w:rPr>
          <w:rFonts w:ascii="Book Antiqua" w:hAnsi="Book Antiqua"/>
        </w:rPr>
        <w:t xml:space="preserve"> WT. An update on sodium-glucose co-transporter-2 inhibitors for the treatment of diabetes mellitus. </w:t>
      </w:r>
      <w:proofErr w:type="spellStart"/>
      <w:r w:rsidRPr="008F70A9">
        <w:rPr>
          <w:rFonts w:ascii="Book Antiqua" w:hAnsi="Book Antiqua"/>
          <w:i/>
        </w:rPr>
        <w:t>Curr</w:t>
      </w:r>
      <w:proofErr w:type="spellEnd"/>
      <w:r w:rsidRPr="008F70A9">
        <w:rPr>
          <w:rFonts w:ascii="Book Antiqua" w:hAnsi="Book Antiqua"/>
          <w:i/>
        </w:rPr>
        <w:t xml:space="preserve"> </w:t>
      </w:r>
      <w:proofErr w:type="spellStart"/>
      <w:r w:rsidRPr="008F70A9">
        <w:rPr>
          <w:rFonts w:ascii="Book Antiqua" w:hAnsi="Book Antiqua"/>
          <w:i/>
        </w:rPr>
        <w:t>Opin</w:t>
      </w:r>
      <w:proofErr w:type="spellEnd"/>
      <w:r w:rsidRPr="008F70A9">
        <w:rPr>
          <w:rFonts w:ascii="Book Antiqua" w:hAnsi="Book Antiqua"/>
          <w:i/>
        </w:rPr>
        <w:t xml:space="preserve"> </w:t>
      </w:r>
      <w:proofErr w:type="spellStart"/>
      <w:r w:rsidRPr="008F70A9">
        <w:rPr>
          <w:rFonts w:ascii="Book Antiqua" w:hAnsi="Book Antiqua"/>
          <w:i/>
        </w:rPr>
        <w:t>Endocrinol</w:t>
      </w:r>
      <w:proofErr w:type="spellEnd"/>
      <w:r w:rsidRPr="008F70A9">
        <w:rPr>
          <w:rFonts w:ascii="Book Antiqua" w:hAnsi="Book Antiqua"/>
          <w:i/>
        </w:rPr>
        <w:t xml:space="preserve"> Diabetes </w:t>
      </w:r>
      <w:proofErr w:type="spellStart"/>
      <w:r w:rsidRPr="008F70A9">
        <w:rPr>
          <w:rFonts w:ascii="Book Antiqua" w:hAnsi="Book Antiqua"/>
          <w:i/>
        </w:rPr>
        <w:t>Obes</w:t>
      </w:r>
      <w:proofErr w:type="spellEnd"/>
      <w:r w:rsidRPr="008F70A9">
        <w:rPr>
          <w:rFonts w:ascii="Book Antiqua" w:hAnsi="Book Antiqua"/>
        </w:rPr>
        <w:t xml:space="preserve"> 2017; </w:t>
      </w:r>
      <w:r w:rsidRPr="008F70A9">
        <w:rPr>
          <w:rFonts w:ascii="Book Antiqua" w:hAnsi="Book Antiqua"/>
          <w:b/>
        </w:rPr>
        <w:t>24</w:t>
      </w:r>
      <w:r w:rsidRPr="008F70A9">
        <w:rPr>
          <w:rFonts w:ascii="Book Antiqua" w:hAnsi="Book Antiqua"/>
        </w:rPr>
        <w:t>: 73-79 [PMID: 27898586 DOI: 10.1097/MED.0000000000000311]</w:t>
      </w:r>
    </w:p>
    <w:p w:rsidR="008F70A9" w:rsidRPr="008F70A9" w:rsidRDefault="008F70A9" w:rsidP="008F70A9">
      <w:pPr>
        <w:spacing w:line="360" w:lineRule="auto"/>
        <w:jc w:val="both"/>
        <w:rPr>
          <w:rFonts w:ascii="Book Antiqua" w:hAnsi="Book Antiqua"/>
        </w:rPr>
      </w:pPr>
      <w:r w:rsidRPr="008F70A9">
        <w:rPr>
          <w:rFonts w:ascii="Book Antiqua" w:hAnsi="Book Antiqua"/>
        </w:rPr>
        <w:t xml:space="preserve">16 </w:t>
      </w:r>
      <w:proofErr w:type="spellStart"/>
      <w:r w:rsidRPr="008F70A9">
        <w:rPr>
          <w:rFonts w:ascii="Book Antiqua" w:hAnsi="Book Antiqua"/>
          <w:b/>
        </w:rPr>
        <w:t>Scheen</w:t>
      </w:r>
      <w:proofErr w:type="spellEnd"/>
      <w:r w:rsidRPr="008F70A9">
        <w:rPr>
          <w:rFonts w:ascii="Book Antiqua" w:hAnsi="Book Antiqua"/>
          <w:b/>
        </w:rPr>
        <w:t xml:space="preserve"> AJ</w:t>
      </w:r>
      <w:r w:rsidRPr="008F70A9">
        <w:rPr>
          <w:rFonts w:ascii="Book Antiqua" w:hAnsi="Book Antiqua"/>
        </w:rPr>
        <w:t xml:space="preserve">. Pharmacodynamics, efficacy and safety of sodium-glucose co-transporter type 2 (SGLT2) inhibitors for the treatment of type 2 diabetes mellitus. </w:t>
      </w:r>
      <w:r w:rsidRPr="008F70A9">
        <w:rPr>
          <w:rFonts w:ascii="Book Antiqua" w:hAnsi="Book Antiqua"/>
          <w:i/>
        </w:rPr>
        <w:t>Drugs</w:t>
      </w:r>
      <w:r w:rsidRPr="008F70A9">
        <w:rPr>
          <w:rFonts w:ascii="Book Antiqua" w:hAnsi="Book Antiqua"/>
        </w:rPr>
        <w:t xml:space="preserve"> 2015; </w:t>
      </w:r>
      <w:r w:rsidRPr="008F70A9">
        <w:rPr>
          <w:rFonts w:ascii="Book Antiqua" w:hAnsi="Book Antiqua"/>
          <w:b/>
        </w:rPr>
        <w:t>75</w:t>
      </w:r>
      <w:r w:rsidRPr="008F70A9">
        <w:rPr>
          <w:rFonts w:ascii="Book Antiqua" w:hAnsi="Book Antiqua"/>
        </w:rPr>
        <w:t>: 33-59 [PMID: 25488697 DOI: 10.1007/s40265-014-0337-y]</w:t>
      </w:r>
    </w:p>
    <w:p w:rsidR="008F70A9" w:rsidRPr="008F70A9" w:rsidRDefault="008F70A9" w:rsidP="008F70A9">
      <w:pPr>
        <w:spacing w:line="360" w:lineRule="auto"/>
        <w:jc w:val="both"/>
        <w:rPr>
          <w:rFonts w:ascii="Book Antiqua" w:hAnsi="Book Antiqua"/>
        </w:rPr>
      </w:pPr>
      <w:r w:rsidRPr="008F70A9">
        <w:rPr>
          <w:rFonts w:ascii="Book Antiqua" w:hAnsi="Book Antiqua"/>
        </w:rPr>
        <w:t xml:space="preserve">17 </w:t>
      </w:r>
      <w:proofErr w:type="spellStart"/>
      <w:r w:rsidRPr="008F70A9">
        <w:rPr>
          <w:rFonts w:ascii="Book Antiqua" w:hAnsi="Book Antiqua"/>
          <w:b/>
        </w:rPr>
        <w:t>Zinman</w:t>
      </w:r>
      <w:proofErr w:type="spellEnd"/>
      <w:r w:rsidRPr="008F70A9">
        <w:rPr>
          <w:rFonts w:ascii="Book Antiqua" w:hAnsi="Book Antiqua"/>
          <w:b/>
        </w:rPr>
        <w:t xml:space="preserve"> B</w:t>
      </w:r>
      <w:r w:rsidRPr="008F70A9">
        <w:rPr>
          <w:rFonts w:ascii="Book Antiqua" w:hAnsi="Book Antiqua"/>
        </w:rPr>
        <w:t xml:space="preserve">, </w:t>
      </w:r>
      <w:proofErr w:type="spellStart"/>
      <w:r w:rsidRPr="008F70A9">
        <w:rPr>
          <w:rFonts w:ascii="Book Antiqua" w:hAnsi="Book Antiqua"/>
        </w:rPr>
        <w:t>Wanner</w:t>
      </w:r>
      <w:proofErr w:type="spellEnd"/>
      <w:r w:rsidRPr="008F70A9">
        <w:rPr>
          <w:rFonts w:ascii="Book Antiqua" w:hAnsi="Book Antiqua"/>
        </w:rPr>
        <w:t xml:space="preserve"> C, </w:t>
      </w:r>
      <w:proofErr w:type="spellStart"/>
      <w:r w:rsidRPr="008F70A9">
        <w:rPr>
          <w:rFonts w:ascii="Book Antiqua" w:hAnsi="Book Antiqua"/>
        </w:rPr>
        <w:t>Lachin</w:t>
      </w:r>
      <w:proofErr w:type="spellEnd"/>
      <w:r w:rsidRPr="008F70A9">
        <w:rPr>
          <w:rFonts w:ascii="Book Antiqua" w:hAnsi="Book Antiqua"/>
        </w:rPr>
        <w:t xml:space="preserve"> JM, Fitchett D, </w:t>
      </w:r>
      <w:proofErr w:type="spellStart"/>
      <w:r w:rsidRPr="008F70A9">
        <w:rPr>
          <w:rFonts w:ascii="Book Antiqua" w:hAnsi="Book Antiqua"/>
        </w:rPr>
        <w:t>Bluhmki</w:t>
      </w:r>
      <w:proofErr w:type="spellEnd"/>
      <w:r w:rsidRPr="008F70A9">
        <w:rPr>
          <w:rFonts w:ascii="Book Antiqua" w:hAnsi="Book Antiqua"/>
        </w:rPr>
        <w:t xml:space="preserve"> E, </w:t>
      </w:r>
      <w:proofErr w:type="spellStart"/>
      <w:r w:rsidRPr="008F70A9">
        <w:rPr>
          <w:rFonts w:ascii="Book Antiqua" w:hAnsi="Book Antiqua"/>
        </w:rPr>
        <w:t>Hantel</w:t>
      </w:r>
      <w:proofErr w:type="spellEnd"/>
      <w:r w:rsidRPr="008F70A9">
        <w:rPr>
          <w:rFonts w:ascii="Book Antiqua" w:hAnsi="Book Antiqua"/>
        </w:rPr>
        <w:t xml:space="preserve"> S, </w:t>
      </w:r>
      <w:proofErr w:type="spellStart"/>
      <w:r w:rsidRPr="008F70A9">
        <w:rPr>
          <w:rFonts w:ascii="Book Antiqua" w:hAnsi="Book Antiqua"/>
        </w:rPr>
        <w:t>Mattheus</w:t>
      </w:r>
      <w:proofErr w:type="spellEnd"/>
      <w:r w:rsidRPr="008F70A9">
        <w:rPr>
          <w:rFonts w:ascii="Book Antiqua" w:hAnsi="Book Antiqua"/>
        </w:rPr>
        <w:t xml:space="preserve"> M, </w:t>
      </w:r>
      <w:proofErr w:type="spellStart"/>
      <w:r w:rsidRPr="008F70A9">
        <w:rPr>
          <w:rFonts w:ascii="Book Antiqua" w:hAnsi="Book Antiqua"/>
        </w:rPr>
        <w:t>Devins</w:t>
      </w:r>
      <w:proofErr w:type="spellEnd"/>
      <w:r w:rsidRPr="008F70A9">
        <w:rPr>
          <w:rFonts w:ascii="Book Antiqua" w:hAnsi="Book Antiqua"/>
        </w:rPr>
        <w:t xml:space="preserve"> T, Johansen OE, </w:t>
      </w:r>
      <w:proofErr w:type="spellStart"/>
      <w:r w:rsidRPr="008F70A9">
        <w:rPr>
          <w:rFonts w:ascii="Book Antiqua" w:hAnsi="Book Antiqua"/>
        </w:rPr>
        <w:t>Woerle</w:t>
      </w:r>
      <w:proofErr w:type="spellEnd"/>
      <w:r w:rsidRPr="008F70A9">
        <w:rPr>
          <w:rFonts w:ascii="Book Antiqua" w:hAnsi="Book Antiqua"/>
        </w:rPr>
        <w:t xml:space="preserve"> HJ, </w:t>
      </w:r>
      <w:proofErr w:type="spellStart"/>
      <w:r w:rsidRPr="008F70A9">
        <w:rPr>
          <w:rFonts w:ascii="Book Antiqua" w:hAnsi="Book Antiqua"/>
        </w:rPr>
        <w:t>Broedl</w:t>
      </w:r>
      <w:proofErr w:type="spellEnd"/>
      <w:r w:rsidRPr="008F70A9">
        <w:rPr>
          <w:rFonts w:ascii="Book Antiqua" w:hAnsi="Book Antiqua"/>
        </w:rPr>
        <w:t xml:space="preserve"> UC, </w:t>
      </w:r>
      <w:proofErr w:type="spellStart"/>
      <w:r w:rsidRPr="008F70A9">
        <w:rPr>
          <w:rFonts w:ascii="Book Antiqua" w:hAnsi="Book Antiqua"/>
        </w:rPr>
        <w:t>Inzucchi</w:t>
      </w:r>
      <w:proofErr w:type="spellEnd"/>
      <w:r w:rsidRPr="008F70A9">
        <w:rPr>
          <w:rFonts w:ascii="Book Antiqua" w:hAnsi="Book Antiqua"/>
        </w:rPr>
        <w:t xml:space="preserve"> SE; EMPA-REG OUTCOME Investigators. Empagliflozin, Cardiovascular Outcomes, and Mortality in Type 2 Diabetes. </w:t>
      </w:r>
      <w:r w:rsidRPr="008F70A9">
        <w:rPr>
          <w:rFonts w:ascii="Book Antiqua" w:hAnsi="Book Antiqua"/>
          <w:i/>
        </w:rPr>
        <w:t xml:space="preserve">N </w:t>
      </w:r>
      <w:proofErr w:type="spellStart"/>
      <w:r w:rsidRPr="008F70A9">
        <w:rPr>
          <w:rFonts w:ascii="Book Antiqua" w:hAnsi="Book Antiqua"/>
          <w:i/>
        </w:rPr>
        <w:t>Engl</w:t>
      </w:r>
      <w:proofErr w:type="spellEnd"/>
      <w:r w:rsidRPr="008F70A9">
        <w:rPr>
          <w:rFonts w:ascii="Book Antiqua" w:hAnsi="Book Antiqua"/>
          <w:i/>
        </w:rPr>
        <w:t xml:space="preserve"> J Med</w:t>
      </w:r>
      <w:r w:rsidRPr="008F70A9">
        <w:rPr>
          <w:rFonts w:ascii="Book Antiqua" w:hAnsi="Book Antiqua"/>
        </w:rPr>
        <w:t xml:space="preserve"> 2015; </w:t>
      </w:r>
      <w:r w:rsidRPr="008F70A9">
        <w:rPr>
          <w:rFonts w:ascii="Book Antiqua" w:hAnsi="Book Antiqua"/>
          <w:b/>
        </w:rPr>
        <w:t>373</w:t>
      </w:r>
      <w:r w:rsidRPr="008F70A9">
        <w:rPr>
          <w:rFonts w:ascii="Book Antiqua" w:hAnsi="Book Antiqua"/>
        </w:rPr>
        <w:t>: 2117-2128 [PMID: 26378978 DOI: 10.1056/NEJMoa1504720]</w:t>
      </w:r>
    </w:p>
    <w:p w:rsidR="008F70A9" w:rsidRPr="008F70A9" w:rsidRDefault="008F70A9" w:rsidP="008F70A9">
      <w:pPr>
        <w:spacing w:line="360" w:lineRule="auto"/>
        <w:jc w:val="both"/>
        <w:rPr>
          <w:rFonts w:ascii="Book Antiqua" w:hAnsi="Book Antiqua"/>
        </w:rPr>
      </w:pPr>
      <w:r w:rsidRPr="008F70A9">
        <w:rPr>
          <w:rFonts w:ascii="Book Antiqua" w:hAnsi="Book Antiqua"/>
        </w:rPr>
        <w:t xml:space="preserve">18 </w:t>
      </w:r>
      <w:r w:rsidRPr="008F70A9">
        <w:rPr>
          <w:rFonts w:ascii="Book Antiqua" w:hAnsi="Book Antiqua"/>
          <w:b/>
        </w:rPr>
        <w:t>Neal B</w:t>
      </w:r>
      <w:r w:rsidRPr="008F70A9">
        <w:rPr>
          <w:rFonts w:ascii="Book Antiqua" w:hAnsi="Book Antiqua"/>
        </w:rPr>
        <w:t xml:space="preserve">, </w:t>
      </w:r>
      <w:proofErr w:type="spellStart"/>
      <w:r w:rsidRPr="008F70A9">
        <w:rPr>
          <w:rFonts w:ascii="Book Antiqua" w:hAnsi="Book Antiqua"/>
        </w:rPr>
        <w:t>Perkovic</w:t>
      </w:r>
      <w:proofErr w:type="spellEnd"/>
      <w:r w:rsidRPr="008F70A9">
        <w:rPr>
          <w:rFonts w:ascii="Book Antiqua" w:hAnsi="Book Antiqua"/>
        </w:rPr>
        <w:t xml:space="preserve"> V, Mahaffey KW, de </w:t>
      </w:r>
      <w:proofErr w:type="spellStart"/>
      <w:r w:rsidRPr="008F70A9">
        <w:rPr>
          <w:rFonts w:ascii="Book Antiqua" w:hAnsi="Book Antiqua"/>
        </w:rPr>
        <w:t>Zeeuw</w:t>
      </w:r>
      <w:proofErr w:type="spellEnd"/>
      <w:r w:rsidRPr="008F70A9">
        <w:rPr>
          <w:rFonts w:ascii="Book Antiqua" w:hAnsi="Book Antiqua"/>
        </w:rPr>
        <w:t xml:space="preserve"> D, Fulcher G, </w:t>
      </w:r>
      <w:proofErr w:type="spellStart"/>
      <w:r w:rsidRPr="008F70A9">
        <w:rPr>
          <w:rFonts w:ascii="Book Antiqua" w:hAnsi="Book Antiqua"/>
        </w:rPr>
        <w:t>Erondu</w:t>
      </w:r>
      <w:proofErr w:type="spellEnd"/>
      <w:r w:rsidRPr="008F70A9">
        <w:rPr>
          <w:rFonts w:ascii="Book Antiqua" w:hAnsi="Book Antiqua"/>
        </w:rPr>
        <w:t xml:space="preserve"> N, Shaw W, Law G, Desai M, Matthews DR; CANVAS Program Collaborative Group. Canagliflozin and Cardiovascular and Renal Events in Type 2 Diabetes. </w:t>
      </w:r>
      <w:r w:rsidRPr="008F70A9">
        <w:rPr>
          <w:rFonts w:ascii="Book Antiqua" w:hAnsi="Book Antiqua"/>
          <w:i/>
        </w:rPr>
        <w:t xml:space="preserve">N </w:t>
      </w:r>
      <w:proofErr w:type="spellStart"/>
      <w:r w:rsidRPr="008F70A9">
        <w:rPr>
          <w:rFonts w:ascii="Book Antiqua" w:hAnsi="Book Antiqua"/>
          <w:i/>
        </w:rPr>
        <w:t>Engl</w:t>
      </w:r>
      <w:proofErr w:type="spellEnd"/>
      <w:r w:rsidRPr="008F70A9">
        <w:rPr>
          <w:rFonts w:ascii="Book Antiqua" w:hAnsi="Book Antiqua"/>
          <w:i/>
        </w:rPr>
        <w:t xml:space="preserve"> J Med</w:t>
      </w:r>
      <w:r w:rsidRPr="008F70A9">
        <w:rPr>
          <w:rFonts w:ascii="Book Antiqua" w:hAnsi="Book Antiqua"/>
        </w:rPr>
        <w:t xml:space="preserve"> 2017; </w:t>
      </w:r>
      <w:r w:rsidRPr="008F70A9">
        <w:rPr>
          <w:rFonts w:ascii="Book Antiqua" w:hAnsi="Book Antiqua"/>
          <w:b/>
        </w:rPr>
        <w:t>377</w:t>
      </w:r>
      <w:r w:rsidRPr="008F70A9">
        <w:rPr>
          <w:rFonts w:ascii="Book Antiqua" w:hAnsi="Book Antiqua"/>
        </w:rPr>
        <w:t>: 644-657 [PMID: 28605608 DOI: 10.1056/NEJMoa1611925]</w:t>
      </w:r>
    </w:p>
    <w:p w:rsidR="008F70A9" w:rsidRPr="008F70A9" w:rsidRDefault="008F70A9" w:rsidP="008F70A9">
      <w:pPr>
        <w:spacing w:line="360" w:lineRule="auto"/>
        <w:jc w:val="both"/>
        <w:rPr>
          <w:rFonts w:ascii="Book Antiqua" w:hAnsi="Book Antiqua"/>
        </w:rPr>
      </w:pPr>
      <w:r w:rsidRPr="008F70A9">
        <w:rPr>
          <w:rFonts w:ascii="Book Antiqua" w:hAnsi="Book Antiqua"/>
        </w:rPr>
        <w:t xml:space="preserve">19 </w:t>
      </w:r>
      <w:proofErr w:type="spellStart"/>
      <w:r w:rsidRPr="008F70A9">
        <w:rPr>
          <w:rFonts w:ascii="Book Antiqua" w:hAnsi="Book Antiqua"/>
          <w:b/>
        </w:rPr>
        <w:t>Wiviott</w:t>
      </w:r>
      <w:proofErr w:type="spellEnd"/>
      <w:r w:rsidRPr="008F70A9">
        <w:rPr>
          <w:rFonts w:ascii="Book Antiqua" w:hAnsi="Book Antiqua"/>
          <w:b/>
        </w:rPr>
        <w:t xml:space="preserve"> SD</w:t>
      </w:r>
      <w:r w:rsidRPr="008F70A9">
        <w:rPr>
          <w:rFonts w:ascii="Book Antiqua" w:hAnsi="Book Antiqua"/>
        </w:rPr>
        <w:t xml:space="preserve">, </w:t>
      </w:r>
      <w:proofErr w:type="spellStart"/>
      <w:r w:rsidRPr="008F70A9">
        <w:rPr>
          <w:rFonts w:ascii="Book Antiqua" w:hAnsi="Book Antiqua"/>
        </w:rPr>
        <w:t>Raz</w:t>
      </w:r>
      <w:proofErr w:type="spellEnd"/>
      <w:r w:rsidRPr="008F70A9">
        <w:rPr>
          <w:rFonts w:ascii="Book Antiqua" w:hAnsi="Book Antiqua"/>
        </w:rPr>
        <w:t xml:space="preserve"> I, </w:t>
      </w:r>
      <w:proofErr w:type="spellStart"/>
      <w:r w:rsidRPr="008F70A9">
        <w:rPr>
          <w:rFonts w:ascii="Book Antiqua" w:hAnsi="Book Antiqua"/>
        </w:rPr>
        <w:t>Bonaca</w:t>
      </w:r>
      <w:proofErr w:type="spellEnd"/>
      <w:r w:rsidRPr="008F70A9">
        <w:rPr>
          <w:rFonts w:ascii="Book Antiqua" w:hAnsi="Book Antiqua"/>
        </w:rPr>
        <w:t xml:space="preserve"> MP, </w:t>
      </w:r>
      <w:proofErr w:type="spellStart"/>
      <w:r w:rsidRPr="008F70A9">
        <w:rPr>
          <w:rFonts w:ascii="Book Antiqua" w:hAnsi="Book Antiqua"/>
        </w:rPr>
        <w:t>Mosenzon</w:t>
      </w:r>
      <w:proofErr w:type="spellEnd"/>
      <w:r w:rsidRPr="008F70A9">
        <w:rPr>
          <w:rFonts w:ascii="Book Antiqua" w:hAnsi="Book Antiqua"/>
        </w:rPr>
        <w:t xml:space="preserve"> O, Kato ET, Cahn A, Silverman MG, </w:t>
      </w:r>
      <w:proofErr w:type="spellStart"/>
      <w:r w:rsidRPr="008F70A9">
        <w:rPr>
          <w:rFonts w:ascii="Book Antiqua" w:hAnsi="Book Antiqua"/>
        </w:rPr>
        <w:t>Zelniker</w:t>
      </w:r>
      <w:proofErr w:type="spellEnd"/>
      <w:r w:rsidRPr="008F70A9">
        <w:rPr>
          <w:rFonts w:ascii="Book Antiqua" w:hAnsi="Book Antiqua"/>
        </w:rPr>
        <w:t xml:space="preserve"> TA, </w:t>
      </w:r>
      <w:proofErr w:type="spellStart"/>
      <w:r w:rsidRPr="008F70A9">
        <w:rPr>
          <w:rFonts w:ascii="Book Antiqua" w:hAnsi="Book Antiqua"/>
        </w:rPr>
        <w:t>Kuder</w:t>
      </w:r>
      <w:proofErr w:type="spellEnd"/>
      <w:r w:rsidRPr="008F70A9">
        <w:rPr>
          <w:rFonts w:ascii="Book Antiqua" w:hAnsi="Book Antiqua"/>
        </w:rPr>
        <w:t xml:space="preserve"> JF, Murphy SA, Bhatt DL, Leiter LA, McGuire DK, Wilding JPH, Ruff CT, </w:t>
      </w:r>
      <w:proofErr w:type="spellStart"/>
      <w:r w:rsidRPr="008F70A9">
        <w:rPr>
          <w:rFonts w:ascii="Book Antiqua" w:hAnsi="Book Antiqua"/>
        </w:rPr>
        <w:t>Gause</w:t>
      </w:r>
      <w:proofErr w:type="spellEnd"/>
      <w:r w:rsidRPr="008F70A9">
        <w:rPr>
          <w:rFonts w:ascii="Book Antiqua" w:hAnsi="Book Antiqua"/>
        </w:rPr>
        <w:t xml:space="preserve">-Nilsson IAM, </w:t>
      </w:r>
      <w:proofErr w:type="spellStart"/>
      <w:r w:rsidRPr="008F70A9">
        <w:rPr>
          <w:rFonts w:ascii="Book Antiqua" w:hAnsi="Book Antiqua"/>
        </w:rPr>
        <w:t>Fredriksson</w:t>
      </w:r>
      <w:proofErr w:type="spellEnd"/>
      <w:r w:rsidRPr="008F70A9">
        <w:rPr>
          <w:rFonts w:ascii="Book Antiqua" w:hAnsi="Book Antiqua"/>
        </w:rPr>
        <w:t xml:space="preserve"> M, Johansson PA, </w:t>
      </w:r>
      <w:proofErr w:type="spellStart"/>
      <w:r w:rsidRPr="008F70A9">
        <w:rPr>
          <w:rFonts w:ascii="Book Antiqua" w:hAnsi="Book Antiqua"/>
        </w:rPr>
        <w:t>Langkilde</w:t>
      </w:r>
      <w:proofErr w:type="spellEnd"/>
      <w:r w:rsidRPr="008F70A9">
        <w:rPr>
          <w:rFonts w:ascii="Book Antiqua" w:hAnsi="Book Antiqua"/>
        </w:rPr>
        <w:t xml:space="preserve"> AM, </w:t>
      </w:r>
      <w:proofErr w:type="spellStart"/>
      <w:r w:rsidRPr="008F70A9">
        <w:rPr>
          <w:rFonts w:ascii="Book Antiqua" w:hAnsi="Book Antiqua"/>
        </w:rPr>
        <w:t>Sabatine</w:t>
      </w:r>
      <w:proofErr w:type="spellEnd"/>
      <w:r w:rsidRPr="008F70A9">
        <w:rPr>
          <w:rFonts w:ascii="Book Antiqua" w:hAnsi="Book Antiqua"/>
        </w:rPr>
        <w:t xml:space="preserve"> MS; DECLARE–TIMI 58 Investigators. Dapagliflozin and Cardiovascular Outcomes in Type 2 Diabetes. </w:t>
      </w:r>
      <w:r w:rsidRPr="008F70A9">
        <w:rPr>
          <w:rFonts w:ascii="Book Antiqua" w:hAnsi="Book Antiqua"/>
          <w:i/>
        </w:rPr>
        <w:t xml:space="preserve">N </w:t>
      </w:r>
      <w:proofErr w:type="spellStart"/>
      <w:r w:rsidRPr="008F70A9">
        <w:rPr>
          <w:rFonts w:ascii="Book Antiqua" w:hAnsi="Book Antiqua"/>
          <w:i/>
        </w:rPr>
        <w:t>Engl</w:t>
      </w:r>
      <w:proofErr w:type="spellEnd"/>
      <w:r w:rsidRPr="008F70A9">
        <w:rPr>
          <w:rFonts w:ascii="Book Antiqua" w:hAnsi="Book Antiqua"/>
          <w:i/>
        </w:rPr>
        <w:t xml:space="preserve"> J Med</w:t>
      </w:r>
      <w:r w:rsidRPr="008F70A9">
        <w:rPr>
          <w:rFonts w:ascii="Book Antiqua" w:hAnsi="Book Antiqua"/>
        </w:rPr>
        <w:t xml:space="preserve"> 2019; </w:t>
      </w:r>
      <w:r w:rsidRPr="008F70A9">
        <w:rPr>
          <w:rFonts w:ascii="Book Antiqua" w:hAnsi="Book Antiqua"/>
          <w:b/>
        </w:rPr>
        <w:t>380</w:t>
      </w:r>
      <w:r w:rsidRPr="008F70A9">
        <w:rPr>
          <w:rFonts w:ascii="Book Antiqua" w:hAnsi="Book Antiqua"/>
        </w:rPr>
        <w:t>: 347-357 [PMID: 30415602 DOI: 10.1056/NEJMoa1812389]</w:t>
      </w:r>
    </w:p>
    <w:p w:rsidR="008F70A9" w:rsidRPr="008F70A9" w:rsidRDefault="008F70A9" w:rsidP="008F70A9">
      <w:pPr>
        <w:spacing w:line="360" w:lineRule="auto"/>
        <w:jc w:val="both"/>
        <w:rPr>
          <w:rFonts w:ascii="Book Antiqua" w:hAnsi="Book Antiqua"/>
        </w:rPr>
      </w:pPr>
      <w:r w:rsidRPr="008F70A9">
        <w:rPr>
          <w:rFonts w:ascii="Book Antiqua" w:hAnsi="Book Antiqua"/>
        </w:rPr>
        <w:t xml:space="preserve">20 </w:t>
      </w:r>
      <w:proofErr w:type="spellStart"/>
      <w:r w:rsidRPr="008F70A9">
        <w:rPr>
          <w:rFonts w:ascii="Book Antiqua" w:hAnsi="Book Antiqua"/>
          <w:b/>
        </w:rPr>
        <w:t>Zelniker</w:t>
      </w:r>
      <w:proofErr w:type="spellEnd"/>
      <w:r w:rsidRPr="008F70A9">
        <w:rPr>
          <w:rFonts w:ascii="Book Antiqua" w:hAnsi="Book Antiqua"/>
          <w:b/>
        </w:rPr>
        <w:t xml:space="preserve"> TA</w:t>
      </w:r>
      <w:r w:rsidRPr="008F70A9">
        <w:rPr>
          <w:rFonts w:ascii="Book Antiqua" w:hAnsi="Book Antiqua"/>
        </w:rPr>
        <w:t xml:space="preserve">, </w:t>
      </w:r>
      <w:proofErr w:type="spellStart"/>
      <w:r w:rsidRPr="008F70A9">
        <w:rPr>
          <w:rFonts w:ascii="Book Antiqua" w:hAnsi="Book Antiqua"/>
        </w:rPr>
        <w:t>Wiviott</w:t>
      </w:r>
      <w:proofErr w:type="spellEnd"/>
      <w:r w:rsidRPr="008F70A9">
        <w:rPr>
          <w:rFonts w:ascii="Book Antiqua" w:hAnsi="Book Antiqua"/>
        </w:rPr>
        <w:t xml:space="preserve"> SD, </w:t>
      </w:r>
      <w:proofErr w:type="spellStart"/>
      <w:r w:rsidRPr="008F70A9">
        <w:rPr>
          <w:rFonts w:ascii="Book Antiqua" w:hAnsi="Book Antiqua"/>
        </w:rPr>
        <w:t>Raz</w:t>
      </w:r>
      <w:proofErr w:type="spellEnd"/>
      <w:r w:rsidRPr="008F70A9">
        <w:rPr>
          <w:rFonts w:ascii="Book Antiqua" w:hAnsi="Book Antiqua"/>
        </w:rPr>
        <w:t xml:space="preserve"> I, </w:t>
      </w:r>
      <w:proofErr w:type="spellStart"/>
      <w:r w:rsidRPr="008F70A9">
        <w:rPr>
          <w:rFonts w:ascii="Book Antiqua" w:hAnsi="Book Antiqua"/>
        </w:rPr>
        <w:t>Im</w:t>
      </w:r>
      <w:proofErr w:type="spellEnd"/>
      <w:r w:rsidRPr="008F70A9">
        <w:rPr>
          <w:rFonts w:ascii="Book Antiqua" w:hAnsi="Book Antiqua"/>
        </w:rPr>
        <w:t xml:space="preserve"> K, Goodrich EL, </w:t>
      </w:r>
      <w:proofErr w:type="spellStart"/>
      <w:r w:rsidRPr="008F70A9">
        <w:rPr>
          <w:rFonts w:ascii="Book Antiqua" w:hAnsi="Book Antiqua"/>
        </w:rPr>
        <w:t>Bonaca</w:t>
      </w:r>
      <w:proofErr w:type="spellEnd"/>
      <w:r w:rsidRPr="008F70A9">
        <w:rPr>
          <w:rFonts w:ascii="Book Antiqua" w:hAnsi="Book Antiqua"/>
        </w:rPr>
        <w:t xml:space="preserve"> MP, </w:t>
      </w:r>
      <w:proofErr w:type="spellStart"/>
      <w:r w:rsidRPr="008F70A9">
        <w:rPr>
          <w:rFonts w:ascii="Book Antiqua" w:hAnsi="Book Antiqua"/>
        </w:rPr>
        <w:t>Mosenzon</w:t>
      </w:r>
      <w:proofErr w:type="spellEnd"/>
      <w:r w:rsidRPr="008F70A9">
        <w:rPr>
          <w:rFonts w:ascii="Book Antiqua" w:hAnsi="Book Antiqua"/>
        </w:rPr>
        <w:t xml:space="preserve"> O, Kato ET, Cahn A, Furtado RHM, Bhatt DL, Leiter LA, McGuire DK, Wilding JPH, </w:t>
      </w:r>
      <w:proofErr w:type="spellStart"/>
      <w:r w:rsidRPr="008F70A9">
        <w:rPr>
          <w:rFonts w:ascii="Book Antiqua" w:hAnsi="Book Antiqua"/>
        </w:rPr>
        <w:t>Sabatine</w:t>
      </w:r>
      <w:proofErr w:type="spellEnd"/>
      <w:r w:rsidRPr="008F70A9">
        <w:rPr>
          <w:rFonts w:ascii="Book Antiqua" w:hAnsi="Book Antiqua"/>
        </w:rPr>
        <w:t xml:space="preserve"> MS. SGLT2 inhibitors for primary and secondary prevention of cardiovascular and renal outcomes in type 2 diabetes: a systematic review and meta-analysis of cardiovascular outcome trials. </w:t>
      </w:r>
      <w:r w:rsidRPr="008F70A9">
        <w:rPr>
          <w:rFonts w:ascii="Book Antiqua" w:hAnsi="Book Antiqua"/>
          <w:i/>
        </w:rPr>
        <w:t>Lancet</w:t>
      </w:r>
      <w:r w:rsidRPr="008F70A9">
        <w:rPr>
          <w:rFonts w:ascii="Book Antiqua" w:hAnsi="Book Antiqua"/>
        </w:rPr>
        <w:t xml:space="preserve"> 2019; </w:t>
      </w:r>
      <w:r w:rsidRPr="008F70A9">
        <w:rPr>
          <w:rFonts w:ascii="Book Antiqua" w:hAnsi="Book Antiqua"/>
          <w:b/>
        </w:rPr>
        <w:t>393</w:t>
      </w:r>
      <w:r w:rsidRPr="008F70A9">
        <w:rPr>
          <w:rFonts w:ascii="Book Antiqua" w:hAnsi="Book Antiqua"/>
        </w:rPr>
        <w:t>: 31-39 [PMID: 30424892 DOI: 10.1016/S0140-6736(18)32590-X]</w:t>
      </w:r>
    </w:p>
    <w:p w:rsidR="008F70A9" w:rsidRPr="008F70A9" w:rsidRDefault="008F70A9" w:rsidP="008F70A9">
      <w:pPr>
        <w:spacing w:line="360" w:lineRule="auto"/>
        <w:jc w:val="both"/>
        <w:rPr>
          <w:rFonts w:ascii="Book Antiqua" w:hAnsi="Book Antiqua"/>
        </w:rPr>
      </w:pPr>
      <w:r w:rsidRPr="008F70A9">
        <w:rPr>
          <w:rFonts w:ascii="Book Antiqua" w:hAnsi="Book Antiqua"/>
        </w:rPr>
        <w:t xml:space="preserve">21 </w:t>
      </w:r>
      <w:proofErr w:type="spellStart"/>
      <w:r w:rsidRPr="008F70A9">
        <w:rPr>
          <w:rFonts w:ascii="Book Antiqua" w:hAnsi="Book Antiqua"/>
          <w:b/>
        </w:rPr>
        <w:t>Tancredi</w:t>
      </w:r>
      <w:proofErr w:type="spellEnd"/>
      <w:r w:rsidRPr="008F70A9">
        <w:rPr>
          <w:rFonts w:ascii="Book Antiqua" w:hAnsi="Book Antiqua"/>
          <w:b/>
        </w:rPr>
        <w:t xml:space="preserve"> M</w:t>
      </w:r>
      <w:r w:rsidRPr="008F70A9">
        <w:rPr>
          <w:rFonts w:ascii="Book Antiqua" w:hAnsi="Book Antiqua"/>
        </w:rPr>
        <w:t xml:space="preserve">, </w:t>
      </w:r>
      <w:proofErr w:type="spellStart"/>
      <w:r w:rsidRPr="008F70A9">
        <w:rPr>
          <w:rFonts w:ascii="Book Antiqua" w:hAnsi="Book Antiqua"/>
        </w:rPr>
        <w:t>Rosengren</w:t>
      </w:r>
      <w:proofErr w:type="spellEnd"/>
      <w:r w:rsidRPr="008F70A9">
        <w:rPr>
          <w:rFonts w:ascii="Book Antiqua" w:hAnsi="Book Antiqua"/>
        </w:rPr>
        <w:t xml:space="preserve"> A, </w:t>
      </w:r>
      <w:proofErr w:type="spellStart"/>
      <w:r w:rsidRPr="008F70A9">
        <w:rPr>
          <w:rFonts w:ascii="Book Antiqua" w:hAnsi="Book Antiqua"/>
        </w:rPr>
        <w:t>Svensson</w:t>
      </w:r>
      <w:proofErr w:type="spellEnd"/>
      <w:r w:rsidRPr="008F70A9">
        <w:rPr>
          <w:rFonts w:ascii="Book Antiqua" w:hAnsi="Book Antiqua"/>
        </w:rPr>
        <w:t xml:space="preserve"> AM, </w:t>
      </w:r>
      <w:proofErr w:type="spellStart"/>
      <w:r w:rsidRPr="008F70A9">
        <w:rPr>
          <w:rFonts w:ascii="Book Antiqua" w:hAnsi="Book Antiqua"/>
        </w:rPr>
        <w:t>Kosiborod</w:t>
      </w:r>
      <w:proofErr w:type="spellEnd"/>
      <w:r w:rsidRPr="008F70A9">
        <w:rPr>
          <w:rFonts w:ascii="Book Antiqua" w:hAnsi="Book Antiqua"/>
        </w:rPr>
        <w:t xml:space="preserve"> M, </w:t>
      </w:r>
      <w:proofErr w:type="spellStart"/>
      <w:r w:rsidRPr="008F70A9">
        <w:rPr>
          <w:rFonts w:ascii="Book Antiqua" w:hAnsi="Book Antiqua"/>
        </w:rPr>
        <w:t>Pivodic</w:t>
      </w:r>
      <w:proofErr w:type="spellEnd"/>
      <w:r w:rsidRPr="008F70A9">
        <w:rPr>
          <w:rFonts w:ascii="Book Antiqua" w:hAnsi="Book Antiqua"/>
        </w:rPr>
        <w:t xml:space="preserve"> A, </w:t>
      </w:r>
      <w:proofErr w:type="spellStart"/>
      <w:r w:rsidRPr="008F70A9">
        <w:rPr>
          <w:rFonts w:ascii="Book Antiqua" w:hAnsi="Book Antiqua"/>
        </w:rPr>
        <w:t>Gudbjörnsdottir</w:t>
      </w:r>
      <w:proofErr w:type="spellEnd"/>
      <w:r w:rsidRPr="008F70A9">
        <w:rPr>
          <w:rFonts w:ascii="Book Antiqua" w:hAnsi="Book Antiqua"/>
        </w:rPr>
        <w:t xml:space="preserve"> S, Wedel H, Clements M, </w:t>
      </w:r>
      <w:proofErr w:type="spellStart"/>
      <w:r w:rsidRPr="008F70A9">
        <w:rPr>
          <w:rFonts w:ascii="Book Antiqua" w:hAnsi="Book Antiqua"/>
        </w:rPr>
        <w:t>Dahlqvist</w:t>
      </w:r>
      <w:proofErr w:type="spellEnd"/>
      <w:r w:rsidRPr="008F70A9">
        <w:rPr>
          <w:rFonts w:ascii="Book Antiqua" w:hAnsi="Book Antiqua"/>
        </w:rPr>
        <w:t xml:space="preserve"> S, Lind M. Excess Mortality among Persons with Type 2 Diabetes. </w:t>
      </w:r>
      <w:r w:rsidRPr="008F70A9">
        <w:rPr>
          <w:rFonts w:ascii="Book Antiqua" w:hAnsi="Book Antiqua"/>
          <w:i/>
        </w:rPr>
        <w:t xml:space="preserve">N </w:t>
      </w:r>
      <w:proofErr w:type="spellStart"/>
      <w:r w:rsidRPr="008F70A9">
        <w:rPr>
          <w:rFonts w:ascii="Book Antiqua" w:hAnsi="Book Antiqua"/>
          <w:i/>
        </w:rPr>
        <w:t>Engl</w:t>
      </w:r>
      <w:proofErr w:type="spellEnd"/>
      <w:r w:rsidRPr="008F70A9">
        <w:rPr>
          <w:rFonts w:ascii="Book Antiqua" w:hAnsi="Book Antiqua"/>
          <w:i/>
        </w:rPr>
        <w:t xml:space="preserve"> J Med</w:t>
      </w:r>
      <w:r w:rsidRPr="008F70A9">
        <w:rPr>
          <w:rFonts w:ascii="Book Antiqua" w:hAnsi="Book Antiqua"/>
        </w:rPr>
        <w:t xml:space="preserve"> 2015; </w:t>
      </w:r>
      <w:r w:rsidRPr="008F70A9">
        <w:rPr>
          <w:rFonts w:ascii="Book Antiqua" w:hAnsi="Book Antiqua"/>
          <w:b/>
        </w:rPr>
        <w:t>373</w:t>
      </w:r>
      <w:r w:rsidRPr="008F70A9">
        <w:rPr>
          <w:rFonts w:ascii="Book Antiqua" w:hAnsi="Book Antiqua"/>
        </w:rPr>
        <w:t>: 1720-1732 [PMID: 26510021 DOI: 10.1056/NEJMoa1504347]</w:t>
      </w:r>
    </w:p>
    <w:p w:rsidR="008F70A9" w:rsidRPr="008F70A9" w:rsidRDefault="008F70A9" w:rsidP="008F70A9">
      <w:pPr>
        <w:spacing w:line="360" w:lineRule="auto"/>
        <w:jc w:val="both"/>
        <w:rPr>
          <w:rFonts w:ascii="Book Antiqua" w:hAnsi="Book Antiqua"/>
        </w:rPr>
      </w:pPr>
      <w:r w:rsidRPr="008F70A9">
        <w:rPr>
          <w:rFonts w:ascii="Book Antiqua" w:hAnsi="Book Antiqua"/>
        </w:rPr>
        <w:t xml:space="preserve">22 </w:t>
      </w:r>
      <w:r w:rsidRPr="008F70A9">
        <w:rPr>
          <w:rFonts w:ascii="Book Antiqua" w:hAnsi="Book Antiqua"/>
          <w:b/>
        </w:rPr>
        <w:t>Davies MJ</w:t>
      </w:r>
      <w:r w:rsidRPr="008F70A9">
        <w:rPr>
          <w:rFonts w:ascii="Book Antiqua" w:hAnsi="Book Antiqua"/>
        </w:rPr>
        <w:t xml:space="preserve">, </w:t>
      </w:r>
      <w:proofErr w:type="spellStart"/>
      <w:r w:rsidRPr="008F70A9">
        <w:rPr>
          <w:rFonts w:ascii="Book Antiqua" w:hAnsi="Book Antiqua"/>
        </w:rPr>
        <w:t>D'Alessio</w:t>
      </w:r>
      <w:proofErr w:type="spellEnd"/>
      <w:r w:rsidRPr="008F70A9">
        <w:rPr>
          <w:rFonts w:ascii="Book Antiqua" w:hAnsi="Book Antiqua"/>
        </w:rPr>
        <w:t xml:space="preserve"> DA, </w:t>
      </w:r>
      <w:proofErr w:type="spellStart"/>
      <w:r w:rsidRPr="008F70A9">
        <w:rPr>
          <w:rFonts w:ascii="Book Antiqua" w:hAnsi="Book Antiqua"/>
        </w:rPr>
        <w:t>Fradkin</w:t>
      </w:r>
      <w:proofErr w:type="spellEnd"/>
      <w:r w:rsidRPr="008F70A9">
        <w:rPr>
          <w:rFonts w:ascii="Book Antiqua" w:hAnsi="Book Antiqua"/>
        </w:rPr>
        <w:t xml:space="preserve"> J, </w:t>
      </w:r>
      <w:proofErr w:type="spellStart"/>
      <w:r w:rsidRPr="008F70A9">
        <w:rPr>
          <w:rFonts w:ascii="Book Antiqua" w:hAnsi="Book Antiqua"/>
        </w:rPr>
        <w:t>Kernan</w:t>
      </w:r>
      <w:proofErr w:type="spellEnd"/>
      <w:r w:rsidRPr="008F70A9">
        <w:rPr>
          <w:rFonts w:ascii="Book Antiqua" w:hAnsi="Book Antiqua"/>
        </w:rPr>
        <w:t xml:space="preserve"> WN, Mathieu C, </w:t>
      </w:r>
      <w:proofErr w:type="spellStart"/>
      <w:r w:rsidRPr="008F70A9">
        <w:rPr>
          <w:rFonts w:ascii="Book Antiqua" w:hAnsi="Book Antiqua"/>
        </w:rPr>
        <w:t>Mingrone</w:t>
      </w:r>
      <w:proofErr w:type="spellEnd"/>
      <w:r w:rsidRPr="008F70A9">
        <w:rPr>
          <w:rFonts w:ascii="Book Antiqua" w:hAnsi="Book Antiqua"/>
        </w:rPr>
        <w:t xml:space="preserve"> G, </w:t>
      </w:r>
      <w:proofErr w:type="spellStart"/>
      <w:r w:rsidRPr="008F70A9">
        <w:rPr>
          <w:rFonts w:ascii="Book Antiqua" w:hAnsi="Book Antiqua"/>
        </w:rPr>
        <w:t>Rossing</w:t>
      </w:r>
      <w:proofErr w:type="spellEnd"/>
      <w:r w:rsidRPr="008F70A9">
        <w:rPr>
          <w:rFonts w:ascii="Book Antiqua" w:hAnsi="Book Antiqua"/>
        </w:rPr>
        <w:t xml:space="preserve"> P, </w:t>
      </w:r>
      <w:proofErr w:type="spellStart"/>
      <w:r w:rsidRPr="008F70A9">
        <w:rPr>
          <w:rFonts w:ascii="Book Antiqua" w:hAnsi="Book Antiqua"/>
        </w:rPr>
        <w:t>Tsapas</w:t>
      </w:r>
      <w:proofErr w:type="spellEnd"/>
      <w:r w:rsidRPr="008F70A9">
        <w:rPr>
          <w:rFonts w:ascii="Book Antiqua" w:hAnsi="Book Antiqua"/>
        </w:rPr>
        <w:t xml:space="preserve"> A, Wexler DJ, </w:t>
      </w:r>
      <w:proofErr w:type="spellStart"/>
      <w:r w:rsidRPr="008F70A9">
        <w:rPr>
          <w:rFonts w:ascii="Book Antiqua" w:hAnsi="Book Antiqua"/>
        </w:rPr>
        <w:t>Buse</w:t>
      </w:r>
      <w:proofErr w:type="spellEnd"/>
      <w:r w:rsidRPr="008F70A9">
        <w:rPr>
          <w:rFonts w:ascii="Book Antiqua" w:hAnsi="Book Antiqua"/>
        </w:rPr>
        <w:t xml:space="preserve"> JB. Management of Hyperglycemia in Type 2 Diabetes, 2018. A Consensus Report by the American Diabetes Association (ADA) and the European Association for the Study of Diabetes (EASD). </w:t>
      </w:r>
      <w:r w:rsidRPr="008F70A9">
        <w:rPr>
          <w:rFonts w:ascii="Book Antiqua" w:hAnsi="Book Antiqua"/>
          <w:i/>
        </w:rPr>
        <w:t>Diabetes Care</w:t>
      </w:r>
      <w:r w:rsidRPr="008F70A9">
        <w:rPr>
          <w:rFonts w:ascii="Book Antiqua" w:hAnsi="Book Antiqua"/>
        </w:rPr>
        <w:t xml:space="preserve"> 2018; </w:t>
      </w:r>
      <w:r w:rsidRPr="008F70A9">
        <w:rPr>
          <w:rFonts w:ascii="Book Antiqua" w:hAnsi="Book Antiqua"/>
          <w:b/>
        </w:rPr>
        <w:t>41</w:t>
      </w:r>
      <w:r w:rsidRPr="008F70A9">
        <w:rPr>
          <w:rFonts w:ascii="Book Antiqua" w:hAnsi="Book Antiqua"/>
        </w:rPr>
        <w:t>: 2669-2701 [PMID: 30291106 DOI: 10.2337/dci18-0033]</w:t>
      </w:r>
    </w:p>
    <w:p w:rsidR="008F70A9" w:rsidRPr="008F70A9" w:rsidRDefault="008F70A9" w:rsidP="008F70A9">
      <w:pPr>
        <w:spacing w:line="360" w:lineRule="auto"/>
        <w:jc w:val="both"/>
        <w:rPr>
          <w:rFonts w:ascii="Book Antiqua" w:hAnsi="Book Antiqua" w:cs="Arial"/>
          <w:lang w:val="en"/>
        </w:rPr>
      </w:pPr>
    </w:p>
    <w:p w:rsidR="008F70A9" w:rsidRPr="008F70A9" w:rsidRDefault="008F70A9" w:rsidP="007258D6">
      <w:pPr>
        <w:pStyle w:val="ad"/>
        <w:wordWrap w:val="0"/>
        <w:spacing w:line="360" w:lineRule="auto"/>
        <w:jc w:val="right"/>
        <w:rPr>
          <w:rFonts w:ascii="Book Antiqua" w:hAnsi="Book Antiqua"/>
          <w:b/>
          <w:sz w:val="24"/>
          <w:szCs w:val="24"/>
        </w:rPr>
      </w:pPr>
      <w:r w:rsidRPr="008F70A9">
        <w:rPr>
          <w:rFonts w:ascii="Book Antiqua" w:hAnsi="Book Antiqua"/>
          <w:b/>
          <w:sz w:val="24"/>
          <w:szCs w:val="24"/>
        </w:rPr>
        <w:t xml:space="preserve">P-Reviewer: </w:t>
      </w:r>
      <w:proofErr w:type="spellStart"/>
      <w:r w:rsidRPr="007258D6">
        <w:rPr>
          <w:rFonts w:ascii="Book Antiqua" w:hAnsi="Book Antiqua"/>
          <w:color w:val="000000"/>
          <w:sz w:val="24"/>
          <w:szCs w:val="24"/>
        </w:rPr>
        <w:t>Dabla</w:t>
      </w:r>
      <w:proofErr w:type="spellEnd"/>
      <w:r w:rsidRPr="007258D6">
        <w:rPr>
          <w:rFonts w:ascii="Book Antiqua" w:hAnsi="Book Antiqua"/>
          <w:color w:val="000000"/>
          <w:sz w:val="24"/>
          <w:szCs w:val="24"/>
        </w:rPr>
        <w:t xml:space="preserve"> PK, Lai S, Teragawa H </w:t>
      </w:r>
      <w:r w:rsidRPr="008F70A9">
        <w:rPr>
          <w:rFonts w:ascii="Book Antiqua" w:hAnsi="Book Antiqua"/>
          <w:b/>
          <w:sz w:val="24"/>
          <w:szCs w:val="24"/>
        </w:rPr>
        <w:t xml:space="preserve">S-Editor: </w:t>
      </w:r>
      <w:r w:rsidRPr="008F70A9">
        <w:rPr>
          <w:rFonts w:ascii="Book Antiqua" w:hAnsi="Book Antiqua"/>
          <w:sz w:val="24"/>
          <w:szCs w:val="24"/>
        </w:rPr>
        <w:t>Ji FF</w:t>
      </w:r>
      <w:r w:rsidRPr="008F70A9">
        <w:rPr>
          <w:rFonts w:ascii="Book Antiqua" w:hAnsi="Book Antiqua"/>
          <w:b/>
          <w:sz w:val="24"/>
          <w:szCs w:val="24"/>
        </w:rPr>
        <w:t xml:space="preserve"> L-Editor: </w:t>
      </w:r>
      <w:r w:rsidR="007258D6" w:rsidRPr="007258D6">
        <w:rPr>
          <w:rFonts w:ascii="Book Antiqua" w:hAnsi="Book Antiqua" w:hint="eastAsia"/>
          <w:sz w:val="24"/>
          <w:szCs w:val="24"/>
        </w:rPr>
        <w:t>A</w:t>
      </w:r>
      <w:r w:rsidR="007258D6">
        <w:rPr>
          <w:rFonts w:ascii="Book Antiqua" w:hAnsi="Book Antiqua" w:hint="eastAsia"/>
          <w:b/>
          <w:sz w:val="24"/>
          <w:szCs w:val="24"/>
        </w:rPr>
        <w:t xml:space="preserve"> </w:t>
      </w:r>
      <w:r w:rsidRPr="008F70A9">
        <w:rPr>
          <w:rFonts w:ascii="Book Antiqua" w:hAnsi="Book Antiqua"/>
          <w:b/>
          <w:sz w:val="24"/>
          <w:szCs w:val="24"/>
        </w:rPr>
        <w:t xml:space="preserve">E-Editor: </w:t>
      </w:r>
      <w:r w:rsidR="007258D6" w:rsidRPr="007258D6">
        <w:rPr>
          <w:rFonts w:ascii="Book Antiqua" w:hAnsi="Book Antiqua" w:hint="eastAsia"/>
          <w:sz w:val="24"/>
          <w:szCs w:val="24"/>
        </w:rPr>
        <w:t>Wang J</w:t>
      </w:r>
    </w:p>
    <w:p w:rsidR="008F70A9" w:rsidRPr="008F70A9" w:rsidRDefault="008F70A9" w:rsidP="008F70A9">
      <w:pPr>
        <w:pStyle w:val="ad"/>
        <w:spacing w:line="360" w:lineRule="auto"/>
        <w:rPr>
          <w:rFonts w:ascii="Book Antiqua" w:hAnsi="Book Antiqua"/>
          <w:b/>
          <w:sz w:val="24"/>
          <w:szCs w:val="24"/>
        </w:rPr>
      </w:pPr>
      <w:r w:rsidRPr="008F70A9">
        <w:rPr>
          <w:rFonts w:ascii="Book Antiqua" w:hAnsi="Book Antiqua"/>
          <w:b/>
          <w:sz w:val="24"/>
          <w:szCs w:val="24"/>
        </w:rPr>
        <w:t xml:space="preserve"> </w:t>
      </w:r>
    </w:p>
    <w:p w:rsidR="008F70A9" w:rsidRPr="008F70A9" w:rsidRDefault="008F70A9" w:rsidP="008F70A9">
      <w:pPr>
        <w:snapToGrid w:val="0"/>
        <w:spacing w:line="360" w:lineRule="auto"/>
        <w:jc w:val="both"/>
        <w:rPr>
          <w:rFonts w:ascii="Book Antiqua" w:eastAsia="宋体" w:hAnsi="Book Antiqua" w:cs="Helvetica"/>
          <w:b/>
        </w:rPr>
      </w:pPr>
      <w:r w:rsidRPr="008F70A9">
        <w:rPr>
          <w:rFonts w:ascii="Book Antiqua" w:eastAsia="宋体" w:hAnsi="Book Antiqua" w:cs="Helvetica"/>
          <w:b/>
        </w:rPr>
        <w:t xml:space="preserve">Specialty type: </w:t>
      </w:r>
      <w:r w:rsidRPr="008F70A9">
        <w:rPr>
          <w:rFonts w:ascii="Book Antiqua" w:eastAsia="微软雅黑" w:hAnsi="Book Antiqua" w:cs="宋体"/>
        </w:rPr>
        <w:t>Endocrinology and metabolism</w:t>
      </w:r>
    </w:p>
    <w:p w:rsidR="008F70A9" w:rsidRPr="008F70A9" w:rsidRDefault="008F70A9" w:rsidP="008F70A9">
      <w:pPr>
        <w:snapToGrid w:val="0"/>
        <w:spacing w:line="360" w:lineRule="auto"/>
        <w:jc w:val="both"/>
        <w:rPr>
          <w:rFonts w:ascii="Book Antiqua" w:eastAsia="宋体" w:hAnsi="Book Antiqua" w:cs="Helvetica"/>
          <w:b/>
        </w:rPr>
      </w:pPr>
      <w:r w:rsidRPr="008F70A9">
        <w:rPr>
          <w:rFonts w:ascii="Book Antiqua" w:eastAsia="宋体" w:hAnsi="Book Antiqua" w:cs="Helvetica"/>
          <w:b/>
        </w:rPr>
        <w:t xml:space="preserve">Country of origin: </w:t>
      </w:r>
      <w:r w:rsidRPr="008F70A9">
        <w:rPr>
          <w:rFonts w:ascii="Book Antiqua" w:eastAsia="宋体" w:hAnsi="Book Antiqua"/>
        </w:rPr>
        <w:t>United States</w:t>
      </w:r>
    </w:p>
    <w:p w:rsidR="008F70A9" w:rsidRPr="008F70A9" w:rsidRDefault="008F70A9" w:rsidP="008F70A9">
      <w:pPr>
        <w:snapToGrid w:val="0"/>
        <w:spacing w:line="360" w:lineRule="auto"/>
        <w:jc w:val="both"/>
        <w:rPr>
          <w:rFonts w:ascii="Book Antiqua" w:eastAsia="宋体" w:hAnsi="Book Antiqua" w:cs="Helvetica"/>
          <w:b/>
        </w:rPr>
      </w:pPr>
      <w:r w:rsidRPr="008F70A9">
        <w:rPr>
          <w:rFonts w:ascii="Book Antiqua" w:eastAsia="宋体" w:hAnsi="Book Antiqua" w:cs="Helvetica"/>
          <w:b/>
        </w:rPr>
        <w:t>Peer-review report classification</w:t>
      </w:r>
    </w:p>
    <w:p w:rsidR="008F70A9" w:rsidRPr="008F70A9" w:rsidRDefault="008F70A9" w:rsidP="008F70A9">
      <w:pPr>
        <w:snapToGrid w:val="0"/>
        <w:spacing w:line="360" w:lineRule="auto"/>
        <w:jc w:val="both"/>
        <w:rPr>
          <w:rFonts w:ascii="Book Antiqua" w:eastAsia="宋体" w:hAnsi="Book Antiqua" w:cs="Helvetica"/>
        </w:rPr>
      </w:pPr>
      <w:r w:rsidRPr="008F70A9">
        <w:rPr>
          <w:rFonts w:ascii="Book Antiqua" w:eastAsia="宋体" w:hAnsi="Book Antiqua" w:cs="Helvetica"/>
        </w:rPr>
        <w:t>Grade A (Excellent): 0</w:t>
      </w:r>
    </w:p>
    <w:p w:rsidR="008F70A9" w:rsidRPr="008F70A9" w:rsidRDefault="008F70A9" w:rsidP="008F70A9">
      <w:pPr>
        <w:snapToGrid w:val="0"/>
        <w:spacing w:line="360" w:lineRule="auto"/>
        <w:jc w:val="both"/>
        <w:rPr>
          <w:rFonts w:ascii="Book Antiqua" w:eastAsia="宋体" w:hAnsi="Book Antiqua" w:cs="Helvetica"/>
        </w:rPr>
      </w:pPr>
      <w:r w:rsidRPr="008F70A9">
        <w:rPr>
          <w:rFonts w:ascii="Book Antiqua" w:eastAsia="宋体" w:hAnsi="Book Antiqua" w:cs="Helvetica"/>
        </w:rPr>
        <w:t>Grade B (Very good): B</w:t>
      </w:r>
    </w:p>
    <w:p w:rsidR="008F70A9" w:rsidRPr="008F70A9" w:rsidRDefault="008F70A9" w:rsidP="008F70A9">
      <w:pPr>
        <w:snapToGrid w:val="0"/>
        <w:spacing w:line="360" w:lineRule="auto"/>
        <w:jc w:val="both"/>
        <w:rPr>
          <w:rFonts w:ascii="Book Antiqua" w:eastAsia="宋体" w:hAnsi="Book Antiqua" w:cs="Helvetica"/>
        </w:rPr>
      </w:pPr>
      <w:r w:rsidRPr="008F70A9">
        <w:rPr>
          <w:rFonts w:ascii="Book Antiqua" w:eastAsia="宋体" w:hAnsi="Book Antiqua" w:cs="Helvetica"/>
        </w:rPr>
        <w:t>Grade C (Good): C, C</w:t>
      </w:r>
    </w:p>
    <w:p w:rsidR="008F70A9" w:rsidRPr="008F70A9" w:rsidRDefault="008F70A9" w:rsidP="008F70A9">
      <w:pPr>
        <w:snapToGrid w:val="0"/>
        <w:spacing w:line="360" w:lineRule="auto"/>
        <w:jc w:val="both"/>
        <w:rPr>
          <w:rFonts w:ascii="Book Antiqua" w:eastAsia="宋体" w:hAnsi="Book Antiqua" w:cs="Helvetica"/>
        </w:rPr>
      </w:pPr>
      <w:r w:rsidRPr="008F70A9">
        <w:rPr>
          <w:rFonts w:ascii="Book Antiqua" w:eastAsia="宋体" w:hAnsi="Book Antiqua" w:cs="Helvetica"/>
        </w:rPr>
        <w:t xml:space="preserve">Grade D (Fair): 0 </w:t>
      </w:r>
    </w:p>
    <w:p w:rsidR="008F70A9" w:rsidRPr="008F70A9" w:rsidRDefault="008F70A9" w:rsidP="008F70A9">
      <w:pPr>
        <w:spacing w:line="360" w:lineRule="auto"/>
        <w:jc w:val="both"/>
        <w:rPr>
          <w:rFonts w:ascii="Book Antiqua" w:hAnsi="Book Antiqua" w:cs="Arial"/>
          <w:lang w:val="en"/>
        </w:rPr>
      </w:pPr>
      <w:r w:rsidRPr="008F70A9">
        <w:rPr>
          <w:rFonts w:ascii="Book Antiqua" w:eastAsia="宋体" w:hAnsi="Book Antiqua" w:cs="Helvetica"/>
        </w:rPr>
        <w:t>Grade E (Poor): 0</w:t>
      </w:r>
    </w:p>
    <w:p w:rsidR="00F80C64" w:rsidRPr="008F70A9" w:rsidRDefault="00F80C64" w:rsidP="00441037">
      <w:pPr>
        <w:pStyle w:val="Default"/>
        <w:spacing w:line="360" w:lineRule="auto"/>
        <w:jc w:val="both"/>
        <w:rPr>
          <w:rFonts w:ascii="Book Antiqua" w:hAnsi="Book Antiqua" w:cstheme="minorHAnsi"/>
          <w:color w:val="auto"/>
          <w:lang w:val="en"/>
        </w:rPr>
      </w:pPr>
    </w:p>
    <w:p w:rsidR="00E45122" w:rsidRDefault="00E45122">
      <w:pPr>
        <w:spacing w:after="160" w:line="259" w:lineRule="auto"/>
        <w:rPr>
          <w:rFonts w:ascii="Book Antiqua" w:hAnsi="Book Antiqua"/>
          <w:b/>
        </w:rPr>
      </w:pPr>
      <w:r>
        <w:rPr>
          <w:rFonts w:ascii="Book Antiqua" w:hAnsi="Book Antiqua"/>
          <w:b/>
        </w:rPr>
        <w:br w:type="page"/>
      </w:r>
    </w:p>
    <w:p w:rsidR="001D360B" w:rsidRPr="00E45122" w:rsidRDefault="001D360B" w:rsidP="00441037">
      <w:pPr>
        <w:spacing w:line="360" w:lineRule="auto"/>
        <w:jc w:val="both"/>
        <w:rPr>
          <w:rFonts w:ascii="Book Antiqua" w:hAnsi="Book Antiqua"/>
          <w:b/>
        </w:rPr>
      </w:pPr>
      <w:r w:rsidRPr="00E45122">
        <w:rPr>
          <w:rFonts w:ascii="Book Antiqua" w:hAnsi="Book Antiqua"/>
          <w:b/>
        </w:rPr>
        <w:t>Table 1</w:t>
      </w:r>
      <w:r w:rsidR="00E45122">
        <w:rPr>
          <w:rFonts w:ascii="Book Antiqua" w:hAnsi="Book Antiqua"/>
          <w:b/>
        </w:rPr>
        <w:t xml:space="preserve"> </w:t>
      </w:r>
      <w:r w:rsidRPr="00E45122">
        <w:rPr>
          <w:rFonts w:ascii="Book Antiqua" w:hAnsi="Book Antiqua"/>
          <w:b/>
        </w:rPr>
        <w:t>Summary</w:t>
      </w:r>
      <w:r w:rsidR="00E45122" w:rsidRPr="00E45122">
        <w:rPr>
          <w:rFonts w:ascii="Book Antiqua" w:hAnsi="Book Antiqua"/>
          <w:b/>
        </w:rPr>
        <w:t xml:space="preserve"> of cardiovascular outcome trials of glucagon-like peptide-1 receptor agonists</w:t>
      </w:r>
    </w:p>
    <w:tbl>
      <w:tblPr>
        <w:tblStyle w:val="a9"/>
        <w:tblpPr w:leftFromText="180" w:rightFromText="180" w:vertAnchor="text" w:horzAnchor="margin" w:tblpXSpec="center" w:tblpY="260"/>
        <w:tblW w:w="114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2380"/>
        <w:gridCol w:w="2351"/>
        <w:gridCol w:w="2477"/>
        <w:gridCol w:w="2202"/>
      </w:tblGrid>
      <w:tr w:rsidR="007925F0" w:rsidRPr="00FC2F01" w:rsidTr="007925F0">
        <w:trPr>
          <w:trHeight w:val="336"/>
        </w:trPr>
        <w:tc>
          <w:tcPr>
            <w:tcW w:w="2057" w:type="dxa"/>
            <w:vMerge w:val="restart"/>
            <w:tcBorders>
              <w:top w:val="single" w:sz="4" w:space="0" w:color="auto"/>
            </w:tcBorders>
          </w:tcPr>
          <w:p w:rsidR="007925F0" w:rsidRPr="00FC2F01" w:rsidRDefault="007925F0" w:rsidP="007925F0">
            <w:pPr>
              <w:spacing w:line="360" w:lineRule="auto"/>
              <w:jc w:val="both"/>
              <w:rPr>
                <w:rFonts w:ascii="Book Antiqua" w:hAnsi="Book Antiqua" w:cstheme="minorHAnsi"/>
                <w:b/>
              </w:rPr>
            </w:pPr>
            <w:r w:rsidRPr="00FC2F01">
              <w:rPr>
                <w:rFonts w:ascii="Book Antiqua" w:hAnsi="Book Antiqua" w:cstheme="minorHAnsi"/>
                <w:b/>
              </w:rPr>
              <w:t>Drug</w:t>
            </w:r>
          </w:p>
        </w:tc>
        <w:tc>
          <w:tcPr>
            <w:tcW w:w="2380" w:type="dxa"/>
            <w:tcBorders>
              <w:top w:val="single" w:sz="4" w:space="0" w:color="auto"/>
              <w:bottom w:val="single" w:sz="4" w:space="0" w:color="auto"/>
            </w:tcBorders>
          </w:tcPr>
          <w:p w:rsidR="007925F0" w:rsidRPr="003E7DEE" w:rsidRDefault="007925F0" w:rsidP="007925F0">
            <w:pPr>
              <w:spacing w:line="360" w:lineRule="auto"/>
              <w:jc w:val="both"/>
              <w:rPr>
                <w:rFonts w:ascii="Book Antiqua" w:eastAsiaTheme="minorEastAsia" w:hAnsi="Book Antiqua" w:cstheme="minorHAnsi"/>
                <w:b/>
                <w:lang w:eastAsia="zh-CN"/>
              </w:rPr>
            </w:pPr>
            <w:r w:rsidRPr="00FC2F01">
              <w:rPr>
                <w:rFonts w:ascii="Book Antiqua" w:hAnsi="Book Antiqua" w:cstheme="minorHAnsi"/>
                <w:b/>
              </w:rPr>
              <w:t>ELIXA</w:t>
            </w:r>
          </w:p>
        </w:tc>
        <w:tc>
          <w:tcPr>
            <w:tcW w:w="2351" w:type="dxa"/>
            <w:tcBorders>
              <w:top w:val="single" w:sz="4" w:space="0" w:color="auto"/>
              <w:bottom w:val="single" w:sz="4" w:space="0" w:color="auto"/>
            </w:tcBorders>
          </w:tcPr>
          <w:p w:rsidR="007925F0" w:rsidRPr="003E7DEE" w:rsidRDefault="007925F0" w:rsidP="007925F0">
            <w:pPr>
              <w:spacing w:line="360" w:lineRule="auto"/>
              <w:jc w:val="both"/>
              <w:rPr>
                <w:rFonts w:ascii="Book Antiqua" w:eastAsiaTheme="minorEastAsia" w:hAnsi="Book Antiqua" w:cstheme="minorHAnsi"/>
                <w:b/>
                <w:lang w:eastAsia="zh-CN"/>
              </w:rPr>
            </w:pPr>
            <w:r w:rsidRPr="00FC2F01">
              <w:rPr>
                <w:rFonts w:ascii="Book Antiqua" w:hAnsi="Book Antiqua" w:cstheme="minorHAnsi"/>
                <w:b/>
              </w:rPr>
              <w:t>LEADER</w:t>
            </w:r>
          </w:p>
        </w:tc>
        <w:tc>
          <w:tcPr>
            <w:tcW w:w="2477" w:type="dxa"/>
            <w:tcBorders>
              <w:top w:val="single" w:sz="4" w:space="0" w:color="auto"/>
              <w:bottom w:val="single" w:sz="4" w:space="0" w:color="auto"/>
            </w:tcBorders>
          </w:tcPr>
          <w:p w:rsidR="007925F0" w:rsidRPr="003E7DEE" w:rsidRDefault="007925F0" w:rsidP="007925F0">
            <w:pPr>
              <w:spacing w:line="360" w:lineRule="auto"/>
              <w:jc w:val="both"/>
              <w:rPr>
                <w:rFonts w:ascii="Book Antiqua" w:eastAsiaTheme="minorEastAsia" w:hAnsi="Book Antiqua" w:cstheme="minorHAnsi"/>
                <w:b/>
                <w:lang w:eastAsia="zh-CN"/>
              </w:rPr>
            </w:pPr>
            <w:r w:rsidRPr="00FC2F01">
              <w:rPr>
                <w:rFonts w:ascii="Book Antiqua" w:hAnsi="Book Antiqua" w:cstheme="minorHAnsi"/>
                <w:b/>
              </w:rPr>
              <w:t>SUSTAIN-6</w:t>
            </w:r>
          </w:p>
        </w:tc>
        <w:tc>
          <w:tcPr>
            <w:tcW w:w="2202" w:type="dxa"/>
            <w:tcBorders>
              <w:top w:val="single" w:sz="4" w:space="0" w:color="auto"/>
              <w:bottom w:val="single" w:sz="4" w:space="0" w:color="auto"/>
            </w:tcBorders>
          </w:tcPr>
          <w:p w:rsidR="007925F0" w:rsidRPr="00FC2F01" w:rsidRDefault="007925F0" w:rsidP="007925F0">
            <w:pPr>
              <w:spacing w:line="360" w:lineRule="auto"/>
              <w:jc w:val="both"/>
              <w:rPr>
                <w:rFonts w:ascii="Book Antiqua" w:hAnsi="Book Antiqua" w:cstheme="minorHAnsi"/>
                <w:b/>
              </w:rPr>
            </w:pPr>
            <w:r w:rsidRPr="00FC2F01">
              <w:rPr>
                <w:rFonts w:ascii="Book Antiqua" w:hAnsi="Book Antiqua" w:cstheme="minorHAnsi"/>
                <w:b/>
              </w:rPr>
              <w:t>EXSCEL</w:t>
            </w:r>
          </w:p>
        </w:tc>
      </w:tr>
      <w:tr w:rsidR="007925F0" w:rsidRPr="00FC2F01" w:rsidTr="007925F0">
        <w:trPr>
          <w:trHeight w:val="530"/>
        </w:trPr>
        <w:tc>
          <w:tcPr>
            <w:tcW w:w="2057" w:type="dxa"/>
            <w:vMerge/>
            <w:tcBorders>
              <w:bottom w:val="single" w:sz="4" w:space="0" w:color="auto"/>
            </w:tcBorders>
          </w:tcPr>
          <w:p w:rsidR="007925F0" w:rsidRPr="00FC2F01" w:rsidRDefault="007925F0" w:rsidP="007925F0">
            <w:pPr>
              <w:spacing w:line="360" w:lineRule="auto"/>
              <w:jc w:val="both"/>
              <w:rPr>
                <w:rFonts w:ascii="Book Antiqua" w:hAnsi="Book Antiqua" w:cstheme="minorHAnsi"/>
                <w:b/>
              </w:rPr>
            </w:pPr>
          </w:p>
        </w:tc>
        <w:tc>
          <w:tcPr>
            <w:tcW w:w="2380" w:type="dxa"/>
            <w:tcBorders>
              <w:top w:val="single" w:sz="4" w:space="0" w:color="auto"/>
              <w:bottom w:val="single" w:sz="4" w:space="0" w:color="auto"/>
            </w:tcBorders>
          </w:tcPr>
          <w:p w:rsidR="007925F0" w:rsidRPr="00FC2F01" w:rsidRDefault="007925F0" w:rsidP="007925F0">
            <w:pPr>
              <w:spacing w:line="360" w:lineRule="auto"/>
              <w:jc w:val="both"/>
              <w:rPr>
                <w:rFonts w:ascii="Book Antiqua" w:hAnsi="Book Antiqua" w:cstheme="minorHAnsi"/>
                <w:b/>
              </w:rPr>
            </w:pPr>
            <w:proofErr w:type="spellStart"/>
            <w:r w:rsidRPr="00FC2F01">
              <w:rPr>
                <w:rFonts w:ascii="Book Antiqua" w:hAnsi="Book Antiqua" w:cstheme="minorHAnsi"/>
                <w:b/>
              </w:rPr>
              <w:t>Lixisenatide</w:t>
            </w:r>
            <w:proofErr w:type="spellEnd"/>
          </w:p>
        </w:tc>
        <w:tc>
          <w:tcPr>
            <w:tcW w:w="2351" w:type="dxa"/>
            <w:tcBorders>
              <w:top w:val="single" w:sz="4" w:space="0" w:color="auto"/>
              <w:bottom w:val="single" w:sz="4" w:space="0" w:color="auto"/>
            </w:tcBorders>
          </w:tcPr>
          <w:p w:rsidR="007925F0" w:rsidRPr="00FC2F01" w:rsidRDefault="007925F0" w:rsidP="007925F0">
            <w:pPr>
              <w:spacing w:line="360" w:lineRule="auto"/>
              <w:jc w:val="both"/>
              <w:rPr>
                <w:rFonts w:ascii="Book Antiqua" w:hAnsi="Book Antiqua" w:cstheme="minorHAnsi"/>
                <w:b/>
              </w:rPr>
            </w:pPr>
            <w:r w:rsidRPr="00FC2F01">
              <w:rPr>
                <w:rFonts w:ascii="Book Antiqua" w:hAnsi="Book Antiqua" w:cstheme="minorHAnsi"/>
                <w:b/>
              </w:rPr>
              <w:t>Liraglutide</w:t>
            </w:r>
          </w:p>
        </w:tc>
        <w:tc>
          <w:tcPr>
            <w:tcW w:w="2477" w:type="dxa"/>
            <w:tcBorders>
              <w:top w:val="single" w:sz="4" w:space="0" w:color="auto"/>
              <w:bottom w:val="single" w:sz="4" w:space="0" w:color="auto"/>
            </w:tcBorders>
          </w:tcPr>
          <w:p w:rsidR="007925F0" w:rsidRPr="00FC2F01" w:rsidRDefault="007925F0" w:rsidP="007925F0">
            <w:pPr>
              <w:spacing w:line="360" w:lineRule="auto"/>
              <w:jc w:val="both"/>
              <w:rPr>
                <w:rFonts w:ascii="Book Antiqua" w:hAnsi="Book Antiqua" w:cstheme="minorHAnsi"/>
                <w:b/>
              </w:rPr>
            </w:pPr>
            <w:proofErr w:type="spellStart"/>
            <w:r w:rsidRPr="00FC2F01">
              <w:rPr>
                <w:rFonts w:ascii="Book Antiqua" w:hAnsi="Book Antiqua" w:cstheme="minorHAnsi"/>
                <w:b/>
              </w:rPr>
              <w:t>Semaglutide</w:t>
            </w:r>
            <w:proofErr w:type="spellEnd"/>
          </w:p>
        </w:tc>
        <w:tc>
          <w:tcPr>
            <w:tcW w:w="2202" w:type="dxa"/>
            <w:tcBorders>
              <w:top w:val="single" w:sz="4" w:space="0" w:color="auto"/>
              <w:bottom w:val="single" w:sz="4" w:space="0" w:color="auto"/>
            </w:tcBorders>
          </w:tcPr>
          <w:p w:rsidR="007925F0" w:rsidRPr="00FC2F01" w:rsidRDefault="007925F0" w:rsidP="007925F0">
            <w:pPr>
              <w:spacing w:line="360" w:lineRule="auto"/>
              <w:jc w:val="both"/>
              <w:rPr>
                <w:rFonts w:ascii="Book Antiqua" w:hAnsi="Book Antiqua" w:cstheme="minorHAnsi"/>
                <w:b/>
              </w:rPr>
            </w:pPr>
            <w:r w:rsidRPr="00FC2F01">
              <w:rPr>
                <w:rFonts w:ascii="Book Antiqua" w:hAnsi="Book Antiqua" w:cstheme="minorHAnsi"/>
                <w:b/>
              </w:rPr>
              <w:t>Exenatide</w:t>
            </w:r>
          </w:p>
        </w:tc>
      </w:tr>
      <w:tr w:rsidR="00441037" w:rsidRPr="00DD3614" w:rsidTr="007925F0">
        <w:trPr>
          <w:trHeight w:val="1880"/>
        </w:trPr>
        <w:tc>
          <w:tcPr>
            <w:tcW w:w="2057" w:type="dxa"/>
            <w:tcBorders>
              <w:top w:val="single" w:sz="4" w:space="0" w:color="auto"/>
            </w:tcBorders>
          </w:tcPr>
          <w:p w:rsidR="001D360B" w:rsidRPr="00DD3614" w:rsidRDefault="001D360B" w:rsidP="007925F0">
            <w:pPr>
              <w:spacing w:line="360" w:lineRule="auto"/>
              <w:jc w:val="both"/>
              <w:rPr>
                <w:rFonts w:ascii="Book Antiqua" w:hAnsi="Book Antiqua" w:cstheme="minorHAnsi"/>
              </w:rPr>
            </w:pPr>
            <w:r w:rsidRPr="00DD3614">
              <w:rPr>
                <w:rFonts w:ascii="Book Antiqua" w:hAnsi="Book Antiqua" w:cstheme="minorHAnsi"/>
              </w:rPr>
              <w:t xml:space="preserve">Study design and salient features </w:t>
            </w:r>
          </w:p>
        </w:tc>
        <w:tc>
          <w:tcPr>
            <w:tcW w:w="2380" w:type="dxa"/>
            <w:tcBorders>
              <w:top w:val="single" w:sz="4" w:space="0" w:color="auto"/>
            </w:tcBorders>
          </w:tcPr>
          <w:p w:rsidR="001D360B" w:rsidRPr="002243A4" w:rsidRDefault="001D360B" w:rsidP="007925F0">
            <w:pPr>
              <w:spacing w:line="360" w:lineRule="auto"/>
              <w:jc w:val="both"/>
              <w:rPr>
                <w:rFonts w:ascii="Book Antiqua" w:eastAsiaTheme="minorEastAsia" w:hAnsi="Book Antiqua" w:cstheme="minorHAnsi"/>
                <w:lang w:eastAsia="zh-CN"/>
              </w:rPr>
            </w:pPr>
            <w:r w:rsidRPr="00DD3614">
              <w:rPr>
                <w:rFonts w:ascii="Book Antiqua" w:hAnsi="Book Antiqua" w:cstheme="minorHAnsi"/>
              </w:rPr>
              <w:t>Enrolled 6068 patients with T2DM and recent coronary event within 180 d</w:t>
            </w:r>
            <w:r w:rsidR="004B07F7">
              <w:rPr>
                <w:rFonts w:ascii="Book Antiqua" w:eastAsiaTheme="minorEastAsia" w:hAnsi="Book Antiqua" w:cstheme="minorHAnsi" w:hint="eastAsia"/>
                <w:lang w:eastAsia="zh-CN"/>
              </w:rPr>
              <w:t xml:space="preserve">; </w:t>
            </w:r>
            <w:r w:rsidRPr="00DD3614">
              <w:rPr>
                <w:rFonts w:ascii="Book Antiqua" w:hAnsi="Book Antiqua" w:cstheme="minorHAnsi"/>
              </w:rPr>
              <w:t xml:space="preserve">Median DM duration 9.2 </w:t>
            </w:r>
            <w:proofErr w:type="spellStart"/>
            <w:r w:rsidRPr="00DD3614">
              <w:rPr>
                <w:rFonts w:ascii="Book Antiqua" w:hAnsi="Book Antiqua" w:cstheme="minorHAnsi"/>
              </w:rPr>
              <w:t>yr</w:t>
            </w:r>
            <w:proofErr w:type="spellEnd"/>
            <w:r w:rsidR="004B07F7">
              <w:rPr>
                <w:rFonts w:ascii="Book Antiqua" w:eastAsiaTheme="minorEastAsia" w:hAnsi="Book Antiqua" w:cstheme="minorHAnsi" w:hint="eastAsia"/>
                <w:lang w:eastAsia="zh-CN"/>
              </w:rPr>
              <w:t xml:space="preserve">; </w:t>
            </w:r>
            <w:r w:rsidRPr="00DD3614">
              <w:rPr>
                <w:rFonts w:ascii="Book Antiqua" w:hAnsi="Book Antiqua" w:cstheme="minorHAnsi"/>
              </w:rPr>
              <w:t xml:space="preserve">Median follow up 25 </w:t>
            </w:r>
            <w:proofErr w:type="spellStart"/>
            <w:r w:rsidRPr="00DD3614">
              <w:rPr>
                <w:rFonts w:ascii="Book Antiqua" w:hAnsi="Book Antiqua" w:cstheme="minorHAnsi"/>
              </w:rPr>
              <w:t>mo</w:t>
            </w:r>
            <w:proofErr w:type="spellEnd"/>
          </w:p>
        </w:tc>
        <w:tc>
          <w:tcPr>
            <w:tcW w:w="2351" w:type="dxa"/>
            <w:tcBorders>
              <w:top w:val="single" w:sz="4" w:space="0" w:color="auto"/>
            </w:tcBorders>
          </w:tcPr>
          <w:p w:rsidR="001D360B" w:rsidRPr="002243A4" w:rsidRDefault="001D360B" w:rsidP="007925F0">
            <w:pPr>
              <w:spacing w:line="360" w:lineRule="auto"/>
              <w:jc w:val="both"/>
              <w:rPr>
                <w:rFonts w:ascii="Book Antiqua" w:eastAsiaTheme="minorEastAsia" w:hAnsi="Book Antiqua" w:cstheme="minorHAnsi"/>
                <w:lang w:eastAsia="zh-CN"/>
              </w:rPr>
            </w:pPr>
            <w:r w:rsidRPr="00DD3614">
              <w:rPr>
                <w:rFonts w:ascii="Book Antiqua" w:hAnsi="Book Antiqua" w:cstheme="minorHAnsi"/>
              </w:rPr>
              <w:t>Enrolled 9340 patients w</w:t>
            </w:r>
            <w:r w:rsidR="004B07F7">
              <w:rPr>
                <w:rFonts w:ascii="Book Antiqua" w:hAnsi="Book Antiqua" w:cstheme="minorHAnsi"/>
              </w:rPr>
              <w:t>ith T2DM and with high CV risks</w:t>
            </w:r>
            <w:r w:rsidR="004B07F7">
              <w:rPr>
                <w:rFonts w:ascii="Book Antiqua" w:eastAsiaTheme="minorEastAsia" w:hAnsi="Book Antiqua" w:cstheme="minorHAnsi" w:hint="eastAsia"/>
                <w:lang w:eastAsia="zh-CN"/>
              </w:rPr>
              <w:t xml:space="preserve">; </w:t>
            </w:r>
            <w:r w:rsidRPr="00DD3614">
              <w:rPr>
                <w:rFonts w:ascii="Book Antiqua" w:hAnsi="Book Antiqua" w:cstheme="minorHAnsi"/>
              </w:rPr>
              <w:t xml:space="preserve">Median DM duration 12.8 </w:t>
            </w:r>
            <w:proofErr w:type="spellStart"/>
            <w:r w:rsidRPr="00DD3614">
              <w:rPr>
                <w:rFonts w:ascii="Book Antiqua" w:hAnsi="Book Antiqua" w:cstheme="minorHAnsi"/>
              </w:rPr>
              <w:t>yr</w:t>
            </w:r>
            <w:proofErr w:type="spellEnd"/>
            <w:r w:rsidR="004B07F7">
              <w:rPr>
                <w:rFonts w:ascii="Book Antiqua" w:eastAsiaTheme="minorEastAsia" w:hAnsi="Book Antiqua" w:cstheme="minorHAnsi" w:hint="eastAsia"/>
                <w:lang w:eastAsia="zh-CN"/>
              </w:rPr>
              <w:t xml:space="preserve">; </w:t>
            </w:r>
            <w:r w:rsidRPr="00DD3614">
              <w:rPr>
                <w:rFonts w:ascii="Book Antiqua" w:hAnsi="Book Antiqua" w:cstheme="minorHAnsi"/>
              </w:rPr>
              <w:t xml:space="preserve">Median follow up 3.8 </w:t>
            </w:r>
            <w:proofErr w:type="spellStart"/>
            <w:r w:rsidRPr="00DD3614">
              <w:rPr>
                <w:rFonts w:ascii="Book Antiqua" w:hAnsi="Book Antiqua" w:cstheme="minorHAnsi"/>
              </w:rPr>
              <w:t>yr</w:t>
            </w:r>
            <w:proofErr w:type="spellEnd"/>
          </w:p>
        </w:tc>
        <w:tc>
          <w:tcPr>
            <w:tcW w:w="2477" w:type="dxa"/>
            <w:tcBorders>
              <w:top w:val="single" w:sz="4" w:space="0" w:color="auto"/>
            </w:tcBorders>
          </w:tcPr>
          <w:p w:rsidR="001D360B" w:rsidRPr="00DD3614" w:rsidRDefault="001D360B" w:rsidP="007925F0">
            <w:pPr>
              <w:spacing w:line="360" w:lineRule="auto"/>
              <w:jc w:val="both"/>
              <w:rPr>
                <w:rFonts w:ascii="Book Antiqua" w:hAnsi="Book Antiqua" w:cstheme="minorHAnsi"/>
              </w:rPr>
            </w:pPr>
            <w:r w:rsidRPr="00DD3614">
              <w:rPr>
                <w:rFonts w:ascii="Book Antiqua" w:hAnsi="Book Antiqua" w:cstheme="minorHAnsi"/>
              </w:rPr>
              <w:t>Enrolled 3297 patients with T2DM and established CV disease or with high CV risks</w:t>
            </w:r>
            <w:r w:rsidR="004B07F7">
              <w:rPr>
                <w:rFonts w:ascii="Book Antiqua" w:eastAsiaTheme="minorEastAsia" w:hAnsi="Book Antiqua" w:cstheme="minorHAnsi" w:hint="eastAsia"/>
                <w:lang w:eastAsia="zh-CN"/>
              </w:rPr>
              <w:t xml:space="preserve">; </w:t>
            </w:r>
            <w:r w:rsidRPr="00DD3614">
              <w:rPr>
                <w:rFonts w:ascii="Book Antiqua" w:hAnsi="Book Antiqua" w:cstheme="minorHAnsi"/>
              </w:rPr>
              <w:t xml:space="preserve">Median DM duration 13.2 </w:t>
            </w:r>
            <w:proofErr w:type="spellStart"/>
            <w:r w:rsidRPr="00DD3614">
              <w:rPr>
                <w:rFonts w:ascii="Book Antiqua" w:hAnsi="Book Antiqua" w:cstheme="minorHAnsi"/>
              </w:rPr>
              <w:t>yr</w:t>
            </w:r>
            <w:proofErr w:type="spellEnd"/>
            <w:r w:rsidRPr="00DD3614">
              <w:rPr>
                <w:rFonts w:ascii="Book Antiqua" w:hAnsi="Book Antiqua" w:cstheme="minorHAnsi"/>
              </w:rPr>
              <w:t xml:space="preserve"> and 14.1 </w:t>
            </w:r>
            <w:proofErr w:type="spellStart"/>
            <w:r w:rsidRPr="00DD3614">
              <w:rPr>
                <w:rFonts w:ascii="Book Antiqua" w:hAnsi="Book Antiqua" w:cstheme="minorHAnsi"/>
              </w:rPr>
              <w:t>yr</w:t>
            </w:r>
            <w:proofErr w:type="spellEnd"/>
            <w:r w:rsidRPr="00DD3614">
              <w:rPr>
                <w:rFonts w:ascii="Book Antiqua" w:hAnsi="Book Antiqua" w:cstheme="minorHAnsi"/>
              </w:rPr>
              <w:t xml:space="preserve"> in low dose and high dose treatment group, respectively</w:t>
            </w:r>
            <w:r w:rsidR="004B07F7">
              <w:rPr>
                <w:rFonts w:ascii="Book Antiqua" w:eastAsiaTheme="minorEastAsia" w:hAnsi="Book Antiqua" w:cstheme="minorHAnsi" w:hint="eastAsia"/>
                <w:lang w:eastAsia="zh-CN"/>
              </w:rPr>
              <w:t xml:space="preserve">; </w:t>
            </w:r>
            <w:r w:rsidRPr="00DD3614">
              <w:rPr>
                <w:rFonts w:ascii="Book Antiqua" w:hAnsi="Book Antiqua" w:cstheme="minorHAnsi"/>
              </w:rPr>
              <w:t>Median follow up 104 wk</w:t>
            </w:r>
          </w:p>
        </w:tc>
        <w:tc>
          <w:tcPr>
            <w:tcW w:w="2202" w:type="dxa"/>
            <w:tcBorders>
              <w:top w:val="single" w:sz="4" w:space="0" w:color="auto"/>
            </w:tcBorders>
          </w:tcPr>
          <w:p w:rsidR="001D360B" w:rsidRPr="00DD3614" w:rsidRDefault="001D360B" w:rsidP="007925F0">
            <w:pPr>
              <w:spacing w:line="360" w:lineRule="auto"/>
              <w:jc w:val="both"/>
              <w:rPr>
                <w:rFonts w:ascii="Book Antiqua" w:hAnsi="Book Antiqua" w:cstheme="minorHAnsi"/>
              </w:rPr>
            </w:pPr>
            <w:r w:rsidRPr="00DD3614">
              <w:rPr>
                <w:rFonts w:ascii="Book Antiqua" w:hAnsi="Book Antiqua" w:cstheme="minorHAnsi"/>
              </w:rPr>
              <w:t>Enrolled 14752 patients with T2DM at a wide range of CV risk</w:t>
            </w:r>
            <w:r w:rsidR="004B07F7">
              <w:rPr>
                <w:rFonts w:ascii="Book Antiqua" w:eastAsiaTheme="minorEastAsia" w:hAnsi="Book Antiqua" w:cstheme="minorHAnsi" w:hint="eastAsia"/>
                <w:lang w:eastAsia="zh-CN"/>
              </w:rPr>
              <w:t xml:space="preserve">; </w:t>
            </w:r>
            <w:r w:rsidR="00E45122">
              <w:rPr>
                <w:rFonts w:ascii="Book Antiqua" w:hAnsi="Book Antiqua" w:cstheme="minorHAnsi"/>
              </w:rPr>
              <w:t>Approximately</w:t>
            </w:r>
            <w:r w:rsidRPr="00DD3614">
              <w:rPr>
                <w:rFonts w:ascii="Book Antiqua" w:hAnsi="Book Antiqua" w:cstheme="minorHAnsi"/>
              </w:rPr>
              <w:t xml:space="preserve"> 27% of patients without known CV disease</w:t>
            </w:r>
            <w:r w:rsidR="004B07F7">
              <w:rPr>
                <w:rFonts w:ascii="Book Antiqua" w:eastAsiaTheme="minorEastAsia" w:hAnsi="Book Antiqua" w:cstheme="minorHAnsi" w:hint="eastAsia"/>
                <w:lang w:eastAsia="zh-CN"/>
              </w:rPr>
              <w:t xml:space="preserve">; </w:t>
            </w:r>
            <w:r w:rsidRPr="00DD3614">
              <w:rPr>
                <w:rFonts w:ascii="Book Antiqua" w:hAnsi="Book Antiqua" w:cstheme="minorHAnsi"/>
              </w:rPr>
              <w:t xml:space="preserve">Median DM duration 12 </w:t>
            </w:r>
            <w:proofErr w:type="spellStart"/>
            <w:r w:rsidRPr="00DD3614">
              <w:rPr>
                <w:rFonts w:ascii="Book Antiqua" w:hAnsi="Book Antiqua" w:cstheme="minorHAnsi"/>
              </w:rPr>
              <w:t>yr</w:t>
            </w:r>
            <w:proofErr w:type="spellEnd"/>
            <w:r w:rsidR="004B07F7">
              <w:rPr>
                <w:rFonts w:ascii="Book Antiqua" w:eastAsiaTheme="minorEastAsia" w:hAnsi="Book Antiqua" w:cstheme="minorHAnsi" w:hint="eastAsia"/>
                <w:lang w:eastAsia="zh-CN"/>
              </w:rPr>
              <w:t xml:space="preserve">; </w:t>
            </w:r>
            <w:r w:rsidRPr="00DD3614">
              <w:rPr>
                <w:rFonts w:ascii="Book Antiqua" w:hAnsi="Book Antiqua" w:cstheme="minorHAnsi"/>
              </w:rPr>
              <w:t>Median follow up 3.2</w:t>
            </w:r>
            <w:r w:rsidR="00E45122" w:rsidRPr="00DD3614">
              <w:rPr>
                <w:rFonts w:ascii="Book Antiqua" w:hAnsi="Book Antiqua" w:cstheme="minorHAnsi"/>
              </w:rPr>
              <w:t xml:space="preserve"> </w:t>
            </w:r>
            <w:proofErr w:type="spellStart"/>
            <w:r w:rsidR="00E45122" w:rsidRPr="00DD3614">
              <w:rPr>
                <w:rFonts w:ascii="Book Antiqua" w:hAnsi="Book Antiqua" w:cstheme="minorHAnsi"/>
              </w:rPr>
              <w:t>yr</w:t>
            </w:r>
            <w:proofErr w:type="spellEnd"/>
            <w:r w:rsidR="004B07F7">
              <w:rPr>
                <w:rFonts w:ascii="Book Antiqua" w:eastAsiaTheme="minorEastAsia" w:hAnsi="Book Antiqua" w:cstheme="minorHAnsi" w:hint="eastAsia"/>
                <w:lang w:eastAsia="zh-CN"/>
              </w:rPr>
              <w:t xml:space="preserve">; </w:t>
            </w:r>
            <w:r w:rsidRPr="00DD3614">
              <w:rPr>
                <w:rFonts w:ascii="Book Antiqua" w:hAnsi="Book Antiqua" w:cstheme="minorHAnsi"/>
              </w:rPr>
              <w:t xml:space="preserve">43% subjects prematurely discontinued exenatide </w:t>
            </w:r>
          </w:p>
        </w:tc>
      </w:tr>
      <w:tr w:rsidR="00441037" w:rsidRPr="00DD3614" w:rsidTr="007925F0">
        <w:tc>
          <w:tcPr>
            <w:tcW w:w="2057" w:type="dxa"/>
          </w:tcPr>
          <w:p w:rsidR="001D360B" w:rsidRPr="00DD3614" w:rsidRDefault="001D360B" w:rsidP="007925F0">
            <w:pPr>
              <w:spacing w:line="360" w:lineRule="auto"/>
              <w:jc w:val="both"/>
              <w:rPr>
                <w:rFonts w:ascii="Book Antiqua" w:hAnsi="Book Antiqua" w:cstheme="minorHAnsi"/>
              </w:rPr>
            </w:pPr>
            <w:r w:rsidRPr="00DD3614">
              <w:rPr>
                <w:rFonts w:ascii="Book Antiqua" w:hAnsi="Book Antiqua" w:cstheme="minorHAnsi"/>
              </w:rPr>
              <w:t>Primary endpoint/MACE</w:t>
            </w:r>
          </w:p>
          <w:p w:rsidR="001D360B" w:rsidRPr="00DD3614" w:rsidRDefault="001D360B" w:rsidP="007925F0">
            <w:pPr>
              <w:spacing w:line="360" w:lineRule="auto"/>
              <w:jc w:val="both"/>
              <w:rPr>
                <w:rFonts w:ascii="Book Antiqua" w:hAnsi="Book Antiqua" w:cstheme="minorHAnsi"/>
              </w:rPr>
            </w:pPr>
          </w:p>
        </w:tc>
        <w:tc>
          <w:tcPr>
            <w:tcW w:w="2380" w:type="dxa"/>
          </w:tcPr>
          <w:p w:rsidR="001D360B" w:rsidRPr="00DD3614" w:rsidRDefault="001D360B" w:rsidP="007925F0">
            <w:pPr>
              <w:spacing w:line="360" w:lineRule="auto"/>
              <w:jc w:val="both"/>
              <w:rPr>
                <w:rFonts w:ascii="Book Antiqua" w:hAnsi="Book Antiqua" w:cstheme="minorHAnsi"/>
              </w:rPr>
            </w:pPr>
            <w:r w:rsidRPr="00DD3614">
              <w:rPr>
                <w:rFonts w:ascii="Book Antiqua" w:hAnsi="Book Antiqua" w:cstheme="minorHAnsi"/>
              </w:rPr>
              <w:t>No significant difference in MACE-4</w:t>
            </w:r>
          </w:p>
        </w:tc>
        <w:tc>
          <w:tcPr>
            <w:tcW w:w="2351" w:type="dxa"/>
          </w:tcPr>
          <w:p w:rsidR="001D360B" w:rsidRPr="004B07F7" w:rsidRDefault="001D360B" w:rsidP="007925F0">
            <w:pPr>
              <w:spacing w:line="360" w:lineRule="auto"/>
              <w:jc w:val="both"/>
              <w:rPr>
                <w:rFonts w:ascii="Book Antiqua" w:eastAsiaTheme="minorEastAsia" w:hAnsi="Book Antiqua" w:cstheme="minorHAnsi"/>
                <w:lang w:eastAsia="zh-CN"/>
              </w:rPr>
            </w:pPr>
            <w:r w:rsidRPr="00DD3614">
              <w:rPr>
                <w:rFonts w:ascii="Book Antiqua" w:hAnsi="Book Antiqua" w:cstheme="minorHAnsi"/>
              </w:rPr>
              <w:t>13% reduction in MACE</w:t>
            </w:r>
          </w:p>
        </w:tc>
        <w:tc>
          <w:tcPr>
            <w:tcW w:w="2477" w:type="dxa"/>
          </w:tcPr>
          <w:p w:rsidR="001D360B" w:rsidRPr="00DD3614" w:rsidRDefault="001D360B" w:rsidP="007925F0">
            <w:pPr>
              <w:spacing w:line="360" w:lineRule="auto"/>
              <w:jc w:val="both"/>
              <w:rPr>
                <w:rFonts w:ascii="Book Antiqua" w:hAnsi="Book Antiqua" w:cstheme="minorHAnsi"/>
              </w:rPr>
            </w:pPr>
            <w:r w:rsidRPr="00DD3614">
              <w:rPr>
                <w:rFonts w:ascii="Book Antiqua" w:hAnsi="Book Antiqua" w:cstheme="minorHAnsi"/>
              </w:rPr>
              <w:t>26% reduction in MACE</w:t>
            </w:r>
          </w:p>
        </w:tc>
        <w:tc>
          <w:tcPr>
            <w:tcW w:w="2202" w:type="dxa"/>
          </w:tcPr>
          <w:p w:rsidR="001D360B" w:rsidRPr="004B07F7" w:rsidRDefault="001D360B" w:rsidP="007925F0">
            <w:pPr>
              <w:spacing w:line="360" w:lineRule="auto"/>
              <w:jc w:val="both"/>
              <w:rPr>
                <w:rFonts w:ascii="Book Antiqua" w:eastAsiaTheme="minorEastAsia" w:hAnsi="Book Antiqua" w:cstheme="minorHAnsi"/>
                <w:lang w:eastAsia="zh-CN"/>
              </w:rPr>
            </w:pPr>
            <w:r w:rsidRPr="00DD3614">
              <w:rPr>
                <w:rFonts w:ascii="Book Antiqua" w:hAnsi="Book Antiqua" w:cstheme="minorHAnsi"/>
              </w:rPr>
              <w:t>9% reduction in MACE</w:t>
            </w:r>
            <w:r w:rsidR="00711DDD" w:rsidRPr="00711DDD">
              <w:rPr>
                <w:rFonts w:ascii="Book Antiqua" w:hAnsi="Book Antiqua" w:cstheme="minorHAnsi"/>
                <w:vertAlign w:val="superscript"/>
              </w:rPr>
              <w:t>1</w:t>
            </w:r>
            <w:r w:rsidRPr="00711DDD">
              <w:rPr>
                <w:rFonts w:ascii="Book Antiqua" w:hAnsi="Book Antiqua" w:cstheme="minorHAnsi"/>
                <w:vertAlign w:val="superscript"/>
              </w:rPr>
              <w:t xml:space="preserve"> </w:t>
            </w:r>
          </w:p>
        </w:tc>
      </w:tr>
      <w:tr w:rsidR="00441037" w:rsidRPr="00DD3614" w:rsidTr="007925F0">
        <w:tc>
          <w:tcPr>
            <w:tcW w:w="2057" w:type="dxa"/>
          </w:tcPr>
          <w:p w:rsidR="001D360B" w:rsidRPr="00DD3614" w:rsidRDefault="001D360B" w:rsidP="007925F0">
            <w:pPr>
              <w:spacing w:line="360" w:lineRule="auto"/>
              <w:jc w:val="both"/>
              <w:rPr>
                <w:rFonts w:ascii="Book Antiqua" w:hAnsi="Book Antiqua" w:cstheme="minorHAnsi"/>
              </w:rPr>
            </w:pPr>
            <w:r w:rsidRPr="00DD3614">
              <w:rPr>
                <w:rFonts w:ascii="Book Antiqua" w:hAnsi="Book Antiqua" w:cstheme="minorHAnsi"/>
              </w:rPr>
              <w:t>Secondary Outcomes</w:t>
            </w:r>
          </w:p>
        </w:tc>
        <w:tc>
          <w:tcPr>
            <w:tcW w:w="2380" w:type="dxa"/>
          </w:tcPr>
          <w:p w:rsidR="001D360B" w:rsidRPr="00DD3614" w:rsidRDefault="001D360B" w:rsidP="007925F0">
            <w:pPr>
              <w:spacing w:line="360" w:lineRule="auto"/>
              <w:jc w:val="both"/>
              <w:rPr>
                <w:rFonts w:ascii="Book Antiqua" w:hAnsi="Book Antiqua" w:cstheme="minorHAnsi"/>
              </w:rPr>
            </w:pPr>
            <w:r w:rsidRPr="00DD3614">
              <w:rPr>
                <w:rFonts w:ascii="Book Antiqua" w:hAnsi="Book Antiqua" w:cstheme="minorHAnsi"/>
              </w:rPr>
              <w:t>No significant dif</w:t>
            </w:r>
            <w:r w:rsidR="004B07F7">
              <w:rPr>
                <w:rFonts w:ascii="Book Antiqua" w:hAnsi="Book Antiqua" w:cstheme="minorHAnsi"/>
              </w:rPr>
              <w:t>ference in death from CV causes</w:t>
            </w:r>
            <w:r w:rsidR="004B07F7">
              <w:rPr>
                <w:rFonts w:ascii="Book Antiqua" w:eastAsiaTheme="minorEastAsia" w:hAnsi="Book Antiqua" w:cstheme="minorHAnsi" w:hint="eastAsia"/>
                <w:lang w:eastAsia="zh-CN"/>
              </w:rPr>
              <w:t xml:space="preserve">; </w:t>
            </w:r>
            <w:r w:rsidRPr="00DD3614">
              <w:rPr>
                <w:rFonts w:ascii="Book Antiqua" w:hAnsi="Book Antiqua" w:cstheme="minorHAnsi"/>
              </w:rPr>
              <w:t xml:space="preserve">No significant differences in rate of hospitalization for heart failure </w:t>
            </w:r>
          </w:p>
        </w:tc>
        <w:tc>
          <w:tcPr>
            <w:tcW w:w="2351" w:type="dxa"/>
          </w:tcPr>
          <w:p w:rsidR="001D360B" w:rsidRPr="004B07F7" w:rsidRDefault="001D360B" w:rsidP="007925F0">
            <w:pPr>
              <w:spacing w:line="360" w:lineRule="auto"/>
              <w:jc w:val="both"/>
              <w:rPr>
                <w:rFonts w:ascii="Book Antiqua" w:eastAsiaTheme="minorEastAsia" w:hAnsi="Book Antiqua" w:cstheme="minorHAnsi"/>
                <w:lang w:eastAsia="zh-CN"/>
              </w:rPr>
            </w:pPr>
            <w:r w:rsidRPr="00DD3614">
              <w:rPr>
                <w:rFonts w:ascii="Book Antiqua" w:hAnsi="Book Antiqua" w:cstheme="minorHAnsi"/>
              </w:rPr>
              <w:t>22% reduction in death from CV causes</w:t>
            </w:r>
            <w:r w:rsidR="00711DDD">
              <w:rPr>
                <w:rFonts w:ascii="Book Antiqua" w:hAnsi="Book Antiqua" w:cstheme="minorHAnsi"/>
                <w:vertAlign w:val="superscript"/>
              </w:rPr>
              <w:t>2</w:t>
            </w:r>
            <w:r w:rsidR="004B07F7" w:rsidRPr="004B07F7">
              <w:rPr>
                <w:rFonts w:ascii="Book Antiqua" w:eastAsiaTheme="minorEastAsia" w:hAnsi="Book Antiqua" w:cstheme="minorHAnsi" w:hint="eastAsia"/>
                <w:lang w:eastAsia="zh-CN"/>
              </w:rPr>
              <w:t>;</w:t>
            </w:r>
            <w:r w:rsidR="004B07F7">
              <w:rPr>
                <w:rFonts w:ascii="Book Antiqua" w:eastAsiaTheme="minorEastAsia" w:hAnsi="Book Antiqua" w:cstheme="minorHAnsi" w:hint="eastAsia"/>
                <w:lang w:eastAsia="zh-CN"/>
              </w:rPr>
              <w:t xml:space="preserve"> </w:t>
            </w:r>
            <w:r w:rsidRPr="00DD3614">
              <w:rPr>
                <w:rFonts w:ascii="Book Antiqua" w:hAnsi="Book Antiqua" w:cstheme="minorHAnsi"/>
              </w:rPr>
              <w:t>15% reduction in all-cause mortality</w:t>
            </w:r>
            <w:r w:rsidR="00711DDD">
              <w:rPr>
                <w:rFonts w:ascii="Book Antiqua" w:hAnsi="Book Antiqua" w:cstheme="minorHAnsi"/>
                <w:vertAlign w:val="superscript"/>
              </w:rPr>
              <w:t>2</w:t>
            </w:r>
          </w:p>
        </w:tc>
        <w:tc>
          <w:tcPr>
            <w:tcW w:w="2477" w:type="dxa"/>
          </w:tcPr>
          <w:p w:rsidR="001D360B" w:rsidRPr="00DD3614" w:rsidRDefault="001D360B" w:rsidP="007925F0">
            <w:pPr>
              <w:spacing w:line="360" w:lineRule="auto"/>
              <w:jc w:val="both"/>
              <w:rPr>
                <w:rFonts w:ascii="Book Antiqua" w:hAnsi="Book Antiqua" w:cstheme="minorHAnsi"/>
              </w:rPr>
            </w:pPr>
            <w:r w:rsidRPr="00DD3614">
              <w:rPr>
                <w:rFonts w:ascii="Book Antiqua" w:hAnsi="Book Antiqua" w:cstheme="minorHAnsi"/>
              </w:rPr>
              <w:t>3</w:t>
            </w:r>
            <w:r w:rsidR="004B07F7">
              <w:rPr>
                <w:rFonts w:ascii="Book Antiqua" w:hAnsi="Book Antiqua" w:cstheme="minorHAnsi"/>
              </w:rPr>
              <w:t>9% reduction in nonfatal stroke</w:t>
            </w:r>
            <w:r w:rsidR="004B07F7">
              <w:rPr>
                <w:rFonts w:ascii="Book Antiqua" w:eastAsiaTheme="minorEastAsia" w:hAnsi="Book Antiqua" w:cstheme="minorHAnsi" w:hint="eastAsia"/>
                <w:lang w:eastAsia="zh-CN"/>
              </w:rPr>
              <w:t xml:space="preserve">; </w:t>
            </w:r>
            <w:r w:rsidRPr="00DD3614">
              <w:rPr>
                <w:rFonts w:ascii="Book Antiqua" w:hAnsi="Book Antiqua" w:cstheme="minorHAnsi"/>
              </w:rPr>
              <w:t>26% reduction in nonfatal myocardial infarction</w:t>
            </w:r>
            <w:r w:rsidR="00711DDD" w:rsidRPr="00711DDD">
              <w:rPr>
                <w:rFonts w:ascii="Book Antiqua" w:hAnsi="Book Antiqua" w:cstheme="minorHAnsi"/>
                <w:vertAlign w:val="superscript"/>
              </w:rPr>
              <w:t>3</w:t>
            </w:r>
            <w:r w:rsidR="004B07F7" w:rsidRPr="004B07F7">
              <w:rPr>
                <w:rFonts w:ascii="Book Antiqua" w:eastAsiaTheme="minorEastAsia" w:hAnsi="Book Antiqua" w:cstheme="minorHAnsi" w:hint="eastAsia"/>
                <w:lang w:eastAsia="zh-CN"/>
              </w:rPr>
              <w:t>;</w:t>
            </w:r>
            <w:r w:rsidR="004B07F7">
              <w:rPr>
                <w:rFonts w:ascii="Book Antiqua" w:eastAsiaTheme="minorEastAsia" w:hAnsi="Book Antiqua" w:cstheme="minorHAnsi" w:hint="eastAsia"/>
                <w:vertAlign w:val="superscript"/>
                <w:lang w:eastAsia="zh-CN"/>
              </w:rPr>
              <w:t xml:space="preserve"> </w:t>
            </w:r>
            <w:r w:rsidRPr="00DD3614">
              <w:rPr>
                <w:rFonts w:ascii="Book Antiqua" w:hAnsi="Book Antiqua" w:cstheme="minorHAnsi"/>
              </w:rPr>
              <w:t xml:space="preserve">No significant difference in CV death or all-cause mortality </w:t>
            </w:r>
          </w:p>
        </w:tc>
        <w:tc>
          <w:tcPr>
            <w:tcW w:w="2202" w:type="dxa"/>
          </w:tcPr>
          <w:p w:rsidR="001D360B" w:rsidRPr="00DD3614" w:rsidRDefault="001D360B" w:rsidP="007925F0">
            <w:pPr>
              <w:spacing w:line="360" w:lineRule="auto"/>
              <w:jc w:val="both"/>
              <w:rPr>
                <w:rFonts w:ascii="Book Antiqua" w:hAnsi="Book Antiqua" w:cstheme="minorHAnsi"/>
              </w:rPr>
            </w:pPr>
            <w:r w:rsidRPr="00DD3614">
              <w:rPr>
                <w:rFonts w:ascii="Book Antiqua" w:hAnsi="Book Antiqua" w:cstheme="minorHAnsi"/>
              </w:rPr>
              <w:t>14% r</w:t>
            </w:r>
            <w:r w:rsidR="004B07F7">
              <w:rPr>
                <w:rFonts w:ascii="Book Antiqua" w:hAnsi="Book Antiqua" w:cstheme="minorHAnsi"/>
              </w:rPr>
              <w:t>eduction in all-cause mortality</w:t>
            </w:r>
            <w:r w:rsidR="00711DDD" w:rsidRPr="00711DDD">
              <w:rPr>
                <w:rFonts w:ascii="Book Antiqua" w:hAnsi="Book Antiqua" w:cstheme="minorHAnsi"/>
                <w:vertAlign w:val="superscript"/>
              </w:rPr>
              <w:t>4</w:t>
            </w:r>
            <w:r w:rsidR="004B07F7" w:rsidRPr="004B07F7">
              <w:rPr>
                <w:rFonts w:ascii="Book Antiqua" w:eastAsiaTheme="minorEastAsia" w:hAnsi="Book Antiqua" w:cstheme="minorHAnsi" w:hint="eastAsia"/>
                <w:lang w:eastAsia="zh-CN"/>
              </w:rPr>
              <w:t>;</w:t>
            </w:r>
            <w:r w:rsidR="004B07F7">
              <w:rPr>
                <w:rFonts w:ascii="Book Antiqua" w:eastAsiaTheme="minorEastAsia" w:hAnsi="Book Antiqua" w:cstheme="minorHAnsi" w:hint="eastAsia"/>
                <w:lang w:eastAsia="zh-CN"/>
              </w:rPr>
              <w:t xml:space="preserve"> </w:t>
            </w:r>
            <w:r w:rsidRPr="00DD3614">
              <w:rPr>
                <w:rFonts w:ascii="Book Antiqua" w:hAnsi="Book Antiqua" w:cstheme="minorHAnsi"/>
              </w:rPr>
              <w:t>No significant differences in death from CV causes</w:t>
            </w:r>
          </w:p>
        </w:tc>
      </w:tr>
    </w:tbl>
    <w:p w:rsidR="00D02456" w:rsidRPr="00DD3614" w:rsidRDefault="00D02456" w:rsidP="00441037">
      <w:pPr>
        <w:autoSpaceDE w:val="0"/>
        <w:autoSpaceDN w:val="0"/>
        <w:adjustRightInd w:val="0"/>
        <w:spacing w:line="360" w:lineRule="auto"/>
        <w:jc w:val="both"/>
        <w:rPr>
          <w:rFonts w:ascii="Book Antiqua" w:hAnsi="Book Antiqua" w:cstheme="minorHAnsi"/>
        </w:rPr>
      </w:pPr>
    </w:p>
    <w:p w:rsidR="00FC2F01" w:rsidRPr="00843E33" w:rsidRDefault="00711DDD" w:rsidP="00FC2F01">
      <w:pPr>
        <w:spacing w:line="360" w:lineRule="auto"/>
        <w:jc w:val="both"/>
        <w:rPr>
          <w:rFonts w:ascii="Book Antiqua" w:eastAsiaTheme="minorEastAsia" w:hAnsi="Book Antiqua"/>
          <w:lang w:eastAsia="zh-CN"/>
        </w:rPr>
      </w:pPr>
      <w:r w:rsidRPr="00711DDD">
        <w:rPr>
          <w:rFonts w:ascii="Book Antiqua" w:hAnsi="Book Antiqua" w:cstheme="minorHAnsi"/>
          <w:vertAlign w:val="superscript"/>
        </w:rPr>
        <w:t>1</w:t>
      </w:r>
      <w:r w:rsidRPr="00DD3614">
        <w:rPr>
          <w:rFonts w:ascii="Book Antiqua" w:hAnsi="Book Antiqua"/>
        </w:rPr>
        <w:t xml:space="preserve">Nonsignificant reduction (hazard ratio, </w:t>
      </w:r>
      <w:r w:rsidRPr="00DD3614">
        <w:rPr>
          <w:rFonts w:ascii="Book Antiqua" w:hAnsi="Book Antiqua" w:cstheme="minorHAnsi"/>
        </w:rPr>
        <w:t xml:space="preserve">0.91; 95% confidence Interval, 0.83 to 1.00; </w:t>
      </w:r>
      <w:r w:rsidRPr="00711DDD">
        <w:rPr>
          <w:rFonts w:ascii="Book Antiqua" w:hAnsi="Book Antiqua" w:cstheme="minorHAnsi"/>
          <w:i/>
        </w:rPr>
        <w:t>P</w:t>
      </w:r>
      <w:r>
        <w:rPr>
          <w:rFonts w:ascii="Book Antiqua" w:hAnsi="Book Antiqua" w:cstheme="minorHAnsi"/>
        </w:rPr>
        <w:t xml:space="preserve"> </w:t>
      </w:r>
      <w:r w:rsidRPr="00DD3614">
        <w:rPr>
          <w:rFonts w:ascii="Book Antiqua" w:hAnsi="Book Antiqua" w:cstheme="minorHAnsi"/>
        </w:rPr>
        <w:t>&lt;</w:t>
      </w:r>
      <w:r>
        <w:rPr>
          <w:rFonts w:ascii="Book Antiqua" w:hAnsi="Book Antiqua" w:cstheme="minorHAnsi"/>
        </w:rPr>
        <w:t xml:space="preserve"> </w:t>
      </w:r>
      <w:r w:rsidRPr="00DD3614">
        <w:rPr>
          <w:rFonts w:ascii="Book Antiqua" w:hAnsi="Book Antiqua" w:cstheme="minorHAnsi"/>
        </w:rPr>
        <w:t xml:space="preserve">0.001 for noninferiority and </w:t>
      </w:r>
      <w:r w:rsidRPr="00711DDD">
        <w:rPr>
          <w:rFonts w:ascii="Book Antiqua" w:hAnsi="Book Antiqua" w:cstheme="minorHAnsi"/>
          <w:i/>
        </w:rPr>
        <w:t>P</w:t>
      </w:r>
      <w:r w:rsidR="008F70A9">
        <w:rPr>
          <w:rFonts w:ascii="Book Antiqua" w:hAnsi="Book Antiqua" w:cstheme="minorHAnsi"/>
        </w:rPr>
        <w:t xml:space="preserve"> </w:t>
      </w:r>
      <w:r w:rsidRPr="00DD3614">
        <w:rPr>
          <w:rFonts w:ascii="Book Antiqua" w:hAnsi="Book Antiqua" w:cstheme="minorHAnsi"/>
        </w:rPr>
        <w:t>= 0.06 for superiority)</w:t>
      </w:r>
      <w:r>
        <w:rPr>
          <w:rFonts w:ascii="Book Antiqua" w:hAnsi="Book Antiqua" w:cstheme="minorHAnsi"/>
        </w:rPr>
        <w:t>;</w:t>
      </w:r>
      <w:r>
        <w:rPr>
          <w:rFonts w:ascii="Book Antiqua" w:eastAsiaTheme="minorEastAsia" w:hAnsi="Book Antiqua" w:cstheme="minorHAnsi" w:hint="eastAsia"/>
          <w:lang w:eastAsia="zh-CN"/>
        </w:rPr>
        <w:t xml:space="preserve"> </w:t>
      </w:r>
      <w:r>
        <w:rPr>
          <w:rFonts w:ascii="Book Antiqua" w:hAnsi="Book Antiqua" w:cstheme="minorHAnsi"/>
          <w:vertAlign w:val="superscript"/>
        </w:rPr>
        <w:t>2</w:t>
      </w:r>
      <w:r w:rsidRPr="00DD3614">
        <w:rPr>
          <w:rFonts w:ascii="Book Antiqua" w:hAnsi="Book Antiqua"/>
        </w:rPr>
        <w:t xml:space="preserve">Cardiovascular death and all-cause mortality benefits were apparent after 12-15 </w:t>
      </w:r>
      <w:proofErr w:type="spellStart"/>
      <w:r w:rsidRPr="00DD3614">
        <w:rPr>
          <w:rFonts w:ascii="Book Antiqua" w:hAnsi="Book Antiqua"/>
        </w:rPr>
        <w:t>mo</w:t>
      </w:r>
      <w:proofErr w:type="spellEnd"/>
      <w:r w:rsidRPr="00DD3614">
        <w:rPr>
          <w:rFonts w:ascii="Book Antiqua" w:hAnsi="Book Antiqua"/>
        </w:rPr>
        <w:t xml:space="preserve"> and 18 </w:t>
      </w:r>
      <w:proofErr w:type="spellStart"/>
      <w:r w:rsidRPr="00DD3614">
        <w:rPr>
          <w:rFonts w:ascii="Book Antiqua" w:hAnsi="Book Antiqua"/>
        </w:rPr>
        <w:t>mo</w:t>
      </w:r>
      <w:proofErr w:type="spellEnd"/>
      <w:r w:rsidRPr="00DD3614">
        <w:rPr>
          <w:rFonts w:ascii="Book Antiqua" w:hAnsi="Book Antiqua"/>
        </w:rPr>
        <w:t xml:space="preserve"> of liraglutide treatment, respectively</w:t>
      </w:r>
      <w:r>
        <w:rPr>
          <w:rFonts w:ascii="Book Antiqua" w:hAnsi="Book Antiqua"/>
        </w:rPr>
        <w:t>;</w:t>
      </w:r>
      <w:r w:rsidRPr="00DD3614">
        <w:rPr>
          <w:rFonts w:ascii="Book Antiqua" w:hAnsi="Book Antiqua"/>
        </w:rPr>
        <w:t xml:space="preserve"> </w:t>
      </w:r>
      <w:r w:rsidRPr="00711DDD">
        <w:rPr>
          <w:rFonts w:ascii="Book Antiqua" w:hAnsi="Book Antiqua" w:cstheme="minorHAnsi"/>
          <w:vertAlign w:val="superscript"/>
        </w:rPr>
        <w:t>3</w:t>
      </w:r>
      <w:r w:rsidRPr="00DD3614">
        <w:rPr>
          <w:rFonts w:ascii="Book Antiqua" w:hAnsi="Book Antiqua"/>
        </w:rPr>
        <w:t xml:space="preserve">Nonsignificant reduction (hazard ratio, 0.74; 95% confidence interval, 0.51-1.08; </w:t>
      </w:r>
      <w:r w:rsidRPr="00711DDD">
        <w:rPr>
          <w:rFonts w:ascii="Book Antiqua" w:hAnsi="Book Antiqua" w:cstheme="minorHAnsi"/>
          <w:i/>
        </w:rPr>
        <w:t>P</w:t>
      </w:r>
      <w:r w:rsidR="008F70A9">
        <w:rPr>
          <w:rFonts w:ascii="Book Antiqua" w:hAnsi="Book Antiqua"/>
        </w:rPr>
        <w:t xml:space="preserve"> </w:t>
      </w:r>
      <w:r w:rsidRPr="00DD3614">
        <w:rPr>
          <w:rFonts w:ascii="Book Antiqua" w:hAnsi="Book Antiqua"/>
        </w:rPr>
        <w:t>= 0.12)</w:t>
      </w:r>
      <w:r>
        <w:rPr>
          <w:rFonts w:ascii="Book Antiqua" w:hAnsi="Book Antiqua"/>
        </w:rPr>
        <w:t>;</w:t>
      </w:r>
      <w:r>
        <w:rPr>
          <w:rFonts w:ascii="Book Antiqua" w:eastAsiaTheme="minorEastAsia" w:hAnsi="Book Antiqua" w:hint="eastAsia"/>
          <w:lang w:eastAsia="zh-CN"/>
        </w:rPr>
        <w:t xml:space="preserve"> </w:t>
      </w:r>
      <w:r w:rsidRPr="00711DDD">
        <w:rPr>
          <w:rFonts w:ascii="Book Antiqua" w:hAnsi="Book Antiqua" w:cstheme="minorHAnsi"/>
          <w:vertAlign w:val="superscript"/>
        </w:rPr>
        <w:t>4</w:t>
      </w:r>
      <w:r w:rsidRPr="00DD3614">
        <w:rPr>
          <w:rFonts w:ascii="Book Antiqua" w:hAnsi="Book Antiqua"/>
        </w:rPr>
        <w:t>T</w:t>
      </w:r>
      <w:r w:rsidRPr="00DD3614">
        <w:rPr>
          <w:rFonts w:ascii="Book Antiqua" w:hAnsi="Book Antiqua" w:cstheme="minorHAnsi"/>
        </w:rPr>
        <w:t>his difference was not considered to be statistically significant on the basis of the hierarchical testing plan</w:t>
      </w:r>
      <w:r>
        <w:rPr>
          <w:rFonts w:ascii="Book Antiqua" w:hAnsi="Book Antiqua" w:cstheme="minorHAnsi"/>
        </w:rPr>
        <w:t>.</w:t>
      </w:r>
      <w:r w:rsidR="00FC2F01" w:rsidRPr="00FC2F01">
        <w:rPr>
          <w:rFonts w:ascii="Book Antiqua" w:hAnsi="Book Antiqua"/>
        </w:rPr>
        <w:t xml:space="preserve"> </w:t>
      </w:r>
      <w:r w:rsidR="00FC2F01" w:rsidRPr="00DD3614">
        <w:rPr>
          <w:rFonts w:ascii="Book Antiqua" w:hAnsi="Book Antiqua"/>
        </w:rPr>
        <w:t>T2DM: Type 2 diabetes mellitus</w:t>
      </w:r>
      <w:r w:rsidR="00FC2F01">
        <w:rPr>
          <w:rFonts w:ascii="Book Antiqua" w:hAnsi="Book Antiqua"/>
        </w:rPr>
        <w:t>;</w:t>
      </w:r>
      <w:r w:rsidR="00FC2F01" w:rsidRPr="00DD3614">
        <w:rPr>
          <w:rFonts w:ascii="Book Antiqua" w:hAnsi="Book Antiqua"/>
        </w:rPr>
        <w:t xml:space="preserve"> DM: Diabetes mellitus</w:t>
      </w:r>
      <w:r w:rsidR="00FC2F01">
        <w:rPr>
          <w:rFonts w:ascii="Book Antiqua" w:hAnsi="Book Antiqua"/>
        </w:rPr>
        <w:t>;</w:t>
      </w:r>
      <w:r w:rsidR="00FC2F01" w:rsidRPr="00DD3614">
        <w:rPr>
          <w:rFonts w:ascii="Book Antiqua" w:hAnsi="Book Antiqua"/>
        </w:rPr>
        <w:t xml:space="preserve"> CV: Cardiovascular</w:t>
      </w:r>
      <w:r w:rsidR="00FC2F01">
        <w:rPr>
          <w:rFonts w:ascii="Book Antiqua" w:hAnsi="Book Antiqua"/>
        </w:rPr>
        <w:t>;</w:t>
      </w:r>
      <w:r w:rsidR="00FC2F01">
        <w:rPr>
          <w:rFonts w:ascii="Book Antiqua" w:eastAsiaTheme="minorEastAsia" w:hAnsi="Book Antiqua" w:hint="eastAsia"/>
          <w:lang w:eastAsia="zh-CN"/>
        </w:rPr>
        <w:t xml:space="preserve"> </w:t>
      </w:r>
      <w:r w:rsidR="00FC2F01" w:rsidRPr="00DD3614">
        <w:rPr>
          <w:rFonts w:ascii="Book Antiqua" w:hAnsi="Book Antiqua"/>
        </w:rPr>
        <w:t>MACE: Major adverse cardiovascular events, a composite of death from cardiovascular causes, non-fatal myocardial infarction, or nonfatal stroke</w:t>
      </w:r>
      <w:r w:rsidR="00FC2F01">
        <w:rPr>
          <w:rFonts w:ascii="Book Antiqua" w:hAnsi="Book Antiqua"/>
        </w:rPr>
        <w:t>;</w:t>
      </w:r>
      <w:r w:rsidR="00FC2F01">
        <w:rPr>
          <w:rFonts w:ascii="Book Antiqua" w:eastAsiaTheme="minorEastAsia" w:hAnsi="Book Antiqua" w:hint="eastAsia"/>
          <w:lang w:eastAsia="zh-CN"/>
        </w:rPr>
        <w:t xml:space="preserve"> </w:t>
      </w:r>
      <w:r w:rsidR="00FC2F01" w:rsidRPr="00DD3614">
        <w:rPr>
          <w:rFonts w:ascii="Book Antiqua" w:hAnsi="Book Antiqua"/>
        </w:rPr>
        <w:t>MACE-4: MACE endpoint as above and hospitalization for unstable angina</w:t>
      </w:r>
      <w:r w:rsidR="00843E33">
        <w:rPr>
          <w:rFonts w:asciiTheme="minorEastAsia" w:eastAsiaTheme="minorEastAsia" w:hAnsiTheme="minorEastAsia" w:hint="eastAsia"/>
          <w:lang w:eastAsia="zh-CN"/>
        </w:rPr>
        <w:t>.</w:t>
      </w:r>
    </w:p>
    <w:p w:rsidR="00FC2F01" w:rsidRDefault="00FC2F01" w:rsidP="00FC2F01">
      <w:pPr>
        <w:spacing w:line="360" w:lineRule="auto"/>
        <w:jc w:val="both"/>
        <w:rPr>
          <w:rFonts w:ascii="Book Antiqua" w:hAnsi="Book Antiqua"/>
        </w:rPr>
      </w:pPr>
    </w:p>
    <w:p w:rsidR="00FC2F01" w:rsidRDefault="00FC2F01">
      <w:pPr>
        <w:spacing w:after="160" w:line="259" w:lineRule="auto"/>
        <w:rPr>
          <w:rFonts w:ascii="Book Antiqua" w:hAnsi="Book Antiqua"/>
          <w:b/>
        </w:rPr>
      </w:pPr>
      <w:r>
        <w:rPr>
          <w:rFonts w:ascii="Book Antiqua" w:hAnsi="Book Antiqua"/>
          <w:b/>
        </w:rPr>
        <w:br w:type="page"/>
      </w:r>
    </w:p>
    <w:p w:rsidR="001D360B" w:rsidRPr="00FC2F01" w:rsidRDefault="001D360B" w:rsidP="00441037">
      <w:pPr>
        <w:spacing w:line="360" w:lineRule="auto"/>
        <w:jc w:val="both"/>
        <w:rPr>
          <w:rFonts w:ascii="Book Antiqua" w:hAnsi="Book Antiqua"/>
          <w:b/>
        </w:rPr>
      </w:pPr>
      <w:r w:rsidRPr="00FC2F01">
        <w:rPr>
          <w:rFonts w:ascii="Book Antiqua" w:hAnsi="Book Antiqua"/>
          <w:b/>
        </w:rPr>
        <w:t>Table 2 Summar</w:t>
      </w:r>
      <w:r w:rsidR="00FC2F01" w:rsidRPr="00FC2F01">
        <w:rPr>
          <w:rFonts w:ascii="Book Antiqua" w:hAnsi="Book Antiqua"/>
          <w:b/>
        </w:rPr>
        <w:t>y of cardiovascular outcome trials of sodium-glucose cotransporter-2-inhibitors</w:t>
      </w:r>
    </w:p>
    <w:tbl>
      <w:tblPr>
        <w:tblStyle w:val="a9"/>
        <w:tblpPr w:leftFromText="180" w:rightFromText="180" w:vertAnchor="text" w:horzAnchor="margin" w:tblpXSpec="center" w:tblpY="260"/>
        <w:tblW w:w="999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0"/>
        <w:gridCol w:w="2840"/>
        <w:gridCol w:w="2610"/>
        <w:gridCol w:w="2520"/>
      </w:tblGrid>
      <w:tr w:rsidR="002243A4" w:rsidRPr="00DD3614" w:rsidTr="007925F0">
        <w:tc>
          <w:tcPr>
            <w:tcW w:w="2020" w:type="dxa"/>
            <w:vMerge w:val="restart"/>
            <w:tcBorders>
              <w:top w:val="single" w:sz="4" w:space="0" w:color="auto"/>
              <w:bottom w:val="single" w:sz="4" w:space="0" w:color="auto"/>
            </w:tcBorders>
          </w:tcPr>
          <w:p w:rsidR="002243A4" w:rsidRPr="00FC2F01" w:rsidRDefault="002243A4" w:rsidP="002063BB">
            <w:pPr>
              <w:spacing w:line="360" w:lineRule="auto"/>
              <w:jc w:val="both"/>
              <w:rPr>
                <w:rFonts w:ascii="Book Antiqua" w:hAnsi="Book Antiqua" w:cstheme="minorHAnsi"/>
                <w:b/>
              </w:rPr>
            </w:pPr>
            <w:r w:rsidRPr="00FC2F01">
              <w:rPr>
                <w:rFonts w:ascii="Book Antiqua" w:hAnsi="Book Antiqua" w:cstheme="minorHAnsi"/>
                <w:b/>
              </w:rPr>
              <w:t>Drug</w:t>
            </w:r>
          </w:p>
        </w:tc>
        <w:tc>
          <w:tcPr>
            <w:tcW w:w="2840" w:type="dxa"/>
            <w:tcBorders>
              <w:top w:val="single" w:sz="4" w:space="0" w:color="auto"/>
              <w:bottom w:val="single" w:sz="4" w:space="0" w:color="auto"/>
            </w:tcBorders>
          </w:tcPr>
          <w:p w:rsidR="002243A4" w:rsidRPr="00FC2F01" w:rsidRDefault="002243A4" w:rsidP="00441037">
            <w:pPr>
              <w:spacing w:line="360" w:lineRule="auto"/>
              <w:jc w:val="both"/>
              <w:rPr>
                <w:rFonts w:ascii="Book Antiqua" w:hAnsi="Book Antiqua" w:cstheme="minorHAnsi"/>
                <w:b/>
              </w:rPr>
            </w:pPr>
            <w:r w:rsidRPr="00FC2F01">
              <w:rPr>
                <w:rFonts w:ascii="Book Antiqua" w:hAnsi="Book Antiqua" w:cstheme="minorHAnsi"/>
                <w:b/>
              </w:rPr>
              <w:t>EMPA-REG outcome</w:t>
            </w:r>
          </w:p>
        </w:tc>
        <w:tc>
          <w:tcPr>
            <w:tcW w:w="2610" w:type="dxa"/>
            <w:tcBorders>
              <w:top w:val="single" w:sz="4" w:space="0" w:color="auto"/>
              <w:bottom w:val="single" w:sz="4" w:space="0" w:color="auto"/>
            </w:tcBorders>
          </w:tcPr>
          <w:p w:rsidR="002243A4" w:rsidRPr="00FC2F01" w:rsidRDefault="002243A4" w:rsidP="00441037">
            <w:pPr>
              <w:spacing w:line="360" w:lineRule="auto"/>
              <w:jc w:val="both"/>
              <w:rPr>
                <w:rFonts w:ascii="Book Antiqua" w:hAnsi="Book Antiqua" w:cstheme="minorHAnsi"/>
                <w:b/>
              </w:rPr>
            </w:pPr>
            <w:r w:rsidRPr="00FC2F01">
              <w:rPr>
                <w:rFonts w:ascii="Book Antiqua" w:hAnsi="Book Antiqua" w:cstheme="minorHAnsi"/>
                <w:b/>
              </w:rPr>
              <w:t>CANVAS</w:t>
            </w:r>
          </w:p>
        </w:tc>
        <w:tc>
          <w:tcPr>
            <w:tcW w:w="2520" w:type="dxa"/>
            <w:tcBorders>
              <w:top w:val="single" w:sz="4" w:space="0" w:color="auto"/>
              <w:bottom w:val="single" w:sz="4" w:space="0" w:color="auto"/>
            </w:tcBorders>
          </w:tcPr>
          <w:p w:rsidR="002243A4" w:rsidRPr="00FC2F01" w:rsidRDefault="002243A4" w:rsidP="00441037">
            <w:pPr>
              <w:spacing w:line="360" w:lineRule="auto"/>
              <w:jc w:val="both"/>
              <w:rPr>
                <w:rFonts w:ascii="Book Antiqua" w:hAnsi="Book Antiqua" w:cstheme="minorHAnsi"/>
                <w:b/>
              </w:rPr>
            </w:pPr>
            <w:r w:rsidRPr="00FC2F01">
              <w:rPr>
                <w:rFonts w:ascii="Book Antiqua" w:hAnsi="Book Antiqua" w:cstheme="minorHAnsi"/>
                <w:b/>
              </w:rPr>
              <w:t>DECLARE-TIMI 58</w:t>
            </w:r>
          </w:p>
        </w:tc>
      </w:tr>
      <w:tr w:rsidR="002243A4" w:rsidRPr="00DD3614" w:rsidTr="007925F0">
        <w:tc>
          <w:tcPr>
            <w:tcW w:w="2020" w:type="dxa"/>
            <w:vMerge/>
            <w:tcBorders>
              <w:top w:val="single" w:sz="4" w:space="0" w:color="auto"/>
              <w:bottom w:val="single" w:sz="4" w:space="0" w:color="auto"/>
            </w:tcBorders>
          </w:tcPr>
          <w:p w:rsidR="002243A4" w:rsidRPr="00FC2F01" w:rsidRDefault="002243A4" w:rsidP="00441037">
            <w:pPr>
              <w:spacing w:line="360" w:lineRule="auto"/>
              <w:jc w:val="both"/>
              <w:rPr>
                <w:rFonts w:ascii="Book Antiqua" w:hAnsi="Book Antiqua" w:cstheme="minorHAnsi"/>
                <w:b/>
              </w:rPr>
            </w:pPr>
          </w:p>
        </w:tc>
        <w:tc>
          <w:tcPr>
            <w:tcW w:w="2840" w:type="dxa"/>
            <w:tcBorders>
              <w:top w:val="single" w:sz="4" w:space="0" w:color="auto"/>
              <w:bottom w:val="single" w:sz="4" w:space="0" w:color="auto"/>
            </w:tcBorders>
          </w:tcPr>
          <w:p w:rsidR="002243A4" w:rsidRPr="00FC2F01" w:rsidRDefault="002243A4" w:rsidP="00441037">
            <w:pPr>
              <w:spacing w:line="360" w:lineRule="auto"/>
              <w:jc w:val="both"/>
              <w:rPr>
                <w:rFonts w:ascii="Book Antiqua" w:hAnsi="Book Antiqua" w:cstheme="minorHAnsi"/>
                <w:b/>
              </w:rPr>
            </w:pPr>
            <w:r w:rsidRPr="00FC2F01">
              <w:rPr>
                <w:rFonts w:ascii="Book Antiqua" w:hAnsi="Book Antiqua" w:cstheme="minorHAnsi"/>
                <w:b/>
              </w:rPr>
              <w:t>Empagliflozin</w:t>
            </w:r>
          </w:p>
        </w:tc>
        <w:tc>
          <w:tcPr>
            <w:tcW w:w="2610" w:type="dxa"/>
            <w:tcBorders>
              <w:top w:val="single" w:sz="4" w:space="0" w:color="auto"/>
              <w:bottom w:val="single" w:sz="4" w:space="0" w:color="auto"/>
            </w:tcBorders>
          </w:tcPr>
          <w:p w:rsidR="002243A4" w:rsidRPr="00FC2F01" w:rsidRDefault="002243A4" w:rsidP="00441037">
            <w:pPr>
              <w:spacing w:line="360" w:lineRule="auto"/>
              <w:jc w:val="both"/>
              <w:rPr>
                <w:rFonts w:ascii="Book Antiqua" w:hAnsi="Book Antiqua" w:cstheme="minorHAnsi"/>
                <w:b/>
              </w:rPr>
            </w:pPr>
            <w:r w:rsidRPr="00FC2F01">
              <w:rPr>
                <w:rFonts w:ascii="Book Antiqua" w:hAnsi="Book Antiqua" w:cstheme="minorHAnsi"/>
                <w:b/>
              </w:rPr>
              <w:t>Canagliflozin</w:t>
            </w:r>
          </w:p>
        </w:tc>
        <w:tc>
          <w:tcPr>
            <w:tcW w:w="2520" w:type="dxa"/>
            <w:tcBorders>
              <w:top w:val="single" w:sz="4" w:space="0" w:color="auto"/>
              <w:bottom w:val="single" w:sz="4" w:space="0" w:color="auto"/>
            </w:tcBorders>
          </w:tcPr>
          <w:p w:rsidR="002243A4" w:rsidRPr="00FC2F01" w:rsidRDefault="002243A4" w:rsidP="00441037">
            <w:pPr>
              <w:spacing w:line="360" w:lineRule="auto"/>
              <w:jc w:val="both"/>
              <w:rPr>
                <w:rFonts w:ascii="Book Antiqua" w:hAnsi="Book Antiqua" w:cstheme="minorHAnsi"/>
                <w:b/>
              </w:rPr>
            </w:pPr>
            <w:r w:rsidRPr="00FC2F01">
              <w:rPr>
                <w:rFonts w:ascii="Book Antiqua" w:hAnsi="Book Antiqua" w:cstheme="minorHAnsi"/>
                <w:b/>
              </w:rPr>
              <w:t>Dapagliflozin</w:t>
            </w:r>
          </w:p>
        </w:tc>
      </w:tr>
      <w:tr w:rsidR="00441037" w:rsidRPr="00DD3614" w:rsidTr="007925F0">
        <w:trPr>
          <w:trHeight w:val="1611"/>
        </w:trPr>
        <w:tc>
          <w:tcPr>
            <w:tcW w:w="2020" w:type="dxa"/>
            <w:tcBorders>
              <w:top w:val="single" w:sz="4" w:space="0" w:color="auto"/>
            </w:tcBorders>
          </w:tcPr>
          <w:p w:rsidR="001D360B" w:rsidRPr="00DD3614" w:rsidRDefault="001D360B" w:rsidP="00441037">
            <w:pPr>
              <w:spacing w:line="360" w:lineRule="auto"/>
              <w:jc w:val="both"/>
              <w:rPr>
                <w:rFonts w:ascii="Book Antiqua" w:hAnsi="Book Antiqua" w:cstheme="minorHAnsi"/>
              </w:rPr>
            </w:pPr>
            <w:r w:rsidRPr="00DD3614">
              <w:rPr>
                <w:rFonts w:ascii="Book Antiqua" w:hAnsi="Book Antiqua" w:cstheme="minorHAnsi"/>
              </w:rPr>
              <w:t>Study Design and salient features</w:t>
            </w:r>
          </w:p>
        </w:tc>
        <w:tc>
          <w:tcPr>
            <w:tcW w:w="2840" w:type="dxa"/>
            <w:tcBorders>
              <w:top w:val="single" w:sz="4" w:space="0" w:color="auto"/>
            </w:tcBorders>
          </w:tcPr>
          <w:p w:rsidR="001D360B" w:rsidRPr="00DD3614" w:rsidRDefault="001D360B" w:rsidP="00441037">
            <w:pPr>
              <w:spacing w:line="360" w:lineRule="auto"/>
              <w:jc w:val="both"/>
              <w:rPr>
                <w:rFonts w:ascii="Book Antiqua" w:hAnsi="Book Antiqua" w:cstheme="minorHAnsi"/>
              </w:rPr>
            </w:pPr>
            <w:r w:rsidRPr="00DD3614">
              <w:rPr>
                <w:rFonts w:ascii="Book Antiqua" w:hAnsi="Book Antiqua" w:cstheme="minorHAnsi"/>
              </w:rPr>
              <w:t>Enrolled 7028 patients with T2DM and established CV disease</w:t>
            </w:r>
            <w:r w:rsidR="002243A4" w:rsidRPr="002243A4">
              <w:rPr>
                <w:rFonts w:ascii="Book Antiqua" w:eastAsiaTheme="minorEastAsia" w:hAnsi="Book Antiqua" w:cstheme="minorHAnsi"/>
                <w:lang w:eastAsia="zh-CN"/>
              </w:rPr>
              <w:t>;</w:t>
            </w:r>
            <w:r w:rsidR="002243A4">
              <w:rPr>
                <w:rFonts w:asciiTheme="minorEastAsia" w:eastAsiaTheme="minorEastAsia" w:hAnsiTheme="minorEastAsia" w:cstheme="minorHAnsi" w:hint="eastAsia"/>
                <w:lang w:eastAsia="zh-CN"/>
              </w:rPr>
              <w:t xml:space="preserve"> </w:t>
            </w:r>
            <w:r w:rsidRPr="00DD3614">
              <w:rPr>
                <w:rFonts w:ascii="Book Antiqua" w:hAnsi="Book Antiqua" w:cstheme="minorHAnsi"/>
              </w:rPr>
              <w:t>100% subjects with established CV disease</w:t>
            </w:r>
            <w:r w:rsidR="002243A4">
              <w:rPr>
                <w:rFonts w:ascii="Book Antiqua" w:eastAsiaTheme="minorEastAsia" w:hAnsi="Book Antiqua" w:cstheme="minorHAnsi" w:hint="eastAsia"/>
                <w:lang w:eastAsia="zh-CN"/>
              </w:rPr>
              <w:t xml:space="preserve">; </w:t>
            </w:r>
            <w:r w:rsidRPr="00DD3614">
              <w:rPr>
                <w:rFonts w:ascii="Book Antiqua" w:hAnsi="Book Antiqua" w:cstheme="minorHAnsi"/>
              </w:rPr>
              <w:t>DM duration: 57% &gt; 10</w:t>
            </w:r>
            <w:r w:rsidR="00FC2F01" w:rsidRPr="00DD3614">
              <w:rPr>
                <w:rFonts w:ascii="Book Antiqua" w:hAnsi="Book Antiqua" w:cstheme="minorHAnsi"/>
              </w:rPr>
              <w:t xml:space="preserve"> </w:t>
            </w:r>
            <w:proofErr w:type="spellStart"/>
            <w:r w:rsidR="00FC2F01" w:rsidRPr="00DD3614">
              <w:rPr>
                <w:rFonts w:ascii="Book Antiqua" w:hAnsi="Book Antiqua" w:cstheme="minorHAnsi"/>
              </w:rPr>
              <w:t>yr</w:t>
            </w:r>
            <w:proofErr w:type="spellEnd"/>
            <w:r w:rsidRPr="00DD3614">
              <w:rPr>
                <w:rFonts w:ascii="Book Antiqua" w:hAnsi="Book Antiqua" w:cstheme="minorHAnsi"/>
              </w:rPr>
              <w:t xml:space="preserve"> and 25.1% 5-10 </w:t>
            </w:r>
            <w:proofErr w:type="spellStart"/>
            <w:r w:rsidRPr="00DD3614">
              <w:rPr>
                <w:rFonts w:ascii="Book Antiqua" w:hAnsi="Book Antiqua" w:cstheme="minorHAnsi"/>
              </w:rPr>
              <w:t>yr</w:t>
            </w:r>
            <w:proofErr w:type="spellEnd"/>
            <w:r w:rsidR="002243A4">
              <w:rPr>
                <w:rFonts w:ascii="Book Antiqua" w:eastAsiaTheme="minorEastAsia" w:hAnsi="Book Antiqua" w:cstheme="minorHAnsi" w:hint="eastAsia"/>
                <w:lang w:eastAsia="zh-CN"/>
              </w:rPr>
              <w:t xml:space="preserve">; </w:t>
            </w:r>
            <w:r w:rsidRPr="00DD3614">
              <w:rPr>
                <w:rFonts w:ascii="Book Antiqua" w:hAnsi="Book Antiqua" w:cstheme="minorHAnsi"/>
              </w:rPr>
              <w:t xml:space="preserve">Median follow up 3.1 </w:t>
            </w:r>
            <w:proofErr w:type="spellStart"/>
            <w:r w:rsidR="00FC2F01" w:rsidRPr="00DD3614">
              <w:rPr>
                <w:rFonts w:ascii="Book Antiqua" w:hAnsi="Book Antiqua" w:cstheme="minorHAnsi"/>
              </w:rPr>
              <w:t>yr</w:t>
            </w:r>
            <w:proofErr w:type="spellEnd"/>
          </w:p>
          <w:p w:rsidR="001D360B" w:rsidRPr="00DD3614" w:rsidRDefault="001D360B" w:rsidP="00441037">
            <w:pPr>
              <w:spacing w:line="360" w:lineRule="auto"/>
              <w:jc w:val="both"/>
              <w:rPr>
                <w:rFonts w:ascii="Book Antiqua" w:hAnsi="Book Antiqua" w:cstheme="minorHAnsi"/>
              </w:rPr>
            </w:pPr>
          </w:p>
        </w:tc>
        <w:tc>
          <w:tcPr>
            <w:tcW w:w="2610" w:type="dxa"/>
            <w:tcBorders>
              <w:top w:val="single" w:sz="4" w:space="0" w:color="auto"/>
            </w:tcBorders>
          </w:tcPr>
          <w:p w:rsidR="001D360B" w:rsidRPr="00DD3614" w:rsidRDefault="001D360B" w:rsidP="002243A4">
            <w:pPr>
              <w:spacing w:line="360" w:lineRule="auto"/>
              <w:jc w:val="both"/>
              <w:rPr>
                <w:rFonts w:ascii="Book Antiqua" w:hAnsi="Book Antiqua" w:cstheme="minorHAnsi"/>
              </w:rPr>
            </w:pPr>
            <w:r w:rsidRPr="00DD3614">
              <w:rPr>
                <w:rFonts w:ascii="Book Antiqua" w:hAnsi="Book Antiqua" w:cstheme="minorHAnsi"/>
              </w:rPr>
              <w:t>Enrolled 9734 patients with T2DM and either established CV disease or high risk of CV disease</w:t>
            </w:r>
            <w:r w:rsidR="002243A4">
              <w:rPr>
                <w:rFonts w:ascii="Book Antiqua" w:eastAsiaTheme="minorEastAsia" w:hAnsi="Book Antiqua" w:cstheme="minorHAnsi" w:hint="eastAsia"/>
                <w:lang w:eastAsia="zh-CN"/>
              </w:rPr>
              <w:t xml:space="preserve">; </w:t>
            </w:r>
            <w:r w:rsidRPr="00DD3614">
              <w:rPr>
                <w:rFonts w:ascii="Book Antiqua" w:hAnsi="Book Antiqua" w:cstheme="minorHAnsi"/>
              </w:rPr>
              <w:t>65.6% subjects with established CV disease</w:t>
            </w:r>
            <w:r w:rsidR="002243A4">
              <w:rPr>
                <w:rFonts w:ascii="Book Antiqua" w:eastAsiaTheme="minorEastAsia" w:hAnsi="Book Antiqua" w:cstheme="minorHAnsi" w:hint="eastAsia"/>
                <w:lang w:eastAsia="zh-CN"/>
              </w:rPr>
              <w:t xml:space="preserve">; </w:t>
            </w:r>
            <w:r w:rsidRPr="00DD3614">
              <w:rPr>
                <w:rFonts w:ascii="Book Antiqua" w:hAnsi="Book Antiqua" w:cstheme="minorHAnsi"/>
              </w:rPr>
              <w:t xml:space="preserve">Mean DM duration 13.5 </w:t>
            </w:r>
            <w:proofErr w:type="spellStart"/>
            <w:r w:rsidR="00FC2F01" w:rsidRPr="00DD3614">
              <w:rPr>
                <w:rFonts w:ascii="Book Antiqua" w:hAnsi="Book Antiqua" w:cstheme="minorHAnsi"/>
              </w:rPr>
              <w:t>yr</w:t>
            </w:r>
            <w:proofErr w:type="spellEnd"/>
            <w:r w:rsidR="002243A4">
              <w:rPr>
                <w:rFonts w:ascii="Book Antiqua" w:eastAsiaTheme="minorEastAsia" w:hAnsi="Book Antiqua" w:cstheme="minorHAnsi" w:hint="eastAsia"/>
                <w:lang w:eastAsia="zh-CN"/>
              </w:rPr>
              <w:t xml:space="preserve">; </w:t>
            </w:r>
            <w:r w:rsidRPr="00DD3614">
              <w:rPr>
                <w:rFonts w:ascii="Book Antiqua" w:hAnsi="Book Antiqua" w:cstheme="minorHAnsi"/>
              </w:rPr>
              <w:t xml:space="preserve">Mean follow up 188.2 </w:t>
            </w:r>
            <w:proofErr w:type="spellStart"/>
            <w:r w:rsidRPr="00DD3614">
              <w:rPr>
                <w:rFonts w:ascii="Book Antiqua" w:hAnsi="Book Antiqua" w:cstheme="minorHAnsi"/>
              </w:rPr>
              <w:t>wk</w:t>
            </w:r>
            <w:proofErr w:type="spellEnd"/>
          </w:p>
        </w:tc>
        <w:tc>
          <w:tcPr>
            <w:tcW w:w="2520" w:type="dxa"/>
            <w:tcBorders>
              <w:top w:val="single" w:sz="4" w:space="0" w:color="auto"/>
            </w:tcBorders>
          </w:tcPr>
          <w:p w:rsidR="001D360B" w:rsidRPr="00DD3614" w:rsidRDefault="001D360B" w:rsidP="002243A4">
            <w:pPr>
              <w:spacing w:line="360" w:lineRule="auto"/>
              <w:jc w:val="both"/>
              <w:rPr>
                <w:rFonts w:ascii="Book Antiqua" w:hAnsi="Book Antiqua" w:cstheme="minorHAnsi"/>
              </w:rPr>
            </w:pPr>
            <w:r w:rsidRPr="00DD3614">
              <w:rPr>
                <w:rFonts w:ascii="Book Antiqua" w:hAnsi="Book Antiqua" w:cstheme="minorHAnsi"/>
              </w:rPr>
              <w:t>Enrolled 17160 patients with T2DM and with variable CV risks</w:t>
            </w:r>
            <w:r w:rsidR="002243A4">
              <w:rPr>
                <w:rFonts w:ascii="Book Antiqua" w:eastAsiaTheme="minorEastAsia" w:hAnsi="Book Antiqua" w:cstheme="minorHAnsi" w:hint="eastAsia"/>
                <w:lang w:eastAsia="zh-CN"/>
              </w:rPr>
              <w:t xml:space="preserve">; </w:t>
            </w:r>
            <w:r w:rsidRPr="00DD3614">
              <w:rPr>
                <w:rFonts w:ascii="Book Antiqua" w:hAnsi="Book Antiqua" w:cstheme="minorHAnsi"/>
              </w:rPr>
              <w:t>40.5% subjects with established CV disease</w:t>
            </w:r>
            <w:r w:rsidR="002243A4">
              <w:rPr>
                <w:rFonts w:ascii="Book Antiqua" w:eastAsiaTheme="minorEastAsia" w:hAnsi="Book Antiqua" w:cstheme="minorHAnsi" w:hint="eastAsia"/>
                <w:lang w:eastAsia="zh-CN"/>
              </w:rPr>
              <w:t xml:space="preserve">; </w:t>
            </w:r>
            <w:r w:rsidRPr="00DD3614">
              <w:rPr>
                <w:rFonts w:ascii="Book Antiqua" w:hAnsi="Book Antiqua" w:cstheme="minorHAnsi"/>
              </w:rPr>
              <w:t xml:space="preserve">Median DM duration 11 </w:t>
            </w:r>
            <w:proofErr w:type="spellStart"/>
            <w:r w:rsidRPr="00DD3614">
              <w:rPr>
                <w:rFonts w:ascii="Book Antiqua" w:hAnsi="Book Antiqua" w:cstheme="minorHAnsi"/>
              </w:rPr>
              <w:t>yr</w:t>
            </w:r>
            <w:proofErr w:type="spellEnd"/>
            <w:r w:rsidR="002243A4">
              <w:rPr>
                <w:rFonts w:ascii="Book Antiqua" w:eastAsiaTheme="minorEastAsia" w:hAnsi="Book Antiqua" w:cstheme="minorHAnsi" w:hint="eastAsia"/>
                <w:lang w:eastAsia="zh-CN"/>
              </w:rPr>
              <w:t xml:space="preserve">; </w:t>
            </w:r>
            <w:r w:rsidRPr="00DD3614">
              <w:rPr>
                <w:rFonts w:ascii="Book Antiqua" w:hAnsi="Book Antiqua" w:cstheme="minorHAnsi"/>
              </w:rPr>
              <w:t xml:space="preserve">Median follow up of 4.2 </w:t>
            </w:r>
            <w:proofErr w:type="spellStart"/>
            <w:r w:rsidRPr="00DD3614">
              <w:rPr>
                <w:rFonts w:ascii="Book Antiqua" w:hAnsi="Book Antiqua" w:cstheme="minorHAnsi"/>
              </w:rPr>
              <w:t>yr</w:t>
            </w:r>
            <w:proofErr w:type="spellEnd"/>
          </w:p>
        </w:tc>
      </w:tr>
      <w:tr w:rsidR="00441037" w:rsidRPr="00DD3614" w:rsidTr="007925F0">
        <w:tc>
          <w:tcPr>
            <w:tcW w:w="2020" w:type="dxa"/>
          </w:tcPr>
          <w:p w:rsidR="001D360B" w:rsidRPr="00DD3614" w:rsidRDefault="001D360B" w:rsidP="00441037">
            <w:pPr>
              <w:spacing w:line="360" w:lineRule="auto"/>
              <w:jc w:val="both"/>
              <w:rPr>
                <w:rFonts w:ascii="Book Antiqua" w:hAnsi="Book Antiqua" w:cstheme="minorHAnsi"/>
              </w:rPr>
            </w:pPr>
            <w:r w:rsidRPr="00DD3614">
              <w:rPr>
                <w:rFonts w:ascii="Book Antiqua" w:hAnsi="Book Antiqua" w:cstheme="minorHAnsi"/>
              </w:rPr>
              <w:t>Primary endpoint/MACE</w:t>
            </w:r>
          </w:p>
        </w:tc>
        <w:tc>
          <w:tcPr>
            <w:tcW w:w="2840" w:type="dxa"/>
          </w:tcPr>
          <w:p w:rsidR="001D360B" w:rsidRPr="00DD3614" w:rsidRDefault="001D360B" w:rsidP="00441037">
            <w:pPr>
              <w:spacing w:line="360" w:lineRule="auto"/>
              <w:jc w:val="both"/>
              <w:rPr>
                <w:rFonts w:ascii="Book Antiqua" w:hAnsi="Book Antiqua" w:cstheme="minorHAnsi"/>
              </w:rPr>
            </w:pPr>
            <w:r w:rsidRPr="00DD3614">
              <w:rPr>
                <w:rFonts w:ascii="Book Antiqua" w:hAnsi="Book Antiqua" w:cstheme="minorHAnsi"/>
              </w:rPr>
              <w:t>14% reduction in MACE in pooled empagliflozin group</w:t>
            </w:r>
          </w:p>
        </w:tc>
        <w:tc>
          <w:tcPr>
            <w:tcW w:w="2610" w:type="dxa"/>
          </w:tcPr>
          <w:p w:rsidR="001D360B" w:rsidRPr="002243A4" w:rsidRDefault="001D360B" w:rsidP="00441037">
            <w:pPr>
              <w:spacing w:line="360" w:lineRule="auto"/>
              <w:jc w:val="both"/>
              <w:rPr>
                <w:rFonts w:ascii="Book Antiqua" w:eastAsiaTheme="minorEastAsia" w:hAnsi="Book Antiqua" w:cstheme="minorHAnsi"/>
                <w:lang w:eastAsia="zh-CN"/>
              </w:rPr>
            </w:pPr>
            <w:r w:rsidRPr="00DD3614">
              <w:rPr>
                <w:rFonts w:ascii="Book Antiqua" w:hAnsi="Book Antiqua" w:cstheme="minorHAnsi"/>
              </w:rPr>
              <w:t xml:space="preserve">14% reduction in MACE </w:t>
            </w:r>
          </w:p>
        </w:tc>
        <w:tc>
          <w:tcPr>
            <w:tcW w:w="2520" w:type="dxa"/>
          </w:tcPr>
          <w:p w:rsidR="001D360B" w:rsidRPr="00DD3614" w:rsidRDefault="001D360B" w:rsidP="00441037">
            <w:pPr>
              <w:spacing w:line="360" w:lineRule="auto"/>
              <w:jc w:val="both"/>
              <w:rPr>
                <w:rFonts w:ascii="Book Antiqua" w:hAnsi="Book Antiqua" w:cstheme="minorHAnsi"/>
              </w:rPr>
            </w:pPr>
            <w:r w:rsidRPr="00DD3614">
              <w:rPr>
                <w:rFonts w:ascii="Book Antiqua" w:hAnsi="Book Antiqua" w:cstheme="minorHAnsi"/>
              </w:rPr>
              <w:t>No significant difference in MACE</w:t>
            </w:r>
          </w:p>
        </w:tc>
      </w:tr>
      <w:tr w:rsidR="00441037" w:rsidRPr="00DD3614" w:rsidTr="007925F0">
        <w:tc>
          <w:tcPr>
            <w:tcW w:w="2020" w:type="dxa"/>
          </w:tcPr>
          <w:p w:rsidR="001D360B" w:rsidRPr="00DD3614" w:rsidRDefault="001D360B" w:rsidP="00441037">
            <w:pPr>
              <w:spacing w:line="360" w:lineRule="auto"/>
              <w:jc w:val="both"/>
              <w:rPr>
                <w:rFonts w:ascii="Book Antiqua" w:hAnsi="Book Antiqua" w:cstheme="minorHAnsi"/>
              </w:rPr>
            </w:pPr>
            <w:r w:rsidRPr="00DD3614">
              <w:rPr>
                <w:rFonts w:ascii="Book Antiqua" w:hAnsi="Book Antiqua" w:cstheme="minorHAnsi"/>
              </w:rPr>
              <w:t xml:space="preserve">Secondary Outcomes </w:t>
            </w:r>
          </w:p>
        </w:tc>
        <w:tc>
          <w:tcPr>
            <w:tcW w:w="2840" w:type="dxa"/>
          </w:tcPr>
          <w:p w:rsidR="001D360B" w:rsidRPr="00DD3614" w:rsidRDefault="001D360B" w:rsidP="002243A4">
            <w:pPr>
              <w:spacing w:line="360" w:lineRule="auto"/>
              <w:jc w:val="both"/>
              <w:rPr>
                <w:rFonts w:ascii="Book Antiqua" w:hAnsi="Book Antiqua" w:cstheme="minorHAnsi"/>
              </w:rPr>
            </w:pPr>
            <w:r w:rsidRPr="00DD3614">
              <w:rPr>
                <w:rFonts w:ascii="Book Antiqua" w:hAnsi="Book Antiqua" w:cstheme="minorHAnsi"/>
              </w:rPr>
              <w:t>35% reduction in hospitalization for heart failure</w:t>
            </w:r>
            <w:r w:rsidR="00FC2F01">
              <w:rPr>
                <w:rFonts w:ascii="Book Antiqua" w:hAnsi="Book Antiqua" w:cstheme="minorHAnsi"/>
                <w:vertAlign w:val="superscript"/>
              </w:rPr>
              <w:t>1</w:t>
            </w:r>
            <w:r w:rsidR="002243A4" w:rsidRPr="002243A4">
              <w:rPr>
                <w:rFonts w:ascii="Book Antiqua" w:eastAsiaTheme="minorEastAsia" w:hAnsi="Book Antiqua" w:cstheme="minorHAnsi" w:hint="eastAsia"/>
                <w:lang w:eastAsia="zh-CN"/>
              </w:rPr>
              <w:t>;</w:t>
            </w:r>
            <w:r w:rsidR="002243A4">
              <w:rPr>
                <w:rFonts w:ascii="Book Antiqua" w:eastAsiaTheme="minorEastAsia" w:hAnsi="Book Antiqua" w:cstheme="minorHAnsi" w:hint="eastAsia"/>
                <w:vertAlign w:val="superscript"/>
                <w:lang w:eastAsia="zh-CN"/>
              </w:rPr>
              <w:t xml:space="preserve"> </w:t>
            </w:r>
            <w:r w:rsidRPr="00DD3614">
              <w:rPr>
                <w:rFonts w:ascii="Book Antiqua" w:hAnsi="Book Antiqua" w:cstheme="minorHAnsi"/>
              </w:rPr>
              <w:t>38% reduction in death from CV causes</w:t>
            </w:r>
            <w:r w:rsidR="002243A4">
              <w:rPr>
                <w:rFonts w:ascii="Book Antiqua" w:eastAsiaTheme="minorEastAsia" w:hAnsi="Book Antiqua" w:cstheme="minorHAnsi" w:hint="eastAsia"/>
                <w:lang w:eastAsia="zh-CN"/>
              </w:rPr>
              <w:t xml:space="preserve">; </w:t>
            </w:r>
            <w:r w:rsidRPr="00DD3614">
              <w:rPr>
                <w:rFonts w:ascii="Book Antiqua" w:hAnsi="Book Antiqua" w:cstheme="minorHAnsi"/>
              </w:rPr>
              <w:t>32% reduction in all-cause mortality</w:t>
            </w:r>
          </w:p>
        </w:tc>
        <w:tc>
          <w:tcPr>
            <w:tcW w:w="2610" w:type="dxa"/>
          </w:tcPr>
          <w:p w:rsidR="001D360B" w:rsidRPr="00DD3614" w:rsidRDefault="001D360B" w:rsidP="002243A4">
            <w:pPr>
              <w:spacing w:line="360" w:lineRule="auto"/>
              <w:jc w:val="both"/>
              <w:rPr>
                <w:rFonts w:ascii="Book Antiqua" w:hAnsi="Book Antiqua" w:cstheme="minorHAnsi"/>
              </w:rPr>
            </w:pPr>
            <w:r w:rsidRPr="00DD3614">
              <w:rPr>
                <w:rFonts w:ascii="Book Antiqua" w:hAnsi="Book Antiqua" w:cstheme="minorHAnsi"/>
              </w:rPr>
              <w:t>33% reduction in hospitalization for heart failure</w:t>
            </w:r>
            <w:r w:rsidR="002243A4">
              <w:rPr>
                <w:rFonts w:ascii="Book Antiqua" w:eastAsiaTheme="minorEastAsia" w:hAnsi="Book Antiqua" w:cstheme="minorHAnsi" w:hint="eastAsia"/>
                <w:lang w:eastAsia="zh-CN"/>
              </w:rPr>
              <w:t xml:space="preserve">; </w:t>
            </w:r>
            <w:r w:rsidRPr="00DD3614">
              <w:rPr>
                <w:rFonts w:ascii="Book Antiqua" w:hAnsi="Book Antiqua" w:cstheme="minorHAnsi"/>
              </w:rPr>
              <w:t>No significant difference in death from CV causes</w:t>
            </w:r>
            <w:r w:rsidR="002243A4">
              <w:rPr>
                <w:rFonts w:ascii="Book Antiqua" w:eastAsiaTheme="minorEastAsia" w:hAnsi="Book Antiqua" w:cstheme="minorHAnsi" w:hint="eastAsia"/>
                <w:lang w:eastAsia="zh-CN"/>
              </w:rPr>
              <w:t xml:space="preserve">; </w:t>
            </w:r>
            <w:r w:rsidRPr="00DD3614">
              <w:rPr>
                <w:rFonts w:ascii="Book Antiqua" w:hAnsi="Book Antiqua" w:cstheme="minorHAnsi"/>
              </w:rPr>
              <w:t>No significant difference in all-cause mortality</w:t>
            </w:r>
          </w:p>
        </w:tc>
        <w:tc>
          <w:tcPr>
            <w:tcW w:w="2520" w:type="dxa"/>
          </w:tcPr>
          <w:p w:rsidR="001D360B" w:rsidRPr="00DD3614" w:rsidRDefault="001D360B" w:rsidP="002243A4">
            <w:pPr>
              <w:spacing w:line="360" w:lineRule="auto"/>
              <w:jc w:val="both"/>
              <w:rPr>
                <w:rFonts w:ascii="Book Antiqua" w:hAnsi="Book Antiqua" w:cstheme="minorHAnsi"/>
              </w:rPr>
            </w:pPr>
            <w:r w:rsidRPr="00DD3614">
              <w:rPr>
                <w:rFonts w:ascii="Book Antiqua" w:hAnsi="Book Antiqua" w:cstheme="minorHAnsi"/>
              </w:rPr>
              <w:t>27% reduction in hospitalization for heart failure</w:t>
            </w:r>
            <w:r w:rsidR="002243A4">
              <w:rPr>
                <w:rFonts w:ascii="Book Antiqua" w:eastAsiaTheme="minorEastAsia" w:hAnsi="Book Antiqua" w:cstheme="minorHAnsi" w:hint="eastAsia"/>
                <w:lang w:eastAsia="zh-CN"/>
              </w:rPr>
              <w:t xml:space="preserve">; </w:t>
            </w:r>
            <w:r w:rsidRPr="00DD3614">
              <w:rPr>
                <w:rFonts w:ascii="Book Antiqua" w:hAnsi="Book Antiqua" w:cstheme="minorHAnsi"/>
              </w:rPr>
              <w:t>No significant difference in death from CV causes</w:t>
            </w:r>
            <w:r w:rsidR="002243A4">
              <w:rPr>
                <w:rFonts w:ascii="Book Antiqua" w:eastAsiaTheme="minorEastAsia" w:hAnsi="Book Antiqua" w:cstheme="minorHAnsi" w:hint="eastAsia"/>
                <w:lang w:eastAsia="zh-CN"/>
              </w:rPr>
              <w:t xml:space="preserve">; </w:t>
            </w:r>
            <w:r w:rsidRPr="00DD3614">
              <w:rPr>
                <w:rFonts w:ascii="Book Antiqua" w:hAnsi="Book Antiqua" w:cstheme="minorHAnsi"/>
              </w:rPr>
              <w:t>No significant difference in all-cause mortality</w:t>
            </w:r>
          </w:p>
        </w:tc>
      </w:tr>
    </w:tbl>
    <w:p w:rsidR="001D360B" w:rsidRPr="00DD3614" w:rsidRDefault="001D360B" w:rsidP="00441037">
      <w:pPr>
        <w:spacing w:line="360" w:lineRule="auto"/>
        <w:jc w:val="both"/>
        <w:rPr>
          <w:rFonts w:ascii="Book Antiqua" w:hAnsi="Book Antiqua" w:cs="Arial"/>
          <w:lang w:val="en"/>
        </w:rPr>
      </w:pPr>
    </w:p>
    <w:p w:rsidR="0076517E" w:rsidRPr="008F70A9" w:rsidRDefault="00FC2F01" w:rsidP="00441037">
      <w:pPr>
        <w:spacing w:line="360" w:lineRule="auto"/>
        <w:jc w:val="both"/>
        <w:rPr>
          <w:rFonts w:ascii="Book Antiqua" w:hAnsi="Book Antiqua"/>
        </w:rPr>
      </w:pPr>
      <w:r>
        <w:rPr>
          <w:rFonts w:ascii="Book Antiqua" w:hAnsi="Book Antiqua" w:cstheme="minorHAnsi"/>
          <w:vertAlign w:val="superscript"/>
        </w:rPr>
        <w:t>1</w:t>
      </w:r>
      <w:r w:rsidRPr="00DD3614">
        <w:rPr>
          <w:rFonts w:ascii="Book Antiqua" w:hAnsi="Book Antiqua" w:cstheme="minorHAnsi"/>
        </w:rPr>
        <w:t>Heart failure hospitalization risk reduction results were similar in patients with and without CHF at baseline</w:t>
      </w:r>
      <w:r>
        <w:rPr>
          <w:rFonts w:ascii="Book Antiqua" w:hAnsi="Book Antiqua" w:cstheme="minorHAnsi"/>
        </w:rPr>
        <w:t>.</w:t>
      </w:r>
      <w:r w:rsidRPr="00DD3614">
        <w:rPr>
          <w:rFonts w:ascii="Book Antiqua" w:hAnsi="Book Antiqua"/>
        </w:rPr>
        <w:t xml:space="preserve"> T2DM: Type 2 diabetes mellitus</w:t>
      </w:r>
      <w:r>
        <w:rPr>
          <w:rFonts w:ascii="Book Antiqua" w:hAnsi="Book Antiqua"/>
        </w:rPr>
        <w:t>;</w:t>
      </w:r>
      <w:r w:rsidRPr="00DD3614">
        <w:rPr>
          <w:rFonts w:ascii="Book Antiqua" w:hAnsi="Book Antiqua"/>
        </w:rPr>
        <w:t xml:space="preserve"> DM: Diabetes mellitus</w:t>
      </w:r>
      <w:r>
        <w:rPr>
          <w:rFonts w:ascii="Book Antiqua" w:hAnsi="Book Antiqua"/>
        </w:rPr>
        <w:t>;</w:t>
      </w:r>
      <w:r w:rsidRPr="00DD3614">
        <w:rPr>
          <w:rFonts w:ascii="Book Antiqua" w:hAnsi="Book Antiqua"/>
        </w:rPr>
        <w:t xml:space="preserve"> CV: Cardiovascular</w:t>
      </w:r>
      <w:r>
        <w:rPr>
          <w:rFonts w:ascii="Book Antiqua" w:hAnsi="Book Antiqua"/>
        </w:rPr>
        <w:t>;</w:t>
      </w:r>
      <w:r>
        <w:rPr>
          <w:rFonts w:ascii="Book Antiqua" w:eastAsiaTheme="minorEastAsia" w:hAnsi="Book Antiqua" w:hint="eastAsia"/>
          <w:lang w:eastAsia="zh-CN"/>
        </w:rPr>
        <w:t xml:space="preserve"> </w:t>
      </w:r>
      <w:r w:rsidRPr="00DD3614">
        <w:rPr>
          <w:rFonts w:ascii="Book Antiqua" w:hAnsi="Book Antiqua"/>
        </w:rPr>
        <w:t>MACE: Major adverse cardiovascular events, a composite of death from cardiovascular causes, non-fatal myocardial infarction, or nonfatal stroke</w:t>
      </w:r>
      <w:r>
        <w:rPr>
          <w:rFonts w:ascii="Book Antiqua" w:hAnsi="Book Antiqua"/>
        </w:rPr>
        <w:t>.</w:t>
      </w:r>
    </w:p>
    <w:sectPr w:rsidR="0076517E" w:rsidRPr="008F70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FF7" w:rsidRDefault="00AE5FF7" w:rsidP="001A48D3">
      <w:r>
        <w:separator/>
      </w:r>
    </w:p>
  </w:endnote>
  <w:endnote w:type="continuationSeparator" w:id="0">
    <w:p w:rsidR="00AE5FF7" w:rsidRDefault="00AE5FF7" w:rsidP="001A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Janson Text LT">
    <w:altName w:val="Janson Text L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BoldItalicMT">
    <w:altName w:val="hakuyoxingshu7000"/>
    <w:charset w:val="00"/>
    <w:family w:val="roman"/>
    <w:pitch w:val="variable"/>
    <w:sig w:usb0="E0000AFF" w:usb1="00007843" w:usb2="00000001" w:usb3="00000000" w:csb0="000001B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FF7" w:rsidRDefault="00AE5FF7" w:rsidP="001A48D3">
      <w:r>
        <w:separator/>
      </w:r>
    </w:p>
  </w:footnote>
  <w:footnote w:type="continuationSeparator" w:id="0">
    <w:p w:rsidR="00AE5FF7" w:rsidRDefault="00AE5FF7" w:rsidP="001A48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15pt;height:12.15pt" o:bullet="t">
        <v:imagedata r:id="rId1" o:title="art5D00"/>
      </v:shape>
    </w:pict>
  </w:numPicBullet>
  <w:abstractNum w:abstractNumId="0">
    <w:nsid w:val="27064776"/>
    <w:multiLevelType w:val="hybridMultilevel"/>
    <w:tmpl w:val="8C007152"/>
    <w:lvl w:ilvl="0" w:tplc="C3B6C25A">
      <w:start w:val="1"/>
      <w:numFmt w:val="bullet"/>
      <w:lvlText w:val=""/>
      <w:lvlPicBulletId w:val="0"/>
      <w:lvlJc w:val="left"/>
      <w:pPr>
        <w:tabs>
          <w:tab w:val="num" w:pos="720"/>
        </w:tabs>
        <w:ind w:left="720" w:hanging="360"/>
      </w:pPr>
      <w:rPr>
        <w:rFonts w:ascii="Symbol" w:hAnsi="Symbol" w:hint="default"/>
      </w:rPr>
    </w:lvl>
    <w:lvl w:ilvl="1" w:tplc="740A24AC">
      <w:start w:val="58"/>
      <w:numFmt w:val="bullet"/>
      <w:lvlText w:val="–"/>
      <w:lvlJc w:val="left"/>
      <w:pPr>
        <w:tabs>
          <w:tab w:val="num" w:pos="1440"/>
        </w:tabs>
        <w:ind w:left="1440" w:hanging="360"/>
      </w:pPr>
      <w:rPr>
        <w:rFonts w:ascii="Times New Roman" w:hAnsi="Times New Roman" w:hint="default"/>
      </w:rPr>
    </w:lvl>
    <w:lvl w:ilvl="2" w:tplc="332A5BD0" w:tentative="1">
      <w:start w:val="1"/>
      <w:numFmt w:val="bullet"/>
      <w:lvlText w:val=""/>
      <w:lvlPicBulletId w:val="0"/>
      <w:lvlJc w:val="left"/>
      <w:pPr>
        <w:tabs>
          <w:tab w:val="num" w:pos="2160"/>
        </w:tabs>
        <w:ind w:left="2160" w:hanging="360"/>
      </w:pPr>
      <w:rPr>
        <w:rFonts w:ascii="Symbol" w:hAnsi="Symbol" w:hint="default"/>
      </w:rPr>
    </w:lvl>
    <w:lvl w:ilvl="3" w:tplc="C57245E4" w:tentative="1">
      <w:start w:val="1"/>
      <w:numFmt w:val="bullet"/>
      <w:lvlText w:val=""/>
      <w:lvlPicBulletId w:val="0"/>
      <w:lvlJc w:val="left"/>
      <w:pPr>
        <w:tabs>
          <w:tab w:val="num" w:pos="2880"/>
        </w:tabs>
        <w:ind w:left="2880" w:hanging="360"/>
      </w:pPr>
      <w:rPr>
        <w:rFonts w:ascii="Symbol" w:hAnsi="Symbol" w:hint="default"/>
      </w:rPr>
    </w:lvl>
    <w:lvl w:ilvl="4" w:tplc="C78E127A" w:tentative="1">
      <w:start w:val="1"/>
      <w:numFmt w:val="bullet"/>
      <w:lvlText w:val=""/>
      <w:lvlPicBulletId w:val="0"/>
      <w:lvlJc w:val="left"/>
      <w:pPr>
        <w:tabs>
          <w:tab w:val="num" w:pos="3600"/>
        </w:tabs>
        <w:ind w:left="3600" w:hanging="360"/>
      </w:pPr>
      <w:rPr>
        <w:rFonts w:ascii="Symbol" w:hAnsi="Symbol" w:hint="default"/>
      </w:rPr>
    </w:lvl>
    <w:lvl w:ilvl="5" w:tplc="156896B0" w:tentative="1">
      <w:start w:val="1"/>
      <w:numFmt w:val="bullet"/>
      <w:lvlText w:val=""/>
      <w:lvlPicBulletId w:val="0"/>
      <w:lvlJc w:val="left"/>
      <w:pPr>
        <w:tabs>
          <w:tab w:val="num" w:pos="4320"/>
        </w:tabs>
        <w:ind w:left="4320" w:hanging="360"/>
      </w:pPr>
      <w:rPr>
        <w:rFonts w:ascii="Symbol" w:hAnsi="Symbol" w:hint="default"/>
      </w:rPr>
    </w:lvl>
    <w:lvl w:ilvl="6" w:tplc="5C64F946" w:tentative="1">
      <w:start w:val="1"/>
      <w:numFmt w:val="bullet"/>
      <w:lvlText w:val=""/>
      <w:lvlPicBulletId w:val="0"/>
      <w:lvlJc w:val="left"/>
      <w:pPr>
        <w:tabs>
          <w:tab w:val="num" w:pos="5040"/>
        </w:tabs>
        <w:ind w:left="5040" w:hanging="360"/>
      </w:pPr>
      <w:rPr>
        <w:rFonts w:ascii="Symbol" w:hAnsi="Symbol" w:hint="default"/>
      </w:rPr>
    </w:lvl>
    <w:lvl w:ilvl="7" w:tplc="AEE6542A" w:tentative="1">
      <w:start w:val="1"/>
      <w:numFmt w:val="bullet"/>
      <w:lvlText w:val=""/>
      <w:lvlPicBulletId w:val="0"/>
      <w:lvlJc w:val="left"/>
      <w:pPr>
        <w:tabs>
          <w:tab w:val="num" w:pos="5760"/>
        </w:tabs>
        <w:ind w:left="5760" w:hanging="360"/>
      </w:pPr>
      <w:rPr>
        <w:rFonts w:ascii="Symbol" w:hAnsi="Symbol" w:hint="default"/>
      </w:rPr>
    </w:lvl>
    <w:lvl w:ilvl="8" w:tplc="56F0C8D0"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39996E01"/>
    <w:multiLevelType w:val="hybridMultilevel"/>
    <w:tmpl w:val="677C7266"/>
    <w:lvl w:ilvl="0" w:tplc="69EAAD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3709BE"/>
    <w:multiLevelType w:val="hybridMultilevel"/>
    <w:tmpl w:val="DB8ACC56"/>
    <w:lvl w:ilvl="0" w:tplc="84C29A88">
      <w:start w:val="1"/>
      <w:numFmt w:val="bullet"/>
      <w:lvlText w:val=""/>
      <w:lvlPicBulletId w:val="0"/>
      <w:lvlJc w:val="left"/>
      <w:pPr>
        <w:tabs>
          <w:tab w:val="num" w:pos="720"/>
        </w:tabs>
        <w:ind w:left="720" w:hanging="360"/>
      </w:pPr>
      <w:rPr>
        <w:rFonts w:ascii="Symbol" w:hAnsi="Symbol" w:hint="default"/>
      </w:rPr>
    </w:lvl>
    <w:lvl w:ilvl="1" w:tplc="E9ECBF06" w:tentative="1">
      <w:start w:val="1"/>
      <w:numFmt w:val="bullet"/>
      <w:lvlText w:val=""/>
      <w:lvlPicBulletId w:val="0"/>
      <w:lvlJc w:val="left"/>
      <w:pPr>
        <w:tabs>
          <w:tab w:val="num" w:pos="1440"/>
        </w:tabs>
        <w:ind w:left="1440" w:hanging="360"/>
      </w:pPr>
      <w:rPr>
        <w:rFonts w:ascii="Symbol" w:hAnsi="Symbol" w:hint="default"/>
      </w:rPr>
    </w:lvl>
    <w:lvl w:ilvl="2" w:tplc="E5C4385E" w:tentative="1">
      <w:start w:val="1"/>
      <w:numFmt w:val="bullet"/>
      <w:lvlText w:val=""/>
      <w:lvlPicBulletId w:val="0"/>
      <w:lvlJc w:val="left"/>
      <w:pPr>
        <w:tabs>
          <w:tab w:val="num" w:pos="2160"/>
        </w:tabs>
        <w:ind w:left="2160" w:hanging="360"/>
      </w:pPr>
      <w:rPr>
        <w:rFonts w:ascii="Symbol" w:hAnsi="Symbol" w:hint="default"/>
      </w:rPr>
    </w:lvl>
    <w:lvl w:ilvl="3" w:tplc="C6089FA4" w:tentative="1">
      <w:start w:val="1"/>
      <w:numFmt w:val="bullet"/>
      <w:lvlText w:val=""/>
      <w:lvlPicBulletId w:val="0"/>
      <w:lvlJc w:val="left"/>
      <w:pPr>
        <w:tabs>
          <w:tab w:val="num" w:pos="2880"/>
        </w:tabs>
        <w:ind w:left="2880" w:hanging="360"/>
      </w:pPr>
      <w:rPr>
        <w:rFonts w:ascii="Symbol" w:hAnsi="Symbol" w:hint="default"/>
      </w:rPr>
    </w:lvl>
    <w:lvl w:ilvl="4" w:tplc="EE802428" w:tentative="1">
      <w:start w:val="1"/>
      <w:numFmt w:val="bullet"/>
      <w:lvlText w:val=""/>
      <w:lvlPicBulletId w:val="0"/>
      <w:lvlJc w:val="left"/>
      <w:pPr>
        <w:tabs>
          <w:tab w:val="num" w:pos="3600"/>
        </w:tabs>
        <w:ind w:left="3600" w:hanging="360"/>
      </w:pPr>
      <w:rPr>
        <w:rFonts w:ascii="Symbol" w:hAnsi="Symbol" w:hint="default"/>
      </w:rPr>
    </w:lvl>
    <w:lvl w:ilvl="5" w:tplc="96F01CDC" w:tentative="1">
      <w:start w:val="1"/>
      <w:numFmt w:val="bullet"/>
      <w:lvlText w:val=""/>
      <w:lvlPicBulletId w:val="0"/>
      <w:lvlJc w:val="left"/>
      <w:pPr>
        <w:tabs>
          <w:tab w:val="num" w:pos="4320"/>
        </w:tabs>
        <w:ind w:left="4320" w:hanging="360"/>
      </w:pPr>
      <w:rPr>
        <w:rFonts w:ascii="Symbol" w:hAnsi="Symbol" w:hint="default"/>
      </w:rPr>
    </w:lvl>
    <w:lvl w:ilvl="6" w:tplc="793EAE84" w:tentative="1">
      <w:start w:val="1"/>
      <w:numFmt w:val="bullet"/>
      <w:lvlText w:val=""/>
      <w:lvlPicBulletId w:val="0"/>
      <w:lvlJc w:val="left"/>
      <w:pPr>
        <w:tabs>
          <w:tab w:val="num" w:pos="5040"/>
        </w:tabs>
        <w:ind w:left="5040" w:hanging="360"/>
      </w:pPr>
      <w:rPr>
        <w:rFonts w:ascii="Symbol" w:hAnsi="Symbol" w:hint="default"/>
      </w:rPr>
    </w:lvl>
    <w:lvl w:ilvl="7" w:tplc="8136553C" w:tentative="1">
      <w:start w:val="1"/>
      <w:numFmt w:val="bullet"/>
      <w:lvlText w:val=""/>
      <w:lvlPicBulletId w:val="0"/>
      <w:lvlJc w:val="left"/>
      <w:pPr>
        <w:tabs>
          <w:tab w:val="num" w:pos="5760"/>
        </w:tabs>
        <w:ind w:left="5760" w:hanging="360"/>
      </w:pPr>
      <w:rPr>
        <w:rFonts w:ascii="Symbol" w:hAnsi="Symbol" w:hint="default"/>
      </w:rPr>
    </w:lvl>
    <w:lvl w:ilvl="8" w:tplc="730036FA"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5E9D6685"/>
    <w:multiLevelType w:val="multilevel"/>
    <w:tmpl w:val="9676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F07D9A"/>
    <w:multiLevelType w:val="hybridMultilevel"/>
    <w:tmpl w:val="E18EA5C0"/>
    <w:lvl w:ilvl="0" w:tplc="173EF2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226AEF"/>
    <w:multiLevelType w:val="hybridMultilevel"/>
    <w:tmpl w:val="F4BC7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3EFAC31-A600-4E3C-8283-EA8AC33C291D}"/>
    <w:docVar w:name="dgnword-eventsink" w:val="236340256"/>
  </w:docVars>
  <w:rsids>
    <w:rsidRoot w:val="00C47BF8"/>
    <w:rsid w:val="00003E6E"/>
    <w:rsid w:val="000044AD"/>
    <w:rsid w:val="00004F8A"/>
    <w:rsid w:val="000262E4"/>
    <w:rsid w:val="000274FF"/>
    <w:rsid w:val="00035F28"/>
    <w:rsid w:val="00046547"/>
    <w:rsid w:val="0005377A"/>
    <w:rsid w:val="0005382F"/>
    <w:rsid w:val="00072E4F"/>
    <w:rsid w:val="000816DE"/>
    <w:rsid w:val="0008719F"/>
    <w:rsid w:val="00092215"/>
    <w:rsid w:val="000A35B8"/>
    <w:rsid w:val="000A411B"/>
    <w:rsid w:val="000A4812"/>
    <w:rsid w:val="000B4F45"/>
    <w:rsid w:val="000C0458"/>
    <w:rsid w:val="000D651E"/>
    <w:rsid w:val="000E034A"/>
    <w:rsid w:val="000E3E0B"/>
    <w:rsid w:val="00101EDF"/>
    <w:rsid w:val="001215D9"/>
    <w:rsid w:val="00124D73"/>
    <w:rsid w:val="00127AB5"/>
    <w:rsid w:val="00130537"/>
    <w:rsid w:val="00145D28"/>
    <w:rsid w:val="00146AD8"/>
    <w:rsid w:val="00152140"/>
    <w:rsid w:val="001528EB"/>
    <w:rsid w:val="00167429"/>
    <w:rsid w:val="001720A0"/>
    <w:rsid w:val="00183BD6"/>
    <w:rsid w:val="001A48D3"/>
    <w:rsid w:val="001B4451"/>
    <w:rsid w:val="001C4712"/>
    <w:rsid w:val="001C63E8"/>
    <w:rsid w:val="001D1E69"/>
    <w:rsid w:val="001D360B"/>
    <w:rsid w:val="001F29FB"/>
    <w:rsid w:val="001F4FE5"/>
    <w:rsid w:val="001F7D25"/>
    <w:rsid w:val="00212E28"/>
    <w:rsid w:val="002243A4"/>
    <w:rsid w:val="002325C1"/>
    <w:rsid w:val="00256C10"/>
    <w:rsid w:val="00261693"/>
    <w:rsid w:val="00265CFB"/>
    <w:rsid w:val="00270B06"/>
    <w:rsid w:val="00272F81"/>
    <w:rsid w:val="00280229"/>
    <w:rsid w:val="002817CA"/>
    <w:rsid w:val="00281F95"/>
    <w:rsid w:val="00291D39"/>
    <w:rsid w:val="00293FAF"/>
    <w:rsid w:val="00295FD2"/>
    <w:rsid w:val="00296346"/>
    <w:rsid w:val="00297D9D"/>
    <w:rsid w:val="002A0719"/>
    <w:rsid w:val="002B24E6"/>
    <w:rsid w:val="002C6DB6"/>
    <w:rsid w:val="002D6771"/>
    <w:rsid w:val="002D7AB2"/>
    <w:rsid w:val="002F5CC0"/>
    <w:rsid w:val="00300C26"/>
    <w:rsid w:val="00316D2F"/>
    <w:rsid w:val="00325DA9"/>
    <w:rsid w:val="00326247"/>
    <w:rsid w:val="0033410B"/>
    <w:rsid w:val="00340289"/>
    <w:rsid w:val="003650CC"/>
    <w:rsid w:val="00394BE6"/>
    <w:rsid w:val="00397189"/>
    <w:rsid w:val="003A1C64"/>
    <w:rsid w:val="003A504F"/>
    <w:rsid w:val="003A66EB"/>
    <w:rsid w:val="003B22DF"/>
    <w:rsid w:val="003B6E83"/>
    <w:rsid w:val="003C0367"/>
    <w:rsid w:val="003C0481"/>
    <w:rsid w:val="003E2AE3"/>
    <w:rsid w:val="003E7DEE"/>
    <w:rsid w:val="003F0CF8"/>
    <w:rsid w:val="003F5BB9"/>
    <w:rsid w:val="003F6BEC"/>
    <w:rsid w:val="00401A46"/>
    <w:rsid w:val="00404911"/>
    <w:rsid w:val="004104BE"/>
    <w:rsid w:val="00411E98"/>
    <w:rsid w:val="00416A1C"/>
    <w:rsid w:val="00441037"/>
    <w:rsid w:val="004420FD"/>
    <w:rsid w:val="00457927"/>
    <w:rsid w:val="00463462"/>
    <w:rsid w:val="00463E1F"/>
    <w:rsid w:val="0047284A"/>
    <w:rsid w:val="004743DB"/>
    <w:rsid w:val="00476976"/>
    <w:rsid w:val="004876DC"/>
    <w:rsid w:val="004B07F7"/>
    <w:rsid w:val="004C2595"/>
    <w:rsid w:val="004D0C6A"/>
    <w:rsid w:val="004D1EF0"/>
    <w:rsid w:val="004F1A2D"/>
    <w:rsid w:val="0050660D"/>
    <w:rsid w:val="00516EA2"/>
    <w:rsid w:val="00545CD7"/>
    <w:rsid w:val="00561303"/>
    <w:rsid w:val="00571613"/>
    <w:rsid w:val="005A72FE"/>
    <w:rsid w:val="005C079A"/>
    <w:rsid w:val="005C2379"/>
    <w:rsid w:val="005C5820"/>
    <w:rsid w:val="005D6685"/>
    <w:rsid w:val="005F27E2"/>
    <w:rsid w:val="00612CAE"/>
    <w:rsid w:val="00617049"/>
    <w:rsid w:val="00632BF7"/>
    <w:rsid w:val="00633E38"/>
    <w:rsid w:val="00636C92"/>
    <w:rsid w:val="006442BE"/>
    <w:rsid w:val="00652D48"/>
    <w:rsid w:val="00666842"/>
    <w:rsid w:val="006C490B"/>
    <w:rsid w:val="006C5361"/>
    <w:rsid w:val="006D0BB6"/>
    <w:rsid w:val="006D1235"/>
    <w:rsid w:val="006D3D28"/>
    <w:rsid w:val="006D4C17"/>
    <w:rsid w:val="006F34B7"/>
    <w:rsid w:val="006F744A"/>
    <w:rsid w:val="006F7E8C"/>
    <w:rsid w:val="007002F9"/>
    <w:rsid w:val="00711DDD"/>
    <w:rsid w:val="00722E56"/>
    <w:rsid w:val="007258D6"/>
    <w:rsid w:val="00727C8A"/>
    <w:rsid w:val="007314BC"/>
    <w:rsid w:val="00734224"/>
    <w:rsid w:val="007423BB"/>
    <w:rsid w:val="007462BA"/>
    <w:rsid w:val="00755E74"/>
    <w:rsid w:val="00761D3C"/>
    <w:rsid w:val="00763805"/>
    <w:rsid w:val="00764251"/>
    <w:rsid w:val="0076498F"/>
    <w:rsid w:val="0076517E"/>
    <w:rsid w:val="00770531"/>
    <w:rsid w:val="00783A6A"/>
    <w:rsid w:val="00785A75"/>
    <w:rsid w:val="007925F0"/>
    <w:rsid w:val="0079600F"/>
    <w:rsid w:val="007A2B7F"/>
    <w:rsid w:val="007A5083"/>
    <w:rsid w:val="007A6A21"/>
    <w:rsid w:val="007C105B"/>
    <w:rsid w:val="007C348D"/>
    <w:rsid w:val="007D69C1"/>
    <w:rsid w:val="007F226C"/>
    <w:rsid w:val="007F281C"/>
    <w:rsid w:val="007F45BE"/>
    <w:rsid w:val="007F777B"/>
    <w:rsid w:val="00800735"/>
    <w:rsid w:val="00804895"/>
    <w:rsid w:val="00807846"/>
    <w:rsid w:val="008106CC"/>
    <w:rsid w:val="00814F9F"/>
    <w:rsid w:val="008154DD"/>
    <w:rsid w:val="00833C78"/>
    <w:rsid w:val="0083486B"/>
    <w:rsid w:val="00843E33"/>
    <w:rsid w:val="00860613"/>
    <w:rsid w:val="00863F95"/>
    <w:rsid w:val="0087151B"/>
    <w:rsid w:val="00875175"/>
    <w:rsid w:val="00877D91"/>
    <w:rsid w:val="0088496B"/>
    <w:rsid w:val="008B12C1"/>
    <w:rsid w:val="008B28A9"/>
    <w:rsid w:val="008B3D7C"/>
    <w:rsid w:val="008D0A83"/>
    <w:rsid w:val="008D1363"/>
    <w:rsid w:val="008D658D"/>
    <w:rsid w:val="008D72D6"/>
    <w:rsid w:val="008E5889"/>
    <w:rsid w:val="008E64C7"/>
    <w:rsid w:val="008F70A9"/>
    <w:rsid w:val="008F7422"/>
    <w:rsid w:val="00900A22"/>
    <w:rsid w:val="00906E55"/>
    <w:rsid w:val="00911090"/>
    <w:rsid w:val="00914FBA"/>
    <w:rsid w:val="0091598E"/>
    <w:rsid w:val="009253FC"/>
    <w:rsid w:val="0093669A"/>
    <w:rsid w:val="0094620D"/>
    <w:rsid w:val="009471F5"/>
    <w:rsid w:val="009560B2"/>
    <w:rsid w:val="00957D12"/>
    <w:rsid w:val="009644B6"/>
    <w:rsid w:val="00970C6B"/>
    <w:rsid w:val="00981177"/>
    <w:rsid w:val="009819F0"/>
    <w:rsid w:val="00990BD8"/>
    <w:rsid w:val="00992C71"/>
    <w:rsid w:val="009A0FB6"/>
    <w:rsid w:val="009C5D2C"/>
    <w:rsid w:val="009D2AAA"/>
    <w:rsid w:val="009F2E75"/>
    <w:rsid w:val="00A126B6"/>
    <w:rsid w:val="00A17AD4"/>
    <w:rsid w:val="00A2108B"/>
    <w:rsid w:val="00A2377C"/>
    <w:rsid w:val="00A303F3"/>
    <w:rsid w:val="00A32180"/>
    <w:rsid w:val="00A36166"/>
    <w:rsid w:val="00A65B52"/>
    <w:rsid w:val="00A678A6"/>
    <w:rsid w:val="00A77C30"/>
    <w:rsid w:val="00AB70FA"/>
    <w:rsid w:val="00AD05C6"/>
    <w:rsid w:val="00AD664C"/>
    <w:rsid w:val="00AD7AF9"/>
    <w:rsid w:val="00AE276E"/>
    <w:rsid w:val="00AE3CBF"/>
    <w:rsid w:val="00AE5FF7"/>
    <w:rsid w:val="00AF6C48"/>
    <w:rsid w:val="00B0398D"/>
    <w:rsid w:val="00B11FFC"/>
    <w:rsid w:val="00B123AF"/>
    <w:rsid w:val="00B13C76"/>
    <w:rsid w:val="00B228E8"/>
    <w:rsid w:val="00B33B06"/>
    <w:rsid w:val="00B54C95"/>
    <w:rsid w:val="00B63322"/>
    <w:rsid w:val="00B65ABA"/>
    <w:rsid w:val="00B852F5"/>
    <w:rsid w:val="00B86A15"/>
    <w:rsid w:val="00B9435B"/>
    <w:rsid w:val="00BA403B"/>
    <w:rsid w:val="00BB073B"/>
    <w:rsid w:val="00BD1F27"/>
    <w:rsid w:val="00BE490E"/>
    <w:rsid w:val="00C00C18"/>
    <w:rsid w:val="00C06357"/>
    <w:rsid w:val="00C27EE0"/>
    <w:rsid w:val="00C30DE4"/>
    <w:rsid w:val="00C34169"/>
    <w:rsid w:val="00C37FC4"/>
    <w:rsid w:val="00C47BF8"/>
    <w:rsid w:val="00C6778B"/>
    <w:rsid w:val="00C71243"/>
    <w:rsid w:val="00CA09FF"/>
    <w:rsid w:val="00CA1CA2"/>
    <w:rsid w:val="00CA1D38"/>
    <w:rsid w:val="00CB059F"/>
    <w:rsid w:val="00CE1A8A"/>
    <w:rsid w:val="00CE7F13"/>
    <w:rsid w:val="00CF0E14"/>
    <w:rsid w:val="00CF4272"/>
    <w:rsid w:val="00D02456"/>
    <w:rsid w:val="00D026D0"/>
    <w:rsid w:val="00D10D81"/>
    <w:rsid w:val="00D1384F"/>
    <w:rsid w:val="00D50B82"/>
    <w:rsid w:val="00D62B2E"/>
    <w:rsid w:val="00D63F2B"/>
    <w:rsid w:val="00D64864"/>
    <w:rsid w:val="00D75E30"/>
    <w:rsid w:val="00D81E86"/>
    <w:rsid w:val="00DA227B"/>
    <w:rsid w:val="00DA3245"/>
    <w:rsid w:val="00DD3614"/>
    <w:rsid w:val="00DE5661"/>
    <w:rsid w:val="00DE5F30"/>
    <w:rsid w:val="00DE6CAE"/>
    <w:rsid w:val="00DF19E7"/>
    <w:rsid w:val="00DF2844"/>
    <w:rsid w:val="00DF6C3F"/>
    <w:rsid w:val="00DF77F7"/>
    <w:rsid w:val="00E0211F"/>
    <w:rsid w:val="00E12D48"/>
    <w:rsid w:val="00E140E6"/>
    <w:rsid w:val="00E22991"/>
    <w:rsid w:val="00E250CC"/>
    <w:rsid w:val="00E35F7A"/>
    <w:rsid w:val="00E45122"/>
    <w:rsid w:val="00E649C0"/>
    <w:rsid w:val="00E67B24"/>
    <w:rsid w:val="00E761EA"/>
    <w:rsid w:val="00E92A62"/>
    <w:rsid w:val="00E93919"/>
    <w:rsid w:val="00E94BB4"/>
    <w:rsid w:val="00E94C81"/>
    <w:rsid w:val="00E97E63"/>
    <w:rsid w:val="00EC2BFD"/>
    <w:rsid w:val="00EC7301"/>
    <w:rsid w:val="00ED0049"/>
    <w:rsid w:val="00ED1648"/>
    <w:rsid w:val="00EF51F2"/>
    <w:rsid w:val="00EF7C89"/>
    <w:rsid w:val="00F1508D"/>
    <w:rsid w:val="00F203D6"/>
    <w:rsid w:val="00F30975"/>
    <w:rsid w:val="00F3161D"/>
    <w:rsid w:val="00F35D58"/>
    <w:rsid w:val="00F37E7E"/>
    <w:rsid w:val="00F40F65"/>
    <w:rsid w:val="00F440FC"/>
    <w:rsid w:val="00F723D1"/>
    <w:rsid w:val="00F80C64"/>
    <w:rsid w:val="00F905D6"/>
    <w:rsid w:val="00F9503A"/>
    <w:rsid w:val="00FA6B91"/>
    <w:rsid w:val="00FB25AC"/>
    <w:rsid w:val="00FB5D78"/>
    <w:rsid w:val="00FC2F01"/>
    <w:rsid w:val="00FF2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CAE"/>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976"/>
    <w:pPr>
      <w:ind w:left="720"/>
      <w:contextualSpacing/>
    </w:pPr>
  </w:style>
  <w:style w:type="character" w:styleId="a4">
    <w:name w:val="Hyperlink"/>
    <w:basedOn w:val="a0"/>
    <w:uiPriority w:val="99"/>
    <w:unhideWhenUsed/>
    <w:rsid w:val="00404911"/>
    <w:rPr>
      <w:b w:val="0"/>
      <w:bCs w:val="0"/>
      <w:strike w:val="0"/>
      <w:dstrike w:val="0"/>
      <w:color w:val="198DAE"/>
      <w:u w:val="none"/>
      <w:effect w:val="none"/>
      <w:shd w:val="clear" w:color="auto" w:fill="auto"/>
    </w:rPr>
  </w:style>
  <w:style w:type="paragraph" w:customStyle="1" w:styleId="Default">
    <w:name w:val="Default"/>
    <w:rsid w:val="006C5361"/>
    <w:pPr>
      <w:autoSpaceDE w:val="0"/>
      <w:autoSpaceDN w:val="0"/>
      <w:adjustRightInd w:val="0"/>
      <w:spacing w:after="0" w:line="240" w:lineRule="auto"/>
    </w:pPr>
    <w:rPr>
      <w:rFonts w:ascii="Janson Text LT" w:hAnsi="Janson Text LT" w:cs="Janson Text LT"/>
      <w:color w:val="000000"/>
      <w:sz w:val="24"/>
      <w:szCs w:val="24"/>
    </w:rPr>
  </w:style>
  <w:style w:type="paragraph" w:customStyle="1" w:styleId="Pa8">
    <w:name w:val="Pa8"/>
    <w:basedOn w:val="Default"/>
    <w:next w:val="Default"/>
    <w:uiPriority w:val="99"/>
    <w:rsid w:val="006C5361"/>
    <w:pPr>
      <w:spacing w:line="241" w:lineRule="atLeast"/>
    </w:pPr>
    <w:rPr>
      <w:rFonts w:cstheme="minorBidi"/>
      <w:color w:val="auto"/>
    </w:rPr>
  </w:style>
  <w:style w:type="character" w:customStyle="1" w:styleId="A40">
    <w:name w:val="A4"/>
    <w:uiPriority w:val="99"/>
    <w:rsid w:val="006C5361"/>
    <w:rPr>
      <w:rFonts w:cs="Janson Text LT"/>
      <w:color w:val="000000"/>
      <w:sz w:val="19"/>
      <w:szCs w:val="19"/>
    </w:rPr>
  </w:style>
  <w:style w:type="character" w:customStyle="1" w:styleId="markuxyeo00w6">
    <w:name w:val="markuxyeo00w6"/>
    <w:basedOn w:val="a0"/>
    <w:rsid w:val="008B28A9"/>
  </w:style>
  <w:style w:type="character" w:customStyle="1" w:styleId="mark4mixbi62w">
    <w:name w:val="mark4mixbi62w"/>
    <w:basedOn w:val="a0"/>
    <w:rsid w:val="008B28A9"/>
  </w:style>
  <w:style w:type="paragraph" w:styleId="a5">
    <w:name w:val="Balloon Text"/>
    <w:basedOn w:val="a"/>
    <w:link w:val="Char"/>
    <w:uiPriority w:val="99"/>
    <w:semiHidden/>
    <w:unhideWhenUsed/>
    <w:rsid w:val="009471F5"/>
    <w:rPr>
      <w:sz w:val="18"/>
      <w:szCs w:val="18"/>
    </w:rPr>
  </w:style>
  <w:style w:type="character" w:customStyle="1" w:styleId="Char">
    <w:name w:val="批注框文本 Char"/>
    <w:basedOn w:val="a0"/>
    <w:link w:val="a5"/>
    <w:uiPriority w:val="99"/>
    <w:semiHidden/>
    <w:rsid w:val="009471F5"/>
    <w:rPr>
      <w:rFonts w:ascii="Times New Roman" w:hAnsi="Times New Roman" w:cs="Times New Roman"/>
      <w:sz w:val="18"/>
      <w:szCs w:val="18"/>
    </w:rPr>
  </w:style>
  <w:style w:type="character" w:styleId="a6">
    <w:name w:val="annotation reference"/>
    <w:basedOn w:val="a0"/>
    <w:uiPriority w:val="99"/>
    <w:semiHidden/>
    <w:unhideWhenUsed/>
    <w:rsid w:val="00270B06"/>
    <w:rPr>
      <w:sz w:val="18"/>
      <w:szCs w:val="18"/>
    </w:rPr>
  </w:style>
  <w:style w:type="paragraph" w:styleId="a7">
    <w:name w:val="annotation text"/>
    <w:basedOn w:val="a"/>
    <w:link w:val="Char0"/>
    <w:uiPriority w:val="99"/>
    <w:unhideWhenUsed/>
    <w:rsid w:val="00270B06"/>
  </w:style>
  <w:style w:type="character" w:customStyle="1" w:styleId="Char0">
    <w:name w:val="批注文字 Char"/>
    <w:basedOn w:val="a0"/>
    <w:link w:val="a7"/>
    <w:uiPriority w:val="99"/>
    <w:rsid w:val="00270B06"/>
    <w:rPr>
      <w:sz w:val="24"/>
      <w:szCs w:val="24"/>
    </w:rPr>
  </w:style>
  <w:style w:type="paragraph" w:styleId="a8">
    <w:name w:val="annotation subject"/>
    <w:basedOn w:val="a7"/>
    <w:next w:val="a7"/>
    <w:link w:val="Char1"/>
    <w:uiPriority w:val="99"/>
    <w:semiHidden/>
    <w:unhideWhenUsed/>
    <w:rsid w:val="00270B06"/>
    <w:rPr>
      <w:b/>
      <w:bCs/>
      <w:sz w:val="20"/>
      <w:szCs w:val="20"/>
    </w:rPr>
  </w:style>
  <w:style w:type="character" w:customStyle="1" w:styleId="Char1">
    <w:name w:val="批注主题 Char"/>
    <w:basedOn w:val="Char0"/>
    <w:link w:val="a8"/>
    <w:uiPriority w:val="99"/>
    <w:semiHidden/>
    <w:rsid w:val="00270B06"/>
    <w:rPr>
      <w:b/>
      <w:bCs/>
      <w:sz w:val="20"/>
      <w:szCs w:val="20"/>
    </w:rPr>
  </w:style>
  <w:style w:type="table" w:styleId="a9">
    <w:name w:val="Table Grid"/>
    <w:basedOn w:val="a1"/>
    <w:uiPriority w:val="39"/>
    <w:rsid w:val="001D3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0"/>
    <w:rsid w:val="0076517E"/>
  </w:style>
  <w:style w:type="character" w:styleId="aa">
    <w:name w:val="FollowedHyperlink"/>
    <w:basedOn w:val="a0"/>
    <w:uiPriority w:val="99"/>
    <w:semiHidden/>
    <w:unhideWhenUsed/>
    <w:rsid w:val="0076517E"/>
    <w:rPr>
      <w:color w:val="954F72" w:themeColor="followedHyperlink"/>
      <w:u w:val="single"/>
    </w:rPr>
  </w:style>
  <w:style w:type="paragraph" w:styleId="ab">
    <w:name w:val="header"/>
    <w:basedOn w:val="a"/>
    <w:link w:val="Char2"/>
    <w:uiPriority w:val="99"/>
    <w:unhideWhenUsed/>
    <w:rsid w:val="001A48D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1A48D3"/>
    <w:rPr>
      <w:sz w:val="18"/>
      <w:szCs w:val="18"/>
    </w:rPr>
  </w:style>
  <w:style w:type="paragraph" w:styleId="ac">
    <w:name w:val="footer"/>
    <w:basedOn w:val="a"/>
    <w:link w:val="Char3"/>
    <w:uiPriority w:val="99"/>
    <w:unhideWhenUsed/>
    <w:rsid w:val="001A48D3"/>
    <w:pPr>
      <w:tabs>
        <w:tab w:val="center" w:pos="4153"/>
        <w:tab w:val="right" w:pos="8306"/>
      </w:tabs>
      <w:snapToGrid w:val="0"/>
    </w:pPr>
    <w:rPr>
      <w:sz w:val="18"/>
      <w:szCs w:val="18"/>
    </w:rPr>
  </w:style>
  <w:style w:type="character" w:customStyle="1" w:styleId="Char3">
    <w:name w:val="页脚 Char"/>
    <w:basedOn w:val="a0"/>
    <w:link w:val="ac"/>
    <w:uiPriority w:val="99"/>
    <w:rsid w:val="001A48D3"/>
    <w:rPr>
      <w:sz w:val="18"/>
      <w:szCs w:val="18"/>
    </w:rPr>
  </w:style>
  <w:style w:type="character" w:customStyle="1" w:styleId="dxdefaultcursor">
    <w:name w:val="dxdefaultcursor"/>
    <w:basedOn w:val="a0"/>
    <w:rsid w:val="00DE6CAE"/>
  </w:style>
  <w:style w:type="character" w:customStyle="1" w:styleId="dxebaseoffice2010blue">
    <w:name w:val="dxebase_office2010blue"/>
    <w:basedOn w:val="a0"/>
    <w:rsid w:val="00DE6CAE"/>
  </w:style>
  <w:style w:type="character" w:customStyle="1" w:styleId="dxebaseoffice2010blue1">
    <w:name w:val="dxebase_office2010blue1"/>
    <w:basedOn w:val="a0"/>
    <w:rsid w:val="00814F9F"/>
    <w:rPr>
      <w:rFonts w:ascii="Verdana" w:hAnsi="Verdana" w:hint="default"/>
      <w:sz w:val="17"/>
      <w:szCs w:val="17"/>
    </w:rPr>
  </w:style>
  <w:style w:type="paragraph" w:styleId="ad">
    <w:name w:val="Plain Text"/>
    <w:basedOn w:val="a"/>
    <w:link w:val="Char4"/>
    <w:rsid w:val="008106CC"/>
    <w:pPr>
      <w:widowControl w:val="0"/>
      <w:jc w:val="both"/>
    </w:pPr>
    <w:rPr>
      <w:rFonts w:ascii="宋体" w:eastAsia="宋体" w:hAnsi="Courier New" w:cs="Courier New"/>
      <w:kern w:val="2"/>
      <w:sz w:val="21"/>
      <w:szCs w:val="21"/>
      <w:lang w:eastAsia="zh-CN"/>
    </w:rPr>
  </w:style>
  <w:style w:type="character" w:customStyle="1" w:styleId="Char4">
    <w:name w:val="纯文本 Char"/>
    <w:basedOn w:val="a0"/>
    <w:link w:val="ad"/>
    <w:rsid w:val="008106CC"/>
    <w:rPr>
      <w:rFonts w:ascii="宋体" w:eastAsia="宋体" w:hAnsi="Courier New" w:cs="Courier New"/>
      <w:kern w:val="2"/>
      <w:sz w:val="21"/>
      <w:szCs w:val="21"/>
      <w:lang w:eastAsia="zh-CN"/>
    </w:rPr>
  </w:style>
  <w:style w:type="paragraph" w:styleId="ae">
    <w:name w:val="No Spacing"/>
    <w:uiPriority w:val="1"/>
    <w:qFormat/>
    <w:rsid w:val="00636C9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CAE"/>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976"/>
    <w:pPr>
      <w:ind w:left="720"/>
      <w:contextualSpacing/>
    </w:pPr>
  </w:style>
  <w:style w:type="character" w:styleId="a4">
    <w:name w:val="Hyperlink"/>
    <w:basedOn w:val="a0"/>
    <w:uiPriority w:val="99"/>
    <w:unhideWhenUsed/>
    <w:rsid w:val="00404911"/>
    <w:rPr>
      <w:b w:val="0"/>
      <w:bCs w:val="0"/>
      <w:strike w:val="0"/>
      <w:dstrike w:val="0"/>
      <w:color w:val="198DAE"/>
      <w:u w:val="none"/>
      <w:effect w:val="none"/>
      <w:shd w:val="clear" w:color="auto" w:fill="auto"/>
    </w:rPr>
  </w:style>
  <w:style w:type="paragraph" w:customStyle="1" w:styleId="Default">
    <w:name w:val="Default"/>
    <w:rsid w:val="006C5361"/>
    <w:pPr>
      <w:autoSpaceDE w:val="0"/>
      <w:autoSpaceDN w:val="0"/>
      <w:adjustRightInd w:val="0"/>
      <w:spacing w:after="0" w:line="240" w:lineRule="auto"/>
    </w:pPr>
    <w:rPr>
      <w:rFonts w:ascii="Janson Text LT" w:hAnsi="Janson Text LT" w:cs="Janson Text LT"/>
      <w:color w:val="000000"/>
      <w:sz w:val="24"/>
      <w:szCs w:val="24"/>
    </w:rPr>
  </w:style>
  <w:style w:type="paragraph" w:customStyle="1" w:styleId="Pa8">
    <w:name w:val="Pa8"/>
    <w:basedOn w:val="Default"/>
    <w:next w:val="Default"/>
    <w:uiPriority w:val="99"/>
    <w:rsid w:val="006C5361"/>
    <w:pPr>
      <w:spacing w:line="241" w:lineRule="atLeast"/>
    </w:pPr>
    <w:rPr>
      <w:rFonts w:cstheme="minorBidi"/>
      <w:color w:val="auto"/>
    </w:rPr>
  </w:style>
  <w:style w:type="character" w:customStyle="1" w:styleId="A40">
    <w:name w:val="A4"/>
    <w:uiPriority w:val="99"/>
    <w:rsid w:val="006C5361"/>
    <w:rPr>
      <w:rFonts w:cs="Janson Text LT"/>
      <w:color w:val="000000"/>
      <w:sz w:val="19"/>
      <w:szCs w:val="19"/>
    </w:rPr>
  </w:style>
  <w:style w:type="character" w:customStyle="1" w:styleId="markuxyeo00w6">
    <w:name w:val="markuxyeo00w6"/>
    <w:basedOn w:val="a0"/>
    <w:rsid w:val="008B28A9"/>
  </w:style>
  <w:style w:type="character" w:customStyle="1" w:styleId="mark4mixbi62w">
    <w:name w:val="mark4mixbi62w"/>
    <w:basedOn w:val="a0"/>
    <w:rsid w:val="008B28A9"/>
  </w:style>
  <w:style w:type="paragraph" w:styleId="a5">
    <w:name w:val="Balloon Text"/>
    <w:basedOn w:val="a"/>
    <w:link w:val="Char"/>
    <w:uiPriority w:val="99"/>
    <w:semiHidden/>
    <w:unhideWhenUsed/>
    <w:rsid w:val="009471F5"/>
    <w:rPr>
      <w:sz w:val="18"/>
      <w:szCs w:val="18"/>
    </w:rPr>
  </w:style>
  <w:style w:type="character" w:customStyle="1" w:styleId="Char">
    <w:name w:val="批注框文本 Char"/>
    <w:basedOn w:val="a0"/>
    <w:link w:val="a5"/>
    <w:uiPriority w:val="99"/>
    <w:semiHidden/>
    <w:rsid w:val="009471F5"/>
    <w:rPr>
      <w:rFonts w:ascii="Times New Roman" w:hAnsi="Times New Roman" w:cs="Times New Roman"/>
      <w:sz w:val="18"/>
      <w:szCs w:val="18"/>
    </w:rPr>
  </w:style>
  <w:style w:type="character" w:styleId="a6">
    <w:name w:val="annotation reference"/>
    <w:basedOn w:val="a0"/>
    <w:uiPriority w:val="99"/>
    <w:semiHidden/>
    <w:unhideWhenUsed/>
    <w:rsid w:val="00270B06"/>
    <w:rPr>
      <w:sz w:val="18"/>
      <w:szCs w:val="18"/>
    </w:rPr>
  </w:style>
  <w:style w:type="paragraph" w:styleId="a7">
    <w:name w:val="annotation text"/>
    <w:basedOn w:val="a"/>
    <w:link w:val="Char0"/>
    <w:uiPriority w:val="99"/>
    <w:unhideWhenUsed/>
    <w:rsid w:val="00270B06"/>
  </w:style>
  <w:style w:type="character" w:customStyle="1" w:styleId="Char0">
    <w:name w:val="批注文字 Char"/>
    <w:basedOn w:val="a0"/>
    <w:link w:val="a7"/>
    <w:uiPriority w:val="99"/>
    <w:rsid w:val="00270B06"/>
    <w:rPr>
      <w:sz w:val="24"/>
      <w:szCs w:val="24"/>
    </w:rPr>
  </w:style>
  <w:style w:type="paragraph" w:styleId="a8">
    <w:name w:val="annotation subject"/>
    <w:basedOn w:val="a7"/>
    <w:next w:val="a7"/>
    <w:link w:val="Char1"/>
    <w:uiPriority w:val="99"/>
    <w:semiHidden/>
    <w:unhideWhenUsed/>
    <w:rsid w:val="00270B06"/>
    <w:rPr>
      <w:b/>
      <w:bCs/>
      <w:sz w:val="20"/>
      <w:szCs w:val="20"/>
    </w:rPr>
  </w:style>
  <w:style w:type="character" w:customStyle="1" w:styleId="Char1">
    <w:name w:val="批注主题 Char"/>
    <w:basedOn w:val="Char0"/>
    <w:link w:val="a8"/>
    <w:uiPriority w:val="99"/>
    <w:semiHidden/>
    <w:rsid w:val="00270B06"/>
    <w:rPr>
      <w:b/>
      <w:bCs/>
      <w:sz w:val="20"/>
      <w:szCs w:val="20"/>
    </w:rPr>
  </w:style>
  <w:style w:type="table" w:styleId="a9">
    <w:name w:val="Table Grid"/>
    <w:basedOn w:val="a1"/>
    <w:uiPriority w:val="39"/>
    <w:rsid w:val="001D3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0"/>
    <w:rsid w:val="0076517E"/>
  </w:style>
  <w:style w:type="character" w:styleId="aa">
    <w:name w:val="FollowedHyperlink"/>
    <w:basedOn w:val="a0"/>
    <w:uiPriority w:val="99"/>
    <w:semiHidden/>
    <w:unhideWhenUsed/>
    <w:rsid w:val="0076517E"/>
    <w:rPr>
      <w:color w:val="954F72" w:themeColor="followedHyperlink"/>
      <w:u w:val="single"/>
    </w:rPr>
  </w:style>
  <w:style w:type="paragraph" w:styleId="ab">
    <w:name w:val="header"/>
    <w:basedOn w:val="a"/>
    <w:link w:val="Char2"/>
    <w:uiPriority w:val="99"/>
    <w:unhideWhenUsed/>
    <w:rsid w:val="001A48D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1A48D3"/>
    <w:rPr>
      <w:sz w:val="18"/>
      <w:szCs w:val="18"/>
    </w:rPr>
  </w:style>
  <w:style w:type="paragraph" w:styleId="ac">
    <w:name w:val="footer"/>
    <w:basedOn w:val="a"/>
    <w:link w:val="Char3"/>
    <w:uiPriority w:val="99"/>
    <w:unhideWhenUsed/>
    <w:rsid w:val="001A48D3"/>
    <w:pPr>
      <w:tabs>
        <w:tab w:val="center" w:pos="4153"/>
        <w:tab w:val="right" w:pos="8306"/>
      </w:tabs>
      <w:snapToGrid w:val="0"/>
    </w:pPr>
    <w:rPr>
      <w:sz w:val="18"/>
      <w:szCs w:val="18"/>
    </w:rPr>
  </w:style>
  <w:style w:type="character" w:customStyle="1" w:styleId="Char3">
    <w:name w:val="页脚 Char"/>
    <w:basedOn w:val="a0"/>
    <w:link w:val="ac"/>
    <w:uiPriority w:val="99"/>
    <w:rsid w:val="001A48D3"/>
    <w:rPr>
      <w:sz w:val="18"/>
      <w:szCs w:val="18"/>
    </w:rPr>
  </w:style>
  <w:style w:type="character" w:customStyle="1" w:styleId="dxdefaultcursor">
    <w:name w:val="dxdefaultcursor"/>
    <w:basedOn w:val="a0"/>
    <w:rsid w:val="00DE6CAE"/>
  </w:style>
  <w:style w:type="character" w:customStyle="1" w:styleId="dxebaseoffice2010blue">
    <w:name w:val="dxebase_office2010blue"/>
    <w:basedOn w:val="a0"/>
    <w:rsid w:val="00DE6CAE"/>
  </w:style>
  <w:style w:type="character" w:customStyle="1" w:styleId="dxebaseoffice2010blue1">
    <w:name w:val="dxebase_office2010blue1"/>
    <w:basedOn w:val="a0"/>
    <w:rsid w:val="00814F9F"/>
    <w:rPr>
      <w:rFonts w:ascii="Verdana" w:hAnsi="Verdana" w:hint="default"/>
      <w:sz w:val="17"/>
      <w:szCs w:val="17"/>
    </w:rPr>
  </w:style>
  <w:style w:type="paragraph" w:styleId="ad">
    <w:name w:val="Plain Text"/>
    <w:basedOn w:val="a"/>
    <w:link w:val="Char4"/>
    <w:rsid w:val="008106CC"/>
    <w:pPr>
      <w:widowControl w:val="0"/>
      <w:jc w:val="both"/>
    </w:pPr>
    <w:rPr>
      <w:rFonts w:ascii="宋体" w:eastAsia="宋体" w:hAnsi="Courier New" w:cs="Courier New"/>
      <w:kern w:val="2"/>
      <w:sz w:val="21"/>
      <w:szCs w:val="21"/>
      <w:lang w:eastAsia="zh-CN"/>
    </w:rPr>
  </w:style>
  <w:style w:type="character" w:customStyle="1" w:styleId="Char4">
    <w:name w:val="纯文本 Char"/>
    <w:basedOn w:val="a0"/>
    <w:link w:val="ad"/>
    <w:rsid w:val="008106CC"/>
    <w:rPr>
      <w:rFonts w:ascii="宋体" w:eastAsia="宋体" w:hAnsi="Courier New" w:cs="Courier New"/>
      <w:kern w:val="2"/>
      <w:sz w:val="21"/>
      <w:szCs w:val="21"/>
      <w:lang w:eastAsia="zh-CN"/>
    </w:rPr>
  </w:style>
  <w:style w:type="paragraph" w:styleId="ae">
    <w:name w:val="No Spacing"/>
    <w:uiPriority w:val="1"/>
    <w:qFormat/>
    <w:rsid w:val="00636C9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4096">
      <w:bodyDiv w:val="1"/>
      <w:marLeft w:val="0"/>
      <w:marRight w:val="0"/>
      <w:marTop w:val="0"/>
      <w:marBottom w:val="0"/>
      <w:divBdr>
        <w:top w:val="none" w:sz="0" w:space="0" w:color="auto"/>
        <w:left w:val="none" w:sz="0" w:space="0" w:color="auto"/>
        <w:bottom w:val="none" w:sz="0" w:space="0" w:color="auto"/>
        <w:right w:val="none" w:sz="0" w:space="0" w:color="auto"/>
      </w:divBdr>
    </w:div>
    <w:div w:id="304941747">
      <w:bodyDiv w:val="1"/>
      <w:marLeft w:val="0"/>
      <w:marRight w:val="0"/>
      <w:marTop w:val="0"/>
      <w:marBottom w:val="0"/>
      <w:divBdr>
        <w:top w:val="none" w:sz="0" w:space="0" w:color="auto"/>
        <w:left w:val="none" w:sz="0" w:space="0" w:color="auto"/>
        <w:bottom w:val="none" w:sz="0" w:space="0" w:color="auto"/>
        <w:right w:val="none" w:sz="0" w:space="0" w:color="auto"/>
      </w:divBdr>
      <w:divsChild>
        <w:div w:id="1468470244">
          <w:marLeft w:val="547"/>
          <w:marRight w:val="0"/>
          <w:marTop w:val="154"/>
          <w:marBottom w:val="0"/>
          <w:divBdr>
            <w:top w:val="none" w:sz="0" w:space="0" w:color="auto"/>
            <w:left w:val="none" w:sz="0" w:space="0" w:color="auto"/>
            <w:bottom w:val="none" w:sz="0" w:space="0" w:color="auto"/>
            <w:right w:val="none" w:sz="0" w:space="0" w:color="auto"/>
          </w:divBdr>
        </w:div>
        <w:div w:id="1524976633">
          <w:marLeft w:val="547"/>
          <w:marRight w:val="0"/>
          <w:marTop w:val="154"/>
          <w:marBottom w:val="0"/>
          <w:divBdr>
            <w:top w:val="none" w:sz="0" w:space="0" w:color="auto"/>
            <w:left w:val="none" w:sz="0" w:space="0" w:color="auto"/>
            <w:bottom w:val="none" w:sz="0" w:space="0" w:color="auto"/>
            <w:right w:val="none" w:sz="0" w:space="0" w:color="auto"/>
          </w:divBdr>
        </w:div>
        <w:div w:id="295840589">
          <w:marLeft w:val="1166"/>
          <w:marRight w:val="0"/>
          <w:marTop w:val="134"/>
          <w:marBottom w:val="0"/>
          <w:divBdr>
            <w:top w:val="none" w:sz="0" w:space="0" w:color="auto"/>
            <w:left w:val="none" w:sz="0" w:space="0" w:color="auto"/>
            <w:bottom w:val="none" w:sz="0" w:space="0" w:color="auto"/>
            <w:right w:val="none" w:sz="0" w:space="0" w:color="auto"/>
          </w:divBdr>
        </w:div>
        <w:div w:id="52121386">
          <w:marLeft w:val="1166"/>
          <w:marRight w:val="0"/>
          <w:marTop w:val="134"/>
          <w:marBottom w:val="0"/>
          <w:divBdr>
            <w:top w:val="none" w:sz="0" w:space="0" w:color="auto"/>
            <w:left w:val="none" w:sz="0" w:space="0" w:color="auto"/>
            <w:bottom w:val="none" w:sz="0" w:space="0" w:color="auto"/>
            <w:right w:val="none" w:sz="0" w:space="0" w:color="auto"/>
          </w:divBdr>
        </w:div>
      </w:divsChild>
    </w:div>
    <w:div w:id="442460397">
      <w:bodyDiv w:val="1"/>
      <w:marLeft w:val="0"/>
      <w:marRight w:val="0"/>
      <w:marTop w:val="0"/>
      <w:marBottom w:val="0"/>
      <w:divBdr>
        <w:top w:val="none" w:sz="0" w:space="0" w:color="auto"/>
        <w:left w:val="none" w:sz="0" w:space="0" w:color="auto"/>
        <w:bottom w:val="none" w:sz="0" w:space="0" w:color="auto"/>
        <w:right w:val="none" w:sz="0" w:space="0" w:color="auto"/>
      </w:divBdr>
    </w:div>
    <w:div w:id="1595438703">
      <w:bodyDiv w:val="1"/>
      <w:marLeft w:val="0"/>
      <w:marRight w:val="0"/>
      <w:marTop w:val="0"/>
      <w:marBottom w:val="0"/>
      <w:divBdr>
        <w:top w:val="none" w:sz="0" w:space="0" w:color="auto"/>
        <w:left w:val="none" w:sz="0" w:space="0" w:color="auto"/>
        <w:bottom w:val="none" w:sz="0" w:space="0" w:color="auto"/>
        <w:right w:val="none" w:sz="0" w:space="0" w:color="auto"/>
      </w:divBdr>
    </w:div>
    <w:div w:id="1650478633">
      <w:bodyDiv w:val="1"/>
      <w:marLeft w:val="0"/>
      <w:marRight w:val="0"/>
      <w:marTop w:val="0"/>
      <w:marBottom w:val="0"/>
      <w:divBdr>
        <w:top w:val="none" w:sz="0" w:space="0" w:color="auto"/>
        <w:left w:val="none" w:sz="0" w:space="0" w:color="auto"/>
        <w:bottom w:val="none" w:sz="0" w:space="0" w:color="auto"/>
        <w:right w:val="none" w:sz="0" w:space="0" w:color="auto"/>
      </w:divBdr>
      <w:divsChild>
        <w:div w:id="785002028">
          <w:marLeft w:val="0"/>
          <w:marRight w:val="0"/>
          <w:marTop w:val="0"/>
          <w:marBottom w:val="0"/>
          <w:divBdr>
            <w:top w:val="none" w:sz="0" w:space="0" w:color="auto"/>
            <w:left w:val="none" w:sz="0" w:space="0" w:color="auto"/>
            <w:bottom w:val="none" w:sz="0" w:space="0" w:color="auto"/>
            <w:right w:val="none" w:sz="0" w:space="0" w:color="auto"/>
          </w:divBdr>
          <w:divsChild>
            <w:div w:id="1927495982">
              <w:marLeft w:val="0"/>
              <w:marRight w:val="0"/>
              <w:marTop w:val="0"/>
              <w:marBottom w:val="0"/>
              <w:divBdr>
                <w:top w:val="none" w:sz="0" w:space="0" w:color="auto"/>
                <w:left w:val="none" w:sz="0" w:space="0" w:color="auto"/>
                <w:bottom w:val="none" w:sz="0" w:space="0" w:color="auto"/>
                <w:right w:val="none" w:sz="0" w:space="0" w:color="auto"/>
              </w:divBdr>
              <w:divsChild>
                <w:div w:id="1365061211">
                  <w:marLeft w:val="0"/>
                  <w:marRight w:val="0"/>
                  <w:marTop w:val="0"/>
                  <w:marBottom w:val="0"/>
                  <w:divBdr>
                    <w:top w:val="none" w:sz="0" w:space="0" w:color="auto"/>
                    <w:left w:val="none" w:sz="0" w:space="0" w:color="auto"/>
                    <w:bottom w:val="none" w:sz="0" w:space="0" w:color="auto"/>
                    <w:right w:val="none" w:sz="0" w:space="0" w:color="auto"/>
                  </w:divBdr>
                  <w:divsChild>
                    <w:div w:id="2145614392">
                      <w:marLeft w:val="0"/>
                      <w:marRight w:val="0"/>
                      <w:marTop w:val="0"/>
                      <w:marBottom w:val="0"/>
                      <w:divBdr>
                        <w:top w:val="none" w:sz="0" w:space="0" w:color="auto"/>
                        <w:left w:val="none" w:sz="0" w:space="0" w:color="auto"/>
                        <w:bottom w:val="none" w:sz="0" w:space="0" w:color="auto"/>
                        <w:right w:val="none" w:sz="0" w:space="0" w:color="auto"/>
                      </w:divBdr>
                      <w:divsChild>
                        <w:div w:id="178813206">
                          <w:marLeft w:val="0"/>
                          <w:marRight w:val="0"/>
                          <w:marTop w:val="0"/>
                          <w:marBottom w:val="0"/>
                          <w:divBdr>
                            <w:top w:val="none" w:sz="0" w:space="0" w:color="auto"/>
                            <w:left w:val="none" w:sz="0" w:space="0" w:color="auto"/>
                            <w:bottom w:val="none" w:sz="0" w:space="0" w:color="auto"/>
                            <w:right w:val="none" w:sz="0" w:space="0" w:color="auto"/>
                          </w:divBdr>
                          <w:divsChild>
                            <w:div w:id="517623200">
                              <w:marLeft w:val="0"/>
                              <w:marRight w:val="0"/>
                              <w:marTop w:val="0"/>
                              <w:marBottom w:val="0"/>
                              <w:divBdr>
                                <w:top w:val="none" w:sz="0" w:space="0" w:color="auto"/>
                                <w:left w:val="none" w:sz="0" w:space="0" w:color="auto"/>
                                <w:bottom w:val="none" w:sz="0" w:space="0" w:color="auto"/>
                                <w:right w:val="none" w:sz="0" w:space="0" w:color="auto"/>
                              </w:divBdr>
                              <w:divsChild>
                                <w:div w:id="9647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269690">
      <w:bodyDiv w:val="1"/>
      <w:marLeft w:val="0"/>
      <w:marRight w:val="0"/>
      <w:marTop w:val="0"/>
      <w:marBottom w:val="0"/>
      <w:divBdr>
        <w:top w:val="none" w:sz="0" w:space="0" w:color="auto"/>
        <w:left w:val="none" w:sz="0" w:space="0" w:color="auto"/>
        <w:bottom w:val="none" w:sz="0" w:space="0" w:color="auto"/>
        <w:right w:val="none" w:sz="0" w:space="0" w:color="auto"/>
      </w:divBdr>
    </w:div>
    <w:div w:id="1896038620">
      <w:bodyDiv w:val="1"/>
      <w:marLeft w:val="0"/>
      <w:marRight w:val="0"/>
      <w:marTop w:val="0"/>
      <w:marBottom w:val="0"/>
      <w:divBdr>
        <w:top w:val="none" w:sz="0" w:space="0" w:color="auto"/>
        <w:left w:val="none" w:sz="0" w:space="0" w:color="auto"/>
        <w:bottom w:val="none" w:sz="0" w:space="0" w:color="auto"/>
        <w:right w:val="none" w:sz="0" w:space="0" w:color="auto"/>
      </w:divBdr>
      <w:divsChild>
        <w:div w:id="1692686725">
          <w:marLeft w:val="0"/>
          <w:marRight w:val="0"/>
          <w:marTop w:val="0"/>
          <w:marBottom w:val="0"/>
          <w:divBdr>
            <w:top w:val="none" w:sz="0" w:space="0" w:color="auto"/>
            <w:left w:val="none" w:sz="0" w:space="0" w:color="auto"/>
            <w:bottom w:val="none" w:sz="0" w:space="0" w:color="auto"/>
            <w:right w:val="none" w:sz="0" w:space="0" w:color="auto"/>
          </w:divBdr>
          <w:divsChild>
            <w:div w:id="2118714604">
              <w:marLeft w:val="0"/>
              <w:marRight w:val="0"/>
              <w:marTop w:val="0"/>
              <w:marBottom w:val="0"/>
              <w:divBdr>
                <w:top w:val="none" w:sz="0" w:space="0" w:color="auto"/>
                <w:left w:val="none" w:sz="0" w:space="0" w:color="auto"/>
                <w:bottom w:val="none" w:sz="0" w:space="0" w:color="auto"/>
                <w:right w:val="none" w:sz="0" w:space="0" w:color="auto"/>
              </w:divBdr>
              <w:divsChild>
                <w:div w:id="1917783354">
                  <w:marLeft w:val="0"/>
                  <w:marRight w:val="0"/>
                  <w:marTop w:val="0"/>
                  <w:marBottom w:val="0"/>
                  <w:divBdr>
                    <w:top w:val="none" w:sz="0" w:space="0" w:color="auto"/>
                    <w:left w:val="none" w:sz="0" w:space="0" w:color="auto"/>
                    <w:bottom w:val="none" w:sz="0" w:space="0" w:color="auto"/>
                    <w:right w:val="none" w:sz="0" w:space="0" w:color="auto"/>
                  </w:divBdr>
                  <w:divsChild>
                    <w:div w:id="1882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10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nc/4.0/" TargetMode="External"/><Relationship Id="rId18" Type="http://schemas.openxmlformats.org/officeDocument/2006/relationships/hyperlink" Target="https://en.wikipedia.org/wiki/Semagluti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orcid.org/https:/orcid.org/0000-0001-5370-3146" TargetMode="External"/><Relationship Id="rId17" Type="http://schemas.openxmlformats.org/officeDocument/2006/relationships/hyperlink" Target="https://en.wikipedia.org/wiki/Lixisenatide" TargetMode="External"/><Relationship Id="rId2" Type="http://schemas.openxmlformats.org/officeDocument/2006/relationships/numbering" Target="numbering.xml"/><Relationship Id="rId16" Type="http://schemas.openxmlformats.org/officeDocument/2006/relationships/hyperlink" Target="https://en.wikipedia.org/wiki/Dulagluti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rkant\Downloads\0000-0002-7266-9358" TargetMode="External"/><Relationship Id="rId5" Type="http://schemas.openxmlformats.org/officeDocument/2006/relationships/settings" Target="settings.xml"/><Relationship Id="rId15" Type="http://schemas.openxmlformats.org/officeDocument/2006/relationships/hyperlink" Target="https://en.wikipedia.org/wiki/Liraglutide" TargetMode="External"/><Relationship Id="rId10" Type="http://schemas.openxmlformats.org/officeDocument/2006/relationships/hyperlink" Target="file:///C:\Users\rkant\Downloads\0000-0002-1075-1284" TargetMode="External"/><Relationship Id="rId19" Type="http://schemas.openxmlformats.org/officeDocument/2006/relationships/hyperlink" Target="https://en.wikipedia.org/wiki/Albiglutide" TargetMode="External"/><Relationship Id="rId4" Type="http://schemas.microsoft.com/office/2007/relationships/stylesWithEffects" Target="stylesWithEffects.xml"/><Relationship Id="rId9" Type="http://schemas.openxmlformats.org/officeDocument/2006/relationships/hyperlink" Target="http://orcid.org/https:/orcid.org/0000-0002-9599-8082" TargetMode="External"/><Relationship Id="rId14" Type="http://schemas.openxmlformats.org/officeDocument/2006/relationships/hyperlink" Target="https://en.wikipedia.org/wiki/Exenati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66D7F-F101-4884-B647-4C7D4330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6163</Words>
  <Characters>35130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Kant</dc:creator>
  <cp:keywords/>
  <dc:description/>
  <cp:lastModifiedBy>Wang Jie</cp:lastModifiedBy>
  <cp:revision>11</cp:revision>
  <dcterms:created xsi:type="dcterms:W3CDTF">2019-05-23T11:55:00Z</dcterms:created>
  <dcterms:modified xsi:type="dcterms:W3CDTF">2019-06-14T08:51:00Z</dcterms:modified>
</cp:coreProperties>
</file>