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6FDD" w14:textId="77777777" w:rsidR="000F4E21" w:rsidRPr="009D03BE" w:rsidRDefault="000F4E21" w:rsidP="00EC24C5">
      <w:pPr>
        <w:snapToGrid w:val="0"/>
        <w:spacing w:line="360" w:lineRule="auto"/>
        <w:jc w:val="both"/>
        <w:rPr>
          <w:rFonts w:ascii="Book Antiqua" w:hAnsi="Book Antiqua"/>
          <w:b/>
          <w:lang w:val="en-GB"/>
        </w:rPr>
      </w:pPr>
      <w:r w:rsidRPr="009D03BE">
        <w:rPr>
          <w:rFonts w:ascii="Book Antiqua" w:hAnsi="Book Antiqua"/>
          <w:b/>
          <w:lang w:val="en-GB"/>
        </w:rPr>
        <w:t xml:space="preserve">Name of Journal: </w:t>
      </w:r>
      <w:r w:rsidRPr="009D03BE">
        <w:rPr>
          <w:rFonts w:ascii="Book Antiqua" w:hAnsi="Book Antiqua"/>
          <w:b/>
          <w:i/>
          <w:lang w:val="en-GB"/>
        </w:rPr>
        <w:t>World Journal of Clinical Cases</w:t>
      </w:r>
    </w:p>
    <w:p w14:paraId="13B2121B" w14:textId="77777777" w:rsidR="000F4E21" w:rsidRPr="009D03BE" w:rsidRDefault="000F4E21" w:rsidP="00EC24C5">
      <w:pPr>
        <w:snapToGrid w:val="0"/>
        <w:spacing w:line="360" w:lineRule="auto"/>
        <w:jc w:val="both"/>
        <w:rPr>
          <w:rFonts w:ascii="Book Antiqua" w:hAnsi="Book Antiqua"/>
          <w:b/>
          <w:lang w:val="en-GB" w:eastAsia="zh-CN"/>
        </w:rPr>
      </w:pPr>
      <w:r w:rsidRPr="009D03BE">
        <w:rPr>
          <w:rFonts w:ascii="Book Antiqua" w:hAnsi="Book Antiqua"/>
          <w:b/>
          <w:lang w:val="en-GB"/>
        </w:rPr>
        <w:t xml:space="preserve">Manuscript NO: </w:t>
      </w:r>
      <w:r w:rsidRPr="009D03BE">
        <w:rPr>
          <w:rFonts w:ascii="Book Antiqua" w:hAnsi="Book Antiqua"/>
          <w:b/>
          <w:lang w:val="en-GB" w:eastAsia="zh-CN"/>
        </w:rPr>
        <w:t>46797</w:t>
      </w:r>
    </w:p>
    <w:p w14:paraId="316D5EB7" w14:textId="77777777" w:rsidR="00046989" w:rsidRPr="009D03BE" w:rsidRDefault="000F4E21" w:rsidP="00EC24C5">
      <w:pPr>
        <w:snapToGrid w:val="0"/>
        <w:spacing w:line="360" w:lineRule="auto"/>
        <w:jc w:val="both"/>
        <w:rPr>
          <w:rFonts w:ascii="Book Antiqua" w:hAnsi="Book Antiqua"/>
          <w:b/>
          <w:lang w:val="en-GB" w:eastAsia="zh-CN"/>
        </w:rPr>
      </w:pPr>
      <w:r w:rsidRPr="009D03BE">
        <w:rPr>
          <w:rFonts w:ascii="Book Antiqua" w:hAnsi="Book Antiqua"/>
          <w:b/>
          <w:lang w:val="en-GB"/>
        </w:rPr>
        <w:t>Manuscript Type: ORIGINAL ARTICLE</w:t>
      </w:r>
    </w:p>
    <w:p w14:paraId="4BD76234" w14:textId="77777777" w:rsidR="000F4E21" w:rsidRPr="009D03BE" w:rsidRDefault="000F4E21" w:rsidP="00EC24C5">
      <w:pPr>
        <w:snapToGrid w:val="0"/>
        <w:spacing w:line="360" w:lineRule="auto"/>
        <w:jc w:val="both"/>
        <w:rPr>
          <w:rFonts w:ascii="Book Antiqua" w:hAnsi="Book Antiqua"/>
          <w:lang w:val="en-GB" w:eastAsia="zh-CN"/>
        </w:rPr>
      </w:pPr>
    </w:p>
    <w:p w14:paraId="20DF48EC" w14:textId="77777777" w:rsidR="000F4E21" w:rsidRPr="009D03BE" w:rsidRDefault="000F4E21"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Retrospective Cohort Study</w:t>
      </w:r>
    </w:p>
    <w:p w14:paraId="30FD4C05" w14:textId="77777777" w:rsidR="00CC10B1" w:rsidRPr="009D03BE" w:rsidRDefault="00404A39" w:rsidP="00EC24C5">
      <w:pPr>
        <w:snapToGrid w:val="0"/>
        <w:spacing w:line="360" w:lineRule="auto"/>
        <w:jc w:val="both"/>
        <w:rPr>
          <w:rFonts w:ascii="Book Antiqua" w:hAnsi="Book Antiqua"/>
          <w:b/>
          <w:lang w:val="en-GB" w:eastAsia="zh-CN"/>
        </w:rPr>
      </w:pPr>
      <w:r w:rsidRPr="009D03BE">
        <w:rPr>
          <w:rFonts w:ascii="Book Antiqua" w:hAnsi="Book Antiqua"/>
          <w:b/>
          <w:lang w:val="en-GB"/>
        </w:rPr>
        <w:t xml:space="preserve">Rituximab-induced </w:t>
      </w:r>
      <w:r w:rsidR="003D53EB" w:rsidRPr="009D03BE">
        <w:rPr>
          <w:rFonts w:ascii="Book Antiqua" w:hAnsi="Book Antiqua"/>
          <w:b/>
          <w:lang w:val="en-GB"/>
        </w:rPr>
        <w:t>IgG</w:t>
      </w:r>
      <w:r w:rsidR="00CC10B1" w:rsidRPr="009D03BE">
        <w:rPr>
          <w:rFonts w:ascii="Book Antiqua" w:hAnsi="Book Antiqua"/>
          <w:b/>
          <w:lang w:val="en-GB"/>
        </w:rPr>
        <w:t xml:space="preserve"> </w:t>
      </w:r>
      <w:r w:rsidR="009B6686" w:rsidRPr="009D03BE">
        <w:rPr>
          <w:rFonts w:ascii="Book Antiqua" w:hAnsi="Book Antiqua"/>
          <w:b/>
          <w:lang w:val="en-GB"/>
        </w:rPr>
        <w:t xml:space="preserve">hypogammaglobulinemia </w:t>
      </w:r>
      <w:r w:rsidR="00141CA6" w:rsidRPr="009D03BE">
        <w:rPr>
          <w:rFonts w:ascii="Book Antiqua" w:hAnsi="Book Antiqua"/>
          <w:b/>
          <w:lang w:val="en-GB"/>
        </w:rPr>
        <w:t xml:space="preserve">in </w:t>
      </w:r>
      <w:r w:rsidRPr="009D03BE">
        <w:rPr>
          <w:rFonts w:ascii="Book Antiqua" w:hAnsi="Book Antiqua"/>
          <w:b/>
          <w:lang w:val="en-GB"/>
        </w:rPr>
        <w:t>children</w:t>
      </w:r>
      <w:r w:rsidR="00141CA6" w:rsidRPr="009D03BE">
        <w:rPr>
          <w:rFonts w:ascii="Book Antiqua" w:hAnsi="Book Antiqua"/>
          <w:b/>
          <w:lang w:val="en-GB"/>
        </w:rPr>
        <w:t xml:space="preserve"> </w:t>
      </w:r>
      <w:r w:rsidR="009B6686" w:rsidRPr="009D03BE">
        <w:rPr>
          <w:rFonts w:ascii="Book Antiqua" w:hAnsi="Book Antiqua"/>
          <w:b/>
          <w:lang w:val="en-GB"/>
        </w:rPr>
        <w:t>with nephrotic syndrome</w:t>
      </w:r>
      <w:r w:rsidR="003D53EB" w:rsidRPr="009D03BE">
        <w:rPr>
          <w:rFonts w:ascii="Book Antiqua" w:hAnsi="Book Antiqua"/>
          <w:b/>
          <w:lang w:val="en-GB"/>
        </w:rPr>
        <w:t xml:space="preserve"> </w:t>
      </w:r>
      <w:r w:rsidRPr="009D03BE">
        <w:rPr>
          <w:rFonts w:ascii="Book Antiqua" w:hAnsi="Book Antiqua"/>
          <w:b/>
          <w:lang w:val="en-GB"/>
        </w:rPr>
        <w:t>and</w:t>
      </w:r>
      <w:r w:rsidR="003D53EB" w:rsidRPr="009D03BE">
        <w:rPr>
          <w:rFonts w:ascii="Book Antiqua" w:hAnsi="Book Antiqua"/>
          <w:b/>
          <w:lang w:val="en-GB"/>
        </w:rPr>
        <w:t xml:space="preserve"> normal </w:t>
      </w:r>
      <w:r w:rsidR="009347AC" w:rsidRPr="009D03BE">
        <w:rPr>
          <w:rFonts w:ascii="Book Antiqua" w:hAnsi="Book Antiqua"/>
          <w:b/>
          <w:lang w:val="en-GB"/>
        </w:rPr>
        <w:t xml:space="preserve">pre-treatment </w:t>
      </w:r>
      <w:r w:rsidR="003D53EB" w:rsidRPr="009D03BE">
        <w:rPr>
          <w:rFonts w:ascii="Book Antiqua" w:hAnsi="Book Antiqua"/>
          <w:b/>
          <w:lang w:val="en-GB"/>
        </w:rPr>
        <w:t xml:space="preserve">IgG </w:t>
      </w:r>
      <w:r w:rsidRPr="009D03BE">
        <w:rPr>
          <w:rFonts w:ascii="Book Antiqua" w:hAnsi="Book Antiqua"/>
          <w:b/>
          <w:lang w:val="en-GB"/>
        </w:rPr>
        <w:t>values</w:t>
      </w:r>
    </w:p>
    <w:p w14:paraId="005A1DD5" w14:textId="77777777" w:rsidR="00046989" w:rsidRPr="009D03BE" w:rsidRDefault="00046989" w:rsidP="00EC24C5">
      <w:pPr>
        <w:pStyle w:val="2"/>
        <w:snapToGrid w:val="0"/>
        <w:spacing w:after="0" w:line="360" w:lineRule="auto"/>
        <w:jc w:val="both"/>
        <w:rPr>
          <w:rFonts w:ascii="Book Antiqua" w:hAnsi="Book Antiqua"/>
          <w:sz w:val="24"/>
          <w:szCs w:val="24"/>
          <w:lang w:val="en-GB"/>
        </w:rPr>
      </w:pPr>
    </w:p>
    <w:p w14:paraId="1C3728D5" w14:textId="77777777" w:rsidR="00046989" w:rsidRPr="009D03BE" w:rsidRDefault="00046989" w:rsidP="00EC24C5">
      <w:pPr>
        <w:pStyle w:val="2"/>
        <w:snapToGrid w:val="0"/>
        <w:spacing w:after="0" w:line="360" w:lineRule="auto"/>
        <w:jc w:val="both"/>
        <w:rPr>
          <w:rFonts w:ascii="Book Antiqua" w:eastAsia="宋体" w:hAnsi="Book Antiqua"/>
          <w:sz w:val="24"/>
          <w:szCs w:val="24"/>
          <w:lang w:val="en-GB" w:eastAsia="zh-CN"/>
        </w:rPr>
      </w:pPr>
      <w:proofErr w:type="spellStart"/>
      <w:r w:rsidRPr="009D03BE">
        <w:rPr>
          <w:rFonts w:ascii="Book Antiqua" w:hAnsi="Book Antiqua"/>
          <w:sz w:val="24"/>
          <w:szCs w:val="24"/>
          <w:lang w:val="en-GB"/>
        </w:rPr>
        <w:t>Marzuillo</w:t>
      </w:r>
      <w:proofErr w:type="spellEnd"/>
      <w:r w:rsidRPr="009D03BE">
        <w:rPr>
          <w:rFonts w:ascii="Book Antiqua" w:hAnsi="Book Antiqua"/>
          <w:sz w:val="24"/>
          <w:szCs w:val="24"/>
          <w:lang w:val="en-GB"/>
        </w:rPr>
        <w:t xml:space="preserve"> P </w:t>
      </w:r>
      <w:r w:rsidRPr="009D03BE">
        <w:rPr>
          <w:rFonts w:ascii="Book Antiqua" w:hAnsi="Book Antiqua"/>
          <w:i/>
          <w:sz w:val="24"/>
          <w:szCs w:val="24"/>
          <w:lang w:val="en-GB"/>
        </w:rPr>
        <w:t>et al.</w:t>
      </w:r>
      <w:r w:rsidRPr="009D03BE">
        <w:rPr>
          <w:rFonts w:ascii="Book Antiqua" w:hAnsi="Book Antiqua"/>
          <w:sz w:val="24"/>
          <w:szCs w:val="24"/>
          <w:lang w:val="en-GB"/>
        </w:rPr>
        <w:t xml:space="preserve"> </w:t>
      </w:r>
      <w:r w:rsidR="005034EC" w:rsidRPr="009D03BE">
        <w:rPr>
          <w:rFonts w:ascii="Book Antiqua" w:hAnsi="Book Antiqua"/>
          <w:sz w:val="24"/>
          <w:szCs w:val="24"/>
          <w:lang w:val="en-GB"/>
        </w:rPr>
        <w:t>RTX</w:t>
      </w:r>
      <w:r w:rsidRPr="009D03BE">
        <w:rPr>
          <w:rFonts w:ascii="Book Antiqua" w:hAnsi="Book Antiqua"/>
          <w:sz w:val="24"/>
          <w:szCs w:val="24"/>
          <w:lang w:val="en-GB"/>
        </w:rPr>
        <w:t xml:space="preserve"> and IgG hypogammaglobulinemia in children with </w:t>
      </w:r>
      <w:r w:rsidR="005034EC" w:rsidRPr="009D03BE">
        <w:rPr>
          <w:rFonts w:ascii="Book Antiqua" w:hAnsi="Book Antiqua"/>
          <w:sz w:val="24"/>
          <w:szCs w:val="24"/>
          <w:lang w:val="en-GB"/>
        </w:rPr>
        <w:t>NS</w:t>
      </w:r>
    </w:p>
    <w:p w14:paraId="0B262C8E" w14:textId="77777777" w:rsidR="000F4E21" w:rsidRPr="009D03BE" w:rsidRDefault="000F4E21" w:rsidP="00EC24C5">
      <w:pPr>
        <w:pStyle w:val="2"/>
        <w:snapToGrid w:val="0"/>
        <w:spacing w:after="0" w:line="360" w:lineRule="auto"/>
        <w:jc w:val="both"/>
        <w:rPr>
          <w:rFonts w:ascii="Book Antiqua" w:eastAsia="宋体" w:hAnsi="Book Antiqua"/>
          <w:sz w:val="24"/>
          <w:szCs w:val="24"/>
          <w:lang w:val="en-GB" w:eastAsia="zh-CN"/>
        </w:rPr>
      </w:pPr>
    </w:p>
    <w:p w14:paraId="5287F5C9" w14:textId="77777777" w:rsidR="00315AF5" w:rsidRPr="009D03BE" w:rsidRDefault="00315AF5" w:rsidP="00EC24C5">
      <w:pPr>
        <w:pStyle w:val="2"/>
        <w:snapToGrid w:val="0"/>
        <w:spacing w:after="0" w:line="360" w:lineRule="auto"/>
        <w:jc w:val="both"/>
        <w:rPr>
          <w:rFonts w:ascii="Book Antiqua" w:eastAsia="宋体" w:hAnsi="Book Antiqua"/>
          <w:b/>
          <w:sz w:val="24"/>
          <w:szCs w:val="24"/>
          <w:vertAlign w:val="superscript"/>
          <w:lang w:val="en-GB" w:eastAsia="zh-CN"/>
        </w:rPr>
      </w:pPr>
      <w:proofErr w:type="spellStart"/>
      <w:r w:rsidRPr="009D03BE">
        <w:rPr>
          <w:rFonts w:ascii="Book Antiqua" w:hAnsi="Book Antiqua"/>
          <w:b/>
          <w:sz w:val="24"/>
          <w:szCs w:val="24"/>
          <w:lang w:val="en-GB"/>
        </w:rPr>
        <w:t>Pierluigi</w:t>
      </w:r>
      <w:proofErr w:type="spellEnd"/>
      <w:r w:rsidRPr="009D03BE">
        <w:rPr>
          <w:rFonts w:ascii="Book Antiqua" w:hAnsi="Book Antiqua"/>
          <w:b/>
          <w:sz w:val="24"/>
          <w:szCs w:val="24"/>
          <w:lang w:val="en-GB"/>
        </w:rPr>
        <w:t xml:space="preserve"> </w:t>
      </w:r>
      <w:proofErr w:type="spellStart"/>
      <w:r w:rsidRPr="009D03BE">
        <w:rPr>
          <w:rFonts w:ascii="Book Antiqua" w:hAnsi="Book Antiqua"/>
          <w:b/>
          <w:sz w:val="24"/>
          <w:szCs w:val="24"/>
          <w:lang w:val="en-GB"/>
        </w:rPr>
        <w:t>Marzuillo</w:t>
      </w:r>
      <w:proofErr w:type="spellEnd"/>
      <w:r w:rsidRPr="009D03BE">
        <w:rPr>
          <w:rFonts w:ascii="Book Antiqua" w:hAnsi="Book Antiqua"/>
          <w:b/>
          <w:sz w:val="24"/>
          <w:szCs w:val="24"/>
          <w:lang w:val="en-GB"/>
        </w:rPr>
        <w:t xml:space="preserve">, Stefano Guarino, </w:t>
      </w:r>
      <w:proofErr w:type="spellStart"/>
      <w:r w:rsidRPr="009D03BE">
        <w:rPr>
          <w:rFonts w:ascii="Book Antiqua" w:hAnsi="Book Antiqua"/>
          <w:b/>
          <w:sz w:val="24"/>
          <w:szCs w:val="24"/>
          <w:lang w:val="en-GB"/>
        </w:rPr>
        <w:t>Tiziana</w:t>
      </w:r>
      <w:proofErr w:type="spellEnd"/>
      <w:r w:rsidRPr="009D03BE">
        <w:rPr>
          <w:rFonts w:ascii="Book Antiqua" w:hAnsi="Book Antiqua"/>
          <w:b/>
          <w:sz w:val="24"/>
          <w:szCs w:val="24"/>
          <w:lang w:val="en-GB"/>
        </w:rPr>
        <w:t xml:space="preserve"> Esposito, </w:t>
      </w:r>
      <w:r w:rsidR="00B22B55" w:rsidRPr="009D03BE">
        <w:rPr>
          <w:rFonts w:ascii="Book Antiqua" w:hAnsi="Book Antiqua"/>
          <w:b/>
          <w:sz w:val="24"/>
          <w:szCs w:val="24"/>
          <w:lang w:val="en-GB"/>
        </w:rPr>
        <w:t xml:space="preserve">Anna Di Sessa, </w:t>
      </w:r>
      <w:r w:rsidR="00DD1554" w:rsidRPr="009D03BE">
        <w:rPr>
          <w:rFonts w:ascii="Book Antiqua" w:hAnsi="Book Antiqua"/>
          <w:b/>
          <w:sz w:val="24"/>
          <w:szCs w:val="24"/>
          <w:lang w:val="en-GB"/>
        </w:rPr>
        <w:t>Sara</w:t>
      </w:r>
      <w:r w:rsidR="0068473A" w:rsidRPr="009D03BE">
        <w:rPr>
          <w:rFonts w:ascii="Book Antiqua" w:hAnsi="Book Antiqua"/>
          <w:b/>
          <w:sz w:val="24"/>
          <w:szCs w:val="24"/>
          <w:lang w:val="en-GB"/>
        </w:rPr>
        <w:t xml:space="preserve"> </w:t>
      </w:r>
      <w:proofErr w:type="spellStart"/>
      <w:r w:rsidR="0068473A" w:rsidRPr="009D03BE">
        <w:rPr>
          <w:rFonts w:ascii="Book Antiqua" w:hAnsi="Book Antiqua"/>
          <w:b/>
          <w:sz w:val="24"/>
          <w:szCs w:val="24"/>
          <w:lang w:val="en-GB"/>
        </w:rPr>
        <w:t>Immacolata</w:t>
      </w:r>
      <w:proofErr w:type="spellEnd"/>
      <w:r w:rsidR="00DD1554" w:rsidRPr="009D03BE">
        <w:rPr>
          <w:rFonts w:ascii="Book Antiqua" w:hAnsi="Book Antiqua"/>
          <w:b/>
          <w:sz w:val="24"/>
          <w:szCs w:val="24"/>
          <w:lang w:val="en-GB"/>
        </w:rPr>
        <w:t xml:space="preserve"> Orsini, </w:t>
      </w:r>
      <w:r w:rsidRPr="009D03BE">
        <w:rPr>
          <w:rFonts w:ascii="Book Antiqua" w:hAnsi="Book Antiqua"/>
          <w:b/>
          <w:sz w:val="24"/>
          <w:szCs w:val="24"/>
          <w:lang w:val="en-GB"/>
        </w:rPr>
        <w:t xml:space="preserve">Daniela </w:t>
      </w:r>
      <w:proofErr w:type="spellStart"/>
      <w:r w:rsidRPr="009D03BE">
        <w:rPr>
          <w:rFonts w:ascii="Book Antiqua" w:hAnsi="Book Antiqua"/>
          <w:b/>
          <w:sz w:val="24"/>
          <w:szCs w:val="24"/>
          <w:lang w:val="en-GB"/>
        </w:rPr>
        <w:t>Capalbo</w:t>
      </w:r>
      <w:proofErr w:type="spellEnd"/>
      <w:r w:rsidRPr="009D03BE">
        <w:rPr>
          <w:rFonts w:ascii="Book Antiqua" w:hAnsi="Book Antiqua"/>
          <w:b/>
          <w:sz w:val="24"/>
          <w:szCs w:val="24"/>
          <w:lang w:val="en-GB"/>
        </w:rPr>
        <w:t xml:space="preserve">, Emanuele </w:t>
      </w:r>
      <w:proofErr w:type="spellStart"/>
      <w:r w:rsidRPr="009D03BE">
        <w:rPr>
          <w:rFonts w:ascii="Book Antiqua" w:hAnsi="Book Antiqua"/>
          <w:b/>
          <w:sz w:val="24"/>
          <w:szCs w:val="24"/>
          <w:lang w:val="en-GB"/>
        </w:rPr>
        <w:t>Miragl</w:t>
      </w:r>
      <w:r w:rsidR="000F4E21" w:rsidRPr="009D03BE">
        <w:rPr>
          <w:rFonts w:ascii="Book Antiqua" w:hAnsi="Book Antiqua"/>
          <w:b/>
          <w:sz w:val="24"/>
          <w:szCs w:val="24"/>
          <w:lang w:val="en-GB"/>
        </w:rPr>
        <w:t>ia</w:t>
      </w:r>
      <w:proofErr w:type="spellEnd"/>
      <w:r w:rsidR="000F4E21" w:rsidRPr="009D03BE">
        <w:rPr>
          <w:rFonts w:ascii="Book Antiqua" w:hAnsi="Book Antiqua"/>
          <w:b/>
          <w:sz w:val="24"/>
          <w:szCs w:val="24"/>
          <w:lang w:val="en-GB"/>
        </w:rPr>
        <w:t xml:space="preserve"> del Giudice, Angela La Manna</w:t>
      </w:r>
    </w:p>
    <w:p w14:paraId="44ED14AF" w14:textId="77777777" w:rsidR="00B12F2A" w:rsidRPr="009D03BE" w:rsidRDefault="00B12F2A" w:rsidP="00EC24C5">
      <w:pPr>
        <w:pStyle w:val="2"/>
        <w:snapToGrid w:val="0"/>
        <w:spacing w:after="0" w:line="360" w:lineRule="auto"/>
        <w:jc w:val="both"/>
        <w:rPr>
          <w:rFonts w:ascii="Book Antiqua" w:hAnsi="Book Antiqua"/>
          <w:b/>
          <w:sz w:val="24"/>
          <w:szCs w:val="24"/>
          <w:lang w:val="en-GB"/>
        </w:rPr>
      </w:pPr>
    </w:p>
    <w:p w14:paraId="563F504B" w14:textId="77777777" w:rsidR="00315AF5" w:rsidRPr="009D03BE" w:rsidRDefault="00046989" w:rsidP="00EC24C5">
      <w:pPr>
        <w:pStyle w:val="2"/>
        <w:snapToGrid w:val="0"/>
        <w:spacing w:after="0" w:line="360" w:lineRule="auto"/>
        <w:jc w:val="both"/>
        <w:rPr>
          <w:rFonts w:ascii="Book Antiqua" w:eastAsia="宋体" w:hAnsi="Book Antiqua"/>
          <w:sz w:val="24"/>
          <w:szCs w:val="24"/>
          <w:lang w:val="en-GB" w:eastAsia="zh-CN"/>
        </w:rPr>
      </w:pPr>
      <w:proofErr w:type="spellStart"/>
      <w:r w:rsidRPr="009D03BE">
        <w:rPr>
          <w:rFonts w:ascii="Book Antiqua" w:hAnsi="Book Antiqua"/>
          <w:b/>
          <w:sz w:val="24"/>
          <w:szCs w:val="24"/>
          <w:lang w:val="en-GB"/>
        </w:rPr>
        <w:t>Pierluigi</w:t>
      </w:r>
      <w:proofErr w:type="spellEnd"/>
      <w:r w:rsidRPr="009D03BE">
        <w:rPr>
          <w:rFonts w:ascii="Book Antiqua" w:hAnsi="Book Antiqua"/>
          <w:b/>
          <w:sz w:val="24"/>
          <w:szCs w:val="24"/>
          <w:lang w:val="en-GB"/>
        </w:rPr>
        <w:t xml:space="preserve"> </w:t>
      </w:r>
      <w:proofErr w:type="spellStart"/>
      <w:r w:rsidRPr="009D03BE">
        <w:rPr>
          <w:rFonts w:ascii="Book Antiqua" w:hAnsi="Book Antiqua"/>
          <w:b/>
          <w:sz w:val="24"/>
          <w:szCs w:val="24"/>
          <w:lang w:val="en-GB"/>
        </w:rPr>
        <w:t>Marzuillo</w:t>
      </w:r>
      <w:proofErr w:type="spellEnd"/>
      <w:r w:rsidRPr="009D03BE">
        <w:rPr>
          <w:rFonts w:ascii="Book Antiqua" w:hAnsi="Book Antiqua"/>
          <w:b/>
          <w:sz w:val="24"/>
          <w:szCs w:val="24"/>
          <w:lang w:val="en-GB"/>
        </w:rPr>
        <w:t xml:space="preserve">, Stefano Guarino, </w:t>
      </w:r>
      <w:proofErr w:type="spellStart"/>
      <w:r w:rsidRPr="009D03BE">
        <w:rPr>
          <w:rFonts w:ascii="Book Antiqua" w:hAnsi="Book Antiqua"/>
          <w:b/>
          <w:sz w:val="24"/>
          <w:szCs w:val="24"/>
          <w:lang w:val="en-GB"/>
        </w:rPr>
        <w:t>Tiziana</w:t>
      </w:r>
      <w:proofErr w:type="spellEnd"/>
      <w:r w:rsidRPr="009D03BE">
        <w:rPr>
          <w:rFonts w:ascii="Book Antiqua" w:hAnsi="Book Antiqua"/>
          <w:b/>
          <w:sz w:val="24"/>
          <w:szCs w:val="24"/>
          <w:lang w:val="en-GB"/>
        </w:rPr>
        <w:t xml:space="preserve"> Esposito, Anna Di Sessa, Sara </w:t>
      </w:r>
      <w:proofErr w:type="spellStart"/>
      <w:r w:rsidR="005442FC" w:rsidRPr="009D03BE">
        <w:rPr>
          <w:rFonts w:ascii="Book Antiqua" w:hAnsi="Book Antiqua"/>
          <w:b/>
          <w:sz w:val="24"/>
          <w:szCs w:val="24"/>
          <w:lang w:val="en-GB"/>
        </w:rPr>
        <w:t>Immacolata</w:t>
      </w:r>
      <w:proofErr w:type="spellEnd"/>
      <w:r w:rsidR="005442FC" w:rsidRPr="009D03BE">
        <w:rPr>
          <w:rFonts w:ascii="Book Antiqua" w:hAnsi="Book Antiqua"/>
          <w:b/>
          <w:sz w:val="24"/>
          <w:szCs w:val="24"/>
          <w:lang w:val="en-GB"/>
        </w:rPr>
        <w:t xml:space="preserve"> </w:t>
      </w:r>
      <w:r w:rsidRPr="009D03BE">
        <w:rPr>
          <w:rFonts w:ascii="Book Antiqua" w:hAnsi="Book Antiqua"/>
          <w:b/>
          <w:sz w:val="24"/>
          <w:szCs w:val="24"/>
          <w:lang w:val="en-GB"/>
        </w:rPr>
        <w:t xml:space="preserve">Orsini, Daniela </w:t>
      </w:r>
      <w:proofErr w:type="spellStart"/>
      <w:r w:rsidRPr="009D03BE">
        <w:rPr>
          <w:rFonts w:ascii="Book Antiqua" w:hAnsi="Book Antiqua"/>
          <w:b/>
          <w:sz w:val="24"/>
          <w:szCs w:val="24"/>
          <w:lang w:val="en-GB"/>
        </w:rPr>
        <w:t>Capalbo</w:t>
      </w:r>
      <w:proofErr w:type="spellEnd"/>
      <w:r w:rsidRPr="009D03BE">
        <w:rPr>
          <w:rFonts w:ascii="Book Antiqua" w:hAnsi="Book Antiqua"/>
          <w:b/>
          <w:sz w:val="24"/>
          <w:szCs w:val="24"/>
          <w:lang w:val="en-GB"/>
        </w:rPr>
        <w:t xml:space="preserve">, Emanuele </w:t>
      </w:r>
      <w:proofErr w:type="spellStart"/>
      <w:r w:rsidRPr="009D03BE">
        <w:rPr>
          <w:rFonts w:ascii="Book Antiqua" w:hAnsi="Book Antiqua"/>
          <w:b/>
          <w:sz w:val="24"/>
          <w:szCs w:val="24"/>
          <w:lang w:val="en-GB"/>
        </w:rPr>
        <w:t>Miraglia</w:t>
      </w:r>
      <w:proofErr w:type="spellEnd"/>
      <w:r w:rsidRPr="009D03BE">
        <w:rPr>
          <w:rFonts w:ascii="Book Antiqua" w:hAnsi="Book Antiqua"/>
          <w:b/>
          <w:sz w:val="24"/>
          <w:szCs w:val="24"/>
          <w:lang w:val="en-GB"/>
        </w:rPr>
        <w:t xml:space="preserve"> del Giudice, Angela La Manna, </w:t>
      </w:r>
      <w:r w:rsidR="00315AF5" w:rsidRPr="009D03BE">
        <w:rPr>
          <w:rFonts w:ascii="Book Antiqua" w:hAnsi="Book Antiqua"/>
          <w:sz w:val="24"/>
          <w:szCs w:val="24"/>
          <w:lang w:val="en-GB"/>
        </w:rPr>
        <w:t xml:space="preserve">Department of Woman, Child and of General and Specialized Surgery, </w:t>
      </w:r>
      <w:proofErr w:type="spellStart"/>
      <w:r w:rsidR="00315AF5" w:rsidRPr="009D03BE">
        <w:rPr>
          <w:rFonts w:ascii="Book Antiqua" w:hAnsi="Book Antiqua"/>
          <w:sz w:val="24"/>
          <w:szCs w:val="24"/>
          <w:lang w:val="en-GB"/>
        </w:rPr>
        <w:t>Università</w:t>
      </w:r>
      <w:proofErr w:type="spellEnd"/>
      <w:r w:rsidR="00315AF5" w:rsidRPr="009D03BE">
        <w:rPr>
          <w:rFonts w:ascii="Book Antiqua" w:hAnsi="Book Antiqua"/>
          <w:sz w:val="24"/>
          <w:szCs w:val="24"/>
          <w:lang w:val="en-GB"/>
        </w:rPr>
        <w:t xml:space="preserve"> </w:t>
      </w:r>
      <w:proofErr w:type="spellStart"/>
      <w:r w:rsidR="00315AF5" w:rsidRPr="009D03BE">
        <w:rPr>
          <w:rFonts w:ascii="Book Antiqua" w:hAnsi="Book Antiqua"/>
          <w:sz w:val="24"/>
          <w:szCs w:val="24"/>
          <w:lang w:val="en-GB"/>
        </w:rPr>
        <w:t>degli</w:t>
      </w:r>
      <w:proofErr w:type="spellEnd"/>
      <w:r w:rsidR="00315AF5" w:rsidRPr="009D03BE">
        <w:rPr>
          <w:rFonts w:ascii="Book Antiqua" w:hAnsi="Book Antiqua"/>
          <w:sz w:val="24"/>
          <w:szCs w:val="24"/>
          <w:lang w:val="en-GB"/>
        </w:rPr>
        <w:t xml:space="preserve"> </w:t>
      </w:r>
      <w:proofErr w:type="spellStart"/>
      <w:r w:rsidR="00315AF5" w:rsidRPr="009D03BE">
        <w:rPr>
          <w:rFonts w:ascii="Book Antiqua" w:hAnsi="Book Antiqua"/>
          <w:sz w:val="24"/>
          <w:szCs w:val="24"/>
          <w:lang w:val="en-GB"/>
        </w:rPr>
        <w:t>Studi</w:t>
      </w:r>
      <w:proofErr w:type="spellEnd"/>
      <w:r w:rsidR="00315AF5" w:rsidRPr="009D03BE">
        <w:rPr>
          <w:rFonts w:ascii="Book Antiqua" w:hAnsi="Book Antiqua"/>
          <w:sz w:val="24"/>
          <w:szCs w:val="24"/>
          <w:lang w:val="en-GB"/>
        </w:rPr>
        <w:t xml:space="preserve"> </w:t>
      </w:r>
      <w:proofErr w:type="spellStart"/>
      <w:r w:rsidR="00315AF5" w:rsidRPr="009D03BE">
        <w:rPr>
          <w:rFonts w:ascii="Book Antiqua" w:hAnsi="Book Antiqua"/>
          <w:sz w:val="24"/>
          <w:szCs w:val="24"/>
          <w:lang w:val="en-GB"/>
        </w:rPr>
        <w:t>della</w:t>
      </w:r>
      <w:proofErr w:type="spellEnd"/>
      <w:r w:rsidR="00315AF5" w:rsidRPr="009D03BE">
        <w:rPr>
          <w:rFonts w:ascii="Book Antiqua" w:hAnsi="Book Antiqua"/>
          <w:sz w:val="24"/>
          <w:szCs w:val="24"/>
          <w:lang w:val="en-GB"/>
        </w:rPr>
        <w:t xml:space="preserve"> Campania “Luigi </w:t>
      </w:r>
      <w:proofErr w:type="spellStart"/>
      <w:r w:rsidR="00315AF5" w:rsidRPr="009D03BE">
        <w:rPr>
          <w:rFonts w:ascii="Book Antiqua" w:hAnsi="Book Antiqua"/>
          <w:sz w:val="24"/>
          <w:szCs w:val="24"/>
          <w:lang w:val="en-GB"/>
        </w:rPr>
        <w:t>Vanvitelli</w:t>
      </w:r>
      <w:proofErr w:type="spellEnd"/>
      <w:r w:rsidR="00315AF5" w:rsidRPr="009D03BE">
        <w:rPr>
          <w:rFonts w:ascii="Book Antiqua" w:hAnsi="Book Antiqua"/>
          <w:sz w:val="24"/>
          <w:szCs w:val="24"/>
          <w:lang w:val="en-GB"/>
        </w:rPr>
        <w:t xml:space="preserve">”, </w:t>
      </w:r>
      <w:r w:rsidR="003B46E0" w:rsidRPr="009D03BE">
        <w:rPr>
          <w:rFonts w:ascii="Book Antiqua" w:hAnsi="Book Antiqua"/>
          <w:sz w:val="24"/>
          <w:szCs w:val="24"/>
          <w:lang w:val="en-GB"/>
        </w:rPr>
        <w:t>Napoli</w:t>
      </w:r>
      <w:r w:rsidR="005034EC" w:rsidRPr="009D03BE">
        <w:rPr>
          <w:rFonts w:ascii="Book Antiqua" w:eastAsia="宋体" w:hAnsi="Book Antiqua"/>
          <w:sz w:val="24"/>
          <w:szCs w:val="24"/>
          <w:lang w:val="en-GB" w:eastAsia="zh-CN"/>
        </w:rPr>
        <w:t xml:space="preserve"> </w:t>
      </w:r>
      <w:r w:rsidR="003B46E0" w:rsidRPr="009D03BE">
        <w:rPr>
          <w:rFonts w:ascii="Book Antiqua" w:hAnsi="Book Antiqua"/>
          <w:sz w:val="24"/>
          <w:szCs w:val="24"/>
          <w:lang w:val="en-GB"/>
        </w:rPr>
        <w:t>80138, Italy</w:t>
      </w:r>
    </w:p>
    <w:p w14:paraId="55F83B77" w14:textId="77777777" w:rsidR="003B46E0" w:rsidRPr="009D03BE" w:rsidRDefault="003B46E0" w:rsidP="00EC24C5">
      <w:pPr>
        <w:pStyle w:val="2"/>
        <w:snapToGrid w:val="0"/>
        <w:spacing w:after="0" w:line="360" w:lineRule="auto"/>
        <w:jc w:val="both"/>
        <w:rPr>
          <w:rFonts w:ascii="Book Antiqua" w:eastAsia="宋体" w:hAnsi="Book Antiqua"/>
          <w:b/>
          <w:sz w:val="24"/>
          <w:szCs w:val="24"/>
          <w:vertAlign w:val="superscript"/>
          <w:lang w:val="en-GB" w:eastAsia="zh-CN"/>
        </w:rPr>
      </w:pPr>
    </w:p>
    <w:p w14:paraId="2F0E257D" w14:textId="77777777" w:rsidR="00315AF5" w:rsidRPr="009D03BE" w:rsidRDefault="003B46E0" w:rsidP="00EC24C5">
      <w:pPr>
        <w:snapToGrid w:val="0"/>
        <w:spacing w:line="360" w:lineRule="auto"/>
        <w:jc w:val="both"/>
        <w:rPr>
          <w:rFonts w:ascii="Book Antiqua" w:hAnsi="Book Antiqua"/>
          <w:lang w:val="en-GB"/>
        </w:rPr>
      </w:pPr>
      <w:r w:rsidRPr="009D03BE">
        <w:rPr>
          <w:rFonts w:ascii="Book Antiqua" w:hAnsi="Book Antiqua"/>
          <w:b/>
          <w:lang w:val="en-GB"/>
        </w:rPr>
        <w:t>ORCID number:</w:t>
      </w:r>
      <w:r w:rsidRPr="009D03BE">
        <w:rPr>
          <w:rFonts w:ascii="Book Antiqua" w:hAnsi="Book Antiqua"/>
          <w:lang w:val="en-GB"/>
        </w:rPr>
        <w:t> </w:t>
      </w:r>
      <w:proofErr w:type="spellStart"/>
      <w:r w:rsidR="00046989" w:rsidRPr="009D03BE">
        <w:rPr>
          <w:rFonts w:ascii="Book Antiqua" w:hAnsi="Book Antiqua"/>
          <w:lang w:val="en-GB"/>
        </w:rPr>
        <w:t>Pierluigi</w:t>
      </w:r>
      <w:proofErr w:type="spellEnd"/>
      <w:r w:rsidR="00046989" w:rsidRPr="009D03BE">
        <w:rPr>
          <w:rFonts w:ascii="Book Antiqua" w:hAnsi="Book Antiqua"/>
          <w:lang w:val="en-GB"/>
        </w:rPr>
        <w:t xml:space="preserve"> </w:t>
      </w:r>
      <w:proofErr w:type="spellStart"/>
      <w:r w:rsidR="00046989" w:rsidRPr="009D03BE">
        <w:rPr>
          <w:rFonts w:ascii="Book Antiqua" w:hAnsi="Book Antiqua"/>
          <w:lang w:val="en-GB"/>
        </w:rPr>
        <w:t>Marzuillo</w:t>
      </w:r>
      <w:proofErr w:type="spellEnd"/>
      <w:r w:rsidR="00046989" w:rsidRPr="009D03BE">
        <w:rPr>
          <w:rFonts w:ascii="Book Antiqua" w:hAnsi="Book Antiqua"/>
          <w:lang w:val="en-GB"/>
        </w:rPr>
        <w:t xml:space="preserve"> (</w:t>
      </w:r>
      <w:hyperlink r:id="rId8" w:history="1">
        <w:r w:rsidR="006F1A12" w:rsidRPr="009D03BE">
          <w:rPr>
            <w:rFonts w:ascii="Book Antiqua" w:hAnsi="Book Antiqua"/>
            <w:lang w:val="en-GB"/>
          </w:rPr>
          <w:t>0000-0003-4682-0170</w:t>
        </w:r>
      </w:hyperlink>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Stefano Guarino</w:t>
      </w:r>
      <w:r w:rsidRPr="009D03BE">
        <w:rPr>
          <w:rFonts w:ascii="Book Antiqua" w:hAnsi="Book Antiqua"/>
          <w:lang w:val="en-GB" w:eastAsia="zh-CN"/>
        </w:rPr>
        <w:t xml:space="preserve"> </w:t>
      </w:r>
      <w:r w:rsidR="00046989" w:rsidRPr="009D03BE">
        <w:rPr>
          <w:rFonts w:ascii="Book Antiqua" w:hAnsi="Book Antiqua"/>
          <w:lang w:val="en-GB"/>
        </w:rPr>
        <w:t>(</w:t>
      </w:r>
      <w:r w:rsidR="006F1A12" w:rsidRPr="009D03BE">
        <w:rPr>
          <w:rFonts w:ascii="Book Antiqua" w:hAnsi="Book Antiqua"/>
          <w:lang w:val="en-GB"/>
        </w:rPr>
        <w:t>0000-0002-0551-5236</w:t>
      </w:r>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w:t>
      </w:r>
      <w:proofErr w:type="spellStart"/>
      <w:r w:rsidR="00046989" w:rsidRPr="009D03BE">
        <w:rPr>
          <w:rFonts w:ascii="Book Antiqua" w:hAnsi="Book Antiqua"/>
          <w:lang w:val="en-GB"/>
        </w:rPr>
        <w:t>Tiziana</w:t>
      </w:r>
      <w:proofErr w:type="spellEnd"/>
      <w:r w:rsidR="00046989" w:rsidRPr="009D03BE">
        <w:rPr>
          <w:rFonts w:ascii="Book Antiqua" w:hAnsi="Book Antiqua"/>
          <w:lang w:val="en-GB"/>
        </w:rPr>
        <w:t xml:space="preserve"> Esposito (</w:t>
      </w:r>
      <w:hyperlink r:id="rId9" w:history="1">
        <w:r w:rsidR="008F5D18" w:rsidRPr="009D03BE">
          <w:rPr>
            <w:rFonts w:ascii="Book Antiqua" w:hAnsi="Book Antiqua"/>
            <w:lang w:val="en-GB"/>
          </w:rPr>
          <w:t>0000-0002-8215-3988</w:t>
        </w:r>
      </w:hyperlink>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Anna Di Sessa (</w:t>
      </w:r>
      <w:hyperlink r:id="rId10" w:history="1">
        <w:r w:rsidR="006F1A12" w:rsidRPr="009D03BE">
          <w:rPr>
            <w:rFonts w:ascii="Book Antiqua" w:hAnsi="Book Antiqua"/>
            <w:lang w:val="en-GB"/>
          </w:rPr>
          <w:t>0000-0002-5877-3757</w:t>
        </w:r>
      </w:hyperlink>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Sara </w:t>
      </w:r>
      <w:proofErr w:type="spellStart"/>
      <w:r w:rsidR="001A6A6C" w:rsidRPr="009D03BE">
        <w:rPr>
          <w:rFonts w:ascii="Book Antiqua" w:hAnsi="Book Antiqua"/>
          <w:lang w:val="en-GB"/>
        </w:rPr>
        <w:t>Immacolata</w:t>
      </w:r>
      <w:proofErr w:type="spellEnd"/>
      <w:r w:rsidR="001A6A6C" w:rsidRPr="009D03BE">
        <w:rPr>
          <w:rFonts w:ascii="Book Antiqua" w:hAnsi="Book Antiqua"/>
          <w:lang w:val="en-GB"/>
        </w:rPr>
        <w:t xml:space="preserve"> </w:t>
      </w:r>
      <w:r w:rsidR="00046989" w:rsidRPr="009D03BE">
        <w:rPr>
          <w:rFonts w:ascii="Book Antiqua" w:hAnsi="Book Antiqua"/>
          <w:lang w:val="en-GB"/>
        </w:rPr>
        <w:t>Orsini (</w:t>
      </w:r>
      <w:hyperlink r:id="rId11" w:history="1">
        <w:r w:rsidR="0068473A" w:rsidRPr="009D03BE">
          <w:rPr>
            <w:rFonts w:ascii="Book Antiqua" w:hAnsi="Book Antiqua"/>
            <w:lang w:val="en-GB"/>
          </w:rPr>
          <w:t>0000-0003-3279-7643</w:t>
        </w:r>
      </w:hyperlink>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Daniela </w:t>
      </w:r>
      <w:proofErr w:type="spellStart"/>
      <w:r w:rsidR="00046989" w:rsidRPr="009D03BE">
        <w:rPr>
          <w:rFonts w:ascii="Book Antiqua" w:hAnsi="Book Antiqua"/>
          <w:lang w:val="en-GB"/>
        </w:rPr>
        <w:t>Capalbo</w:t>
      </w:r>
      <w:proofErr w:type="spellEnd"/>
      <w:r w:rsidR="00046989" w:rsidRPr="009D03BE">
        <w:rPr>
          <w:rFonts w:ascii="Book Antiqua" w:hAnsi="Book Antiqua"/>
          <w:lang w:val="en-GB"/>
        </w:rPr>
        <w:t xml:space="preserve"> (</w:t>
      </w:r>
      <w:hyperlink r:id="rId12" w:history="1">
        <w:r w:rsidR="006F1A12" w:rsidRPr="009D03BE">
          <w:rPr>
            <w:rFonts w:ascii="Book Antiqua" w:hAnsi="Book Antiqua"/>
            <w:lang w:val="en-GB"/>
          </w:rPr>
          <w:t>0000-0002-3612-7383</w:t>
        </w:r>
      </w:hyperlink>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Emanuele </w:t>
      </w:r>
      <w:proofErr w:type="spellStart"/>
      <w:r w:rsidR="00046989" w:rsidRPr="009D03BE">
        <w:rPr>
          <w:rFonts w:ascii="Book Antiqua" w:hAnsi="Book Antiqua"/>
          <w:lang w:val="en-GB"/>
        </w:rPr>
        <w:t>Miraglia</w:t>
      </w:r>
      <w:proofErr w:type="spellEnd"/>
      <w:r w:rsidR="00046989" w:rsidRPr="009D03BE">
        <w:rPr>
          <w:rFonts w:ascii="Book Antiqua" w:hAnsi="Book Antiqua"/>
          <w:lang w:val="en-GB"/>
        </w:rPr>
        <w:t xml:space="preserve"> del Giudice (</w:t>
      </w:r>
      <w:hyperlink r:id="rId13" w:history="1">
        <w:r w:rsidR="00842CCC" w:rsidRPr="009D03BE">
          <w:rPr>
            <w:rFonts w:ascii="Book Antiqua" w:hAnsi="Book Antiqua"/>
            <w:lang w:val="en-GB"/>
          </w:rPr>
          <w:t>0000-0002-1492-076X</w:t>
        </w:r>
      </w:hyperlink>
      <w:r w:rsidR="00046989" w:rsidRPr="009D03BE">
        <w:rPr>
          <w:rFonts w:ascii="Book Antiqua" w:hAnsi="Book Antiqua"/>
          <w:lang w:val="en-GB"/>
        </w:rPr>
        <w:t>)</w:t>
      </w:r>
      <w:r w:rsidRPr="009D03BE">
        <w:rPr>
          <w:rFonts w:ascii="Book Antiqua" w:hAnsi="Book Antiqua"/>
          <w:lang w:val="en-GB" w:eastAsia="zh-CN"/>
        </w:rPr>
        <w:t>;</w:t>
      </w:r>
      <w:r w:rsidR="00046989" w:rsidRPr="009D03BE">
        <w:rPr>
          <w:rFonts w:ascii="Book Antiqua" w:hAnsi="Book Antiqua"/>
          <w:lang w:val="en-GB"/>
        </w:rPr>
        <w:t xml:space="preserve"> Angela La Manna (</w:t>
      </w:r>
      <w:r w:rsidR="00842CCC" w:rsidRPr="009D03BE">
        <w:rPr>
          <w:rFonts w:ascii="Book Antiqua" w:hAnsi="Book Antiqua"/>
          <w:lang w:val="en-GB"/>
        </w:rPr>
        <w:t>0000-0002-5531-2656</w:t>
      </w:r>
      <w:r w:rsidR="00046989" w:rsidRPr="009D03BE">
        <w:rPr>
          <w:rFonts w:ascii="Book Antiqua" w:hAnsi="Book Antiqua"/>
          <w:lang w:val="en-GB"/>
        </w:rPr>
        <w:t>).</w:t>
      </w:r>
    </w:p>
    <w:p w14:paraId="4CC0FD68" w14:textId="77777777" w:rsidR="00842CCC" w:rsidRPr="009D03BE" w:rsidRDefault="00842CCC" w:rsidP="00EC24C5">
      <w:pPr>
        <w:pStyle w:val="2"/>
        <w:snapToGrid w:val="0"/>
        <w:spacing w:after="0" w:line="360" w:lineRule="auto"/>
        <w:jc w:val="both"/>
        <w:rPr>
          <w:rFonts w:ascii="Book Antiqua" w:eastAsia="宋体" w:hAnsi="Book Antiqua"/>
          <w:b/>
          <w:sz w:val="24"/>
          <w:szCs w:val="24"/>
          <w:lang w:val="en-GB" w:eastAsia="zh-CN"/>
        </w:rPr>
      </w:pPr>
    </w:p>
    <w:p w14:paraId="22C6662F" w14:textId="77777777" w:rsidR="00046989" w:rsidRPr="009D03BE" w:rsidRDefault="003B46E0" w:rsidP="00EC24C5">
      <w:pPr>
        <w:pStyle w:val="2"/>
        <w:snapToGrid w:val="0"/>
        <w:spacing w:after="0" w:line="360" w:lineRule="auto"/>
        <w:jc w:val="both"/>
        <w:rPr>
          <w:rFonts w:ascii="Book Antiqua" w:hAnsi="Book Antiqua"/>
          <w:b/>
          <w:sz w:val="24"/>
          <w:szCs w:val="24"/>
          <w:lang w:val="en-GB"/>
        </w:rPr>
      </w:pPr>
      <w:r w:rsidRPr="009D03BE">
        <w:rPr>
          <w:rFonts w:ascii="Book Antiqua" w:hAnsi="Book Antiqua"/>
          <w:b/>
          <w:sz w:val="24"/>
          <w:szCs w:val="24"/>
          <w:lang w:val="en-GB"/>
        </w:rPr>
        <w:t>Author contributions:</w:t>
      </w:r>
      <w:r w:rsidRPr="009D03BE">
        <w:rPr>
          <w:rFonts w:ascii="Book Antiqua" w:eastAsia="宋体" w:hAnsi="Book Antiqua"/>
          <w:b/>
          <w:sz w:val="24"/>
          <w:szCs w:val="24"/>
          <w:lang w:val="en-GB" w:eastAsia="zh-CN"/>
        </w:rPr>
        <w:t xml:space="preserve"> </w:t>
      </w:r>
      <w:proofErr w:type="spellStart"/>
      <w:r w:rsidR="00E92AAC" w:rsidRPr="009D03BE">
        <w:rPr>
          <w:rFonts w:ascii="Book Antiqua" w:hAnsi="Book Antiqua"/>
          <w:sz w:val="24"/>
          <w:szCs w:val="24"/>
          <w:lang w:val="en-GB"/>
        </w:rPr>
        <w:t>Marzuillo</w:t>
      </w:r>
      <w:proofErr w:type="spellEnd"/>
      <w:r w:rsidR="00E92AAC" w:rsidRPr="009D03BE">
        <w:rPr>
          <w:rFonts w:ascii="Book Antiqua" w:eastAsia="宋体" w:hAnsi="Book Antiqua"/>
          <w:sz w:val="24"/>
          <w:szCs w:val="24"/>
          <w:lang w:val="en-GB" w:eastAsia="zh-CN"/>
        </w:rPr>
        <w:t xml:space="preserve"> P, </w:t>
      </w:r>
      <w:r w:rsidR="00E92AAC" w:rsidRPr="009D03BE">
        <w:rPr>
          <w:rFonts w:ascii="Book Antiqua" w:hAnsi="Book Antiqua"/>
          <w:sz w:val="24"/>
          <w:szCs w:val="24"/>
          <w:lang w:val="en-GB"/>
        </w:rPr>
        <w:t>La Manna A</w:t>
      </w:r>
      <w:r w:rsidR="008C0753" w:rsidRPr="009D03BE">
        <w:rPr>
          <w:rFonts w:ascii="Book Antiqua" w:hAnsi="Book Antiqua"/>
          <w:sz w:val="24"/>
          <w:szCs w:val="24"/>
          <w:lang w:val="en-GB"/>
        </w:rPr>
        <w:t>,</w:t>
      </w:r>
      <w:r w:rsidR="00E92AAC" w:rsidRPr="009D03BE">
        <w:rPr>
          <w:rFonts w:ascii="Book Antiqua" w:eastAsia="宋体" w:hAnsi="Book Antiqua"/>
          <w:sz w:val="24"/>
          <w:szCs w:val="24"/>
          <w:lang w:val="en-GB" w:eastAsia="zh-CN"/>
        </w:rPr>
        <w:t xml:space="preserve"> and </w:t>
      </w:r>
      <w:r w:rsidR="00E92AAC" w:rsidRPr="009D03BE">
        <w:rPr>
          <w:rFonts w:ascii="Book Antiqua" w:hAnsi="Book Antiqua"/>
          <w:sz w:val="24"/>
          <w:szCs w:val="24"/>
          <w:lang w:val="en-GB"/>
        </w:rPr>
        <w:t>Guarino S</w:t>
      </w:r>
      <w:r w:rsidR="00E92AAC" w:rsidRPr="009D03BE">
        <w:rPr>
          <w:rFonts w:ascii="Book Antiqua" w:eastAsia="宋体" w:hAnsi="Book Antiqua"/>
          <w:sz w:val="24"/>
          <w:szCs w:val="24"/>
          <w:lang w:val="en-GB" w:eastAsia="zh-CN"/>
        </w:rPr>
        <w:t xml:space="preserve"> contributed to</w:t>
      </w:r>
      <w:r w:rsidR="00E92AAC" w:rsidRPr="009D03BE">
        <w:rPr>
          <w:rFonts w:ascii="Book Antiqua" w:eastAsia="宋体" w:hAnsi="Book Antiqua"/>
          <w:b/>
          <w:sz w:val="24"/>
          <w:szCs w:val="24"/>
          <w:lang w:val="en-GB" w:eastAsia="zh-CN"/>
        </w:rPr>
        <w:t xml:space="preserve"> </w:t>
      </w:r>
      <w:r w:rsidR="002417FF" w:rsidRPr="009D03BE">
        <w:rPr>
          <w:rFonts w:ascii="Book Antiqua" w:hAnsi="Book Antiqua"/>
          <w:sz w:val="24"/>
          <w:szCs w:val="24"/>
          <w:lang w:val="en-GB"/>
        </w:rPr>
        <w:t xml:space="preserve">research idea and study design; </w:t>
      </w:r>
      <w:r w:rsidR="00E92AAC" w:rsidRPr="009D03BE">
        <w:rPr>
          <w:rFonts w:ascii="Book Antiqua" w:hAnsi="Book Antiqua"/>
          <w:sz w:val="24"/>
          <w:szCs w:val="24"/>
          <w:lang w:val="en-GB"/>
        </w:rPr>
        <w:t>Esposito T, Di Sessa A</w:t>
      </w:r>
      <w:r w:rsidR="008C0753" w:rsidRPr="009D03BE">
        <w:rPr>
          <w:rFonts w:ascii="Book Antiqua" w:hAnsi="Book Antiqua"/>
          <w:sz w:val="24"/>
          <w:szCs w:val="24"/>
          <w:lang w:val="en-GB"/>
        </w:rPr>
        <w:t>,</w:t>
      </w:r>
      <w:r w:rsidR="00E92AAC" w:rsidRPr="009D03BE">
        <w:rPr>
          <w:rFonts w:ascii="Book Antiqua" w:hAnsi="Book Antiqua"/>
          <w:sz w:val="24"/>
          <w:szCs w:val="24"/>
          <w:lang w:val="en-GB"/>
        </w:rPr>
        <w:t xml:space="preserve"> </w:t>
      </w:r>
      <w:r w:rsidR="00E92AAC" w:rsidRPr="009D03BE">
        <w:rPr>
          <w:rFonts w:ascii="Book Antiqua" w:eastAsia="宋体" w:hAnsi="Book Antiqua"/>
          <w:sz w:val="24"/>
          <w:szCs w:val="24"/>
          <w:lang w:val="en-GB" w:eastAsia="zh-CN"/>
        </w:rPr>
        <w:t>and</w:t>
      </w:r>
      <w:r w:rsidR="00E92AAC" w:rsidRPr="009D03BE">
        <w:rPr>
          <w:rFonts w:ascii="Book Antiqua" w:hAnsi="Book Antiqua"/>
          <w:sz w:val="24"/>
          <w:szCs w:val="24"/>
          <w:lang w:val="en-GB"/>
        </w:rPr>
        <w:t xml:space="preserve"> Orsini SI </w:t>
      </w:r>
      <w:r w:rsidR="00E92AAC" w:rsidRPr="009D03BE">
        <w:rPr>
          <w:rFonts w:ascii="Book Antiqua" w:eastAsia="宋体" w:hAnsi="Book Antiqua"/>
          <w:sz w:val="24"/>
          <w:szCs w:val="24"/>
          <w:lang w:val="en-GB" w:eastAsia="zh-CN"/>
        </w:rPr>
        <w:t>contributed to</w:t>
      </w:r>
      <w:r w:rsidR="00E92AAC" w:rsidRPr="009D03BE">
        <w:rPr>
          <w:rFonts w:ascii="Book Antiqua" w:hAnsi="Book Antiqua"/>
          <w:sz w:val="24"/>
          <w:szCs w:val="24"/>
          <w:lang w:val="en-GB"/>
        </w:rPr>
        <w:t xml:space="preserve"> </w:t>
      </w:r>
      <w:r w:rsidR="002417FF" w:rsidRPr="009D03BE">
        <w:rPr>
          <w:rFonts w:ascii="Book Antiqua" w:hAnsi="Book Antiqua"/>
          <w:sz w:val="24"/>
          <w:szCs w:val="24"/>
          <w:lang w:val="en-GB"/>
        </w:rPr>
        <w:t xml:space="preserve">data acquisition; </w:t>
      </w:r>
      <w:proofErr w:type="spellStart"/>
      <w:r w:rsidR="00E92AAC" w:rsidRPr="009D03BE">
        <w:rPr>
          <w:rFonts w:ascii="Book Antiqua" w:hAnsi="Book Antiqua"/>
          <w:sz w:val="24"/>
          <w:szCs w:val="24"/>
          <w:lang w:val="en-GB"/>
        </w:rPr>
        <w:t>Marzuillo</w:t>
      </w:r>
      <w:proofErr w:type="spellEnd"/>
      <w:r w:rsidR="00E92AAC" w:rsidRPr="009D03BE">
        <w:rPr>
          <w:rFonts w:ascii="Book Antiqua" w:hAnsi="Book Antiqua"/>
          <w:sz w:val="24"/>
          <w:szCs w:val="24"/>
          <w:lang w:val="en-GB"/>
        </w:rPr>
        <w:t xml:space="preserve"> P</w:t>
      </w:r>
      <w:r w:rsidR="00E92AAC" w:rsidRPr="009D03BE">
        <w:rPr>
          <w:rFonts w:ascii="Book Antiqua" w:eastAsia="宋体" w:hAnsi="Book Antiqua"/>
          <w:sz w:val="24"/>
          <w:szCs w:val="24"/>
          <w:lang w:val="en-GB" w:eastAsia="zh-CN"/>
        </w:rPr>
        <w:t xml:space="preserve"> and </w:t>
      </w:r>
      <w:proofErr w:type="spellStart"/>
      <w:r w:rsidR="00E92AAC" w:rsidRPr="009D03BE">
        <w:rPr>
          <w:rFonts w:ascii="Book Antiqua" w:hAnsi="Book Antiqua"/>
          <w:sz w:val="24"/>
          <w:szCs w:val="24"/>
          <w:lang w:val="en-GB"/>
        </w:rPr>
        <w:t>Miraglia</w:t>
      </w:r>
      <w:proofErr w:type="spellEnd"/>
      <w:r w:rsidR="00E92AAC" w:rsidRPr="009D03BE">
        <w:rPr>
          <w:rFonts w:ascii="Book Antiqua" w:hAnsi="Book Antiqua"/>
          <w:sz w:val="24"/>
          <w:szCs w:val="24"/>
          <w:lang w:val="en-GB"/>
        </w:rPr>
        <w:t xml:space="preserve"> del Giudice E</w:t>
      </w:r>
      <w:r w:rsidR="00E92AAC" w:rsidRPr="009D03BE">
        <w:rPr>
          <w:rFonts w:ascii="Book Antiqua" w:eastAsia="宋体" w:hAnsi="Book Antiqua"/>
          <w:sz w:val="24"/>
          <w:szCs w:val="24"/>
          <w:lang w:val="en-GB" w:eastAsia="zh-CN"/>
        </w:rPr>
        <w:t xml:space="preserve"> contributed to</w:t>
      </w:r>
      <w:r w:rsidR="00E92AAC" w:rsidRPr="009D03BE">
        <w:rPr>
          <w:rFonts w:ascii="Book Antiqua" w:hAnsi="Book Antiqua"/>
          <w:sz w:val="24"/>
          <w:szCs w:val="24"/>
          <w:lang w:val="en-GB"/>
        </w:rPr>
        <w:t xml:space="preserve"> </w:t>
      </w:r>
      <w:r w:rsidR="002417FF" w:rsidRPr="009D03BE">
        <w:rPr>
          <w:rFonts w:ascii="Book Antiqua" w:hAnsi="Book Antiqua"/>
          <w:sz w:val="24"/>
          <w:szCs w:val="24"/>
          <w:lang w:val="en-GB"/>
        </w:rPr>
        <w:t xml:space="preserve">data analysis/interpretation; </w:t>
      </w:r>
      <w:proofErr w:type="spellStart"/>
      <w:r w:rsidR="00E92AAC" w:rsidRPr="009D03BE">
        <w:rPr>
          <w:rFonts w:ascii="Book Antiqua" w:hAnsi="Book Antiqua"/>
          <w:sz w:val="24"/>
          <w:szCs w:val="24"/>
          <w:lang w:val="en-GB"/>
        </w:rPr>
        <w:t>Marzuillo</w:t>
      </w:r>
      <w:proofErr w:type="spellEnd"/>
      <w:r w:rsidR="00E92AAC" w:rsidRPr="009D03BE">
        <w:rPr>
          <w:rFonts w:ascii="Book Antiqua" w:hAnsi="Book Antiqua"/>
          <w:sz w:val="24"/>
          <w:szCs w:val="24"/>
          <w:lang w:val="en-GB"/>
        </w:rPr>
        <w:t xml:space="preserve"> P</w:t>
      </w:r>
      <w:r w:rsidR="00E92AAC" w:rsidRPr="009D03BE">
        <w:rPr>
          <w:rFonts w:ascii="Book Antiqua" w:eastAsia="宋体" w:hAnsi="Book Antiqua"/>
          <w:sz w:val="24"/>
          <w:szCs w:val="24"/>
          <w:lang w:val="en-GB" w:eastAsia="zh-CN"/>
        </w:rPr>
        <w:t xml:space="preserve">, </w:t>
      </w:r>
      <w:r w:rsidR="00E92AAC" w:rsidRPr="009D03BE">
        <w:rPr>
          <w:rFonts w:ascii="Book Antiqua" w:hAnsi="Book Antiqua"/>
          <w:sz w:val="24"/>
          <w:szCs w:val="24"/>
          <w:lang w:val="en-GB"/>
        </w:rPr>
        <w:t>Di Sessa A</w:t>
      </w:r>
      <w:r w:rsidR="008C0753" w:rsidRPr="009D03BE">
        <w:rPr>
          <w:rFonts w:ascii="Book Antiqua" w:hAnsi="Book Antiqua"/>
          <w:sz w:val="24"/>
          <w:szCs w:val="24"/>
          <w:lang w:val="en-GB"/>
        </w:rPr>
        <w:t>,</w:t>
      </w:r>
      <w:r w:rsidR="00E92AAC" w:rsidRPr="009D03BE">
        <w:rPr>
          <w:rFonts w:ascii="Book Antiqua" w:eastAsia="宋体" w:hAnsi="Book Antiqua"/>
          <w:sz w:val="24"/>
          <w:szCs w:val="24"/>
          <w:lang w:val="en-GB" w:eastAsia="zh-CN"/>
        </w:rPr>
        <w:t xml:space="preserve"> and </w:t>
      </w:r>
      <w:proofErr w:type="spellStart"/>
      <w:r w:rsidR="00E92AAC" w:rsidRPr="009D03BE">
        <w:rPr>
          <w:rFonts w:ascii="Book Antiqua" w:hAnsi="Book Antiqua"/>
          <w:sz w:val="24"/>
          <w:szCs w:val="24"/>
          <w:lang w:val="en-GB"/>
        </w:rPr>
        <w:t>Capalbo</w:t>
      </w:r>
      <w:proofErr w:type="spellEnd"/>
      <w:r w:rsidR="00E92AAC" w:rsidRPr="009D03BE">
        <w:rPr>
          <w:rFonts w:ascii="Book Antiqua" w:hAnsi="Book Antiqua"/>
          <w:sz w:val="24"/>
          <w:szCs w:val="24"/>
          <w:lang w:val="en-GB"/>
        </w:rPr>
        <w:t xml:space="preserve"> D</w:t>
      </w:r>
      <w:r w:rsidR="00E92AAC" w:rsidRPr="009D03BE">
        <w:rPr>
          <w:rFonts w:ascii="Book Antiqua" w:eastAsia="宋体" w:hAnsi="Book Antiqua"/>
          <w:sz w:val="24"/>
          <w:szCs w:val="24"/>
          <w:lang w:val="en-GB" w:eastAsia="zh-CN"/>
        </w:rPr>
        <w:t xml:space="preserve"> contributed to</w:t>
      </w:r>
      <w:r w:rsidR="00E92AAC" w:rsidRPr="009D03BE">
        <w:rPr>
          <w:rFonts w:ascii="Book Antiqua" w:hAnsi="Book Antiqua"/>
          <w:sz w:val="24"/>
          <w:szCs w:val="24"/>
          <w:lang w:val="en-GB"/>
        </w:rPr>
        <w:t xml:space="preserve"> </w:t>
      </w:r>
      <w:r w:rsidR="002417FF" w:rsidRPr="009D03BE">
        <w:rPr>
          <w:rFonts w:ascii="Book Antiqua" w:hAnsi="Book Antiqua"/>
          <w:sz w:val="24"/>
          <w:szCs w:val="24"/>
          <w:lang w:val="en-GB"/>
        </w:rPr>
        <w:t xml:space="preserve">statistical analysis; </w:t>
      </w:r>
      <w:proofErr w:type="spellStart"/>
      <w:r w:rsidR="00E92AAC" w:rsidRPr="009D03BE">
        <w:rPr>
          <w:rFonts w:ascii="Book Antiqua" w:hAnsi="Book Antiqua"/>
          <w:sz w:val="24"/>
          <w:szCs w:val="24"/>
          <w:lang w:val="en-GB"/>
        </w:rPr>
        <w:t>Miraglia</w:t>
      </w:r>
      <w:proofErr w:type="spellEnd"/>
      <w:r w:rsidR="00E92AAC" w:rsidRPr="009D03BE">
        <w:rPr>
          <w:rFonts w:ascii="Book Antiqua" w:hAnsi="Book Antiqua"/>
          <w:sz w:val="24"/>
          <w:szCs w:val="24"/>
          <w:lang w:val="en-GB"/>
        </w:rPr>
        <w:t xml:space="preserve"> del Giudice E</w:t>
      </w:r>
      <w:r w:rsidR="00E92AAC" w:rsidRPr="009D03BE">
        <w:rPr>
          <w:rFonts w:ascii="Book Antiqua" w:eastAsia="宋体" w:hAnsi="Book Antiqua"/>
          <w:sz w:val="24"/>
          <w:szCs w:val="24"/>
          <w:lang w:val="en-GB" w:eastAsia="zh-CN"/>
        </w:rPr>
        <w:t xml:space="preserve">, </w:t>
      </w:r>
      <w:r w:rsidR="00E92AAC" w:rsidRPr="009D03BE">
        <w:rPr>
          <w:rFonts w:ascii="Book Antiqua" w:hAnsi="Book Antiqua"/>
          <w:sz w:val="24"/>
          <w:szCs w:val="24"/>
          <w:lang w:val="en-GB"/>
        </w:rPr>
        <w:t xml:space="preserve">La Manna A </w:t>
      </w:r>
      <w:r w:rsidR="008C0753" w:rsidRPr="009D03BE">
        <w:rPr>
          <w:rFonts w:ascii="Book Antiqua" w:hAnsi="Book Antiqua"/>
          <w:sz w:val="24"/>
          <w:szCs w:val="24"/>
          <w:lang w:val="en-GB"/>
        </w:rPr>
        <w:t xml:space="preserve">, and </w:t>
      </w:r>
      <w:proofErr w:type="spellStart"/>
      <w:r w:rsidR="00E92AAC" w:rsidRPr="009D03BE">
        <w:rPr>
          <w:rFonts w:ascii="Book Antiqua" w:hAnsi="Book Antiqua"/>
          <w:sz w:val="24"/>
          <w:szCs w:val="24"/>
          <w:lang w:val="en-GB"/>
        </w:rPr>
        <w:t>Marzuillo</w:t>
      </w:r>
      <w:proofErr w:type="spellEnd"/>
      <w:r w:rsidR="00E92AAC" w:rsidRPr="009D03BE">
        <w:rPr>
          <w:rFonts w:ascii="Book Antiqua" w:hAnsi="Book Antiqua"/>
          <w:sz w:val="24"/>
          <w:szCs w:val="24"/>
          <w:lang w:val="en-GB"/>
        </w:rPr>
        <w:t xml:space="preserve"> P</w:t>
      </w:r>
      <w:r w:rsidR="00E92AAC" w:rsidRPr="009D03BE">
        <w:rPr>
          <w:rFonts w:ascii="Book Antiqua" w:eastAsia="宋体" w:hAnsi="Book Antiqua"/>
          <w:sz w:val="24"/>
          <w:szCs w:val="24"/>
          <w:lang w:val="en-GB" w:eastAsia="zh-CN"/>
        </w:rPr>
        <w:t xml:space="preserve"> contributed to</w:t>
      </w:r>
      <w:r w:rsidR="00E92AAC" w:rsidRPr="009D03BE">
        <w:rPr>
          <w:rFonts w:ascii="Book Antiqua" w:hAnsi="Book Antiqua"/>
          <w:sz w:val="24"/>
          <w:szCs w:val="24"/>
          <w:lang w:val="en-GB"/>
        </w:rPr>
        <w:t xml:space="preserve"> </w:t>
      </w:r>
      <w:r w:rsidR="002417FF" w:rsidRPr="009D03BE">
        <w:rPr>
          <w:rFonts w:ascii="Book Antiqua" w:hAnsi="Book Antiqua"/>
          <w:sz w:val="24"/>
          <w:szCs w:val="24"/>
          <w:lang w:val="en-GB"/>
        </w:rPr>
        <w:t>supervision or mentorship</w:t>
      </w:r>
      <w:r w:rsidR="00E92AAC" w:rsidRPr="009D03BE">
        <w:rPr>
          <w:rFonts w:ascii="Book Antiqua" w:eastAsia="宋体" w:hAnsi="Book Antiqua"/>
          <w:sz w:val="24"/>
          <w:szCs w:val="24"/>
          <w:lang w:val="en-GB" w:eastAsia="zh-CN"/>
        </w:rPr>
        <w:t xml:space="preserve">; </w:t>
      </w:r>
      <w:r w:rsidR="00AD62EF" w:rsidRPr="009D03BE">
        <w:rPr>
          <w:rFonts w:ascii="Book Antiqua" w:hAnsi="Book Antiqua"/>
          <w:sz w:val="24"/>
          <w:szCs w:val="24"/>
          <w:lang w:val="en-GB"/>
        </w:rPr>
        <w:t>E</w:t>
      </w:r>
      <w:r w:rsidR="002417FF" w:rsidRPr="009D03BE">
        <w:rPr>
          <w:rFonts w:ascii="Book Antiqua" w:hAnsi="Book Antiqua"/>
          <w:sz w:val="24"/>
          <w:szCs w:val="24"/>
          <w:lang w:val="en-GB"/>
        </w:rPr>
        <w:t>ach author contributed important intellectual content during manuscript drafting or revision and accepts accountability for the overall work by ensuring that questions pertaining to the accuracy or integrity of any portion of the work are appropriately investigated and resolved.</w:t>
      </w:r>
    </w:p>
    <w:p w14:paraId="304AE607" w14:textId="77777777" w:rsidR="000C2013" w:rsidRPr="009D03BE" w:rsidRDefault="000C2013" w:rsidP="00EC24C5">
      <w:pPr>
        <w:pStyle w:val="2"/>
        <w:snapToGrid w:val="0"/>
        <w:spacing w:after="0" w:line="360" w:lineRule="auto"/>
        <w:jc w:val="both"/>
        <w:rPr>
          <w:rFonts w:ascii="Book Antiqua" w:hAnsi="Book Antiqua"/>
          <w:b/>
          <w:sz w:val="24"/>
          <w:szCs w:val="24"/>
          <w:lang w:val="en-GB"/>
        </w:rPr>
      </w:pPr>
    </w:p>
    <w:p w14:paraId="446762EC" w14:textId="77777777" w:rsidR="00BA7F32" w:rsidRPr="009D03BE" w:rsidRDefault="00BA7F32" w:rsidP="00EC24C5">
      <w:pPr>
        <w:pStyle w:val="2"/>
        <w:snapToGrid w:val="0"/>
        <w:spacing w:after="0" w:line="360" w:lineRule="auto"/>
        <w:jc w:val="both"/>
        <w:rPr>
          <w:rFonts w:ascii="Book Antiqua" w:eastAsia="宋体" w:hAnsi="Book Antiqua"/>
          <w:sz w:val="24"/>
          <w:szCs w:val="24"/>
          <w:lang w:val="en-GB" w:eastAsia="zh-CN"/>
        </w:rPr>
      </w:pPr>
      <w:r w:rsidRPr="009D03BE">
        <w:rPr>
          <w:rFonts w:ascii="Book Antiqua" w:hAnsi="Book Antiqua"/>
          <w:b/>
          <w:sz w:val="24"/>
          <w:szCs w:val="24"/>
          <w:lang w:val="en-GB"/>
        </w:rPr>
        <w:t>Institutional review board statement</w:t>
      </w:r>
      <w:r w:rsidRPr="009D03BE">
        <w:rPr>
          <w:rFonts w:ascii="Book Antiqua" w:hAnsi="Book Antiqua"/>
          <w:b/>
          <w:iCs/>
          <w:sz w:val="24"/>
          <w:szCs w:val="24"/>
          <w:lang w:val="en-GB"/>
        </w:rPr>
        <w:t xml:space="preserve">: </w:t>
      </w:r>
      <w:r w:rsidRPr="009D03BE">
        <w:rPr>
          <w:rFonts w:ascii="Book Antiqua" w:hAnsi="Book Antiqua"/>
          <w:sz w:val="24"/>
          <w:szCs w:val="24"/>
          <w:lang w:val="en-GB"/>
        </w:rPr>
        <w:t>Our Institutional Review Board approved the study</w:t>
      </w:r>
      <w:r w:rsidR="00AD62EF" w:rsidRPr="009D03BE">
        <w:rPr>
          <w:rFonts w:ascii="Book Antiqua" w:hAnsi="Book Antiqua"/>
          <w:sz w:val="24"/>
          <w:szCs w:val="24"/>
          <w:lang w:val="en-GB"/>
        </w:rPr>
        <w:t>.</w:t>
      </w:r>
    </w:p>
    <w:p w14:paraId="4D4AE368" w14:textId="77777777" w:rsidR="00BA7F32" w:rsidRPr="009D03BE" w:rsidRDefault="00BA7F32" w:rsidP="00EC24C5">
      <w:pPr>
        <w:pStyle w:val="2"/>
        <w:snapToGrid w:val="0"/>
        <w:spacing w:after="0" w:line="360" w:lineRule="auto"/>
        <w:jc w:val="both"/>
        <w:rPr>
          <w:rFonts w:ascii="Book Antiqua" w:eastAsia="宋体" w:hAnsi="Book Antiqua"/>
          <w:sz w:val="24"/>
          <w:szCs w:val="24"/>
          <w:lang w:val="en-GB" w:eastAsia="zh-CN"/>
        </w:rPr>
      </w:pPr>
    </w:p>
    <w:p w14:paraId="4D02E74B" w14:textId="77777777" w:rsidR="00BA7F32" w:rsidRPr="009D03BE" w:rsidRDefault="00BA7F32" w:rsidP="00EC24C5">
      <w:pPr>
        <w:snapToGrid w:val="0"/>
        <w:spacing w:line="360" w:lineRule="auto"/>
        <w:jc w:val="both"/>
        <w:rPr>
          <w:rFonts w:ascii="Book Antiqua" w:hAnsi="Book Antiqua"/>
          <w:b/>
          <w:lang w:val="en-GB" w:eastAsia="zh-CN"/>
        </w:rPr>
      </w:pPr>
      <w:r w:rsidRPr="009D03BE">
        <w:rPr>
          <w:rFonts w:ascii="Book Antiqua" w:hAnsi="Book Antiqua"/>
          <w:b/>
          <w:lang w:val="en-GB"/>
        </w:rPr>
        <w:t>Conflict-of-interest statement</w:t>
      </w:r>
      <w:r w:rsidRPr="009D03BE">
        <w:rPr>
          <w:rFonts w:ascii="Book Antiqua" w:hAnsi="Book Antiqua" w:cs="TimesNewRomanPS-BoldItalicMT"/>
          <w:b/>
          <w:iCs/>
          <w:lang w:val="en-GB"/>
        </w:rPr>
        <w:t xml:space="preserve">: </w:t>
      </w:r>
      <w:r w:rsidRPr="009D03BE">
        <w:rPr>
          <w:rFonts w:ascii="Book Antiqua" w:hAnsi="Book Antiqua"/>
          <w:lang w:val="en-GB"/>
        </w:rPr>
        <w:t>Nothing to declare</w:t>
      </w:r>
      <w:r w:rsidRPr="009D03BE">
        <w:rPr>
          <w:rFonts w:ascii="Book Antiqua" w:hAnsi="Book Antiqua"/>
          <w:lang w:val="en-GB" w:eastAsia="zh-CN"/>
        </w:rPr>
        <w:t>.</w:t>
      </w:r>
    </w:p>
    <w:p w14:paraId="03701246" w14:textId="77777777" w:rsidR="00BA7F32" w:rsidRPr="009D03BE" w:rsidRDefault="00BA7F32" w:rsidP="00EC24C5">
      <w:pPr>
        <w:adjustRightInd w:val="0"/>
        <w:snapToGrid w:val="0"/>
        <w:spacing w:line="360" w:lineRule="auto"/>
        <w:jc w:val="both"/>
        <w:rPr>
          <w:rFonts w:ascii="Book Antiqua" w:hAnsi="Book Antiqua"/>
          <w:lang w:val="en-GB" w:eastAsia="zh-CN"/>
        </w:rPr>
      </w:pPr>
    </w:p>
    <w:p w14:paraId="7D79BBBA" w14:textId="77777777" w:rsidR="00BA7F32" w:rsidRPr="009D03BE" w:rsidRDefault="00BA7F32" w:rsidP="00EC24C5">
      <w:pPr>
        <w:adjustRightInd w:val="0"/>
        <w:snapToGrid w:val="0"/>
        <w:spacing w:line="360" w:lineRule="auto"/>
        <w:jc w:val="both"/>
        <w:rPr>
          <w:rFonts w:ascii="Book Antiqua" w:hAnsi="Book Antiqua"/>
          <w:lang w:val="en-GB"/>
        </w:rPr>
      </w:pPr>
      <w:r w:rsidRPr="009D03BE">
        <w:rPr>
          <w:rFonts w:ascii="Book Antiqua" w:hAnsi="Book Antiqua"/>
          <w:b/>
          <w:lang w:val="en-GB"/>
        </w:rPr>
        <w:t xml:space="preserve">Open-Access: </w:t>
      </w:r>
      <w:r w:rsidRPr="009D03BE">
        <w:rPr>
          <w:rFonts w:ascii="Book Antiqua" w:hAnsi="Book Antiqua"/>
          <w:lang w:val="en-GB"/>
        </w:rPr>
        <w:t xml:space="preserve">This article is an open-access article </w:t>
      </w:r>
      <w:r w:rsidR="008C0753" w:rsidRPr="009D03BE">
        <w:rPr>
          <w:rFonts w:ascii="Book Antiqua" w:hAnsi="Book Antiqua"/>
          <w:lang w:val="en-GB"/>
        </w:rPr>
        <w:t>that</w:t>
      </w:r>
      <w:r w:rsidRPr="009D03BE">
        <w:rPr>
          <w:rFonts w:ascii="Book Antiqua" w:hAnsi="Book Antiqua"/>
          <w:lang w:val="en-GB"/>
        </w:rPr>
        <w:t xml:space="preserve"> was selected by an in-house editor and fully peer-reviewed by external reviewers. It is distributed in accordance with the Creative Commons Attribution </w:t>
      </w:r>
      <w:proofErr w:type="gramStart"/>
      <w:r w:rsidRPr="009D03BE">
        <w:rPr>
          <w:rFonts w:ascii="Book Antiqua" w:hAnsi="Book Antiqua"/>
          <w:lang w:val="en-GB"/>
        </w:rPr>
        <w:t>Non Commercial</w:t>
      </w:r>
      <w:proofErr w:type="gramEnd"/>
      <w:r w:rsidRPr="009D03BE">
        <w:rPr>
          <w:rFonts w:ascii="Book Antiqua" w:hAnsi="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9D03BE">
          <w:rPr>
            <w:rStyle w:val="a4"/>
            <w:rFonts w:ascii="Book Antiqua" w:hAnsi="Book Antiqua"/>
            <w:color w:val="auto"/>
            <w:u w:val="none"/>
            <w:lang w:val="en-GB"/>
          </w:rPr>
          <w:t>http://creativecommons.org/licenses/by-nc/4.0/</w:t>
        </w:r>
      </w:hyperlink>
    </w:p>
    <w:p w14:paraId="4223C688" w14:textId="77777777" w:rsidR="000C2013" w:rsidRPr="009D03BE" w:rsidRDefault="000C2013" w:rsidP="00EC24C5">
      <w:pPr>
        <w:pStyle w:val="2"/>
        <w:snapToGrid w:val="0"/>
        <w:spacing w:after="0" w:line="360" w:lineRule="auto"/>
        <w:jc w:val="both"/>
        <w:rPr>
          <w:rFonts w:ascii="Book Antiqua" w:eastAsia="宋体" w:hAnsi="Book Antiqua"/>
          <w:b/>
          <w:sz w:val="24"/>
          <w:szCs w:val="24"/>
          <w:lang w:val="en-GB" w:eastAsia="zh-CN"/>
        </w:rPr>
      </w:pPr>
    </w:p>
    <w:p w14:paraId="718421E6" w14:textId="77777777" w:rsidR="00BA7F32" w:rsidRPr="009D03BE" w:rsidRDefault="00BA7F32" w:rsidP="00EC24C5">
      <w:pPr>
        <w:pStyle w:val="2"/>
        <w:snapToGrid w:val="0"/>
        <w:spacing w:after="0" w:line="360" w:lineRule="auto"/>
        <w:jc w:val="both"/>
        <w:rPr>
          <w:rFonts w:ascii="Book Antiqua" w:eastAsia="宋体" w:hAnsi="Book Antiqua" w:cs="宋体"/>
          <w:sz w:val="24"/>
          <w:szCs w:val="24"/>
          <w:lang w:val="en-GB" w:eastAsia="zh-CN"/>
        </w:rPr>
      </w:pPr>
      <w:r w:rsidRPr="009D03BE">
        <w:rPr>
          <w:rFonts w:ascii="Book Antiqua" w:eastAsia="宋体" w:hAnsi="Book Antiqua" w:cs="宋体"/>
          <w:b/>
          <w:sz w:val="24"/>
          <w:szCs w:val="24"/>
          <w:lang w:val="en-GB"/>
        </w:rPr>
        <w:t>Manuscript source:</w:t>
      </w:r>
      <w:r w:rsidRPr="009D03BE">
        <w:rPr>
          <w:rFonts w:ascii="Book Antiqua" w:eastAsia="宋体" w:hAnsi="Book Antiqua" w:cs="宋体"/>
          <w:sz w:val="24"/>
          <w:szCs w:val="24"/>
          <w:lang w:val="en-GB"/>
        </w:rPr>
        <w:t> Invited manuscript</w:t>
      </w:r>
    </w:p>
    <w:p w14:paraId="7515743B" w14:textId="77777777" w:rsidR="00BA7F32" w:rsidRPr="009D03BE" w:rsidRDefault="00BA7F32" w:rsidP="00EC24C5">
      <w:pPr>
        <w:pStyle w:val="2"/>
        <w:snapToGrid w:val="0"/>
        <w:spacing w:after="0" w:line="360" w:lineRule="auto"/>
        <w:jc w:val="both"/>
        <w:rPr>
          <w:rFonts w:ascii="Book Antiqua" w:eastAsia="宋体" w:hAnsi="Book Antiqua"/>
          <w:b/>
          <w:sz w:val="24"/>
          <w:szCs w:val="24"/>
          <w:lang w:val="en-GB" w:eastAsia="zh-CN"/>
        </w:rPr>
      </w:pPr>
    </w:p>
    <w:p w14:paraId="5318E90E" w14:textId="77777777" w:rsidR="00BA7F32" w:rsidRPr="009D03BE" w:rsidRDefault="00E92AAC" w:rsidP="00EC24C5">
      <w:pPr>
        <w:pStyle w:val="2"/>
        <w:snapToGrid w:val="0"/>
        <w:spacing w:after="0" w:line="360" w:lineRule="auto"/>
        <w:jc w:val="both"/>
        <w:rPr>
          <w:rFonts w:ascii="Book Antiqua" w:eastAsia="宋体" w:hAnsi="Book Antiqua"/>
          <w:b/>
          <w:sz w:val="24"/>
          <w:szCs w:val="24"/>
          <w:lang w:val="en-GB" w:eastAsia="zh-CN"/>
        </w:rPr>
      </w:pPr>
      <w:r w:rsidRPr="009D03BE">
        <w:rPr>
          <w:rFonts w:ascii="Book Antiqua" w:hAnsi="Book Antiqua"/>
          <w:b/>
          <w:sz w:val="24"/>
          <w:szCs w:val="24"/>
          <w:lang w:val="en-GB"/>
        </w:rPr>
        <w:t>Corresponding author:</w:t>
      </w:r>
      <w:r w:rsidR="00315AF5" w:rsidRPr="009D03BE">
        <w:rPr>
          <w:rFonts w:ascii="Book Antiqua" w:hAnsi="Book Antiqua"/>
          <w:b/>
          <w:sz w:val="24"/>
          <w:szCs w:val="24"/>
          <w:lang w:val="en-GB"/>
        </w:rPr>
        <w:t xml:space="preserve"> </w:t>
      </w:r>
      <w:proofErr w:type="spellStart"/>
      <w:r w:rsidR="00BA7F32" w:rsidRPr="009D03BE">
        <w:rPr>
          <w:rFonts w:ascii="Book Antiqua" w:hAnsi="Book Antiqua"/>
          <w:b/>
          <w:sz w:val="24"/>
          <w:szCs w:val="24"/>
          <w:lang w:val="en-GB"/>
        </w:rPr>
        <w:t>Pierluigi</w:t>
      </w:r>
      <w:proofErr w:type="spellEnd"/>
      <w:r w:rsidR="00BA7F32" w:rsidRPr="009D03BE">
        <w:rPr>
          <w:rFonts w:ascii="Book Antiqua" w:hAnsi="Book Antiqua"/>
          <w:b/>
          <w:sz w:val="24"/>
          <w:szCs w:val="24"/>
          <w:lang w:val="en-GB"/>
        </w:rPr>
        <w:t xml:space="preserve"> </w:t>
      </w:r>
      <w:proofErr w:type="spellStart"/>
      <w:r w:rsidR="00BA7F32" w:rsidRPr="009D03BE">
        <w:rPr>
          <w:rFonts w:ascii="Book Antiqua" w:hAnsi="Book Antiqua"/>
          <w:b/>
          <w:sz w:val="24"/>
          <w:szCs w:val="24"/>
          <w:lang w:val="en-GB"/>
        </w:rPr>
        <w:t>Marzuillo</w:t>
      </w:r>
      <w:proofErr w:type="spellEnd"/>
      <w:r w:rsidR="00BA7F32" w:rsidRPr="009D03BE">
        <w:rPr>
          <w:rFonts w:ascii="Book Antiqua" w:hAnsi="Book Antiqua"/>
          <w:b/>
          <w:sz w:val="24"/>
          <w:szCs w:val="24"/>
          <w:lang w:val="en-GB"/>
        </w:rPr>
        <w:t xml:space="preserve">, MD, PhD, Doctor, </w:t>
      </w:r>
      <w:r w:rsidR="00BA7F32" w:rsidRPr="009D03BE">
        <w:rPr>
          <w:rFonts w:ascii="Book Antiqua" w:hAnsi="Book Antiqua"/>
          <w:sz w:val="24"/>
          <w:szCs w:val="24"/>
          <w:lang w:val="en-GB"/>
        </w:rPr>
        <w:t xml:space="preserve">Department of Woman, Child and of General and Specialized Surgery, </w:t>
      </w:r>
      <w:proofErr w:type="spellStart"/>
      <w:r w:rsidR="00BA7F32" w:rsidRPr="009D03BE">
        <w:rPr>
          <w:rFonts w:ascii="Book Antiqua" w:hAnsi="Book Antiqua"/>
          <w:sz w:val="24"/>
          <w:szCs w:val="24"/>
          <w:lang w:val="en-GB"/>
        </w:rPr>
        <w:t>Università</w:t>
      </w:r>
      <w:proofErr w:type="spellEnd"/>
      <w:r w:rsidR="00BA7F32" w:rsidRPr="009D03BE">
        <w:rPr>
          <w:rFonts w:ascii="Book Antiqua" w:hAnsi="Book Antiqua"/>
          <w:sz w:val="24"/>
          <w:szCs w:val="24"/>
          <w:lang w:val="en-GB"/>
        </w:rPr>
        <w:t xml:space="preserve"> </w:t>
      </w:r>
      <w:proofErr w:type="spellStart"/>
      <w:r w:rsidR="00BA7F32" w:rsidRPr="009D03BE">
        <w:rPr>
          <w:rFonts w:ascii="Book Antiqua" w:hAnsi="Book Antiqua"/>
          <w:sz w:val="24"/>
          <w:szCs w:val="24"/>
          <w:lang w:val="en-GB"/>
        </w:rPr>
        <w:t>degli</w:t>
      </w:r>
      <w:proofErr w:type="spellEnd"/>
      <w:r w:rsidR="00BA7F32" w:rsidRPr="009D03BE">
        <w:rPr>
          <w:rFonts w:ascii="Book Antiqua" w:hAnsi="Book Antiqua"/>
          <w:sz w:val="24"/>
          <w:szCs w:val="24"/>
          <w:lang w:val="en-GB"/>
        </w:rPr>
        <w:t xml:space="preserve"> </w:t>
      </w:r>
      <w:proofErr w:type="spellStart"/>
      <w:r w:rsidR="00BA7F32" w:rsidRPr="009D03BE">
        <w:rPr>
          <w:rFonts w:ascii="Book Antiqua" w:hAnsi="Book Antiqua"/>
          <w:sz w:val="24"/>
          <w:szCs w:val="24"/>
          <w:lang w:val="en-GB"/>
        </w:rPr>
        <w:t>Studi</w:t>
      </w:r>
      <w:proofErr w:type="spellEnd"/>
      <w:r w:rsidR="00BA7F32" w:rsidRPr="009D03BE">
        <w:rPr>
          <w:rFonts w:ascii="Book Antiqua" w:hAnsi="Book Antiqua"/>
          <w:sz w:val="24"/>
          <w:szCs w:val="24"/>
          <w:lang w:val="en-GB"/>
        </w:rPr>
        <w:t xml:space="preserve"> </w:t>
      </w:r>
      <w:proofErr w:type="spellStart"/>
      <w:r w:rsidR="00BA7F32" w:rsidRPr="009D03BE">
        <w:rPr>
          <w:rFonts w:ascii="Book Antiqua" w:hAnsi="Book Antiqua"/>
          <w:sz w:val="24"/>
          <w:szCs w:val="24"/>
          <w:lang w:val="en-GB"/>
        </w:rPr>
        <w:t>della</w:t>
      </w:r>
      <w:proofErr w:type="spellEnd"/>
      <w:r w:rsidR="00BA7F32" w:rsidRPr="009D03BE">
        <w:rPr>
          <w:rFonts w:ascii="Book Antiqua" w:hAnsi="Book Antiqua"/>
          <w:sz w:val="24"/>
          <w:szCs w:val="24"/>
          <w:lang w:val="en-GB"/>
        </w:rPr>
        <w:t xml:space="preserve"> Campania “Luigi </w:t>
      </w:r>
      <w:proofErr w:type="spellStart"/>
      <w:r w:rsidR="00BA7F32" w:rsidRPr="009D03BE">
        <w:rPr>
          <w:rFonts w:ascii="Book Antiqua" w:hAnsi="Book Antiqua"/>
          <w:sz w:val="24"/>
          <w:szCs w:val="24"/>
          <w:lang w:val="en-GB"/>
        </w:rPr>
        <w:t>Vanvitelli</w:t>
      </w:r>
      <w:proofErr w:type="spellEnd"/>
      <w:r w:rsidR="00BA7F32" w:rsidRPr="009D03BE">
        <w:rPr>
          <w:rFonts w:ascii="Book Antiqua" w:hAnsi="Book Antiqua"/>
          <w:sz w:val="24"/>
          <w:szCs w:val="24"/>
          <w:lang w:val="en-GB"/>
        </w:rPr>
        <w:t xml:space="preserve">”, Via Luigi De </w:t>
      </w:r>
      <w:proofErr w:type="spellStart"/>
      <w:r w:rsidR="00BA7F32" w:rsidRPr="009D03BE">
        <w:rPr>
          <w:rFonts w:ascii="Book Antiqua" w:hAnsi="Book Antiqua"/>
          <w:sz w:val="24"/>
          <w:szCs w:val="24"/>
          <w:lang w:val="en-GB"/>
        </w:rPr>
        <w:t>Crecchio</w:t>
      </w:r>
      <w:proofErr w:type="spellEnd"/>
      <w:r w:rsidR="00BA7F32" w:rsidRPr="009D03BE">
        <w:rPr>
          <w:rFonts w:ascii="Book Antiqua" w:hAnsi="Book Antiqua"/>
          <w:sz w:val="24"/>
          <w:szCs w:val="24"/>
          <w:lang w:val="en-GB"/>
        </w:rPr>
        <w:t xml:space="preserve"> 2, Naples 80138, Italy. pierluigi.marzuillo@gmail.com</w:t>
      </w:r>
    </w:p>
    <w:p w14:paraId="7DB18E08" w14:textId="77777777" w:rsidR="000C2013" w:rsidRPr="009D03BE" w:rsidRDefault="00315AF5" w:rsidP="00EC24C5">
      <w:pPr>
        <w:pStyle w:val="2"/>
        <w:snapToGrid w:val="0"/>
        <w:spacing w:after="0" w:line="360" w:lineRule="auto"/>
        <w:jc w:val="both"/>
        <w:rPr>
          <w:rFonts w:ascii="Book Antiqua" w:hAnsi="Book Antiqua"/>
          <w:sz w:val="24"/>
          <w:szCs w:val="24"/>
          <w:lang w:val="en-GB"/>
        </w:rPr>
      </w:pPr>
      <w:r w:rsidRPr="009D03BE">
        <w:rPr>
          <w:rFonts w:ascii="Book Antiqua" w:hAnsi="Book Antiqua"/>
          <w:b/>
          <w:sz w:val="24"/>
          <w:szCs w:val="24"/>
          <w:lang w:val="en-GB"/>
        </w:rPr>
        <w:t>Tel</w:t>
      </w:r>
      <w:r w:rsidR="000C2013" w:rsidRPr="009D03BE">
        <w:rPr>
          <w:rFonts w:ascii="Book Antiqua" w:hAnsi="Book Antiqua"/>
          <w:b/>
          <w:sz w:val="24"/>
          <w:szCs w:val="24"/>
          <w:lang w:val="en-GB"/>
        </w:rPr>
        <w:t>ephone:</w:t>
      </w:r>
      <w:r w:rsidRPr="009D03BE">
        <w:rPr>
          <w:rFonts w:ascii="Book Antiqua" w:hAnsi="Book Antiqua"/>
          <w:sz w:val="24"/>
          <w:szCs w:val="24"/>
          <w:lang w:val="en-GB"/>
        </w:rPr>
        <w:t xml:space="preserve"> </w:t>
      </w:r>
      <w:r w:rsidR="00C72C80" w:rsidRPr="009D03BE">
        <w:rPr>
          <w:rFonts w:ascii="Book Antiqua" w:eastAsia="宋体" w:hAnsi="Book Antiqua"/>
          <w:sz w:val="24"/>
          <w:szCs w:val="24"/>
          <w:lang w:val="en-GB" w:eastAsia="zh-CN"/>
        </w:rPr>
        <w:t>+</w:t>
      </w:r>
      <w:r w:rsidR="00C72C80" w:rsidRPr="009D03BE">
        <w:rPr>
          <w:rFonts w:ascii="Book Antiqua" w:hAnsi="Book Antiqua"/>
          <w:sz w:val="24"/>
          <w:szCs w:val="24"/>
          <w:lang w:val="en-GB"/>
        </w:rPr>
        <w:t>39-81-5665465</w:t>
      </w:r>
    </w:p>
    <w:p w14:paraId="1FA2C1D8" w14:textId="77777777" w:rsidR="00315AF5" w:rsidRPr="009D03BE" w:rsidRDefault="00315AF5" w:rsidP="00EC24C5">
      <w:pPr>
        <w:pStyle w:val="2"/>
        <w:snapToGrid w:val="0"/>
        <w:spacing w:after="0" w:line="360" w:lineRule="auto"/>
        <w:jc w:val="both"/>
        <w:rPr>
          <w:rFonts w:ascii="Book Antiqua" w:eastAsia="宋体" w:hAnsi="Book Antiqua"/>
          <w:sz w:val="24"/>
          <w:szCs w:val="24"/>
          <w:lang w:val="en-GB" w:eastAsia="zh-CN"/>
        </w:rPr>
      </w:pPr>
      <w:r w:rsidRPr="009D03BE">
        <w:rPr>
          <w:rFonts w:ascii="Book Antiqua" w:hAnsi="Book Antiqua"/>
          <w:b/>
          <w:sz w:val="24"/>
          <w:szCs w:val="24"/>
          <w:lang w:val="en-GB"/>
        </w:rPr>
        <w:t>Fax</w:t>
      </w:r>
      <w:r w:rsidR="000C2013" w:rsidRPr="009D03BE">
        <w:rPr>
          <w:rFonts w:ascii="Book Antiqua" w:hAnsi="Book Antiqua"/>
          <w:b/>
          <w:sz w:val="24"/>
          <w:szCs w:val="24"/>
          <w:lang w:val="en-GB"/>
        </w:rPr>
        <w:t>:</w:t>
      </w:r>
      <w:r w:rsidR="003B46E0" w:rsidRPr="009D03BE">
        <w:rPr>
          <w:rFonts w:ascii="Book Antiqua" w:hAnsi="Book Antiqua"/>
          <w:sz w:val="24"/>
          <w:szCs w:val="24"/>
          <w:lang w:val="en-GB"/>
        </w:rPr>
        <w:t xml:space="preserve"> </w:t>
      </w:r>
      <w:r w:rsidR="00BA7F32" w:rsidRPr="009D03BE">
        <w:rPr>
          <w:rFonts w:ascii="Book Antiqua" w:eastAsia="宋体" w:hAnsi="Book Antiqua"/>
          <w:sz w:val="24"/>
          <w:szCs w:val="24"/>
          <w:lang w:val="en-GB" w:eastAsia="zh-CN"/>
        </w:rPr>
        <w:t>+</w:t>
      </w:r>
      <w:r w:rsidR="003B46E0" w:rsidRPr="009D03BE">
        <w:rPr>
          <w:rFonts w:ascii="Book Antiqua" w:hAnsi="Book Antiqua"/>
          <w:sz w:val="24"/>
          <w:szCs w:val="24"/>
          <w:lang w:val="en-GB"/>
        </w:rPr>
        <w:t>39</w:t>
      </w:r>
      <w:r w:rsidR="00BA7F32" w:rsidRPr="009D03BE">
        <w:rPr>
          <w:rFonts w:ascii="Book Antiqua" w:eastAsia="宋体" w:hAnsi="Book Antiqua"/>
          <w:sz w:val="24"/>
          <w:szCs w:val="24"/>
          <w:lang w:val="en-GB" w:eastAsia="zh-CN"/>
        </w:rPr>
        <w:t>-</w:t>
      </w:r>
      <w:r w:rsidR="003B46E0" w:rsidRPr="009D03BE">
        <w:rPr>
          <w:rFonts w:ascii="Book Antiqua" w:hAnsi="Book Antiqua"/>
          <w:sz w:val="24"/>
          <w:szCs w:val="24"/>
          <w:lang w:val="en-GB"/>
        </w:rPr>
        <w:t>81</w:t>
      </w:r>
      <w:r w:rsidR="00BA7F32" w:rsidRPr="009D03BE">
        <w:rPr>
          <w:rFonts w:ascii="Book Antiqua" w:eastAsia="宋体" w:hAnsi="Book Antiqua"/>
          <w:sz w:val="24"/>
          <w:szCs w:val="24"/>
          <w:lang w:val="en-GB" w:eastAsia="zh-CN"/>
        </w:rPr>
        <w:t>-</w:t>
      </w:r>
      <w:r w:rsidR="003B46E0" w:rsidRPr="009D03BE">
        <w:rPr>
          <w:rFonts w:ascii="Book Antiqua" w:hAnsi="Book Antiqua"/>
          <w:sz w:val="24"/>
          <w:szCs w:val="24"/>
          <w:lang w:val="en-GB"/>
        </w:rPr>
        <w:t>5665427</w:t>
      </w:r>
    </w:p>
    <w:p w14:paraId="41F3358A" w14:textId="77777777" w:rsidR="003B46E0" w:rsidRPr="009D03BE" w:rsidRDefault="003B46E0" w:rsidP="00EC24C5">
      <w:pPr>
        <w:pStyle w:val="2"/>
        <w:snapToGrid w:val="0"/>
        <w:spacing w:after="0" w:line="360" w:lineRule="auto"/>
        <w:jc w:val="both"/>
        <w:rPr>
          <w:rFonts w:ascii="Book Antiqua" w:eastAsia="宋体" w:hAnsi="Book Antiqua"/>
          <w:b/>
          <w:sz w:val="24"/>
          <w:szCs w:val="24"/>
          <w:lang w:val="en-GB" w:eastAsia="zh-CN"/>
        </w:rPr>
      </w:pPr>
    </w:p>
    <w:p w14:paraId="2A59C035" w14:textId="77777777" w:rsidR="00BA7F32" w:rsidRPr="009D03BE" w:rsidRDefault="00BA7F32" w:rsidP="00EC24C5">
      <w:pPr>
        <w:snapToGrid w:val="0"/>
        <w:spacing w:line="360" w:lineRule="auto"/>
        <w:jc w:val="both"/>
        <w:rPr>
          <w:rFonts w:ascii="Book Antiqua" w:hAnsi="Book Antiqua"/>
          <w:b/>
          <w:lang w:val="en-GB"/>
        </w:rPr>
      </w:pPr>
      <w:r w:rsidRPr="009D03BE">
        <w:rPr>
          <w:rFonts w:ascii="Book Antiqua" w:hAnsi="Book Antiqua"/>
          <w:b/>
          <w:lang w:val="en-GB"/>
        </w:rPr>
        <w:t xml:space="preserve">Received: </w:t>
      </w:r>
      <w:r w:rsidR="00F5034E" w:rsidRPr="009D03BE">
        <w:rPr>
          <w:rFonts w:ascii="Book Antiqua" w:hAnsi="Book Antiqua"/>
          <w:lang w:val="en-GB" w:eastAsia="zh-CN"/>
        </w:rPr>
        <w:t>February 25, 2019</w:t>
      </w:r>
      <w:r w:rsidR="005034EC" w:rsidRPr="009D03BE">
        <w:rPr>
          <w:rFonts w:ascii="Book Antiqua" w:hAnsi="Book Antiqua"/>
          <w:lang w:val="en-GB"/>
        </w:rPr>
        <w:t xml:space="preserve"> </w:t>
      </w:r>
    </w:p>
    <w:p w14:paraId="502F7942" w14:textId="77777777" w:rsidR="00BA7F32" w:rsidRPr="009D03BE" w:rsidRDefault="00BA7F32" w:rsidP="00EC24C5">
      <w:pPr>
        <w:snapToGrid w:val="0"/>
        <w:spacing w:line="360" w:lineRule="auto"/>
        <w:jc w:val="both"/>
        <w:rPr>
          <w:rFonts w:ascii="Book Antiqua" w:hAnsi="Book Antiqua"/>
          <w:b/>
          <w:lang w:val="en-GB"/>
        </w:rPr>
      </w:pPr>
      <w:r w:rsidRPr="009D03BE">
        <w:rPr>
          <w:rFonts w:ascii="Book Antiqua" w:hAnsi="Book Antiqua"/>
          <w:b/>
          <w:lang w:val="en-GB"/>
        </w:rPr>
        <w:t>Peer-review started:</w:t>
      </w:r>
      <w:r w:rsidR="00F5034E" w:rsidRPr="009D03BE">
        <w:rPr>
          <w:rFonts w:ascii="Book Antiqua" w:hAnsi="Book Antiqua"/>
          <w:lang w:val="en-GB" w:eastAsia="zh-CN"/>
        </w:rPr>
        <w:t xml:space="preserve"> February 26, 2019</w:t>
      </w:r>
      <w:r w:rsidR="005034EC" w:rsidRPr="009D03BE">
        <w:rPr>
          <w:rFonts w:ascii="Book Antiqua" w:hAnsi="Book Antiqua"/>
          <w:lang w:val="en-GB"/>
        </w:rPr>
        <w:t xml:space="preserve"> </w:t>
      </w:r>
    </w:p>
    <w:p w14:paraId="484BC82C" w14:textId="77777777" w:rsidR="00BA7F32" w:rsidRPr="009D03BE" w:rsidRDefault="00BA7F32" w:rsidP="00EC24C5">
      <w:pPr>
        <w:snapToGrid w:val="0"/>
        <w:spacing w:line="360" w:lineRule="auto"/>
        <w:jc w:val="both"/>
        <w:rPr>
          <w:rFonts w:ascii="Book Antiqua" w:hAnsi="Book Antiqua"/>
          <w:b/>
          <w:lang w:val="en-GB" w:eastAsia="zh-CN"/>
        </w:rPr>
      </w:pPr>
      <w:r w:rsidRPr="009D03BE">
        <w:rPr>
          <w:rFonts w:ascii="Book Antiqua" w:hAnsi="Book Antiqua"/>
          <w:b/>
          <w:lang w:val="en-GB"/>
        </w:rPr>
        <w:t>First decision:</w:t>
      </w:r>
      <w:r w:rsidR="00F5034E" w:rsidRPr="009D03BE">
        <w:rPr>
          <w:rFonts w:ascii="Book Antiqua" w:hAnsi="Book Antiqua"/>
          <w:b/>
          <w:lang w:val="en-GB" w:eastAsia="zh-CN"/>
        </w:rPr>
        <w:t xml:space="preserve"> </w:t>
      </w:r>
      <w:r w:rsidR="00F5034E" w:rsidRPr="009D03BE">
        <w:rPr>
          <w:rFonts w:ascii="Book Antiqua" w:hAnsi="Book Antiqua"/>
          <w:lang w:val="en-GB" w:eastAsia="zh-CN"/>
        </w:rPr>
        <w:t>March 10, 2019</w:t>
      </w:r>
    </w:p>
    <w:p w14:paraId="1E4B08BE" w14:textId="77777777" w:rsidR="00BA7F32" w:rsidRPr="009D03BE" w:rsidRDefault="00BA7F32" w:rsidP="00EC24C5">
      <w:pPr>
        <w:snapToGrid w:val="0"/>
        <w:spacing w:line="360" w:lineRule="auto"/>
        <w:jc w:val="both"/>
        <w:rPr>
          <w:rFonts w:ascii="Book Antiqua" w:hAnsi="Book Antiqua"/>
          <w:b/>
          <w:lang w:val="en-GB"/>
        </w:rPr>
      </w:pPr>
      <w:r w:rsidRPr="009D03BE">
        <w:rPr>
          <w:rFonts w:ascii="Book Antiqua" w:hAnsi="Book Antiqua"/>
          <w:b/>
          <w:lang w:val="en-GB"/>
        </w:rPr>
        <w:t xml:space="preserve">Revised: </w:t>
      </w:r>
      <w:r w:rsidR="00F5034E" w:rsidRPr="009D03BE">
        <w:rPr>
          <w:rFonts w:ascii="Book Antiqua" w:hAnsi="Book Antiqua"/>
          <w:lang w:val="en-GB" w:eastAsia="zh-CN"/>
        </w:rPr>
        <w:t>March 20, 2019</w:t>
      </w:r>
      <w:r w:rsidRPr="009D03BE">
        <w:rPr>
          <w:rFonts w:ascii="Book Antiqua" w:hAnsi="Book Antiqua"/>
          <w:b/>
          <w:lang w:val="en-GB"/>
        </w:rPr>
        <w:t xml:space="preserve"> </w:t>
      </w:r>
    </w:p>
    <w:p w14:paraId="3F9B22D0" w14:textId="77777777" w:rsidR="00BA7F32" w:rsidRPr="009D03BE" w:rsidRDefault="00BA7F32" w:rsidP="00EC24C5">
      <w:pPr>
        <w:snapToGrid w:val="0"/>
        <w:spacing w:line="360" w:lineRule="auto"/>
        <w:jc w:val="both"/>
        <w:rPr>
          <w:rFonts w:ascii="Book Antiqua" w:hAnsi="Book Antiqua"/>
          <w:b/>
          <w:lang w:val="en-GB"/>
        </w:rPr>
      </w:pPr>
      <w:r w:rsidRPr="009D03BE">
        <w:rPr>
          <w:rFonts w:ascii="Book Antiqua" w:hAnsi="Book Antiqua"/>
          <w:b/>
          <w:lang w:val="en-GB"/>
        </w:rPr>
        <w:t>Accepted:</w:t>
      </w:r>
      <w:r w:rsidR="006F4B3E" w:rsidRPr="009D03BE">
        <w:rPr>
          <w:rFonts w:ascii="Book Antiqua" w:hAnsi="Book Antiqua"/>
          <w:b/>
          <w:lang w:val="en-GB"/>
        </w:rPr>
        <w:t xml:space="preserve"> </w:t>
      </w:r>
      <w:r w:rsidR="006F4B3E" w:rsidRPr="009D03BE">
        <w:rPr>
          <w:rFonts w:ascii="Book Antiqua" w:hAnsi="Book Antiqua"/>
          <w:lang w:val="en-GB"/>
        </w:rPr>
        <w:t>April 9, 2019</w:t>
      </w:r>
      <w:r w:rsidR="005034EC" w:rsidRPr="009D03BE">
        <w:rPr>
          <w:rFonts w:ascii="Book Antiqua" w:hAnsi="Book Antiqua"/>
          <w:b/>
          <w:lang w:val="en-GB"/>
        </w:rPr>
        <w:t xml:space="preserve"> </w:t>
      </w:r>
    </w:p>
    <w:p w14:paraId="3D934B79" w14:textId="12CDE2CB" w:rsidR="00BA7F32" w:rsidRPr="009D03BE" w:rsidRDefault="00BA7F32" w:rsidP="00EC24C5">
      <w:pPr>
        <w:snapToGrid w:val="0"/>
        <w:spacing w:line="360" w:lineRule="auto"/>
        <w:jc w:val="both"/>
        <w:rPr>
          <w:rFonts w:ascii="Book Antiqua" w:hAnsi="Book Antiqua"/>
          <w:lang w:val="en-GB"/>
        </w:rPr>
      </w:pPr>
      <w:r w:rsidRPr="009D03BE">
        <w:rPr>
          <w:rFonts w:ascii="Book Antiqua" w:hAnsi="Book Antiqua"/>
          <w:b/>
          <w:lang w:val="en-GB"/>
        </w:rPr>
        <w:t>Article in press:</w:t>
      </w:r>
      <w:r w:rsidR="005034EC" w:rsidRPr="009D03BE">
        <w:rPr>
          <w:rFonts w:ascii="Book Antiqua" w:hAnsi="Book Antiqua"/>
          <w:lang w:val="en-GB"/>
        </w:rPr>
        <w:t xml:space="preserve"> </w:t>
      </w:r>
      <w:r w:rsidR="00067905" w:rsidRPr="009D03BE">
        <w:rPr>
          <w:rFonts w:ascii="Book Antiqua" w:hAnsi="Book Antiqua"/>
          <w:lang w:val="en-GB"/>
        </w:rPr>
        <w:t>April 9, 2019</w:t>
      </w:r>
    </w:p>
    <w:p w14:paraId="17A878D5" w14:textId="39F4E727" w:rsidR="00C31CBB" w:rsidRPr="009D03BE" w:rsidRDefault="00BA7F32" w:rsidP="00EC24C5">
      <w:pPr>
        <w:snapToGrid w:val="0"/>
        <w:spacing w:line="360" w:lineRule="auto"/>
        <w:jc w:val="both"/>
        <w:rPr>
          <w:rFonts w:ascii="Book Antiqua" w:hAnsi="Book Antiqua"/>
          <w:b/>
          <w:lang w:val="en-GB"/>
        </w:rPr>
      </w:pPr>
      <w:r w:rsidRPr="009D03BE">
        <w:rPr>
          <w:rFonts w:ascii="Book Antiqua" w:hAnsi="Book Antiqua"/>
          <w:b/>
          <w:lang w:val="en-GB"/>
        </w:rPr>
        <w:t xml:space="preserve">Published online: </w:t>
      </w:r>
      <w:r w:rsidR="00067905" w:rsidRPr="009D03BE">
        <w:rPr>
          <w:rFonts w:ascii="Book Antiqua" w:hAnsi="Book Antiqua"/>
          <w:lang w:val="en-GB"/>
        </w:rPr>
        <w:t>May 6</w:t>
      </w:r>
      <w:r w:rsidR="00067905" w:rsidRPr="009D03BE">
        <w:rPr>
          <w:rFonts w:ascii="Book Antiqua" w:hAnsi="Book Antiqua"/>
          <w:lang w:val="en-GB"/>
        </w:rPr>
        <w:t>, 2019</w:t>
      </w:r>
      <w:r w:rsidR="00067905" w:rsidRPr="009D03BE">
        <w:rPr>
          <w:rFonts w:ascii="Book Antiqua" w:hAnsi="Book Antiqua"/>
          <w:b/>
          <w:lang w:val="en-GB"/>
        </w:rPr>
        <w:t xml:space="preserve"> </w:t>
      </w:r>
      <w:r w:rsidR="00F5034E" w:rsidRPr="009D03BE">
        <w:rPr>
          <w:rFonts w:ascii="Book Antiqua" w:hAnsi="Book Antiqua"/>
          <w:b/>
          <w:lang w:val="en-GB" w:eastAsia="zh-CN"/>
        </w:rPr>
        <w:br w:type="page"/>
      </w:r>
      <w:r w:rsidR="00FE74BE" w:rsidRPr="009D03BE">
        <w:rPr>
          <w:rFonts w:ascii="Book Antiqua" w:hAnsi="Book Antiqua"/>
          <w:b/>
          <w:lang w:val="en-GB"/>
        </w:rPr>
        <w:lastRenderedPageBreak/>
        <w:t>Abstract</w:t>
      </w:r>
    </w:p>
    <w:p w14:paraId="35303AAD" w14:textId="77777777" w:rsidR="00E0338E" w:rsidRPr="009D03BE" w:rsidRDefault="00E0338E" w:rsidP="00EC24C5">
      <w:pPr>
        <w:snapToGrid w:val="0"/>
        <w:spacing w:line="360" w:lineRule="auto"/>
        <w:jc w:val="both"/>
        <w:rPr>
          <w:rFonts w:ascii="Book Antiqua" w:hAnsi="Book Antiqua"/>
          <w:b/>
          <w:i/>
          <w:lang w:val="en-GB"/>
        </w:rPr>
      </w:pPr>
      <w:r w:rsidRPr="009D03BE">
        <w:rPr>
          <w:rFonts w:ascii="Book Antiqua" w:hAnsi="Book Antiqua"/>
          <w:b/>
          <w:i/>
          <w:lang w:val="en-GB"/>
        </w:rPr>
        <w:t>BACKGROUND</w:t>
      </w:r>
    </w:p>
    <w:p w14:paraId="1647DAA3" w14:textId="77777777" w:rsidR="00E0338E" w:rsidRPr="009D03BE" w:rsidRDefault="008C0753" w:rsidP="00EC24C5">
      <w:pPr>
        <w:snapToGrid w:val="0"/>
        <w:spacing w:line="360" w:lineRule="auto"/>
        <w:jc w:val="both"/>
        <w:rPr>
          <w:rFonts w:ascii="Book Antiqua" w:hAnsi="Book Antiqua"/>
          <w:lang w:val="en-GB"/>
        </w:rPr>
      </w:pPr>
      <w:r w:rsidRPr="009D03BE">
        <w:rPr>
          <w:rFonts w:ascii="Book Antiqua" w:hAnsi="Book Antiqua"/>
          <w:lang w:val="en-GB"/>
        </w:rPr>
        <w:t>I</w:t>
      </w:r>
      <w:r w:rsidR="004262D5" w:rsidRPr="009D03BE">
        <w:rPr>
          <w:rFonts w:ascii="Book Antiqua" w:hAnsi="Book Antiqua"/>
          <w:lang w:val="en-GB"/>
        </w:rPr>
        <w:t xml:space="preserve">n </w:t>
      </w:r>
      <w:r w:rsidR="00356FE9" w:rsidRPr="009D03BE">
        <w:rPr>
          <w:rFonts w:ascii="Book Antiqua" w:hAnsi="Book Antiqua"/>
          <w:lang w:val="en-GB"/>
        </w:rPr>
        <w:t>paediatric</w:t>
      </w:r>
      <w:r w:rsidR="004262D5" w:rsidRPr="009D03BE">
        <w:rPr>
          <w:rFonts w:ascii="Book Antiqua" w:hAnsi="Book Antiqua"/>
          <w:lang w:val="en-GB"/>
        </w:rPr>
        <w:t xml:space="preserve"> patients with </w:t>
      </w:r>
      <w:r w:rsidR="00400199" w:rsidRPr="009D03BE">
        <w:rPr>
          <w:rFonts w:ascii="Book Antiqua" w:hAnsi="Book Antiqua"/>
          <w:lang w:val="en-GB"/>
        </w:rPr>
        <w:t xml:space="preserve">complicated </w:t>
      </w:r>
      <w:r w:rsidR="004262D5" w:rsidRPr="009D03BE">
        <w:rPr>
          <w:rFonts w:ascii="Book Antiqua" w:hAnsi="Book Antiqua"/>
          <w:lang w:val="en-GB"/>
        </w:rPr>
        <w:t>nephrotic syndrome (NS)</w:t>
      </w:r>
      <w:r w:rsidRPr="009D03BE">
        <w:rPr>
          <w:rFonts w:ascii="Book Antiqua" w:hAnsi="Book Antiqua"/>
          <w:lang w:val="en-GB"/>
        </w:rPr>
        <w:t>,</w:t>
      </w:r>
      <w:r w:rsidR="004262D5" w:rsidRPr="009D03BE">
        <w:rPr>
          <w:rFonts w:ascii="Book Antiqua" w:hAnsi="Book Antiqua"/>
          <w:lang w:val="en-GB"/>
        </w:rPr>
        <w:t xml:space="preserve"> rituximab</w:t>
      </w:r>
      <w:r w:rsidR="00CC607D" w:rsidRPr="009D03BE">
        <w:rPr>
          <w:rFonts w:ascii="Book Antiqua" w:hAnsi="Book Antiqua"/>
          <w:lang w:val="en-GB"/>
        </w:rPr>
        <w:t xml:space="preserve"> (RTX)</w:t>
      </w:r>
      <w:r w:rsidR="004262D5" w:rsidRPr="009D03BE">
        <w:rPr>
          <w:rFonts w:ascii="Book Antiqua" w:hAnsi="Book Antiqua"/>
          <w:lang w:val="en-GB"/>
        </w:rPr>
        <w:t xml:space="preserve"> administration can induce persistent IgG hypogammaglobulinemia among subjects showing low </w:t>
      </w:r>
      <w:r w:rsidR="00C36E33" w:rsidRPr="009D03BE">
        <w:rPr>
          <w:rFonts w:ascii="Book Antiqua" w:hAnsi="Book Antiqua"/>
          <w:lang w:val="en-GB"/>
        </w:rPr>
        <w:t xml:space="preserve">basal </w:t>
      </w:r>
      <w:r w:rsidRPr="009D03BE">
        <w:rPr>
          <w:rFonts w:ascii="Book Antiqua" w:hAnsi="Book Antiqua"/>
          <w:lang w:val="en-GB"/>
        </w:rPr>
        <w:t>immunoglobulin G (</w:t>
      </w:r>
      <w:r w:rsidR="004262D5" w:rsidRPr="009D03BE">
        <w:rPr>
          <w:rFonts w:ascii="Book Antiqua" w:hAnsi="Book Antiqua"/>
          <w:lang w:val="en-GB"/>
        </w:rPr>
        <w:t>IgG</w:t>
      </w:r>
      <w:r w:rsidRPr="009D03BE">
        <w:rPr>
          <w:rFonts w:ascii="Book Antiqua" w:hAnsi="Book Antiqua"/>
          <w:lang w:val="en-GB"/>
        </w:rPr>
        <w:t>)</w:t>
      </w:r>
      <w:r w:rsidR="004262D5" w:rsidRPr="009D03BE">
        <w:rPr>
          <w:rFonts w:ascii="Book Antiqua" w:hAnsi="Book Antiqua"/>
          <w:lang w:val="en-GB"/>
        </w:rPr>
        <w:t xml:space="preserve"> levels.</w:t>
      </w:r>
      <w:r w:rsidR="00400199" w:rsidRPr="009D03BE">
        <w:rPr>
          <w:rFonts w:ascii="Book Antiqua" w:hAnsi="Book Antiqua"/>
          <w:lang w:val="en-GB"/>
        </w:rPr>
        <w:t xml:space="preserve"> </w:t>
      </w:r>
    </w:p>
    <w:p w14:paraId="5D9B663F" w14:textId="77777777" w:rsidR="00E0338E" w:rsidRPr="009D03BE" w:rsidRDefault="00E0338E" w:rsidP="00EC24C5">
      <w:pPr>
        <w:snapToGrid w:val="0"/>
        <w:spacing w:line="360" w:lineRule="auto"/>
        <w:jc w:val="both"/>
        <w:rPr>
          <w:rFonts w:ascii="Book Antiqua" w:hAnsi="Book Antiqua"/>
          <w:b/>
          <w:lang w:val="en-GB"/>
        </w:rPr>
      </w:pPr>
    </w:p>
    <w:p w14:paraId="2DAE6038" w14:textId="77777777" w:rsidR="00E0338E" w:rsidRPr="009D03BE" w:rsidRDefault="00E0338E" w:rsidP="00EC24C5">
      <w:pPr>
        <w:snapToGrid w:val="0"/>
        <w:spacing w:line="360" w:lineRule="auto"/>
        <w:jc w:val="both"/>
        <w:rPr>
          <w:rFonts w:ascii="Book Antiqua" w:hAnsi="Book Antiqua"/>
          <w:b/>
          <w:i/>
          <w:lang w:val="en-GB"/>
        </w:rPr>
      </w:pPr>
      <w:r w:rsidRPr="009D03BE">
        <w:rPr>
          <w:rFonts w:ascii="Book Antiqua" w:hAnsi="Book Antiqua"/>
          <w:b/>
          <w:i/>
          <w:lang w:val="en-GB"/>
        </w:rPr>
        <w:t>AIM</w:t>
      </w:r>
    </w:p>
    <w:p w14:paraId="15AE1C50" w14:textId="77777777" w:rsidR="00FE74BE" w:rsidRPr="009D03BE" w:rsidRDefault="00E0338E" w:rsidP="00EC24C5">
      <w:pPr>
        <w:snapToGrid w:val="0"/>
        <w:spacing w:line="360" w:lineRule="auto"/>
        <w:jc w:val="both"/>
        <w:rPr>
          <w:rFonts w:ascii="Book Antiqua" w:hAnsi="Book Antiqua"/>
          <w:b/>
          <w:lang w:val="en-GB"/>
        </w:rPr>
      </w:pPr>
      <w:r w:rsidRPr="009D03BE">
        <w:rPr>
          <w:rFonts w:ascii="Book Antiqua" w:hAnsi="Book Antiqua"/>
          <w:lang w:val="en-GB"/>
        </w:rPr>
        <w:t>T</w:t>
      </w:r>
      <w:r w:rsidR="00400199" w:rsidRPr="009D03BE">
        <w:rPr>
          <w:rFonts w:ascii="Book Antiqua" w:hAnsi="Book Antiqua"/>
          <w:lang w:val="en-GB"/>
        </w:rPr>
        <w:t xml:space="preserve">o evaluate the effect of </w:t>
      </w:r>
      <w:r w:rsidR="00CC607D" w:rsidRPr="009D03BE">
        <w:rPr>
          <w:rFonts w:ascii="Book Antiqua" w:hAnsi="Book Antiqua"/>
          <w:lang w:val="en-GB"/>
        </w:rPr>
        <w:t>RTX</w:t>
      </w:r>
      <w:r w:rsidR="00400199" w:rsidRPr="009D03BE">
        <w:rPr>
          <w:rFonts w:ascii="Book Antiqua" w:hAnsi="Book Antiqua"/>
          <w:lang w:val="en-GB"/>
        </w:rPr>
        <w:t xml:space="preserve"> on IgG levels and infections in patients with complicated</w:t>
      </w:r>
      <w:r w:rsidR="00396E9E" w:rsidRPr="009D03BE">
        <w:rPr>
          <w:rFonts w:ascii="Book Antiqua" w:hAnsi="Book Antiqua"/>
          <w:lang w:val="en-GB"/>
        </w:rPr>
        <w:t xml:space="preserve"> NS</w:t>
      </w:r>
      <w:r w:rsidR="00400199" w:rsidRPr="009D03BE">
        <w:rPr>
          <w:rFonts w:ascii="Book Antiqua" w:hAnsi="Book Antiqua"/>
          <w:lang w:val="en-GB"/>
        </w:rPr>
        <w:t xml:space="preserve"> </w:t>
      </w:r>
      <w:r w:rsidR="00CD31D7" w:rsidRPr="009D03BE">
        <w:rPr>
          <w:rFonts w:ascii="Book Antiqua" w:hAnsi="Book Antiqua"/>
          <w:lang w:val="en-GB"/>
        </w:rPr>
        <w:t xml:space="preserve">and </w:t>
      </w:r>
      <w:r w:rsidR="00C84216" w:rsidRPr="009D03BE">
        <w:rPr>
          <w:rFonts w:ascii="Book Antiqua" w:hAnsi="Book Antiqua"/>
          <w:lang w:val="en-GB"/>
        </w:rPr>
        <w:t xml:space="preserve">normal </w:t>
      </w:r>
      <w:r w:rsidR="00C36E33" w:rsidRPr="009D03BE">
        <w:rPr>
          <w:rFonts w:ascii="Book Antiqua" w:hAnsi="Book Antiqua"/>
          <w:lang w:val="en-GB"/>
        </w:rPr>
        <w:t xml:space="preserve">basal </w:t>
      </w:r>
      <w:r w:rsidR="00C84216" w:rsidRPr="009D03BE">
        <w:rPr>
          <w:rFonts w:ascii="Book Antiqua" w:hAnsi="Book Antiqua"/>
          <w:lang w:val="en-GB"/>
        </w:rPr>
        <w:t xml:space="preserve">IgG levels. </w:t>
      </w:r>
    </w:p>
    <w:p w14:paraId="5380E5FA" w14:textId="77777777" w:rsidR="00E0338E" w:rsidRPr="009D03BE" w:rsidRDefault="00E0338E" w:rsidP="00EC24C5">
      <w:pPr>
        <w:snapToGrid w:val="0"/>
        <w:spacing w:line="360" w:lineRule="auto"/>
        <w:jc w:val="both"/>
        <w:rPr>
          <w:rFonts w:ascii="Book Antiqua" w:hAnsi="Book Antiqua"/>
          <w:b/>
          <w:lang w:val="en-GB"/>
        </w:rPr>
      </w:pPr>
    </w:p>
    <w:p w14:paraId="13039B83" w14:textId="77777777" w:rsidR="00E0338E" w:rsidRPr="009D03BE" w:rsidRDefault="00E0338E" w:rsidP="00EC24C5">
      <w:pPr>
        <w:snapToGrid w:val="0"/>
        <w:spacing w:line="360" w:lineRule="auto"/>
        <w:jc w:val="both"/>
        <w:rPr>
          <w:rFonts w:ascii="Book Antiqua" w:hAnsi="Book Antiqua"/>
          <w:b/>
          <w:i/>
          <w:lang w:val="en-GB"/>
        </w:rPr>
      </w:pPr>
      <w:r w:rsidRPr="009D03BE">
        <w:rPr>
          <w:rFonts w:ascii="Book Antiqua" w:hAnsi="Book Antiqua"/>
          <w:b/>
          <w:i/>
          <w:lang w:val="en-GB"/>
        </w:rPr>
        <w:t>METHODS</w:t>
      </w:r>
    </w:p>
    <w:p w14:paraId="0C71B574" w14:textId="77777777" w:rsidR="00FE74BE" w:rsidRPr="009D03BE" w:rsidRDefault="00F671C6" w:rsidP="00EC24C5">
      <w:pPr>
        <w:snapToGrid w:val="0"/>
        <w:spacing w:line="360" w:lineRule="auto"/>
        <w:jc w:val="both"/>
        <w:rPr>
          <w:rFonts w:ascii="Book Antiqua" w:hAnsi="Book Antiqua"/>
          <w:lang w:val="en-GB"/>
        </w:rPr>
      </w:pPr>
      <w:r w:rsidRPr="009D03BE">
        <w:rPr>
          <w:rFonts w:ascii="Book Antiqua" w:hAnsi="Book Antiqua"/>
          <w:lang w:val="en-GB"/>
        </w:rPr>
        <w:t>We</w:t>
      </w:r>
      <w:r w:rsidR="00D41441" w:rsidRPr="009D03BE">
        <w:rPr>
          <w:rFonts w:ascii="Book Antiqua" w:hAnsi="Book Antiqua"/>
          <w:lang w:val="en-GB"/>
        </w:rPr>
        <w:t xml:space="preserve"> consecutively</w:t>
      </w:r>
      <w:r w:rsidRPr="009D03BE">
        <w:rPr>
          <w:rFonts w:ascii="Book Antiqua" w:hAnsi="Book Antiqua"/>
          <w:lang w:val="en-GB"/>
        </w:rPr>
        <w:t xml:space="preserve"> enrolled all patients with complicate</w:t>
      </w:r>
      <w:r w:rsidR="00396E9E" w:rsidRPr="009D03BE">
        <w:rPr>
          <w:rFonts w:ascii="Book Antiqua" w:hAnsi="Book Antiqua"/>
          <w:lang w:val="en-GB"/>
        </w:rPr>
        <w:t xml:space="preserve">d NS </w:t>
      </w:r>
      <w:r w:rsidR="00C1376D" w:rsidRPr="009D03BE">
        <w:rPr>
          <w:rFonts w:ascii="Book Antiqua" w:hAnsi="Book Antiqua"/>
          <w:lang w:val="en-GB"/>
        </w:rPr>
        <w:t xml:space="preserve">and normal </w:t>
      </w:r>
      <w:r w:rsidR="00C36E33" w:rsidRPr="009D03BE">
        <w:rPr>
          <w:rFonts w:ascii="Book Antiqua" w:hAnsi="Book Antiqua"/>
          <w:lang w:val="en-GB"/>
        </w:rPr>
        <w:t xml:space="preserve">basal </w:t>
      </w:r>
      <w:r w:rsidR="00C84216" w:rsidRPr="009D03BE">
        <w:rPr>
          <w:rFonts w:ascii="Book Antiqua" w:hAnsi="Book Antiqua"/>
          <w:lang w:val="en-GB"/>
        </w:rPr>
        <w:t xml:space="preserve">IgG </w:t>
      </w:r>
      <w:r w:rsidR="00C1376D" w:rsidRPr="009D03BE">
        <w:rPr>
          <w:rFonts w:ascii="Book Antiqua" w:hAnsi="Book Antiqua"/>
          <w:lang w:val="en-GB"/>
        </w:rPr>
        <w:t xml:space="preserve">levels </w:t>
      </w:r>
      <w:r w:rsidR="00A92433" w:rsidRPr="009D03BE">
        <w:rPr>
          <w:rFonts w:ascii="Book Antiqua" w:hAnsi="Book Antiqua"/>
          <w:lang w:val="en-GB"/>
        </w:rPr>
        <w:t>undergoing</w:t>
      </w:r>
      <w:r w:rsidR="00396E9E" w:rsidRPr="009D03BE">
        <w:rPr>
          <w:rFonts w:ascii="Book Antiqua" w:hAnsi="Book Antiqua"/>
          <w:lang w:val="en-GB"/>
        </w:rPr>
        <w:t xml:space="preserve"> the first</w:t>
      </w:r>
      <w:r w:rsidR="00CC607D" w:rsidRPr="009D03BE">
        <w:rPr>
          <w:rFonts w:ascii="Book Antiqua" w:hAnsi="Book Antiqua"/>
          <w:lang w:val="en-GB"/>
        </w:rPr>
        <w:t xml:space="preserve"> RTX</w:t>
      </w:r>
      <w:r w:rsidRPr="009D03BE">
        <w:rPr>
          <w:rFonts w:ascii="Book Antiqua" w:hAnsi="Book Antiqua"/>
          <w:lang w:val="en-GB"/>
        </w:rPr>
        <w:t xml:space="preserve"> infusion from January 200</w:t>
      </w:r>
      <w:r w:rsidR="00050542" w:rsidRPr="009D03BE">
        <w:rPr>
          <w:rFonts w:ascii="Book Antiqua" w:hAnsi="Book Antiqua"/>
          <w:lang w:val="en-GB"/>
        </w:rPr>
        <w:t>8</w:t>
      </w:r>
      <w:r w:rsidRPr="009D03BE">
        <w:rPr>
          <w:rFonts w:ascii="Book Antiqua" w:hAnsi="Book Antiqua"/>
          <w:lang w:val="en-GB"/>
        </w:rPr>
        <w:t xml:space="preserve"> to January</w:t>
      </w:r>
      <w:r w:rsidR="00C84216" w:rsidRPr="009D03BE">
        <w:rPr>
          <w:rFonts w:ascii="Book Antiqua" w:hAnsi="Book Antiqua"/>
          <w:lang w:val="en-GB"/>
        </w:rPr>
        <w:t xml:space="preserve"> 2016. B</w:t>
      </w:r>
      <w:r w:rsidRPr="009D03BE">
        <w:rPr>
          <w:rFonts w:ascii="Book Antiqua" w:hAnsi="Book Antiqua"/>
          <w:lang w:val="en-GB"/>
        </w:rPr>
        <w:t>asal I</w:t>
      </w:r>
      <w:r w:rsidR="00D41441" w:rsidRPr="009D03BE">
        <w:rPr>
          <w:rFonts w:ascii="Book Antiqua" w:hAnsi="Book Antiqua"/>
          <w:lang w:val="en-GB"/>
        </w:rPr>
        <w:t xml:space="preserve">gG levels </w:t>
      </w:r>
      <w:r w:rsidR="00C84216" w:rsidRPr="009D03BE">
        <w:rPr>
          <w:rFonts w:ascii="Book Antiqua" w:hAnsi="Book Antiqua"/>
          <w:lang w:val="en-GB"/>
        </w:rPr>
        <w:t xml:space="preserve">were </w:t>
      </w:r>
      <w:r w:rsidR="00D41441" w:rsidRPr="009D03BE">
        <w:rPr>
          <w:rFonts w:ascii="Book Antiqua" w:hAnsi="Book Antiqua"/>
          <w:lang w:val="en-GB"/>
        </w:rPr>
        <w:t>dosed after 6</w:t>
      </w:r>
      <w:r w:rsidR="005854A2" w:rsidRPr="009D03BE">
        <w:rPr>
          <w:rFonts w:ascii="Book Antiqua" w:hAnsi="Book Antiqua"/>
          <w:lang w:val="en-GB"/>
        </w:rPr>
        <w:t xml:space="preserve"> </w:t>
      </w:r>
      <w:proofErr w:type="spellStart"/>
      <w:r w:rsidR="005034EC" w:rsidRPr="009D03BE">
        <w:rPr>
          <w:rFonts w:ascii="Book Antiqua" w:hAnsi="Book Antiqua"/>
          <w:lang w:val="en-GB"/>
        </w:rPr>
        <w:t>wk</w:t>
      </w:r>
      <w:proofErr w:type="spellEnd"/>
      <w:r w:rsidRPr="009D03BE">
        <w:rPr>
          <w:rFonts w:ascii="Book Antiqua" w:hAnsi="Book Antiqua"/>
          <w:lang w:val="en-GB"/>
        </w:rPr>
        <w:t xml:space="preserve"> of absent proteinuria and </w:t>
      </w:r>
      <w:r w:rsidR="00C84216" w:rsidRPr="009D03BE">
        <w:rPr>
          <w:rFonts w:ascii="Book Antiqua" w:hAnsi="Book Antiqua"/>
          <w:lang w:val="en-GB"/>
        </w:rPr>
        <w:t xml:space="preserve">with a maximal interval of 3 </w:t>
      </w:r>
      <w:proofErr w:type="spellStart"/>
      <w:r w:rsidR="00C84216" w:rsidRPr="009D03BE">
        <w:rPr>
          <w:rFonts w:ascii="Book Antiqua" w:hAnsi="Book Antiqua"/>
          <w:lang w:val="en-GB"/>
        </w:rPr>
        <w:t>mo</w:t>
      </w:r>
      <w:proofErr w:type="spellEnd"/>
      <w:r w:rsidR="00C84216" w:rsidRPr="009D03BE">
        <w:rPr>
          <w:rFonts w:ascii="Book Antiqua" w:hAnsi="Book Antiqua"/>
          <w:lang w:val="en-GB"/>
        </w:rPr>
        <w:t xml:space="preserve"> before </w:t>
      </w:r>
      <w:r w:rsidR="00CC607D" w:rsidRPr="009D03BE">
        <w:rPr>
          <w:rFonts w:ascii="Book Antiqua" w:hAnsi="Book Antiqua"/>
          <w:lang w:val="en-GB"/>
        </w:rPr>
        <w:t>RTX</w:t>
      </w:r>
      <w:r w:rsidR="00396E9E" w:rsidRPr="009D03BE">
        <w:rPr>
          <w:rFonts w:ascii="Book Antiqua" w:hAnsi="Book Antiqua"/>
          <w:lang w:val="en-GB"/>
        </w:rPr>
        <w:t xml:space="preserve"> infusion. </w:t>
      </w:r>
      <w:r w:rsidR="004C3890" w:rsidRPr="009D03BE">
        <w:rPr>
          <w:rFonts w:ascii="Book Antiqua" w:hAnsi="Book Antiqua"/>
          <w:lang w:val="en-GB"/>
        </w:rPr>
        <w:t xml:space="preserve">The primary outcome was the onset of IgG hypogammaglobulinemia during the follow-up according to the </w:t>
      </w:r>
      <w:r w:rsidR="003C6111" w:rsidRPr="009D03BE">
        <w:rPr>
          <w:rFonts w:ascii="Book Antiqua" w:hAnsi="Book Antiqua"/>
          <w:lang w:val="en-GB"/>
        </w:rPr>
        <w:t xml:space="preserve">IgG </w:t>
      </w:r>
      <w:r w:rsidR="007943AB" w:rsidRPr="009D03BE">
        <w:rPr>
          <w:rFonts w:ascii="Book Antiqua" w:hAnsi="Book Antiqua"/>
          <w:lang w:val="en-GB"/>
        </w:rPr>
        <w:t>normal values for age (mean</w:t>
      </w:r>
      <w:r w:rsidR="00E03F33" w:rsidRPr="009D03BE">
        <w:rPr>
          <w:rFonts w:ascii="Book Antiqua" w:hAnsi="Book Antiqua"/>
          <w:lang w:val="en-GB" w:eastAsia="zh-CN"/>
        </w:rPr>
        <w:t xml:space="preserve"> </w:t>
      </w:r>
      <w:r w:rsidR="00E03F33" w:rsidRPr="009D03BE">
        <w:rPr>
          <w:rFonts w:ascii="Book Antiqua" w:hAnsi="Book Antiqua"/>
          <w:lang w:val="en-GB"/>
        </w:rPr>
        <w:t>±</w:t>
      </w:r>
      <w:r w:rsidR="00E03F33" w:rsidRPr="009D03BE">
        <w:rPr>
          <w:rFonts w:ascii="Book Antiqua" w:hAnsi="Book Antiqua"/>
          <w:lang w:val="en-GB" w:eastAsia="zh-CN"/>
        </w:rPr>
        <w:t xml:space="preserve"> </w:t>
      </w:r>
      <w:r w:rsidR="00095525" w:rsidRPr="009D03BE">
        <w:rPr>
          <w:rFonts w:ascii="Book Antiqua" w:hAnsi="Book Antiqua"/>
          <w:lang w:val="en-GB" w:eastAsia="zh-CN"/>
        </w:rPr>
        <w:t>standard deviation (</w:t>
      </w:r>
      <w:r w:rsidR="00E03F33" w:rsidRPr="009D03BE">
        <w:rPr>
          <w:rFonts w:ascii="Book Antiqua" w:hAnsi="Book Antiqua"/>
          <w:lang w:val="en-GB"/>
        </w:rPr>
        <w:t>SD</w:t>
      </w:r>
      <w:r w:rsidR="00095525" w:rsidRPr="009D03BE">
        <w:rPr>
          <w:rFonts w:ascii="Book Antiqua" w:hAnsi="Book Antiqua"/>
          <w:lang w:val="en-GB"/>
        </w:rPr>
        <w:t>)</w:t>
      </w:r>
      <w:r w:rsidR="004C3890" w:rsidRPr="009D03BE">
        <w:rPr>
          <w:rFonts w:ascii="Book Antiqua" w:hAnsi="Book Antiqua"/>
          <w:lang w:val="en-GB"/>
        </w:rPr>
        <w:t xml:space="preserve">). </w:t>
      </w:r>
    </w:p>
    <w:p w14:paraId="014AD3D9" w14:textId="77777777" w:rsidR="00E0338E" w:rsidRPr="009D03BE" w:rsidRDefault="00E0338E" w:rsidP="00EC24C5">
      <w:pPr>
        <w:snapToGrid w:val="0"/>
        <w:spacing w:line="360" w:lineRule="auto"/>
        <w:jc w:val="both"/>
        <w:rPr>
          <w:rFonts w:ascii="Book Antiqua" w:hAnsi="Book Antiqua"/>
          <w:b/>
          <w:lang w:val="en-GB"/>
        </w:rPr>
      </w:pPr>
    </w:p>
    <w:p w14:paraId="2EADE1DB" w14:textId="77777777" w:rsidR="00E0338E" w:rsidRPr="009D03BE" w:rsidRDefault="00E0338E" w:rsidP="00EC24C5">
      <w:pPr>
        <w:snapToGrid w:val="0"/>
        <w:spacing w:line="360" w:lineRule="auto"/>
        <w:jc w:val="both"/>
        <w:rPr>
          <w:rFonts w:ascii="Book Antiqua" w:hAnsi="Book Antiqua"/>
          <w:b/>
          <w:i/>
          <w:lang w:val="en-GB"/>
        </w:rPr>
      </w:pPr>
      <w:r w:rsidRPr="009D03BE">
        <w:rPr>
          <w:rFonts w:ascii="Book Antiqua" w:hAnsi="Book Antiqua"/>
          <w:b/>
          <w:i/>
          <w:lang w:val="en-GB"/>
        </w:rPr>
        <w:t>RESULTS</w:t>
      </w:r>
    </w:p>
    <w:p w14:paraId="5FBE66F9" w14:textId="77777777" w:rsidR="00E0338E" w:rsidRPr="009D03BE" w:rsidRDefault="00562A12" w:rsidP="00EC24C5">
      <w:pPr>
        <w:snapToGrid w:val="0"/>
        <w:spacing w:line="360" w:lineRule="auto"/>
        <w:jc w:val="both"/>
        <w:rPr>
          <w:rFonts w:ascii="Book Antiqua" w:hAnsi="Book Antiqua"/>
          <w:lang w:val="en-GB"/>
        </w:rPr>
      </w:pPr>
      <w:r w:rsidRPr="009D03BE">
        <w:rPr>
          <w:rFonts w:ascii="Book Antiqua" w:hAnsi="Book Antiqua"/>
          <w:lang w:val="en-GB"/>
        </w:rPr>
        <w:t>We enrolled 20 pa</w:t>
      </w:r>
      <w:r w:rsidR="007C78F3" w:rsidRPr="009D03BE">
        <w:rPr>
          <w:rFonts w:ascii="Book Antiqua" w:hAnsi="Book Antiqua"/>
          <w:lang w:val="en-GB"/>
        </w:rPr>
        <w:t>tients</w:t>
      </w:r>
      <w:r w:rsidRPr="009D03BE">
        <w:rPr>
          <w:rFonts w:ascii="Book Antiqua" w:hAnsi="Book Antiqua"/>
          <w:lang w:val="en-GB"/>
        </w:rPr>
        <w:t xml:space="preserve"> with </w:t>
      </w:r>
      <w:r w:rsidR="00A92433" w:rsidRPr="009D03BE">
        <w:rPr>
          <w:rFonts w:ascii="Book Antiqua" w:hAnsi="Book Antiqua"/>
          <w:lang w:val="en-GB"/>
        </w:rPr>
        <w:t>mean age at NS diagnosis of 4.2</w:t>
      </w:r>
      <w:r w:rsidR="005034EC" w:rsidRPr="009D03BE">
        <w:rPr>
          <w:rFonts w:ascii="Book Antiqua" w:hAnsi="Book Antiqua"/>
          <w:lang w:val="en-GB"/>
        </w:rPr>
        <w:t xml:space="preserve"> ± </w:t>
      </w:r>
      <w:r w:rsidRPr="009D03BE">
        <w:rPr>
          <w:rFonts w:ascii="Book Antiqua" w:hAnsi="Book Antiqua"/>
          <w:lang w:val="en-GB"/>
        </w:rPr>
        <w:t>3.3</w:t>
      </w:r>
      <w:r w:rsidR="00E03F33" w:rsidRPr="009D03BE">
        <w:rPr>
          <w:rFonts w:ascii="Book Antiqua" w:hAnsi="Book Antiqua"/>
          <w:lang w:val="en-GB" w:eastAsia="zh-CN"/>
        </w:rPr>
        <w:t xml:space="preserve"> </w:t>
      </w:r>
      <w:r w:rsidRPr="009D03BE">
        <w:rPr>
          <w:rFonts w:ascii="Book Antiqua" w:hAnsi="Book Antiqua"/>
          <w:lang w:val="en-GB"/>
        </w:rPr>
        <w:t xml:space="preserve">years. </w:t>
      </w:r>
      <w:r w:rsidR="00D41441" w:rsidRPr="009D03BE">
        <w:rPr>
          <w:rFonts w:ascii="Book Antiqua" w:hAnsi="Book Antiqua"/>
          <w:lang w:val="en-GB"/>
        </w:rPr>
        <w:t xml:space="preserve">The mean age at the first </w:t>
      </w:r>
      <w:r w:rsidR="00CC607D" w:rsidRPr="009D03BE">
        <w:rPr>
          <w:rFonts w:ascii="Book Antiqua" w:hAnsi="Book Antiqua"/>
          <w:lang w:val="en-GB"/>
        </w:rPr>
        <w:t>RTX</w:t>
      </w:r>
      <w:r w:rsidR="00D41441" w:rsidRPr="009D03BE">
        <w:rPr>
          <w:rFonts w:ascii="Book Antiqua" w:hAnsi="Book Antiqua"/>
          <w:lang w:val="en-GB"/>
        </w:rPr>
        <w:t xml:space="preserve"> infusion was</w:t>
      </w:r>
      <w:r w:rsidR="007943AB" w:rsidRPr="009D03BE">
        <w:rPr>
          <w:rFonts w:ascii="Book Antiqua" w:hAnsi="Book Antiqua"/>
          <w:lang w:val="en-GB"/>
        </w:rPr>
        <w:t xml:space="preserve"> </w:t>
      </w:r>
      <w:r w:rsidR="00E375B3" w:rsidRPr="009D03BE">
        <w:rPr>
          <w:rFonts w:ascii="Book Antiqua" w:hAnsi="Book Antiqua"/>
          <w:lang w:val="en-GB"/>
        </w:rPr>
        <w:t>10.9</w:t>
      </w:r>
      <w:r w:rsidR="005034EC" w:rsidRPr="009D03BE">
        <w:rPr>
          <w:rFonts w:ascii="Book Antiqua" w:hAnsi="Book Antiqua"/>
          <w:lang w:val="en-GB"/>
        </w:rPr>
        <w:t xml:space="preserve"> ± </w:t>
      </w:r>
      <w:r w:rsidR="00E375B3" w:rsidRPr="009D03BE">
        <w:rPr>
          <w:rFonts w:ascii="Book Antiqua" w:hAnsi="Book Antiqua"/>
          <w:lang w:val="en-GB"/>
        </w:rPr>
        <w:t>3.5</w:t>
      </w:r>
      <w:r w:rsidR="0026128C" w:rsidRPr="009D03BE">
        <w:rPr>
          <w:rFonts w:ascii="Book Antiqua" w:hAnsi="Book Antiqua"/>
          <w:lang w:val="en-GB" w:eastAsia="zh-CN"/>
        </w:rPr>
        <w:t xml:space="preserve"> </w:t>
      </w:r>
      <w:r w:rsidR="00D41441" w:rsidRPr="009D03BE">
        <w:rPr>
          <w:rFonts w:ascii="Book Antiqua" w:hAnsi="Book Antiqua"/>
          <w:lang w:val="en-GB"/>
        </w:rPr>
        <w:t xml:space="preserve">years. </w:t>
      </w:r>
      <w:r w:rsidRPr="009D03BE">
        <w:rPr>
          <w:rFonts w:ascii="Book Antiqua" w:hAnsi="Book Antiqua"/>
          <w:lang w:val="en-GB"/>
        </w:rPr>
        <w:t xml:space="preserve">Eleven out of </w:t>
      </w:r>
      <w:r w:rsidR="00683A59" w:rsidRPr="009D03BE">
        <w:rPr>
          <w:rFonts w:ascii="Book Antiqua" w:hAnsi="Book Antiqua"/>
          <w:lang w:val="en-GB"/>
        </w:rPr>
        <w:t>twenty</w:t>
      </w:r>
      <w:r w:rsidRPr="009D03BE">
        <w:rPr>
          <w:rFonts w:ascii="Book Antiqua" w:hAnsi="Book Antiqua"/>
          <w:lang w:val="en-GB"/>
        </w:rPr>
        <w:t xml:space="preserve"> patients (55%) developed IgG hypogammaglobulinemia. </w:t>
      </w:r>
      <w:r w:rsidR="00013A1B" w:rsidRPr="009D03BE">
        <w:rPr>
          <w:rFonts w:ascii="Book Antiqua" w:hAnsi="Book Antiqua"/>
          <w:lang w:val="en-GB"/>
        </w:rPr>
        <w:t xml:space="preserve">None of these patients showed severe or recurrent infections. Only one patient </w:t>
      </w:r>
      <w:r w:rsidR="00881C91" w:rsidRPr="009D03BE">
        <w:rPr>
          <w:rFonts w:ascii="Book Antiqua" w:hAnsi="Book Antiqua"/>
          <w:bCs/>
          <w:lang w:val="en-GB"/>
        </w:rPr>
        <w:t>suffered from recurrent acute otitis media and underwent substitutive IgG infusion</w:t>
      </w:r>
      <w:r w:rsidR="00013A1B" w:rsidRPr="009D03BE">
        <w:rPr>
          <w:rFonts w:ascii="Book Antiqua" w:hAnsi="Book Antiqua"/>
          <w:lang w:val="en-GB"/>
        </w:rPr>
        <w:t xml:space="preserve">. </w:t>
      </w:r>
      <w:r w:rsidR="00DE0459" w:rsidRPr="009D03BE">
        <w:rPr>
          <w:rFonts w:ascii="Book Antiqua" w:hAnsi="Book Antiqua"/>
          <w:lang w:val="en-GB"/>
        </w:rPr>
        <w:t xml:space="preserve">Three patients undergoing only the </w:t>
      </w:r>
      <w:r w:rsidR="00F7075F" w:rsidRPr="009D03BE">
        <w:rPr>
          <w:rFonts w:ascii="Book Antiqua" w:hAnsi="Book Antiqua"/>
          <w:lang w:val="en-GB"/>
        </w:rPr>
        <w:t>two</w:t>
      </w:r>
      <w:r w:rsidR="00DE0459" w:rsidRPr="009D03BE">
        <w:rPr>
          <w:rFonts w:ascii="Book Antiqua" w:hAnsi="Book Antiqua"/>
          <w:lang w:val="en-GB"/>
        </w:rPr>
        <w:t xml:space="preserve"> “starting doses”</w:t>
      </w:r>
      <w:r w:rsidR="00F7075F" w:rsidRPr="009D03BE">
        <w:rPr>
          <w:rFonts w:ascii="Book Antiqua" w:hAnsi="Book Antiqua"/>
          <w:lang w:val="en-GB"/>
        </w:rPr>
        <w:t xml:space="preserve"> </w:t>
      </w:r>
      <w:r w:rsidR="00DE0459" w:rsidRPr="009D03BE">
        <w:rPr>
          <w:rFonts w:ascii="Book Antiqua" w:hAnsi="Book Antiqua"/>
          <w:lang w:val="en-GB"/>
        </w:rPr>
        <w:t xml:space="preserve">experienced normalization of IgG levels. </w:t>
      </w:r>
      <w:r w:rsidR="00F7075F" w:rsidRPr="009D03BE">
        <w:rPr>
          <w:rFonts w:ascii="Book Antiqua" w:hAnsi="Book Antiqua"/>
          <w:lang w:val="en-GB"/>
        </w:rPr>
        <w:t>Using</w:t>
      </w:r>
      <w:r w:rsidRPr="009D03BE">
        <w:rPr>
          <w:rFonts w:ascii="Book Antiqua" w:hAnsi="Book Antiqua"/>
          <w:lang w:val="en-GB"/>
        </w:rPr>
        <w:t xml:space="preserve"> Kaplan-Meier analysis, the cumulative proportion of patients free of IgG hypogammaglobulinemia was 57.8% after the first </w:t>
      </w:r>
      <w:r w:rsidR="00CC607D" w:rsidRPr="009D03BE">
        <w:rPr>
          <w:rFonts w:ascii="Book Antiqua" w:hAnsi="Book Antiqua"/>
          <w:lang w:val="en-GB"/>
        </w:rPr>
        <w:t>RTX</w:t>
      </w:r>
      <w:r w:rsidR="00D41441" w:rsidRPr="009D03BE">
        <w:rPr>
          <w:rFonts w:ascii="Book Antiqua" w:hAnsi="Book Antiqua"/>
          <w:lang w:val="en-GB"/>
        </w:rPr>
        <w:t xml:space="preserve"> </w:t>
      </w:r>
      <w:r w:rsidRPr="009D03BE">
        <w:rPr>
          <w:rFonts w:ascii="Book Antiqua" w:hAnsi="Book Antiqua"/>
          <w:lang w:val="en-GB"/>
        </w:rPr>
        <w:t>dose</w:t>
      </w:r>
      <w:r w:rsidR="000A6104" w:rsidRPr="009D03BE">
        <w:rPr>
          <w:rFonts w:ascii="Book Antiqua" w:hAnsi="Book Antiqua"/>
          <w:lang w:val="en-GB"/>
        </w:rPr>
        <w:t>, 51.5% after the third</w:t>
      </w:r>
      <w:r w:rsidR="00F7075F" w:rsidRPr="009D03BE">
        <w:rPr>
          <w:rFonts w:ascii="Book Antiqua" w:hAnsi="Book Antiqua"/>
          <w:lang w:val="en-GB"/>
        </w:rPr>
        <w:t xml:space="preserve"> dose</w:t>
      </w:r>
      <w:r w:rsidR="000A6104" w:rsidRPr="009D03BE">
        <w:rPr>
          <w:rFonts w:ascii="Book Antiqua" w:hAnsi="Book Antiqua"/>
          <w:lang w:val="en-GB"/>
        </w:rPr>
        <w:t>, 44.1% after the fourth</w:t>
      </w:r>
      <w:r w:rsidR="00F7075F" w:rsidRPr="009D03BE">
        <w:rPr>
          <w:rFonts w:ascii="Book Antiqua" w:hAnsi="Book Antiqua"/>
          <w:lang w:val="en-GB"/>
        </w:rPr>
        <w:t xml:space="preserve"> dose,</w:t>
      </w:r>
      <w:r w:rsidR="00DB5358" w:rsidRPr="009D03BE">
        <w:rPr>
          <w:rFonts w:ascii="Book Antiqua" w:hAnsi="Book Antiqua"/>
          <w:lang w:val="en-GB"/>
        </w:rPr>
        <w:t xml:space="preserve"> and 35.5% after the fifth dose</w:t>
      </w:r>
      <w:r w:rsidRPr="009D03BE">
        <w:rPr>
          <w:rFonts w:ascii="Book Antiqua" w:hAnsi="Book Antiqua"/>
          <w:lang w:val="en-GB"/>
        </w:rPr>
        <w:t xml:space="preserve">. </w:t>
      </w:r>
    </w:p>
    <w:p w14:paraId="268150B0" w14:textId="77777777" w:rsidR="00E0338E" w:rsidRPr="009D03BE" w:rsidRDefault="00E0338E" w:rsidP="00EC24C5">
      <w:pPr>
        <w:autoSpaceDE w:val="0"/>
        <w:snapToGrid w:val="0"/>
        <w:spacing w:line="360" w:lineRule="auto"/>
        <w:jc w:val="both"/>
        <w:rPr>
          <w:rFonts w:ascii="Book Antiqua" w:hAnsi="Book Antiqua"/>
          <w:lang w:val="en-GB"/>
        </w:rPr>
      </w:pPr>
    </w:p>
    <w:p w14:paraId="4A013339" w14:textId="77777777" w:rsidR="00E0338E" w:rsidRPr="009D03BE" w:rsidRDefault="00E0338E" w:rsidP="00EC24C5">
      <w:pPr>
        <w:autoSpaceDE w:val="0"/>
        <w:snapToGrid w:val="0"/>
        <w:spacing w:line="360" w:lineRule="auto"/>
        <w:jc w:val="both"/>
        <w:rPr>
          <w:rFonts w:ascii="Book Antiqua" w:hAnsi="Book Antiqua"/>
          <w:b/>
          <w:i/>
          <w:lang w:val="en-GB"/>
        </w:rPr>
      </w:pPr>
      <w:r w:rsidRPr="009D03BE">
        <w:rPr>
          <w:rFonts w:ascii="Book Antiqua" w:hAnsi="Book Antiqua"/>
          <w:b/>
          <w:i/>
          <w:lang w:val="en-GB"/>
        </w:rPr>
        <w:t>CONCLUSION</w:t>
      </w:r>
    </w:p>
    <w:p w14:paraId="2B16EFE5" w14:textId="77777777" w:rsidR="00FE74BE" w:rsidRPr="009D03BE" w:rsidRDefault="00396E9E" w:rsidP="00EC24C5">
      <w:pPr>
        <w:autoSpaceDE w:val="0"/>
        <w:snapToGrid w:val="0"/>
        <w:spacing w:line="360" w:lineRule="auto"/>
        <w:jc w:val="both"/>
        <w:rPr>
          <w:rFonts w:ascii="Book Antiqua" w:hAnsi="Book Antiqua"/>
          <w:lang w:val="en-GB"/>
        </w:rPr>
      </w:pPr>
      <w:r w:rsidRPr="009D03BE">
        <w:rPr>
          <w:rFonts w:ascii="Book Antiqua" w:hAnsi="Book Antiqua"/>
          <w:lang w:val="en-GB"/>
        </w:rPr>
        <w:t>RTX can induce IgG hypogammaglobulinemia in patients</w:t>
      </w:r>
      <w:r w:rsidR="007815BF" w:rsidRPr="009D03BE">
        <w:rPr>
          <w:rFonts w:ascii="Book Antiqua" w:hAnsi="Book Antiqua"/>
          <w:lang w:val="en-GB"/>
        </w:rPr>
        <w:t xml:space="preserve"> with pre-</w:t>
      </w:r>
      <w:r w:rsidR="00CC607D" w:rsidRPr="009D03BE">
        <w:rPr>
          <w:rFonts w:ascii="Book Antiqua" w:hAnsi="Book Antiqua"/>
          <w:lang w:val="en-GB"/>
        </w:rPr>
        <w:t>RTX</w:t>
      </w:r>
      <w:r w:rsidR="00D41441" w:rsidRPr="009D03BE">
        <w:rPr>
          <w:rFonts w:ascii="Book Antiqua" w:hAnsi="Book Antiqua"/>
          <w:lang w:val="en-GB"/>
        </w:rPr>
        <w:t xml:space="preserve"> IgG normal values.</w:t>
      </w:r>
      <w:r w:rsidR="005034EC" w:rsidRPr="009D03BE">
        <w:rPr>
          <w:rFonts w:ascii="Book Antiqua" w:hAnsi="Book Antiqua"/>
          <w:lang w:val="en-GB"/>
        </w:rPr>
        <w:t xml:space="preserve"> </w:t>
      </w:r>
      <w:r w:rsidR="00D41441" w:rsidRPr="009D03BE">
        <w:rPr>
          <w:rFonts w:ascii="Book Antiqua" w:hAnsi="Book Antiqua"/>
          <w:lang w:val="en-GB"/>
        </w:rPr>
        <w:t xml:space="preserve">None of the </w:t>
      </w:r>
      <w:r w:rsidR="007D414C" w:rsidRPr="009D03BE">
        <w:rPr>
          <w:rFonts w:ascii="Book Antiqua" w:hAnsi="Book Antiqua"/>
          <w:lang w:val="en-GB"/>
        </w:rPr>
        <w:t>treated</w:t>
      </w:r>
      <w:r w:rsidR="00D41441" w:rsidRPr="009D03BE">
        <w:rPr>
          <w:rFonts w:ascii="Book Antiqua" w:hAnsi="Book Antiqua"/>
          <w:lang w:val="en-GB"/>
        </w:rPr>
        <w:t xml:space="preserve"> patients showed severe infections.</w:t>
      </w:r>
    </w:p>
    <w:p w14:paraId="29FDE408" w14:textId="77777777" w:rsidR="005034EC" w:rsidRPr="009D03BE" w:rsidRDefault="005034EC" w:rsidP="00EC24C5">
      <w:pPr>
        <w:snapToGrid w:val="0"/>
        <w:spacing w:line="360" w:lineRule="auto"/>
        <w:jc w:val="both"/>
        <w:rPr>
          <w:rFonts w:ascii="Book Antiqua" w:hAnsi="Book Antiqua"/>
          <w:b/>
          <w:lang w:val="en-GB" w:eastAsia="zh-CN"/>
        </w:rPr>
      </w:pPr>
    </w:p>
    <w:p w14:paraId="0C21D775" w14:textId="77777777" w:rsidR="00B532D3" w:rsidRPr="009D03BE" w:rsidRDefault="00CB37D7" w:rsidP="00EC24C5">
      <w:pPr>
        <w:snapToGrid w:val="0"/>
        <w:spacing w:line="360" w:lineRule="auto"/>
        <w:jc w:val="both"/>
        <w:rPr>
          <w:rFonts w:ascii="Book Antiqua" w:hAnsi="Book Antiqua"/>
          <w:lang w:val="en-GB" w:eastAsia="zh-CN"/>
        </w:rPr>
      </w:pPr>
      <w:r w:rsidRPr="009D03BE">
        <w:rPr>
          <w:rFonts w:ascii="Book Antiqua" w:hAnsi="Book Antiqua"/>
          <w:b/>
          <w:lang w:val="en-GB"/>
        </w:rPr>
        <w:lastRenderedPageBreak/>
        <w:t xml:space="preserve">Key words: </w:t>
      </w:r>
      <w:r w:rsidR="005034EC" w:rsidRPr="009D03BE">
        <w:rPr>
          <w:rFonts w:ascii="Book Antiqua" w:hAnsi="Book Antiqua"/>
          <w:lang w:val="en-GB"/>
        </w:rPr>
        <w:t xml:space="preserve">Nephrotic </w:t>
      </w:r>
      <w:r w:rsidRPr="009D03BE">
        <w:rPr>
          <w:rFonts w:ascii="Book Antiqua" w:hAnsi="Book Antiqua"/>
          <w:lang w:val="en-GB"/>
        </w:rPr>
        <w:t xml:space="preserve">syndrome; </w:t>
      </w:r>
      <w:r w:rsidR="005034EC" w:rsidRPr="009D03BE">
        <w:rPr>
          <w:rFonts w:ascii="Book Antiqua" w:hAnsi="Book Antiqua"/>
          <w:lang w:val="en-GB"/>
        </w:rPr>
        <w:t>Rituximab; IgG hypogammaglobulinemia</w:t>
      </w:r>
      <w:r w:rsidR="005034EC" w:rsidRPr="009D03BE">
        <w:rPr>
          <w:rFonts w:ascii="Book Antiqua" w:hAnsi="Book Antiqua"/>
          <w:lang w:val="en-GB" w:eastAsia="zh-CN"/>
        </w:rPr>
        <w:t xml:space="preserve">; </w:t>
      </w:r>
      <w:r w:rsidR="005034EC" w:rsidRPr="009D03BE">
        <w:rPr>
          <w:rFonts w:ascii="Book Antiqua" w:hAnsi="Book Antiqua"/>
          <w:lang w:val="en-GB"/>
        </w:rPr>
        <w:t>Immunoglobulin</w:t>
      </w:r>
    </w:p>
    <w:p w14:paraId="09536119" w14:textId="77777777" w:rsidR="00E11073" w:rsidRPr="009D03BE" w:rsidRDefault="00E11073" w:rsidP="00EC24C5">
      <w:pPr>
        <w:snapToGrid w:val="0"/>
        <w:spacing w:line="360" w:lineRule="auto"/>
        <w:jc w:val="both"/>
        <w:rPr>
          <w:rFonts w:ascii="Book Antiqua" w:hAnsi="Book Antiqua"/>
          <w:b/>
          <w:lang w:val="en-GB" w:eastAsia="zh-CN"/>
        </w:rPr>
      </w:pPr>
    </w:p>
    <w:p w14:paraId="5EC0BB65" w14:textId="77777777" w:rsidR="005034EC" w:rsidRPr="009D03BE" w:rsidRDefault="005034EC" w:rsidP="00EC24C5">
      <w:pPr>
        <w:snapToGrid w:val="0"/>
        <w:spacing w:line="360" w:lineRule="auto"/>
        <w:jc w:val="both"/>
        <w:rPr>
          <w:rFonts w:ascii="Book Antiqua" w:hAnsi="Book Antiqua" w:cs="Arial"/>
          <w:lang w:val="en-GB"/>
        </w:rPr>
      </w:pPr>
      <w:r w:rsidRPr="009D03BE">
        <w:rPr>
          <w:rFonts w:ascii="Book Antiqua" w:hAnsi="Book Antiqua"/>
          <w:b/>
          <w:lang w:val="en-GB"/>
        </w:rPr>
        <w:t xml:space="preserve">© </w:t>
      </w:r>
      <w:r w:rsidRPr="009D03BE">
        <w:rPr>
          <w:rFonts w:ascii="Book Antiqua" w:hAnsi="Book Antiqua" w:cs="Arial"/>
          <w:b/>
          <w:lang w:val="en-GB"/>
        </w:rPr>
        <w:t>The Author(s) 2019.</w:t>
      </w:r>
      <w:r w:rsidRPr="009D03BE">
        <w:rPr>
          <w:rFonts w:ascii="Book Antiqua" w:hAnsi="Book Antiqua" w:cs="Arial"/>
          <w:lang w:val="en-GB"/>
        </w:rPr>
        <w:t xml:space="preserve"> Published by </w:t>
      </w:r>
      <w:proofErr w:type="spellStart"/>
      <w:r w:rsidRPr="009D03BE">
        <w:rPr>
          <w:rFonts w:ascii="Book Antiqua" w:hAnsi="Book Antiqua" w:cs="Arial"/>
          <w:lang w:val="en-GB"/>
        </w:rPr>
        <w:t>Baishideng</w:t>
      </w:r>
      <w:proofErr w:type="spellEnd"/>
      <w:r w:rsidRPr="009D03BE">
        <w:rPr>
          <w:rFonts w:ascii="Book Antiqua" w:hAnsi="Book Antiqua" w:cs="Arial"/>
          <w:lang w:val="en-GB"/>
        </w:rPr>
        <w:t xml:space="preserve"> Publishing Group Inc. All rights reserved.</w:t>
      </w:r>
    </w:p>
    <w:p w14:paraId="22E1FE31" w14:textId="77777777" w:rsidR="005034EC" w:rsidRPr="009D03BE" w:rsidRDefault="005034EC" w:rsidP="00EC24C5">
      <w:pPr>
        <w:snapToGrid w:val="0"/>
        <w:spacing w:line="360" w:lineRule="auto"/>
        <w:jc w:val="both"/>
        <w:rPr>
          <w:rFonts w:ascii="Book Antiqua" w:hAnsi="Book Antiqua"/>
          <w:b/>
          <w:lang w:val="en-GB" w:eastAsia="zh-CN"/>
        </w:rPr>
      </w:pPr>
    </w:p>
    <w:p w14:paraId="52E151E0" w14:textId="77777777" w:rsidR="00450C2B" w:rsidRPr="009D03BE" w:rsidRDefault="00F1595A" w:rsidP="00EC24C5">
      <w:pPr>
        <w:snapToGrid w:val="0"/>
        <w:spacing w:line="360" w:lineRule="auto"/>
        <w:jc w:val="both"/>
        <w:rPr>
          <w:rFonts w:ascii="Book Antiqua" w:hAnsi="Book Antiqua"/>
          <w:lang w:val="en-GB" w:eastAsia="zh-CN"/>
        </w:rPr>
      </w:pPr>
      <w:r w:rsidRPr="009D03BE">
        <w:rPr>
          <w:rFonts w:ascii="Book Antiqua" w:hAnsi="Book Antiqua"/>
          <w:b/>
          <w:lang w:val="en-GB"/>
        </w:rPr>
        <w:t>Core tip:</w:t>
      </w:r>
      <w:r w:rsidR="00450C2B" w:rsidRPr="009D03BE">
        <w:rPr>
          <w:rFonts w:ascii="Book Antiqua" w:hAnsi="Book Antiqua"/>
          <w:b/>
          <w:lang w:val="en-GB"/>
        </w:rPr>
        <w:t xml:space="preserve"> </w:t>
      </w:r>
      <w:r w:rsidR="00F7075F" w:rsidRPr="009D03BE">
        <w:rPr>
          <w:rFonts w:ascii="Book Antiqua" w:hAnsi="Book Antiqua"/>
          <w:lang w:val="en-GB"/>
        </w:rPr>
        <w:t>I</w:t>
      </w:r>
      <w:r w:rsidR="00450C2B" w:rsidRPr="009D03BE">
        <w:rPr>
          <w:rFonts w:ascii="Book Antiqua" w:hAnsi="Book Antiqua"/>
          <w:lang w:val="en-GB"/>
        </w:rPr>
        <w:t xml:space="preserve">n </w:t>
      </w:r>
      <w:r w:rsidR="00356FE9" w:rsidRPr="009D03BE">
        <w:rPr>
          <w:rFonts w:ascii="Book Antiqua" w:hAnsi="Book Antiqua"/>
          <w:lang w:val="en-GB"/>
        </w:rPr>
        <w:t>paediatric</w:t>
      </w:r>
      <w:r w:rsidR="00450C2B" w:rsidRPr="009D03BE">
        <w:rPr>
          <w:rFonts w:ascii="Book Antiqua" w:hAnsi="Book Antiqua"/>
          <w:lang w:val="en-GB"/>
        </w:rPr>
        <w:t xml:space="preserve"> patients with complicated nephrotic syndrome (NS)</w:t>
      </w:r>
      <w:r w:rsidR="00F7075F" w:rsidRPr="009D03BE">
        <w:rPr>
          <w:rFonts w:ascii="Book Antiqua" w:hAnsi="Book Antiqua"/>
          <w:lang w:val="en-GB"/>
        </w:rPr>
        <w:t>,</w:t>
      </w:r>
      <w:r w:rsidR="00450C2B" w:rsidRPr="009D03BE">
        <w:rPr>
          <w:rFonts w:ascii="Book Antiqua" w:hAnsi="Book Antiqua"/>
          <w:lang w:val="en-GB"/>
        </w:rPr>
        <w:t xml:space="preserve"> rituximab (RTX) administration can induce persistent </w:t>
      </w:r>
      <w:r w:rsidR="00F7075F" w:rsidRPr="009D03BE">
        <w:rPr>
          <w:rFonts w:ascii="Book Antiqua" w:hAnsi="Book Antiqua"/>
          <w:lang w:val="en-GB"/>
        </w:rPr>
        <w:t>immunoglobulin G (</w:t>
      </w:r>
      <w:r w:rsidR="00450C2B" w:rsidRPr="009D03BE">
        <w:rPr>
          <w:rFonts w:ascii="Book Antiqua" w:hAnsi="Book Antiqua"/>
          <w:lang w:val="en-GB"/>
        </w:rPr>
        <w:t>IgG</w:t>
      </w:r>
      <w:r w:rsidR="00F7075F" w:rsidRPr="009D03BE">
        <w:rPr>
          <w:rFonts w:ascii="Book Antiqua" w:hAnsi="Book Antiqua"/>
          <w:lang w:val="en-GB"/>
        </w:rPr>
        <w:t>)</w:t>
      </w:r>
      <w:r w:rsidR="00450C2B" w:rsidRPr="009D03BE">
        <w:rPr>
          <w:rFonts w:ascii="Book Antiqua" w:hAnsi="Book Antiqua"/>
          <w:lang w:val="en-GB"/>
        </w:rPr>
        <w:t xml:space="preserve"> hypogammaglobulinemia among subjects showing low </w:t>
      </w:r>
      <w:r w:rsidR="00C36E33" w:rsidRPr="009D03BE">
        <w:rPr>
          <w:rFonts w:ascii="Book Antiqua" w:hAnsi="Book Antiqua"/>
          <w:lang w:val="en-GB"/>
        </w:rPr>
        <w:t xml:space="preserve">basal </w:t>
      </w:r>
      <w:r w:rsidR="00450C2B" w:rsidRPr="009D03BE">
        <w:rPr>
          <w:rFonts w:ascii="Book Antiqua" w:hAnsi="Book Antiqua"/>
          <w:lang w:val="en-GB"/>
        </w:rPr>
        <w:t xml:space="preserve">IgG levels. Our case series shows that RTX can induce IgG hypogammaglobulinemia also in patients with pre-RTX IgG normal values and that persisting IgG hypogammaglobulinemia could be dose-dependent. When evaluating a patient with complicated NS and post-RTX IgG hypogammaglobulinemia, IgG supplementation </w:t>
      </w:r>
      <w:r w:rsidR="002070CB" w:rsidRPr="009D03BE">
        <w:rPr>
          <w:rFonts w:ascii="Book Antiqua" w:hAnsi="Book Antiqua"/>
          <w:lang w:val="en-GB"/>
        </w:rPr>
        <w:t xml:space="preserve">may </w:t>
      </w:r>
      <w:r w:rsidR="00450C2B" w:rsidRPr="009D03BE">
        <w:rPr>
          <w:rFonts w:ascii="Book Antiqua" w:hAnsi="Book Antiqua"/>
          <w:lang w:val="en-GB"/>
        </w:rPr>
        <w:t xml:space="preserve">not be needed because, </w:t>
      </w:r>
      <w:r w:rsidR="002070CB" w:rsidRPr="009D03BE">
        <w:rPr>
          <w:rFonts w:ascii="Book Antiqua" w:hAnsi="Book Antiqua"/>
          <w:lang w:val="en-GB"/>
        </w:rPr>
        <w:t>to date</w:t>
      </w:r>
      <w:r w:rsidR="00450C2B" w:rsidRPr="009D03BE">
        <w:rPr>
          <w:rFonts w:ascii="Book Antiqua" w:hAnsi="Book Antiqua"/>
          <w:lang w:val="en-GB"/>
        </w:rPr>
        <w:t>, no severe infections have been detected and the possibility of adverse events related to IgG supplementation exists.</w:t>
      </w:r>
    </w:p>
    <w:p w14:paraId="290EE16F" w14:textId="77777777" w:rsidR="0057459A" w:rsidRPr="009D03BE" w:rsidRDefault="0057459A" w:rsidP="00EC24C5">
      <w:pPr>
        <w:snapToGrid w:val="0"/>
        <w:spacing w:line="360" w:lineRule="auto"/>
        <w:jc w:val="both"/>
        <w:rPr>
          <w:rFonts w:ascii="Book Antiqua" w:hAnsi="Book Antiqua"/>
          <w:b/>
          <w:lang w:val="en-GB" w:eastAsia="zh-CN"/>
        </w:rPr>
      </w:pPr>
    </w:p>
    <w:p w14:paraId="4921E7DE" w14:textId="7DB7F5D6" w:rsidR="00067905" w:rsidRPr="009D03BE" w:rsidRDefault="00C11662" w:rsidP="00067905">
      <w:pPr>
        <w:snapToGrid w:val="0"/>
        <w:spacing w:line="360" w:lineRule="auto"/>
        <w:jc w:val="both"/>
        <w:rPr>
          <w:rFonts w:ascii="Book Antiqua" w:hAnsi="Book Antiqua"/>
          <w:iCs/>
          <w:lang w:val="en-GB" w:eastAsia="zh-CN"/>
        </w:rPr>
      </w:pPr>
      <w:r w:rsidRPr="009D03BE">
        <w:rPr>
          <w:rFonts w:ascii="Book Antiqua" w:hAnsi="Book Antiqua"/>
          <w:b/>
          <w:lang w:val="en-GB"/>
        </w:rPr>
        <w:t>Citation:</w:t>
      </w:r>
      <w:r w:rsidR="00324796" w:rsidRPr="009D03BE">
        <w:rPr>
          <w:rFonts w:ascii="Book Antiqua" w:hAnsi="Book Antiqua"/>
          <w:b/>
          <w:lang w:val="en-GB"/>
        </w:rPr>
        <w:t xml:space="preserve"> </w:t>
      </w:r>
      <w:proofErr w:type="spellStart"/>
      <w:r w:rsidR="00FE2808" w:rsidRPr="009D03BE">
        <w:rPr>
          <w:rFonts w:ascii="Book Antiqua" w:hAnsi="Book Antiqua"/>
          <w:lang w:val="en-GB"/>
        </w:rPr>
        <w:t>Marzuillo</w:t>
      </w:r>
      <w:proofErr w:type="spellEnd"/>
      <w:r w:rsidR="00FE2808" w:rsidRPr="009D03BE">
        <w:rPr>
          <w:rFonts w:ascii="Book Antiqua" w:hAnsi="Book Antiqua"/>
          <w:lang w:val="en-GB"/>
        </w:rPr>
        <w:t xml:space="preserve"> P, Guarino S, Esposito T, Di Sessa A, Orsini SI, </w:t>
      </w:r>
      <w:proofErr w:type="spellStart"/>
      <w:r w:rsidR="00FE2808" w:rsidRPr="009D03BE">
        <w:rPr>
          <w:rFonts w:ascii="Book Antiqua" w:hAnsi="Book Antiqua"/>
          <w:lang w:val="en-GB"/>
        </w:rPr>
        <w:t>Capalbo</w:t>
      </w:r>
      <w:proofErr w:type="spellEnd"/>
      <w:r w:rsidR="00FE2808" w:rsidRPr="009D03BE">
        <w:rPr>
          <w:rFonts w:ascii="Book Antiqua" w:hAnsi="Book Antiqua"/>
          <w:lang w:val="en-GB"/>
        </w:rPr>
        <w:t xml:space="preserve"> D, </w:t>
      </w:r>
      <w:proofErr w:type="spellStart"/>
      <w:r w:rsidR="00FE2808" w:rsidRPr="009D03BE">
        <w:rPr>
          <w:rFonts w:ascii="Book Antiqua" w:hAnsi="Book Antiqua"/>
          <w:lang w:val="en-GB"/>
        </w:rPr>
        <w:t>Miraglia</w:t>
      </w:r>
      <w:proofErr w:type="spellEnd"/>
      <w:r w:rsidR="00FE2808" w:rsidRPr="009D03BE">
        <w:rPr>
          <w:rFonts w:ascii="Book Antiqua" w:hAnsi="Book Antiqua"/>
          <w:lang w:val="en-GB"/>
        </w:rPr>
        <w:t xml:space="preserve"> del Giudice E, La Manna A. </w:t>
      </w:r>
      <w:r w:rsidR="005034EC" w:rsidRPr="009D03BE">
        <w:rPr>
          <w:rFonts w:ascii="Book Antiqua" w:hAnsi="Book Antiqua"/>
          <w:lang w:val="en-GB"/>
        </w:rPr>
        <w:t>Rituximab-induced IgG hypogammaglobulinemia in children with nephrotic syndrome and normal pre-treatment IgG values</w:t>
      </w:r>
      <w:r w:rsidR="005034EC" w:rsidRPr="009D03BE">
        <w:rPr>
          <w:rFonts w:ascii="Book Antiqua" w:hAnsi="Book Antiqua"/>
          <w:lang w:val="en-GB" w:eastAsia="zh-CN"/>
        </w:rPr>
        <w:t xml:space="preserve">. </w:t>
      </w:r>
      <w:r w:rsidR="005034EC" w:rsidRPr="009D03BE">
        <w:rPr>
          <w:rFonts w:ascii="Book Antiqua" w:hAnsi="Book Antiqua"/>
          <w:i/>
          <w:iCs/>
          <w:lang w:val="en-GB"/>
        </w:rPr>
        <w:t>World J Clin Cases</w:t>
      </w:r>
      <w:r w:rsidR="005034EC" w:rsidRPr="009D03BE">
        <w:rPr>
          <w:rFonts w:ascii="Book Antiqua" w:hAnsi="Book Antiqua"/>
          <w:i/>
          <w:iCs/>
          <w:lang w:val="en-GB" w:eastAsia="zh-CN"/>
        </w:rPr>
        <w:t xml:space="preserve"> </w:t>
      </w:r>
      <w:r w:rsidR="00067905" w:rsidRPr="009D03BE">
        <w:rPr>
          <w:rFonts w:ascii="Book Antiqua" w:hAnsi="Book Antiqua"/>
          <w:iCs/>
          <w:lang w:val="en-GB" w:eastAsia="zh-CN"/>
        </w:rPr>
        <w:t xml:space="preserve">2019; 7(9): </w:t>
      </w:r>
      <w:r w:rsidR="00067905" w:rsidRPr="009D03BE">
        <w:rPr>
          <w:rFonts w:ascii="Book Antiqua" w:hAnsi="Book Antiqua" w:hint="eastAsia"/>
          <w:iCs/>
          <w:lang w:val="en-GB" w:eastAsia="zh-CN"/>
        </w:rPr>
        <w:t>1021-1027</w:t>
      </w:r>
    </w:p>
    <w:p w14:paraId="34C904C5" w14:textId="0EC7AEEF" w:rsidR="00067905" w:rsidRPr="009D03BE" w:rsidRDefault="00067905" w:rsidP="00067905">
      <w:pPr>
        <w:snapToGrid w:val="0"/>
        <w:spacing w:line="360" w:lineRule="auto"/>
        <w:jc w:val="both"/>
        <w:rPr>
          <w:rFonts w:ascii="Book Antiqua" w:hAnsi="Book Antiqua"/>
          <w:iCs/>
          <w:lang w:val="en-GB" w:eastAsia="zh-CN"/>
        </w:rPr>
      </w:pPr>
      <w:r w:rsidRPr="009D03BE">
        <w:rPr>
          <w:rFonts w:ascii="Book Antiqua" w:hAnsi="Book Antiqua"/>
          <w:b/>
          <w:iCs/>
          <w:lang w:val="en-GB" w:eastAsia="zh-CN"/>
        </w:rPr>
        <w:t xml:space="preserve">URL: </w:t>
      </w:r>
      <w:r w:rsidRPr="009D03BE">
        <w:rPr>
          <w:rFonts w:ascii="Book Antiqua" w:hAnsi="Book Antiqua"/>
          <w:iCs/>
          <w:lang w:val="en-GB" w:eastAsia="zh-CN"/>
        </w:rPr>
        <w:t>https://www.wjgnet.com/2307-8960/full/v7/i9/</w:t>
      </w:r>
      <w:r w:rsidRPr="009D03BE">
        <w:rPr>
          <w:rFonts w:ascii="Book Antiqua" w:hAnsi="Book Antiqua" w:hint="eastAsia"/>
          <w:iCs/>
          <w:lang w:val="en-GB" w:eastAsia="zh-CN"/>
        </w:rPr>
        <w:t>1021</w:t>
      </w:r>
      <w:r w:rsidRPr="009D03BE">
        <w:rPr>
          <w:rFonts w:ascii="Book Antiqua" w:hAnsi="Book Antiqua"/>
          <w:iCs/>
          <w:lang w:val="en-GB" w:eastAsia="zh-CN"/>
        </w:rPr>
        <w:t xml:space="preserve">.htm  </w:t>
      </w:r>
    </w:p>
    <w:p w14:paraId="3AEB17BF" w14:textId="6B003BB8" w:rsidR="005034EC" w:rsidRPr="009D03BE" w:rsidRDefault="00067905" w:rsidP="00067905">
      <w:pPr>
        <w:snapToGrid w:val="0"/>
        <w:spacing w:line="360" w:lineRule="auto"/>
        <w:jc w:val="both"/>
        <w:rPr>
          <w:rFonts w:ascii="Book Antiqua" w:hAnsi="Book Antiqua"/>
          <w:lang w:val="en-GB" w:eastAsia="zh-CN"/>
        </w:rPr>
      </w:pPr>
      <w:r w:rsidRPr="009D03BE">
        <w:rPr>
          <w:rFonts w:ascii="Book Antiqua" w:hAnsi="Book Antiqua"/>
          <w:b/>
          <w:iCs/>
          <w:lang w:val="en-GB" w:eastAsia="zh-CN"/>
        </w:rPr>
        <w:t xml:space="preserve">DOI: </w:t>
      </w:r>
      <w:r w:rsidRPr="009D03BE">
        <w:rPr>
          <w:rFonts w:ascii="Book Antiqua" w:hAnsi="Book Antiqua"/>
          <w:iCs/>
          <w:lang w:val="en-GB" w:eastAsia="zh-CN"/>
        </w:rPr>
        <w:t>https://dx.doi.org/10.12998/wjcc.v7.i9.</w:t>
      </w:r>
      <w:r w:rsidRPr="009D03BE">
        <w:rPr>
          <w:rFonts w:ascii="Book Antiqua" w:hAnsi="Book Antiqua"/>
          <w:iCs/>
          <w:lang w:val="en-GB" w:eastAsia="zh-CN"/>
        </w:rPr>
        <w:t>1021</w:t>
      </w:r>
    </w:p>
    <w:p w14:paraId="67FACB9B" w14:textId="77777777" w:rsidR="009B6686" w:rsidRPr="009D03BE" w:rsidRDefault="005034EC" w:rsidP="00EC24C5">
      <w:pPr>
        <w:snapToGrid w:val="0"/>
        <w:spacing w:line="360" w:lineRule="auto"/>
        <w:jc w:val="both"/>
        <w:rPr>
          <w:rFonts w:ascii="Book Antiqua" w:hAnsi="Book Antiqua"/>
          <w:b/>
          <w:lang w:val="en-GB"/>
        </w:rPr>
      </w:pPr>
      <w:r w:rsidRPr="009D03BE">
        <w:rPr>
          <w:rFonts w:ascii="Book Antiqua" w:hAnsi="Book Antiqua"/>
          <w:lang w:val="en-GB"/>
        </w:rPr>
        <w:br w:type="page"/>
      </w:r>
      <w:r w:rsidR="00CF6EBE" w:rsidRPr="009D03BE">
        <w:rPr>
          <w:rFonts w:ascii="Book Antiqua" w:hAnsi="Book Antiqua"/>
          <w:b/>
          <w:lang w:val="en-GB"/>
        </w:rPr>
        <w:lastRenderedPageBreak/>
        <w:t>INTRODUCTION</w:t>
      </w:r>
    </w:p>
    <w:p w14:paraId="1B61F59E" w14:textId="77777777" w:rsidR="008E48D6" w:rsidRPr="009D03BE" w:rsidRDefault="00981290" w:rsidP="00EC24C5">
      <w:pPr>
        <w:snapToGrid w:val="0"/>
        <w:spacing w:line="360" w:lineRule="auto"/>
        <w:jc w:val="both"/>
        <w:rPr>
          <w:rFonts w:ascii="Book Antiqua" w:hAnsi="Book Antiqua"/>
          <w:lang w:val="en-GB"/>
        </w:rPr>
      </w:pPr>
      <w:r w:rsidRPr="009D03BE">
        <w:rPr>
          <w:rFonts w:ascii="Book Antiqua" w:hAnsi="Book Antiqua"/>
          <w:lang w:val="en-GB"/>
        </w:rPr>
        <w:t>Rituximab</w:t>
      </w:r>
      <w:r w:rsidR="002A779E" w:rsidRPr="009D03BE">
        <w:rPr>
          <w:rFonts w:ascii="Book Antiqua" w:hAnsi="Book Antiqua"/>
          <w:lang w:val="en-GB"/>
        </w:rPr>
        <w:t xml:space="preserve"> </w:t>
      </w:r>
      <w:r w:rsidR="00487F94" w:rsidRPr="009D03BE">
        <w:rPr>
          <w:rFonts w:ascii="Book Antiqua" w:hAnsi="Book Antiqua"/>
          <w:lang w:val="en-GB"/>
        </w:rPr>
        <w:t xml:space="preserve">(RTX) </w:t>
      </w:r>
      <w:r w:rsidR="002A779E" w:rsidRPr="009D03BE">
        <w:rPr>
          <w:rFonts w:ascii="Book Antiqua" w:hAnsi="Book Antiqua"/>
          <w:lang w:val="en-GB"/>
        </w:rPr>
        <w:t>is an effective and safe treatment for childhood-onset, complicated, frequ</w:t>
      </w:r>
      <w:r w:rsidR="006F3446" w:rsidRPr="009D03BE">
        <w:rPr>
          <w:rFonts w:ascii="Book Antiqua" w:hAnsi="Book Antiqua"/>
          <w:lang w:val="en-GB"/>
        </w:rPr>
        <w:t>ently relapsing</w:t>
      </w:r>
      <w:r w:rsidR="00B156B1" w:rsidRPr="009D03BE">
        <w:rPr>
          <w:rFonts w:ascii="Book Antiqua" w:hAnsi="Book Antiqua"/>
          <w:lang w:val="en-GB"/>
        </w:rPr>
        <w:t>,</w:t>
      </w:r>
      <w:r w:rsidR="006F3446" w:rsidRPr="009D03BE">
        <w:rPr>
          <w:rFonts w:ascii="Book Antiqua" w:hAnsi="Book Antiqua"/>
          <w:lang w:val="en-GB"/>
        </w:rPr>
        <w:t xml:space="preserve"> </w:t>
      </w:r>
      <w:r w:rsidR="002A779E" w:rsidRPr="009D03BE">
        <w:rPr>
          <w:rFonts w:ascii="Book Antiqua" w:hAnsi="Book Antiqua"/>
          <w:lang w:val="en-GB"/>
        </w:rPr>
        <w:t>and steroid-dependent</w:t>
      </w:r>
      <w:r w:rsidR="005034EC" w:rsidRPr="009D03BE">
        <w:rPr>
          <w:rFonts w:ascii="Book Antiqua" w:hAnsi="Book Antiqua"/>
          <w:lang w:val="en-GB"/>
        </w:rPr>
        <w:t xml:space="preserve"> </w:t>
      </w:r>
      <w:r w:rsidR="002A779E" w:rsidRPr="009D03BE">
        <w:rPr>
          <w:rFonts w:ascii="Book Antiqua" w:hAnsi="Book Antiqua"/>
          <w:lang w:val="en-GB"/>
        </w:rPr>
        <w:t>nephrotic syndrome (NS)</w:t>
      </w:r>
      <w:r w:rsidR="000414EB"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{"citationItems":[{"id":"ITEM-1","itemData":{"DOI":"10.1016/S0140-6736(14)60541-9","ISSN":"01406736","PMID":"24965823","abstract":"BACKGROUND Rituximab could be an effective treatment for childhood-onset, complicated, frequently relapsing nephrotic syndrome (FRNS) and steroid-dependent nephrotic syndrome (SDNS). We investigated the efficacy and safety of rituximab in patients with high disease activity. METHODS We did a multicentre, double-blind, randomised, placebo-controlled trial at nine centres in Japan. We screened patients aged 2 years or older experiencing a relapse of FRNS or SDNS, which had originally been diagnosed as nephrotic syndrome when aged 1-18 years. Patients with complicated FRNS or SDNS who met all other criteria were eligible for inclusion after remission of the relapse at screening. We used a computer-generated sequence to randomly assign patients (1:1) to receive rituximab (375 mg/m(2)) or placebo once weekly for 4 weeks, with age, institution, treatment history, and the intervals between the previous three relapses as adjustment factors. Patients, guardians, caregivers, physicians, and individuals assessing outcomes were masked to assignments. All patients received standard steroid treatment for the relapse at screening and stopped taking immunosuppressive agents by 169 days after randomisation. Patients were followed up for 1 year. The primary endpoint was the relapse-free period. Safety endpoints were frequency and severity of adverse events. Patients who received their assigned intervention were included in analyses. This trial is registered with the University Hospital Medical Information Network clinical trials registry, number UMIN000001405. FINDINGS Patients were centrally registered between Nov 13, 2008, and May 19, 2010. Of 52 patients who underwent randomisation, 48 received the assigned intervention (24 were given rituximab and 24 placebo). The median relapse-free period was significantly longer in the rituximab group (267 days, 95% CI 223-374) than in the placebo group (101 days, 70-155; hazard ratio: 0·27, 0·14-0·53; p&lt;0·0001). Ten patients (42%) in the rituximab group and six (25%) in the placebo group had at least one serious adverse event (p=0·36). INTERPRETATION Rituximab is an effective and safe treatment for childhood-onset, complicated FRNS and SDNS. FUNDING Japanese Ministry of Health, Labour and Welfare.","author":[{"dropping-particle":"","family":"Iijima","given":"Kazumoto","non-dropping-particle":"","parse-names":false,"suffix":""},{"dropping-particle":"","family":"Sako","given":"Mayumi","non-dropping-particle":"","parse-names":false,"suffix":""},{"dropping-particle":"","family":"Nozu","given":"Kandai","non-dropping-particle":"","parse-names":false,"suffix":""},{"dropping-particle":"","family":"Mori","given":"Rintaro","non-dropping-particle":"","parse-names":false,"suffix":""},{"dropping-particle":"","family":"Tuchida","given":"Nao","non-dropping-particle":"","parse-names":false,"suffix":""},{"dropping-particle":"","family":"Kamei","given":"Koichi","non-dropping-particle":"","parse-names":false,"suffix":""},{"dropping-particle":"","family":"Miura","given":"Kenichiro","non-dropping-particle":"","parse-names":false,"suffix":""},{"dropping-particle":"","family":"Aya","given":"Kunihiko","non-dropping-particle":"","parse-names":false,"suffix":""},{"dropping-particle":"","family":"Nakanishi","given":"Koichi","non-dropping-particle":"","parse-names":false,"suffix":""},{"dropping-particle":"","family":"Ohtomo","given":"Yoshiyuki","non-dropping-particle":"","parse-names":false,"suffix":""},{"dropping-particle":"","family":"Takahashi","given":"Shori","non-dropping-particle":"","parse-names":false,"suffix":""},{"dropping-particle":"","family":"Tanaka","given":"Ryojiro","non-dropping-particle":"","parse-names":false,"suffix":""},{"dropping-particle":"","family":"Kaito","given":"Hiroshi","non-dropping-particle":"","parse-names":false,"suffix":""},{"dropping-particle":"","family":"Nakamura","given":"Hidefumi","non-dropping-particle":"","parse-names":false,"suffix":""},{"dropping-particle":"","family":"Ishikura","given":"Kenji","non-dropping-particle":"","parse-names":false,"suffix":""},{"dropping-particle":"","family":"Ito","given":"Shuichi","non-dropping-particle":"","parse-names":false,"suffix":""},{"dropping-particle":"","family":"Ohashi","given":"Yasuo","non-dropping-particle":"","parse-names":false,"suffix":""},{"dropping-particle":"","family":"Rituximab for Childhood-onset Refractory Nephrotic Syndrome (RCRNS) Study Group","given":"","non-dropping-particle":"","parse-names":false,"suffix":""}],"container-title":"The Lancet","id":"ITEM-1","issue":"9950","issued":{"date-parts":[["2014","10","4"]]},"page":"1273-1281","title":"Rituximab for childhood-onset, complicated, frequently relapsing nephrotic syndrome or steroid-dependent nephrotic syndrome: a multicentre, double-blind, randomised, placebo-controlled trial","type":"article-journal","volume":"384"},"uris":["http://www.mendeley.com/documents/?uuid=e8055692-4253-3337-89a3-c2434c7e7cfd"]}],"mendeley":{"formattedCitation":"&lt;sup&gt;[1]&lt;/sup&gt;","plainTextFormattedCitation":"[1]","previouslyFormattedCitation":"&lt;sup&gt;[1]&lt;/sup&gt;"},"properties":{"noteIndex":0},"schema":"https://github.com/citation-style-language/schema/raw/master/csl-citation.json"}</w:instrText>
      </w:r>
      <w:r w:rsidR="000414EB" w:rsidRPr="009D03BE">
        <w:rPr>
          <w:rFonts w:ascii="Book Antiqua" w:hAnsi="Book Antiqua"/>
          <w:lang w:val="en-GB"/>
        </w:rPr>
        <w:fldChar w:fldCharType="separate"/>
      </w:r>
      <w:r w:rsidR="00FE12CB" w:rsidRPr="009D03BE">
        <w:rPr>
          <w:rFonts w:ascii="Book Antiqua" w:hAnsi="Book Antiqua"/>
          <w:vertAlign w:val="superscript"/>
          <w:lang w:val="en-GB"/>
        </w:rPr>
        <w:t>[1]</w:t>
      </w:r>
      <w:r w:rsidR="000414EB" w:rsidRPr="009D03BE">
        <w:rPr>
          <w:rFonts w:ascii="Book Antiqua" w:hAnsi="Book Antiqua"/>
          <w:lang w:val="en-GB"/>
        </w:rPr>
        <w:fldChar w:fldCharType="end"/>
      </w:r>
      <w:r w:rsidR="009617C2" w:rsidRPr="009D03BE">
        <w:rPr>
          <w:rFonts w:ascii="Book Antiqua" w:hAnsi="Book Antiqua"/>
          <w:lang w:val="en-GB"/>
        </w:rPr>
        <w:t>.</w:t>
      </w:r>
      <w:r w:rsidR="006F3446" w:rsidRPr="009D03BE">
        <w:rPr>
          <w:rFonts w:ascii="Book Antiqua" w:hAnsi="Book Antiqua"/>
          <w:lang w:val="en-GB"/>
        </w:rPr>
        <w:t xml:space="preserve"> Data about long-</w:t>
      </w:r>
      <w:r w:rsidR="000B33B1" w:rsidRPr="009D03BE">
        <w:rPr>
          <w:rFonts w:ascii="Book Antiqua" w:hAnsi="Book Antiqua"/>
          <w:lang w:val="en-GB"/>
        </w:rPr>
        <w:t xml:space="preserve">term safety are limited. </w:t>
      </w:r>
      <w:r w:rsidR="002B1391" w:rsidRPr="009D03BE">
        <w:rPr>
          <w:rFonts w:ascii="Book Antiqua" w:hAnsi="Book Antiqua"/>
          <w:lang w:val="en-GB"/>
        </w:rPr>
        <w:t>Recent report</w:t>
      </w:r>
      <w:r w:rsidR="009A23EC" w:rsidRPr="009D03BE">
        <w:rPr>
          <w:rFonts w:ascii="Book Antiqua" w:hAnsi="Book Antiqua"/>
          <w:lang w:val="en-GB"/>
        </w:rPr>
        <w:t>s</w:t>
      </w:r>
      <w:r w:rsidR="002B1391" w:rsidRPr="009D03BE">
        <w:rPr>
          <w:rFonts w:ascii="Book Antiqua" w:hAnsi="Book Antiqua"/>
          <w:lang w:val="en-GB"/>
        </w:rPr>
        <w:t xml:space="preserve"> have highlighted the impact of RTX treatment on immunoglobulin (Ig) levels. </w:t>
      </w:r>
      <w:r w:rsidR="00B65704" w:rsidRPr="009D03BE">
        <w:rPr>
          <w:rFonts w:ascii="Book Antiqua" w:hAnsi="Book Antiqua"/>
          <w:lang w:val="en-GB"/>
        </w:rPr>
        <w:t>In studies involving adults</w:t>
      </w:r>
      <w:r w:rsidR="00CD3893" w:rsidRPr="009D03BE">
        <w:rPr>
          <w:rFonts w:ascii="Book Antiqua" w:hAnsi="Book Antiqua"/>
          <w:lang w:val="en-GB"/>
        </w:rPr>
        <w:t xml:space="preserve"> with multisystem autoimmune diseases</w:t>
      </w:r>
      <w:r w:rsidR="00B156B1" w:rsidRPr="009D03BE">
        <w:rPr>
          <w:rFonts w:ascii="Book Antiqua" w:hAnsi="Book Antiqua"/>
          <w:lang w:val="en-GB"/>
        </w:rPr>
        <w:t>,</w:t>
      </w:r>
      <w:r w:rsidR="00B65704" w:rsidRPr="009D03BE">
        <w:rPr>
          <w:rFonts w:ascii="Book Antiqua" w:hAnsi="Book Antiqua"/>
          <w:lang w:val="en-GB"/>
        </w:rPr>
        <w:t xml:space="preserve"> </w:t>
      </w:r>
      <w:r w:rsidR="00CD3481" w:rsidRPr="009D03BE">
        <w:rPr>
          <w:rFonts w:ascii="Book Antiqua" w:hAnsi="Book Antiqua"/>
          <w:lang w:val="en-GB"/>
        </w:rPr>
        <w:t xml:space="preserve">it </w:t>
      </w:r>
      <w:r w:rsidR="00B65704" w:rsidRPr="009D03BE">
        <w:rPr>
          <w:rFonts w:ascii="Book Antiqua" w:hAnsi="Book Antiqua"/>
          <w:lang w:val="en-GB"/>
        </w:rPr>
        <w:t>had been found that</w:t>
      </w:r>
      <w:r w:rsidR="007A6F0A" w:rsidRPr="009D03BE">
        <w:rPr>
          <w:rFonts w:ascii="Book Antiqua" w:hAnsi="Book Antiqua"/>
          <w:lang w:val="en-GB"/>
        </w:rPr>
        <w:t xml:space="preserve"> </w:t>
      </w:r>
      <w:r w:rsidR="00CD3893" w:rsidRPr="009D03BE">
        <w:rPr>
          <w:rFonts w:ascii="Book Antiqua" w:hAnsi="Book Antiqua"/>
          <w:lang w:val="en-GB"/>
        </w:rPr>
        <w:t>following RTX treatment 34</w:t>
      </w:r>
      <w:r w:rsidR="005034EC" w:rsidRPr="009D03BE">
        <w:rPr>
          <w:rFonts w:ascii="Book Antiqua" w:hAnsi="Book Antiqua"/>
          <w:lang w:val="en-GB" w:eastAsia="zh-CN"/>
        </w:rPr>
        <w:t>%</w:t>
      </w:r>
      <w:r w:rsidR="00CD3893" w:rsidRPr="009D03BE">
        <w:rPr>
          <w:rFonts w:ascii="Book Antiqua" w:hAnsi="Book Antiqua"/>
          <w:lang w:val="en-GB"/>
        </w:rPr>
        <w:t>-56% of patients showed reduced IgG levels</w:t>
      </w:r>
      <w:r w:rsidR="00B156B1" w:rsidRPr="009D03BE">
        <w:rPr>
          <w:rFonts w:ascii="Book Antiqua" w:hAnsi="Book Antiqua"/>
          <w:lang w:val="en-GB"/>
        </w:rPr>
        <w:t>,</w:t>
      </w:r>
      <w:r w:rsidR="00CD3893" w:rsidRPr="009D03BE">
        <w:rPr>
          <w:rFonts w:ascii="Book Antiqua" w:hAnsi="Book Antiqua"/>
          <w:lang w:val="en-GB"/>
        </w:rPr>
        <w:t xml:space="preserve"> with 13</w:t>
      </w:r>
      <w:r w:rsidR="005034EC" w:rsidRPr="009D03BE">
        <w:rPr>
          <w:rFonts w:ascii="Book Antiqua" w:hAnsi="Book Antiqua"/>
          <w:lang w:val="en-GB" w:eastAsia="zh-CN"/>
        </w:rPr>
        <w:t>%</w:t>
      </w:r>
      <w:r w:rsidR="00CD3893" w:rsidRPr="009D03BE">
        <w:rPr>
          <w:rFonts w:ascii="Book Antiqua" w:hAnsi="Book Antiqua"/>
          <w:lang w:val="en-GB"/>
        </w:rPr>
        <w:t xml:space="preserve">-26% of them presenting already IgG level </w:t>
      </w:r>
      <w:r w:rsidR="009617C2" w:rsidRPr="009D03BE">
        <w:rPr>
          <w:rFonts w:ascii="Book Antiqua" w:hAnsi="Book Antiqua"/>
          <w:lang w:val="en-GB"/>
        </w:rPr>
        <w:t>reduction before RTX initiation</w:t>
      </w:r>
      <w:r w:rsidR="0089765A"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{"citationItems":[{"id":"ITEM-1","itemData":{"DOI":"10.1186/1471-2474-15-178","ISSN":"1471-2474","PMID":"24884562","abstract":"BACKGROUND Rituximab is a B cell depleting anti-CD20 monoclonal antibody. CD20 is not expressed on mature plasma cells and accordingly rituximab does not have immediate effects on immunoglobulin levels. However, after rituximab some patients develop hypogammaglobulinaemia. METHODS We performed a single centre retrospective review of 177 patients with multisystem autoimmune disease receiving rituximab between 2002 and 2010. The incidence, severity and complications of hypogammaglobulinaemia were investigated. RESULTS Median rituximab dose was 6 g (1-20.2) and total follow-up was 8012 patient-months. At first rituximab, the proportion of patients with IgG &lt;6 g/L was 13% and remained stable at 17% at 24 months and 14% at 60 months. Following rituximab, 61/177 patients (34%) had IgG &lt;6 g/L for at least three consecutive months, of whom 7/177 (4%) had IgG &lt;3 g/L. Low immunoglobulin levels were associated with higher glucocorticoid doses during follow up and there was a trend for median IgG levels to fall after ≥ 6 g rituximab. 45/115 (39%) with IgG ≥ 6 g/L versus 26/62 (42%) with IgG &lt;6 g/L experienced severe infections (p=0.750). 6/177 patients (3%) received intravenous immunoglobulin replacement therapy, all with IgG &lt;5 g/L and recurrent infection. CONCLUSIONS In multi-system autoimmune disease, prior cyclophosphamide exposure and glucocorticoid therapy but not cumulative rituximab dose was associated with an increased incidence of hypogammaglobulinaemia. Severe infections were common but were not associated with immunoglobulin levels. Repeat dose rituximab therapy appears safe with judicious monitoring.","author":[{"dropping-particle":"","family":"Marco","given":"Helena","non-dropping-particle":"","parse-names":false,"suffix":""},{"dropping-particle":"","family":"Smith","given":"Rona M","non-dropping-particle":"","parse-names":false,"suffix":""},{"dropping-particle":"","family":"Jones","given":"Rachel B","non-dropping-particle":"","parse-names":false,"suffix":""},{"dropping-particle":"","family":"Guerry","given":"Mary-Jane","non-dropping-particle":"","parse-names":false,"suffix":""},{"dropping-particle":"","family":"Catapano","given":"Fausta","non-dropping-particle":"","parse-names":false,"suffix":""},{"dropping-particle":"","family":"Burns","given":"Stella","non-dropping-particle":"","parse-names":false,"suffix":""},{"dropping-particle":"","family":"Chaudhry","given":"Afzal N","non-dropping-particle":"","parse-names":false,"suffix":""},{"dropping-particle":"","family":"Smith","given":"Kenneth G C","non-dropping-particle":"","parse-names":false,"suffix":""},{"dropping-particle":"","family":"Jayne","given":"David R W","non-dropping-particle":"","parse-names":false,"suffix":""}],"container-title":"BMC musculoskeletal disorders","id":"ITEM-1","issue":"1","issued":{"date-parts":[["2014","5","25"]]},"page":"178","title":"The effect of rituximab therapy on immunoglobulin levels in patients with multisystem autoimmune disease.","type":"article-journal","volume":"15"},"uris":["http://www.mendeley.com/documents/?uuid=621c5165-8d67-3198-9378-921ac4cbacb2"]},{"id":"ITEM-2","itemData":{"DOI":"10.1016/j.jaut.2014.11.009","ISSN":"08968411","PMID":"25556904","abstract":"Rituximab is a B cell depleting monoclonal antibody used to treat lymphoma and autoimmune disease. Hypogammaglobulinemia has occurred after rituximab for lymphoma and rheumatoid arthritis but data are scarce for other autoimmune indications. This study describes the incidence and severity of hypogammaglobulinemia in patients receiving rituximab for small vessel vasculitis and other multi-system autoimmune diseases. Predictors for and clinical outcomes of hypogammaglobulinemia were explored. We conducted a retrospective study in a tertiary referral specialist clinic. The severity of hypogammaglobulinemia was categorized by the nadir serum IgG concentration measured during clinical care. We identified 288 patients who received rituximab; 243 were eligible for inclusion with median follow up of 42 months. 26% were IgG hypogammaglobulinemic at the time that rituximab was initiated and 56% had IgG hypogammaglobulinemia during follow-up (5-6.9 g/L in 30%, 3-4.9 g/L in 22% and &lt;3 g/L in 4%); IgM ≤0.3 g/L in 58%. The nadir IgG was non-sustained in 50% of cases with moderate/severe hypogammaglobulinemia. A weak association was noted between prior cyclophosphamide exposure and nadir IgG concentration, but not cumulative rituximab dose. IgG concentrations prior to and at the time of rituximab correlated with the nadir IgG post rituximab. IgG replacement was initiated because of recurrent infection in 12 (4.2%) patients and a lower IgG increased the odds ratio of receiving IgG replacement. Rituximab is associated with an increased risk of hypogammaglobulinemia but recovery of IgG level can occur. IgG monitoring may be useful for patients receiving rituximab.","author":[{"dropping-particle":"","family":"Roberts","given":"Darren M.","non-dropping-particle":"","parse-names":false,"suffix":""},{"dropping-particle":"","family":"Jones","given":"Rachel B.","non-dropping-particle":"","parse-names":false,"suffix":""},{"dropping-particle":"","family":"Smith","given":"Rona M.","non-dropping-particle":"","parse-names":false,"suffix":""},{"dropping-particle":"","family":"Alberici","given":"Federico","non-dropping-particle":"","parse-names":false,"suffix":""},{"dropping-particle":"","family":"Kumaratne","given":"Dinakantha S.","non-dropping-particle":"","parse-names":false,"suffix":""},{"dropping-particle":"","family":"Burns","given":"Stella","non-dropping-particle":"","parse-names":false,"suffix":""},{"dropping-particle":"","family":"Jayne","given":"David R.W.","non-dropping-particle":"","parse-names":false,"suffix":""}],"container-title":"Journal of Autoimmunity","id":"ITEM-2","issued":{"date-parts":[["2015","2"]]},"page":"60-65","title":"Rituximab-associated hypogammaglobulinemia: Incidence, predictors and outcomes in patients with multi-system autoimmune disease","type":"article-journal","volume":"57"},"uris":["http://www.mendeley.com/documents/?uuid=ac93afbc-d39c-392f-a4bf-7394bbc5cd0d"]},{"id":"ITEM-3","itemData":{"DOI":"10.1371/journal.pone.0037626","ISSN":"1932-6203","PMID":"22629432","abstract":"OBJECTIVE To assess the impact of immunosuppressive therapy with cyclophosphamide (CYC) and rituximab (RTX) on serum immunoglobulin (Ig) concentrations and B lymphocyte counts in patients with ANCA-associated vasculitides (AAVs). METHODS Retrospective analysis of Ig concentrations and peripheral B cell counts in 55 AAV patients. RESULTS CYC treatment resulted in a decrease in Ig levels (median; interquartile range IQR) from IgG 12.8 g/L (8.15-15.45) to 9.17 g/L (8.04-9.90) (p</w:instrText>
      </w:r>
      <w:r w:rsidR="00047562" w:rsidRPr="009D03BE">
        <w:rPr>
          <w:lang w:val="en-GB"/>
        </w:rPr>
        <w:instrText> </w:instrText>
      </w:r>
      <w:r w:rsidR="00047562" w:rsidRPr="009D03BE">
        <w:rPr>
          <w:rFonts w:ascii="Book Antiqua" w:hAnsi="Book Antiqua"/>
          <w:lang w:val="en-GB"/>
        </w:rPr>
        <w:instrText>=</w:instrText>
      </w:r>
      <w:r w:rsidR="00047562" w:rsidRPr="009D03BE">
        <w:rPr>
          <w:lang w:val="en-GB"/>
        </w:rPr>
        <w:instrText> </w:instrText>
      </w:r>
      <w:r w:rsidR="00047562" w:rsidRPr="009D03BE">
        <w:rPr>
          <w:rFonts w:ascii="Book Antiqua" w:hAnsi="Book Antiqua"/>
          <w:lang w:val="en-GB"/>
        </w:rPr>
        <w:instrText>0.002), IgM 1.05 g/L (0.70-1.41) to 0.83 g/L (0.60-1.17) (p</w:instrText>
      </w:r>
      <w:r w:rsidR="00047562" w:rsidRPr="009D03BE">
        <w:rPr>
          <w:lang w:val="en-GB"/>
        </w:rPr>
        <w:instrText> </w:instrText>
      </w:r>
      <w:r w:rsidR="00047562" w:rsidRPr="009D03BE">
        <w:rPr>
          <w:rFonts w:ascii="Book Antiqua" w:hAnsi="Book Antiqua"/>
          <w:lang w:val="en-GB"/>
        </w:rPr>
        <w:instrText>=</w:instrText>
      </w:r>
      <w:r w:rsidR="00047562" w:rsidRPr="009D03BE">
        <w:rPr>
          <w:lang w:val="en-GB"/>
        </w:rPr>
        <w:instrText> </w:instrText>
      </w:r>
      <w:r w:rsidR="00047562" w:rsidRPr="009D03BE">
        <w:rPr>
          <w:rFonts w:ascii="Book Antiqua" w:hAnsi="Book Antiqua"/>
          <w:lang w:val="en-GB"/>
        </w:rPr>
        <w:instrText>0.046) and IgA 2.58 g/L (1.71-3.48) to 1.58 g/L (1-31-2.39) (p</w:instrText>
      </w:r>
      <w:r w:rsidR="00047562" w:rsidRPr="009D03BE">
        <w:rPr>
          <w:lang w:val="en-GB"/>
        </w:rPr>
        <w:instrText> </w:instrText>
      </w:r>
      <w:r w:rsidR="00047562" w:rsidRPr="009D03BE">
        <w:rPr>
          <w:rFonts w:ascii="Book Antiqua" w:hAnsi="Book Antiqua"/>
          <w:lang w:val="en-GB"/>
        </w:rPr>
        <w:instrText>=</w:instrText>
      </w:r>
      <w:r w:rsidR="00047562" w:rsidRPr="009D03BE">
        <w:rPr>
          <w:lang w:val="en-GB"/>
        </w:rPr>
        <w:instrText> </w:instrText>
      </w:r>
      <w:r w:rsidR="00047562" w:rsidRPr="009D03BE">
        <w:rPr>
          <w:rFonts w:ascii="Book Antiqua" w:hAnsi="Book Antiqua"/>
          <w:lang w:val="en-GB"/>
        </w:rPr>
        <w:instrText>0.056) at a median follow-up time of 4 months. IgG remained significantly below the initial value at 14.5 months and 30 months analyses. Subsequent RTX treatment in patients that had previously received CYC resulted in a further decline in Ig levels from pre RTX IgG 9.84 g/L (8.71-11.60) to 7.11 g/L (5.75-8.77; p</w:instrText>
      </w:r>
      <w:r w:rsidR="00047562" w:rsidRPr="009D03BE">
        <w:rPr>
          <w:lang w:val="en-GB"/>
        </w:rPr>
        <w:instrText> </w:instrText>
      </w:r>
      <w:r w:rsidR="00047562" w:rsidRPr="009D03BE">
        <w:rPr>
          <w:rFonts w:ascii="Book Antiqua" w:hAnsi="Book Antiqua"/>
          <w:lang w:val="en-GB"/>
        </w:rPr>
        <w:instrText>=</w:instrText>
      </w:r>
      <w:r w:rsidR="00047562" w:rsidRPr="009D03BE">
        <w:rPr>
          <w:lang w:val="en-GB"/>
        </w:rPr>
        <w:instrText> </w:instrText>
      </w:r>
      <w:r w:rsidR="00047562" w:rsidRPr="009D03BE">
        <w:rPr>
          <w:rFonts w:ascii="Book Antiqua" w:hAnsi="Book Antiqua"/>
          <w:lang w:val="en-GB"/>
        </w:rPr>
        <w:instrText>0.007), from pre RTX IgM 0.84 g/L (0.63-1.18) to 0.35 g/L (0.23-0.48; p&lt;0.001) and from pre RTX IgA 2.03 g/L (1.37-2.50) to IgA 1.62 g/L (IQR 0.84-2.43; p</w:instrText>
      </w:r>
      <w:r w:rsidR="00047562" w:rsidRPr="009D03BE">
        <w:rPr>
          <w:lang w:val="en-GB"/>
        </w:rPr>
        <w:instrText> </w:instrText>
      </w:r>
      <w:r w:rsidR="00047562" w:rsidRPr="009D03BE">
        <w:rPr>
          <w:rFonts w:ascii="Book Antiqua" w:hAnsi="Book Antiqua"/>
          <w:lang w:val="en-GB"/>
        </w:rPr>
        <w:instrText>=</w:instrText>
      </w:r>
      <w:r w:rsidR="00047562" w:rsidRPr="009D03BE">
        <w:rPr>
          <w:lang w:val="en-GB"/>
        </w:rPr>
        <w:instrText> </w:instrText>
      </w:r>
      <w:r w:rsidR="00047562" w:rsidRPr="009D03BE">
        <w:rPr>
          <w:rFonts w:ascii="Book Antiqua" w:hAnsi="Book Antiqua"/>
          <w:lang w:val="en-GB"/>
        </w:rPr>
        <w:instrText>0.365) 14 months after RTX. Treatment with RTX induced a complete depletion of B cells in all patients. After a median observation time of 20 months median B lymphocyte counts remained severely suppressed (4 B-cells/µl, 1.25-9.5, p&lt;0.001). Seven patients (21%) that had been treated with CYC followed by RTX were started on Ig replacement because of severe bronchopulmonary infections and serum IgG concentrations below 5 g/L. CONCLUSIONS In patients with AAVs, treatment with CYC leads to a decline in immunoglobulin concentrations. A subsequent RTX therapy aggravates the decline in serum immunoglobulin concentrations and results in a profoundly delayed B cell repopulation. Surveying patients with AAVs post CYC and RTX treatment for serum immunoglobulin concentrations and persisting hypogammaglobulinemia is warranted.","author":[{"dropping-particle":"","family":"Venhoff","given":"Nils","non-dropping-particle":"","parse-names":false,"suffix":""},{"dropping-particle":"","family":"Effelsberg","given":"Nora M","non-dropping-particle":"","parse-names":false,"suffix":""},{"dropping-particle":"","family":"Salzer","given":"Ulrich","non-dropping-particle":"","parse-names":false,"suffix":""},{"dropping-particle":"","family":"Warnatz","given":"Klaus","non-dropping-particle":"","parse-names":false,"suffix":""},{"dropping-particle":"","family":"Peter","given":"Hans Hartmut","non-dropping-particle":"","parse-names":false,"suffix":""},{"dropping-particle":"","family":"Lebrecht","given":"Dirk","non-dropping-particle":"","parse-names":false,"suffix":""},{"dropping-particle":"","family":"Schlesier","given":"Michael","non-dropping-particle":"","parse-names":false,"suffix":""},{"dropping-particle":"","family":"Voll","given":"Reinhard E","non-dropping-particle":"","parse-names":false,"suffix":""},{"dropping-particle":"","family":"Thiel","given":"Jens","non-dropping-particle":"","parse-names":false,"suffix":""}],"container-title":"PloS one","editor":[{"dropping-particle":"","family":"Bobé","given":"Pierre","non-dropping-particle":"","parse-names":false,"suffix":""}],"id":"ITEM-3","issue":"5","issued":{"date-parts":[["2012","5","21"]]},"page":"e37626","title":"Impact of rituximab on immunoglobulin concentrations and B cell numbers after cyclophosphamide treatment in patients with ANCA-associated vasculitides.","type":"article-journal","volume":"7"},"uris":["http://www.mendeley.com/documents/?uuid=0667e573-2310-3e3a-863c-d9d8638b465c"]}],"mendeley":{"formattedCitation":"&lt;sup&gt;[2–4]&lt;/sup&gt;","plainTextFormattedCitation":"[2–4]","previouslyFormattedCitation":"&lt;sup&gt;[2–4]&lt;/sup&gt;"},"properties":{"noteIndex":0},"schema":"https://github.com/citation-style-language/schema/raw/master/csl-citation.json"}</w:instrText>
      </w:r>
      <w:r w:rsidR="0089765A" w:rsidRPr="009D03BE">
        <w:rPr>
          <w:rFonts w:ascii="Book Antiqua" w:hAnsi="Book Antiqua"/>
          <w:lang w:val="en-GB"/>
        </w:rPr>
        <w:fldChar w:fldCharType="separate"/>
      </w:r>
      <w:r w:rsidR="00FE12CB" w:rsidRPr="009D03BE">
        <w:rPr>
          <w:rFonts w:ascii="Book Antiqua" w:hAnsi="Book Antiqua"/>
          <w:vertAlign w:val="superscript"/>
          <w:lang w:val="en-GB"/>
        </w:rPr>
        <w:t>[2–4]</w:t>
      </w:r>
      <w:r w:rsidR="0089765A" w:rsidRPr="009D03BE">
        <w:rPr>
          <w:rFonts w:ascii="Book Antiqua" w:hAnsi="Book Antiqua"/>
          <w:lang w:val="en-GB"/>
        </w:rPr>
        <w:fldChar w:fldCharType="end"/>
      </w:r>
      <w:r w:rsidR="009617C2" w:rsidRPr="009D03BE">
        <w:rPr>
          <w:rFonts w:ascii="Book Antiqua" w:hAnsi="Book Antiqua"/>
          <w:lang w:val="en-GB"/>
        </w:rPr>
        <w:t>.</w:t>
      </w:r>
      <w:r w:rsidR="00E11073" w:rsidRPr="009D03BE">
        <w:rPr>
          <w:rFonts w:ascii="Book Antiqua" w:hAnsi="Book Antiqua"/>
          <w:lang w:val="en-GB"/>
        </w:rPr>
        <w:t xml:space="preserve"> On the other hand, it has been shown in </w:t>
      </w:r>
      <w:r w:rsidR="00356FE9" w:rsidRPr="009D03BE">
        <w:rPr>
          <w:rFonts w:ascii="Book Antiqua" w:hAnsi="Book Antiqua"/>
          <w:lang w:val="en-GB"/>
        </w:rPr>
        <w:t>paediatric</w:t>
      </w:r>
      <w:r w:rsidR="00E11073" w:rsidRPr="009D03BE">
        <w:rPr>
          <w:rFonts w:ascii="Book Antiqua" w:hAnsi="Book Antiqua"/>
          <w:lang w:val="en-GB"/>
        </w:rPr>
        <w:t xml:space="preserve"> patients with NS that RTX administration can induce persistent IgG hypogammaglobulinemia among subjects showing low </w:t>
      </w:r>
      <w:r w:rsidR="00C36E33" w:rsidRPr="009D03BE">
        <w:rPr>
          <w:rFonts w:ascii="Book Antiqua" w:hAnsi="Book Antiqua"/>
          <w:lang w:val="en-GB"/>
        </w:rPr>
        <w:t xml:space="preserve">basal </w:t>
      </w:r>
      <w:r w:rsidR="00E11073" w:rsidRPr="009D03BE">
        <w:rPr>
          <w:rFonts w:ascii="Book Antiqua" w:hAnsi="Book Antiqua"/>
          <w:lang w:val="en-GB"/>
        </w:rPr>
        <w:t xml:space="preserve">IgG levels </w:t>
      </w:r>
      <w:r w:rsidR="009F375B" w:rsidRPr="009D03BE">
        <w:rPr>
          <w:rFonts w:ascii="Book Antiqua" w:hAnsi="Book Antiqua"/>
          <w:lang w:val="en-GB"/>
        </w:rPr>
        <w:t>and in a few cases with normal baseline IgG levels</w:t>
      </w:r>
      <w:r w:rsidR="00E11073"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1.0 g/L and were not significantly different from the MMF/CyA group (8.2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syndrome?","type":"article-journal","volume":"28"},"uris":["http://www.mendeley.com/documents/?uuid=cae5fc94-754f-32af-8245-3e350d2db4df"]},{"id":"ITEM-2","itemData":{"DOI":"10.5414/CN108835","ISSN":"0301-0430","PMID":"27125626","abstract":"BACKGROUND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nephrology","id":"ITEM-2","issue":"6","issued":{"date-parts":[["2016","6","1"]]},"page":"340-5","title":"Late-onset adverse events after a single dose of rituximab in children with complicated steroid-dependent nephrotic syndrome.","type":"article-journal","volume":"85"},"uris":["http://www.mendeley.com/documents/?uuid=be83b04e-2a8b-3bf0-bd35-0ecf7b13bb0e"]},{"id":"ITEM-3","itemData":{"DOI":"10.1007/s00467-008-0814-1","ISSN":"0931-041X","PMID":"18465150","abstract":"Several case reports suggest that rituximab (RTX) could be effective in steroid-dependent nephrotic syndrome, but RTX efficacy has not yet been studied in a series of patients. Safety and efficacy of RTX were assessed in a multicenter series of 22 patients aged 6.3-22 years with severe steroid-dependent nephrotic syndrome or steroid-resistant but cyclosporin-sensitive idiopathic nephrotic syndrome. Patients were treated with two to four infusions of RTX. Seven patients were nephrotic at the time of RTX treatment. Peripheral B cells were depleted in all subjects. Remission was induced in three of the seven proteinuric patients. One or more immunosuppressive (IS) treatments could be withdrawn in 19 patients (85%), with no relapse of proteinuria and without increasing other IS drugs. RTX was effective in all patients when administered during a proteinuria-free period in association with other IS agents. When relapses occurred, they were always associated with an increase in CD19 cell count. Adverse effects were observed in 45% of cases, but most of them were mild and transient. This study suggests that RTX could be an effective treatment for severe steroid-dependent nephrotic syndrome.","author":[{"dropping-particle":"","family":"Guigonis","given":"Vincent","non-dropping-particle":"","parse-names":false,"suffix":""},{"dropping-particle":"","family":"Dallocchio","given":"Aymeric","non-dropping-particle":"","parse-names":false,"suffix":""},{"dropping-particle":"","family":"Baudouin","given":"Véronique","non-dropping-particle":"","parse-names":false,"suffix":""},{"dropping-particle":"","family":"Dehennault","given":"Maud","non-dropping-particle":"","parse-names":false,"suffix":""},{"dropping-particle":"","family":"Hachon-Le Camus","given":"Caroline","non-dropping-particle":"","parse-names":false,"suffix":""},{"dropping-particle":"","family":"Afanetti","given":"Mickael","non-dropping-particle":"","parse-names":false,"suffix":""},{"dropping-particle":"","family":"Groothoff","given":"Jaap","non-dropping-particle":"","parse-names":false,"suffix":""},{"dropping-particle":"","family":"Llanas","given":"Brigitte","non-dropping-particle":"","parse-names":false,"suffix":""},{"dropping-particle":"","family":"Niaudet","given":"Patrick","non-dropping-particle":"","parse-names":false,"suffix":""},{"dropping-particle":"","family":"Nivet","given":"Hubert","non-dropping-particle":"","parse-names":false,"suffix":""},{"dropping-particle":"","family":"Raynaud","given":"Natacha","non-dropping-particle":"","parse-names":false,"suffix":""},{"dropping-particle":"","family":"Taque","given":"Sophie","non-dropping-particle":"","parse-names":false,"suffix":""},{"dropping-particle":"","family":"Ronco","given":"Pierre","non-dropping-particle":"","parse-names":false,"suffix":""},{"dropping-particle":"","family":"Bouissou","given":"François","non-dropping-particle":"","parse-names":false,"suffix":""}],"container-title":"Pediatric Nephrology","id":"ITEM-3","issue":"8","issued":{"date-parts":[["2008","8","9"]]},"page":"1269-1279","title":"Rituximab treatment for severe steroid- or cyclosporine-dependent nephrotic syndrome: a multicentric series of 22 cases","type":"article-journal","volume":"23"},"uris":["http://www.mendeley.com/documents/?uuid=2ace6725-d36f-3990-8775-c227b676fc80"]}],"mendeley":{"formattedCitation":"&lt;sup&gt;[5–7]&lt;/sup&gt;","plainTextFormattedCitation":"[5–7]","previouslyFormattedCitation":"&lt;sup&gt;[5–7]&lt;/sup&gt;"},"properties":{"noteIndex":0},"schema":"https://github.com/citation-style-language/schema/raw/master/csl-citation.json"}</w:instrText>
      </w:r>
      <w:r w:rsidR="00E11073" w:rsidRPr="009D03BE">
        <w:rPr>
          <w:rFonts w:ascii="Book Antiqua" w:hAnsi="Book Antiqua"/>
          <w:lang w:val="en-GB"/>
        </w:rPr>
        <w:fldChar w:fldCharType="separate"/>
      </w:r>
      <w:r w:rsidR="00FE12CB" w:rsidRPr="009D03BE">
        <w:rPr>
          <w:rFonts w:ascii="Book Antiqua" w:hAnsi="Book Antiqua"/>
          <w:vertAlign w:val="superscript"/>
          <w:lang w:val="en-GB"/>
        </w:rPr>
        <w:t>[5–7]</w:t>
      </w:r>
      <w:r w:rsidR="00E11073" w:rsidRPr="009D03BE">
        <w:rPr>
          <w:rFonts w:ascii="Book Antiqua" w:hAnsi="Book Antiqua"/>
          <w:lang w:val="en-GB"/>
        </w:rPr>
        <w:fldChar w:fldCharType="end"/>
      </w:r>
      <w:r w:rsidR="00E11073" w:rsidRPr="009D03BE">
        <w:rPr>
          <w:rFonts w:ascii="Book Antiqua" w:hAnsi="Book Antiqua"/>
          <w:lang w:val="en-GB"/>
        </w:rPr>
        <w:t xml:space="preserve">. </w:t>
      </w:r>
      <w:r w:rsidR="008E48D6" w:rsidRPr="009D03BE">
        <w:rPr>
          <w:rFonts w:ascii="Book Antiqua" w:hAnsi="Book Antiqua"/>
          <w:lang w:val="en-GB"/>
        </w:rPr>
        <w:t>The aim of our study was to evaluate the effect of RTX on IgG levels</w:t>
      </w:r>
      <w:r w:rsidR="007A6F0A" w:rsidRPr="009D03BE">
        <w:rPr>
          <w:rFonts w:ascii="Book Antiqua" w:hAnsi="Book Antiqua"/>
          <w:lang w:val="en-GB"/>
        </w:rPr>
        <w:t xml:space="preserve"> and infections</w:t>
      </w:r>
      <w:r w:rsidR="008E48D6" w:rsidRPr="009D03BE">
        <w:rPr>
          <w:rFonts w:ascii="Book Antiqua" w:hAnsi="Book Antiqua"/>
          <w:lang w:val="en-GB"/>
        </w:rPr>
        <w:t xml:space="preserve"> in patients with complicated, frequently relapsing</w:t>
      </w:r>
      <w:r w:rsidR="00B156B1" w:rsidRPr="009D03BE">
        <w:rPr>
          <w:rFonts w:ascii="Book Antiqua" w:hAnsi="Book Antiqua"/>
          <w:lang w:val="en-GB"/>
        </w:rPr>
        <w:t>,</w:t>
      </w:r>
      <w:r w:rsidR="008E48D6" w:rsidRPr="009D03BE">
        <w:rPr>
          <w:rFonts w:ascii="Book Antiqua" w:hAnsi="Book Antiqua"/>
          <w:lang w:val="en-GB"/>
        </w:rPr>
        <w:t xml:space="preserve"> and steroid- and cyclosporine-dependent </w:t>
      </w:r>
      <w:r w:rsidR="009F375B" w:rsidRPr="009D03BE">
        <w:rPr>
          <w:rFonts w:ascii="Book Antiqua" w:hAnsi="Book Antiqua"/>
          <w:lang w:val="en-GB"/>
        </w:rPr>
        <w:t>NS</w:t>
      </w:r>
      <w:r w:rsidR="004D62C0" w:rsidRPr="009D03BE">
        <w:rPr>
          <w:rFonts w:ascii="Book Antiqua" w:hAnsi="Book Antiqua"/>
          <w:lang w:val="en-GB"/>
        </w:rPr>
        <w:t xml:space="preserve"> </w:t>
      </w:r>
      <w:r w:rsidR="00B156B1" w:rsidRPr="009D03BE">
        <w:rPr>
          <w:rFonts w:ascii="Book Antiqua" w:hAnsi="Book Antiqua"/>
          <w:lang w:val="en-GB"/>
        </w:rPr>
        <w:t>who have</w:t>
      </w:r>
      <w:r w:rsidR="00021FAC" w:rsidRPr="009D03BE">
        <w:rPr>
          <w:rFonts w:ascii="Book Antiqua" w:hAnsi="Book Antiqua"/>
          <w:lang w:val="en-GB"/>
        </w:rPr>
        <w:t xml:space="preserve"> </w:t>
      </w:r>
      <w:r w:rsidR="009F375B" w:rsidRPr="009D03BE">
        <w:rPr>
          <w:rFonts w:ascii="Book Antiqua" w:hAnsi="Book Antiqua"/>
          <w:lang w:val="en-GB"/>
        </w:rPr>
        <w:t>normal baseline IgG levels</w:t>
      </w:r>
      <w:r w:rsidR="008E48D6" w:rsidRPr="009D03BE">
        <w:rPr>
          <w:rFonts w:ascii="Book Antiqua" w:hAnsi="Book Antiqua"/>
          <w:lang w:val="en-GB"/>
        </w:rPr>
        <w:t>.</w:t>
      </w:r>
    </w:p>
    <w:p w14:paraId="18186EFD" w14:textId="77777777" w:rsidR="00CF6EBE" w:rsidRPr="009D03BE" w:rsidRDefault="00CF6EBE" w:rsidP="00EC24C5">
      <w:pPr>
        <w:snapToGrid w:val="0"/>
        <w:spacing w:line="360" w:lineRule="auto"/>
        <w:jc w:val="both"/>
        <w:rPr>
          <w:rFonts w:ascii="Book Antiqua" w:hAnsi="Book Antiqua"/>
          <w:b/>
          <w:lang w:val="en-GB"/>
        </w:rPr>
      </w:pPr>
    </w:p>
    <w:p w14:paraId="7C66A969" w14:textId="77777777" w:rsidR="00684618" w:rsidRPr="009D03BE" w:rsidRDefault="00CF6EBE" w:rsidP="00EC24C5">
      <w:pPr>
        <w:snapToGrid w:val="0"/>
        <w:spacing w:line="360" w:lineRule="auto"/>
        <w:jc w:val="both"/>
        <w:rPr>
          <w:rFonts w:ascii="Book Antiqua" w:hAnsi="Book Antiqua"/>
          <w:b/>
          <w:lang w:val="en-GB"/>
        </w:rPr>
      </w:pPr>
      <w:r w:rsidRPr="009D03BE">
        <w:rPr>
          <w:rFonts w:ascii="Book Antiqua" w:hAnsi="Book Antiqua"/>
          <w:b/>
          <w:lang w:val="en-GB"/>
        </w:rPr>
        <w:t>MATERIALS AND METHODS</w:t>
      </w:r>
    </w:p>
    <w:p w14:paraId="097E289E" w14:textId="77777777" w:rsidR="00A34B74" w:rsidRPr="009D03BE" w:rsidRDefault="00033F9F" w:rsidP="00EC24C5">
      <w:pPr>
        <w:snapToGrid w:val="0"/>
        <w:spacing w:line="360" w:lineRule="auto"/>
        <w:jc w:val="both"/>
        <w:rPr>
          <w:rFonts w:ascii="Book Antiqua" w:hAnsi="Book Antiqua"/>
          <w:lang w:val="en-GB"/>
        </w:rPr>
      </w:pPr>
      <w:r w:rsidRPr="009D03BE">
        <w:rPr>
          <w:rFonts w:ascii="Book Antiqua" w:hAnsi="Book Antiqua"/>
          <w:lang w:val="en-GB"/>
        </w:rPr>
        <w:t xml:space="preserve">We </w:t>
      </w:r>
      <w:r w:rsidR="00AA6EA3" w:rsidRPr="009D03BE">
        <w:rPr>
          <w:rFonts w:ascii="Book Antiqua" w:hAnsi="Book Antiqua"/>
          <w:lang w:val="en-GB"/>
        </w:rPr>
        <w:t>consecutively</w:t>
      </w:r>
      <w:r w:rsidR="00C977D9" w:rsidRPr="009D03BE">
        <w:rPr>
          <w:rFonts w:ascii="Book Antiqua" w:hAnsi="Book Antiqua"/>
          <w:lang w:val="en-GB"/>
        </w:rPr>
        <w:t xml:space="preserve"> </w:t>
      </w:r>
      <w:r w:rsidR="00021FAC" w:rsidRPr="009D03BE">
        <w:rPr>
          <w:rFonts w:ascii="Book Antiqua" w:hAnsi="Book Antiqua"/>
          <w:lang w:val="en-GB"/>
        </w:rPr>
        <w:t>enrolled</w:t>
      </w:r>
      <w:r w:rsidRPr="009D03BE">
        <w:rPr>
          <w:rFonts w:ascii="Book Antiqua" w:hAnsi="Book Antiqua"/>
          <w:lang w:val="en-GB"/>
        </w:rPr>
        <w:t xml:space="preserve"> patients </w:t>
      </w:r>
      <w:r w:rsidR="00650B8B" w:rsidRPr="009D03BE">
        <w:rPr>
          <w:rFonts w:ascii="Book Antiqua" w:hAnsi="Book Antiqua"/>
          <w:lang w:val="en-GB"/>
        </w:rPr>
        <w:t xml:space="preserve">with complicated NS and normal basal IgG levels </w:t>
      </w:r>
      <w:r w:rsidRPr="009D03BE">
        <w:rPr>
          <w:rFonts w:ascii="Book Antiqua" w:hAnsi="Book Antiqua"/>
          <w:lang w:val="en-GB"/>
        </w:rPr>
        <w:t xml:space="preserve">undergoing </w:t>
      </w:r>
      <w:r w:rsidR="00256407" w:rsidRPr="009D03BE">
        <w:rPr>
          <w:rFonts w:ascii="Book Antiqua" w:hAnsi="Book Antiqua"/>
          <w:lang w:val="en-GB"/>
        </w:rPr>
        <w:t>the first</w:t>
      </w:r>
      <w:r w:rsidRPr="009D03BE">
        <w:rPr>
          <w:rFonts w:ascii="Book Antiqua" w:hAnsi="Book Antiqua"/>
          <w:lang w:val="en-GB"/>
        </w:rPr>
        <w:t xml:space="preserve"> RTX infusion from </w:t>
      </w:r>
      <w:r w:rsidR="00256407" w:rsidRPr="009D03BE">
        <w:rPr>
          <w:rFonts w:ascii="Book Antiqua" w:hAnsi="Book Antiqua"/>
          <w:lang w:val="en-GB"/>
        </w:rPr>
        <w:t>January 200</w:t>
      </w:r>
      <w:r w:rsidR="00F73295" w:rsidRPr="009D03BE">
        <w:rPr>
          <w:rFonts w:ascii="Book Antiqua" w:hAnsi="Book Antiqua"/>
          <w:lang w:val="en-GB"/>
        </w:rPr>
        <w:t>8</w:t>
      </w:r>
      <w:r w:rsidR="00256407" w:rsidRPr="009D03BE">
        <w:rPr>
          <w:rFonts w:ascii="Book Antiqua" w:hAnsi="Book Antiqua"/>
          <w:lang w:val="en-GB"/>
        </w:rPr>
        <w:t xml:space="preserve"> to January 2016</w:t>
      </w:r>
      <w:r w:rsidR="00530F87" w:rsidRPr="009D03BE">
        <w:rPr>
          <w:rFonts w:ascii="Book Antiqua" w:hAnsi="Book Antiqua"/>
          <w:lang w:val="en-GB"/>
        </w:rPr>
        <w:t xml:space="preserve">. </w:t>
      </w:r>
      <w:r w:rsidR="00A34B74" w:rsidRPr="009D03BE">
        <w:rPr>
          <w:rFonts w:ascii="Book Antiqua" w:hAnsi="Book Antiqua"/>
          <w:lang w:val="en-GB"/>
        </w:rPr>
        <w:t>The study was approved by our Research Ethical Committee.</w:t>
      </w:r>
      <w:r w:rsidR="00A34B74" w:rsidRPr="009D03BE">
        <w:rPr>
          <w:rFonts w:ascii="Book Antiqua" w:hAnsi="Book Antiqua" w:cs="Helvetica"/>
          <w:lang w:val="en-GB"/>
        </w:rPr>
        <w:t xml:space="preserve"> </w:t>
      </w:r>
      <w:r w:rsidR="00DD1B35" w:rsidRPr="009D03BE">
        <w:rPr>
          <w:rFonts w:ascii="Book Antiqua" w:hAnsi="Book Antiqua"/>
          <w:lang w:val="en-GB"/>
        </w:rPr>
        <w:t>I</w:t>
      </w:r>
      <w:r w:rsidR="00A34B74" w:rsidRPr="009D03BE">
        <w:rPr>
          <w:rFonts w:ascii="Book Antiqua" w:hAnsi="Book Antiqua"/>
          <w:lang w:val="en-GB"/>
        </w:rPr>
        <w:t xml:space="preserve">nformed consent was obtained before any procedure. </w:t>
      </w:r>
    </w:p>
    <w:p w14:paraId="47E8F876" w14:textId="77777777" w:rsidR="00397803" w:rsidRPr="009D03BE" w:rsidRDefault="009944ED" w:rsidP="00EC24C5">
      <w:pPr>
        <w:snapToGrid w:val="0"/>
        <w:spacing w:line="360" w:lineRule="auto"/>
        <w:ind w:firstLineChars="100" w:firstLine="240"/>
        <w:jc w:val="both"/>
        <w:rPr>
          <w:rFonts w:ascii="Book Antiqua" w:hAnsi="Book Antiqua"/>
          <w:lang w:val="en-GB"/>
        </w:rPr>
      </w:pPr>
      <w:r w:rsidRPr="009D03BE">
        <w:rPr>
          <w:rFonts w:ascii="Book Antiqua" w:hAnsi="Book Antiqua"/>
          <w:lang w:val="en-GB"/>
        </w:rPr>
        <w:t>Basal IgG</w:t>
      </w:r>
      <w:r w:rsidR="002F50A5" w:rsidRPr="009D03BE">
        <w:rPr>
          <w:rFonts w:ascii="Book Antiqua" w:hAnsi="Book Antiqua"/>
          <w:lang w:val="en-GB"/>
        </w:rPr>
        <w:t xml:space="preserve"> levels were dosed after 6 </w:t>
      </w:r>
      <w:proofErr w:type="spellStart"/>
      <w:r w:rsidR="002F50A5" w:rsidRPr="009D03BE">
        <w:rPr>
          <w:rFonts w:ascii="Book Antiqua" w:hAnsi="Book Antiqua"/>
          <w:lang w:val="en-GB"/>
        </w:rPr>
        <w:t>wk</w:t>
      </w:r>
      <w:proofErr w:type="spellEnd"/>
      <w:r w:rsidRPr="009D03BE">
        <w:rPr>
          <w:rFonts w:ascii="Book Antiqua" w:hAnsi="Book Antiqua"/>
          <w:lang w:val="en-GB"/>
        </w:rPr>
        <w:t xml:space="preserve"> of absent proteinuria and with a maximal interval of 3 </w:t>
      </w:r>
      <w:proofErr w:type="spellStart"/>
      <w:r w:rsidRPr="009D03BE">
        <w:rPr>
          <w:rFonts w:ascii="Book Antiqua" w:hAnsi="Book Antiqua"/>
          <w:lang w:val="en-GB"/>
        </w:rPr>
        <w:t>mo</w:t>
      </w:r>
      <w:proofErr w:type="spellEnd"/>
      <w:r w:rsidRPr="009D03BE">
        <w:rPr>
          <w:rFonts w:ascii="Book Antiqua" w:hAnsi="Book Antiqua"/>
          <w:lang w:val="en-GB"/>
        </w:rPr>
        <w:t xml:space="preserve"> before RTX infusion. </w:t>
      </w:r>
      <w:r w:rsidR="00650B8B" w:rsidRPr="009D03BE">
        <w:rPr>
          <w:rFonts w:ascii="Book Antiqua" w:hAnsi="Book Antiqua"/>
          <w:lang w:val="en-GB"/>
        </w:rPr>
        <w:t>Patients with</w:t>
      </w:r>
      <w:r w:rsidR="004D62C0" w:rsidRPr="009D03BE">
        <w:rPr>
          <w:rFonts w:ascii="Book Antiqua" w:hAnsi="Book Antiqua"/>
          <w:lang w:val="en-GB"/>
        </w:rPr>
        <w:t xml:space="preserve"> </w:t>
      </w:r>
      <w:r w:rsidR="00FC0D4E" w:rsidRPr="009D03BE">
        <w:rPr>
          <w:rFonts w:ascii="Book Antiqua" w:hAnsi="Book Antiqua"/>
          <w:lang w:val="en-GB"/>
        </w:rPr>
        <w:t xml:space="preserve">IgG levels </w:t>
      </w:r>
      <w:r w:rsidR="00964AF6" w:rsidRPr="009D03BE">
        <w:rPr>
          <w:rFonts w:ascii="Book Antiqua" w:hAnsi="Book Antiqua"/>
          <w:lang w:val="en-GB"/>
        </w:rPr>
        <w:t xml:space="preserve">under </w:t>
      </w:r>
      <w:r w:rsidR="00FC0D4E" w:rsidRPr="009D03BE">
        <w:rPr>
          <w:rFonts w:ascii="Book Antiqua" w:hAnsi="Book Antiqua"/>
          <w:lang w:val="en-GB"/>
        </w:rPr>
        <w:t>t</w:t>
      </w:r>
      <w:r w:rsidR="00650B8B" w:rsidRPr="009D03BE">
        <w:rPr>
          <w:rFonts w:ascii="Book Antiqua" w:hAnsi="Book Antiqua"/>
          <w:lang w:val="en-GB"/>
        </w:rPr>
        <w:t>he range of normality for age before</w:t>
      </w:r>
      <w:r w:rsidR="00FC0D4E" w:rsidRPr="009D03BE">
        <w:rPr>
          <w:rFonts w:ascii="Book Antiqua" w:hAnsi="Book Antiqua"/>
          <w:lang w:val="en-GB"/>
        </w:rPr>
        <w:t xml:space="preserve"> the first RTX infusion</w:t>
      </w:r>
      <w:r w:rsidR="00FC6F39" w:rsidRPr="009D03BE">
        <w:rPr>
          <w:rFonts w:ascii="Book Antiqua" w:hAnsi="Book Antiqua"/>
          <w:lang w:val="en-GB"/>
        </w:rPr>
        <w:t xml:space="preserve"> </w:t>
      </w:r>
      <w:r w:rsidR="00D67B33" w:rsidRPr="009D03BE">
        <w:rPr>
          <w:rFonts w:ascii="Book Antiqua" w:hAnsi="Book Antiqua"/>
          <w:lang w:val="en-GB" w:eastAsia="zh-CN"/>
        </w:rPr>
        <w:t>(</w:t>
      </w:r>
      <w:r w:rsidR="00FC6F39" w:rsidRPr="009D03BE">
        <w:rPr>
          <w:rFonts w:ascii="Book Antiqua" w:hAnsi="Book Antiqua"/>
          <w:lang w:val="en-GB"/>
        </w:rPr>
        <w:t xml:space="preserve">mean </w:t>
      </w:r>
      <w:r w:rsidR="00D67B33" w:rsidRPr="009D03BE">
        <w:rPr>
          <w:rFonts w:ascii="Book Antiqua" w:hAnsi="Book Antiqua"/>
          <w:lang w:val="en-GB" w:eastAsia="zh-CN"/>
        </w:rPr>
        <w:t>±</w:t>
      </w:r>
      <w:r w:rsidR="00D67B33" w:rsidRPr="009D03BE">
        <w:rPr>
          <w:rFonts w:ascii="Book Antiqua" w:hAnsi="Book Antiqua"/>
          <w:lang w:val="en-GB"/>
        </w:rPr>
        <w:t xml:space="preserve"> </w:t>
      </w:r>
      <w:r w:rsidR="00DD1B35" w:rsidRPr="009D03BE">
        <w:rPr>
          <w:rFonts w:ascii="Book Antiqua" w:hAnsi="Book Antiqua"/>
          <w:lang w:val="en-GB"/>
        </w:rPr>
        <w:t>standard deviation (</w:t>
      </w:r>
      <w:r w:rsidR="00D67B33" w:rsidRPr="009D03BE">
        <w:rPr>
          <w:rFonts w:ascii="Book Antiqua" w:hAnsi="Book Antiqua"/>
          <w:lang w:val="en-GB"/>
        </w:rPr>
        <w:t>SD</w:t>
      </w:r>
      <w:r w:rsidR="00DD1B35" w:rsidRPr="009D03BE">
        <w:rPr>
          <w:rFonts w:ascii="Book Antiqua" w:hAnsi="Book Antiqua"/>
          <w:lang w:val="en-GB"/>
        </w:rPr>
        <w:t>)</w:t>
      </w:r>
      <w:r w:rsidR="00D67B33" w:rsidRPr="009D03BE">
        <w:rPr>
          <w:rFonts w:ascii="Book Antiqua" w:hAnsi="Book Antiqua"/>
          <w:lang w:val="en-GB" w:eastAsia="zh-CN"/>
        </w:rPr>
        <w:t>)</w:t>
      </w:r>
      <w:r w:rsidR="009617C2" w:rsidRPr="009D03BE">
        <w:rPr>
          <w:rFonts w:ascii="Book Antiqua" w:hAnsi="Book Antiqua"/>
          <w:lang w:val="en-GB"/>
        </w:rPr>
        <w:t xml:space="preserve"> </w:t>
      </w:r>
      <w:r w:rsidR="00C84216" w:rsidRPr="009D03BE">
        <w:rPr>
          <w:rFonts w:ascii="Book Antiqua" w:hAnsi="Book Antiqua"/>
          <w:lang w:val="en-GB"/>
        </w:rPr>
        <w:t xml:space="preserve">and with missing data </w:t>
      </w:r>
      <w:r w:rsidR="00650B8B" w:rsidRPr="009D03BE">
        <w:rPr>
          <w:rFonts w:ascii="Book Antiqua" w:hAnsi="Book Antiqua"/>
          <w:lang w:val="en-GB"/>
        </w:rPr>
        <w:t>were excluded</w:t>
      </w:r>
      <w:r w:rsidR="004D62C0"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{"citationItems":[{"id":"ITEM-1","itemData":{"ISSN":"0031-4005","PMID":"4956666","author":[{"dropping-particle":"","family":"Stiehm","given":"E R","non-dropping-particle":"","parse-names":false,"suffix":""},{"dropping-particle":"","family":"Fudenberg","given":"H H","non-dropping-particle":"","parse-names":false,"suffix":""}],"container-title":"Pediatrics","id":"ITEM-1","issue":"5","issued":{"date-parts":[["1966","5"]]},"page":"715-27","title":"Serum levels of immune globulins in health and disease: a survey.","type":"article-journal","volume":"37"},"uris":["http://www.mendeley.com/documents/?uuid=ea442d84-7756-3972-b7e5-7d3c4337140d"]}],"mendeley":{"formattedCitation":"&lt;sup&gt;[8]&lt;/sup&gt;","plainTextFormattedCitation":"[8]","previouslyFormattedCitation":"&lt;sup&gt;[8]&lt;/sup&gt;"},"properties":{"noteIndex":0},"schema":"https://github.com/citation-style-language/schema/raw/master/csl-citation.json"}</w:instrText>
      </w:r>
      <w:r w:rsidR="004D62C0" w:rsidRPr="009D03BE">
        <w:rPr>
          <w:rFonts w:ascii="Book Antiqua" w:hAnsi="Book Antiqua"/>
          <w:lang w:val="en-GB"/>
        </w:rPr>
        <w:fldChar w:fldCharType="separate"/>
      </w:r>
      <w:r w:rsidR="00FE12CB" w:rsidRPr="009D03BE">
        <w:rPr>
          <w:rFonts w:ascii="Book Antiqua" w:hAnsi="Book Antiqua"/>
          <w:vertAlign w:val="superscript"/>
          <w:lang w:val="en-GB"/>
        </w:rPr>
        <w:t>[8]</w:t>
      </w:r>
      <w:r w:rsidR="004D62C0" w:rsidRPr="009D03BE">
        <w:rPr>
          <w:rFonts w:ascii="Book Antiqua" w:hAnsi="Book Antiqua"/>
          <w:lang w:val="en-GB"/>
        </w:rPr>
        <w:fldChar w:fldCharType="end"/>
      </w:r>
      <w:r w:rsidR="009617C2" w:rsidRPr="009D03BE">
        <w:rPr>
          <w:rFonts w:ascii="Book Antiqua" w:hAnsi="Book Antiqua"/>
          <w:lang w:val="en-GB"/>
        </w:rPr>
        <w:t>.</w:t>
      </w:r>
      <w:r w:rsidR="00E6471A" w:rsidRPr="009D03BE">
        <w:rPr>
          <w:rFonts w:ascii="Book Antiqua" w:hAnsi="Book Antiqua"/>
          <w:lang w:val="en-GB"/>
        </w:rPr>
        <w:t xml:space="preserve"> </w:t>
      </w:r>
    </w:p>
    <w:p w14:paraId="4F909025" w14:textId="77777777" w:rsidR="00E6471A" w:rsidRPr="009D03BE" w:rsidRDefault="005F65C1" w:rsidP="00EC24C5">
      <w:pPr>
        <w:snapToGrid w:val="0"/>
        <w:spacing w:line="360" w:lineRule="auto"/>
        <w:ind w:firstLineChars="100" w:firstLine="240"/>
        <w:jc w:val="both"/>
        <w:rPr>
          <w:rFonts w:ascii="Book Antiqua" w:hAnsi="Book Antiqua"/>
          <w:lang w:val="en-GB" w:eastAsia="zh-CN"/>
        </w:rPr>
      </w:pPr>
      <w:r w:rsidRPr="009D03BE">
        <w:rPr>
          <w:rFonts w:ascii="Book Antiqua" w:hAnsi="Book Antiqua"/>
          <w:lang w:val="en-GB"/>
        </w:rPr>
        <w:t xml:space="preserve">Initial RTX course </w:t>
      </w:r>
      <w:r w:rsidR="00C523B7" w:rsidRPr="009D03BE">
        <w:rPr>
          <w:rFonts w:ascii="Book Antiqua" w:hAnsi="Book Antiqua"/>
          <w:lang w:val="en-GB"/>
        </w:rPr>
        <w:t>was performed as two infusion</w:t>
      </w:r>
      <w:r w:rsidR="009617C2" w:rsidRPr="009D03BE">
        <w:rPr>
          <w:rFonts w:ascii="Book Antiqua" w:hAnsi="Book Antiqua"/>
          <w:lang w:val="en-GB"/>
        </w:rPr>
        <w:t>s</w:t>
      </w:r>
      <w:r w:rsidR="00C523B7" w:rsidRPr="009D03BE">
        <w:rPr>
          <w:rFonts w:ascii="Book Antiqua" w:hAnsi="Book Antiqua"/>
          <w:lang w:val="en-GB"/>
        </w:rPr>
        <w:t xml:space="preserve"> of 375</w:t>
      </w:r>
      <w:r w:rsidR="005034EC" w:rsidRPr="009D03BE">
        <w:rPr>
          <w:rFonts w:ascii="Book Antiqua" w:hAnsi="Book Antiqua"/>
          <w:lang w:val="en-GB" w:eastAsia="zh-CN"/>
        </w:rPr>
        <w:t xml:space="preserve"> </w:t>
      </w:r>
      <w:r w:rsidR="00C523B7" w:rsidRPr="009D03BE">
        <w:rPr>
          <w:rFonts w:ascii="Book Antiqua" w:hAnsi="Book Antiqua"/>
          <w:lang w:val="en-GB"/>
        </w:rPr>
        <w:t>mg/m</w:t>
      </w:r>
      <w:r w:rsidR="001B696D" w:rsidRPr="009D03BE">
        <w:rPr>
          <w:rFonts w:ascii="Book Antiqua" w:hAnsi="Book Antiqua"/>
          <w:vertAlign w:val="superscript"/>
          <w:lang w:val="en-GB"/>
        </w:rPr>
        <w:t>2</w:t>
      </w:r>
      <w:r w:rsidR="00F00320" w:rsidRPr="009D03BE">
        <w:rPr>
          <w:rFonts w:ascii="Book Antiqua" w:hAnsi="Book Antiqua"/>
          <w:lang w:val="en-GB"/>
        </w:rPr>
        <w:t xml:space="preserve"> with an interval of 7-14 d</w:t>
      </w:r>
      <w:r w:rsidR="004025A8" w:rsidRPr="009D03BE">
        <w:rPr>
          <w:rFonts w:ascii="Book Antiqua" w:hAnsi="Book Antiqua"/>
          <w:lang w:val="en-GB"/>
        </w:rPr>
        <w:t xml:space="preserve"> betwee</w:t>
      </w:r>
      <w:r w:rsidR="00F00320" w:rsidRPr="009D03BE">
        <w:rPr>
          <w:rFonts w:ascii="Book Antiqua" w:hAnsi="Book Antiqua"/>
          <w:lang w:val="en-GB"/>
        </w:rPr>
        <w:t>n the two infusions</w:t>
      </w:r>
      <w:r w:rsidR="000B5320" w:rsidRPr="009D03BE">
        <w:rPr>
          <w:rFonts w:ascii="Book Antiqua" w:hAnsi="Book Antiqua"/>
          <w:lang w:val="en-GB"/>
        </w:rPr>
        <w:t xml:space="preserve"> (“starting doses”)</w:t>
      </w:r>
      <w:r w:rsidR="004025A8" w:rsidRPr="009D03BE">
        <w:rPr>
          <w:rFonts w:ascii="Book Antiqua" w:hAnsi="Book Antiqua"/>
          <w:lang w:val="en-GB"/>
        </w:rPr>
        <w:t xml:space="preserve">. </w:t>
      </w:r>
      <w:r w:rsidR="00FE7CD6" w:rsidRPr="009D03BE">
        <w:rPr>
          <w:rFonts w:ascii="Book Antiqua" w:hAnsi="Book Antiqua"/>
          <w:lang w:val="en-GB"/>
        </w:rPr>
        <w:t>Additional</w:t>
      </w:r>
      <w:r w:rsidR="00703246" w:rsidRPr="009D03BE">
        <w:rPr>
          <w:rFonts w:ascii="Book Antiqua" w:hAnsi="Book Antiqua"/>
          <w:lang w:val="en-GB"/>
        </w:rPr>
        <w:t xml:space="preserve"> RTX injection</w:t>
      </w:r>
      <w:r w:rsidR="00F00320" w:rsidRPr="009D03BE">
        <w:rPr>
          <w:rFonts w:ascii="Book Antiqua" w:hAnsi="Book Antiqua"/>
          <w:lang w:val="en-GB"/>
        </w:rPr>
        <w:t>s were</w:t>
      </w:r>
      <w:r w:rsidR="00B66153" w:rsidRPr="009D03BE">
        <w:rPr>
          <w:rFonts w:ascii="Book Antiqua" w:hAnsi="Book Antiqua"/>
          <w:lang w:val="en-GB"/>
        </w:rPr>
        <w:t xml:space="preserve"> made after every</w:t>
      </w:r>
      <w:r w:rsidR="007064D5" w:rsidRPr="009D03BE">
        <w:rPr>
          <w:rFonts w:ascii="Book Antiqua" w:hAnsi="Book Antiqua"/>
          <w:lang w:val="en-GB"/>
        </w:rPr>
        <w:t xml:space="preserve"> NS </w:t>
      </w:r>
      <w:r w:rsidR="00B66153" w:rsidRPr="009D03BE">
        <w:rPr>
          <w:rFonts w:ascii="Book Antiqua" w:hAnsi="Book Antiqua"/>
          <w:lang w:val="en-GB"/>
        </w:rPr>
        <w:t xml:space="preserve">relapse just after </w:t>
      </w:r>
      <w:r w:rsidR="00DD1B35" w:rsidRPr="009D03BE">
        <w:rPr>
          <w:rFonts w:ascii="Book Antiqua" w:hAnsi="Book Antiqua"/>
          <w:lang w:val="en-GB"/>
        </w:rPr>
        <w:t>obtaining</w:t>
      </w:r>
      <w:r w:rsidR="00B66153" w:rsidRPr="009D03BE">
        <w:rPr>
          <w:rFonts w:ascii="Book Antiqua" w:hAnsi="Book Antiqua"/>
          <w:lang w:val="en-GB"/>
        </w:rPr>
        <w:t xml:space="preserve"> remission</w:t>
      </w:r>
      <w:r w:rsidR="00DB7C8A" w:rsidRPr="009D03BE">
        <w:rPr>
          <w:rFonts w:ascii="Book Antiqua" w:hAnsi="Book Antiqua"/>
          <w:lang w:val="en-GB"/>
        </w:rPr>
        <w:t xml:space="preserve"> independently from the levels of CD19-pos</w:t>
      </w:r>
      <w:r w:rsidR="001758D6" w:rsidRPr="009D03BE">
        <w:rPr>
          <w:rFonts w:ascii="Book Antiqua" w:hAnsi="Book Antiqua"/>
          <w:lang w:val="en-GB"/>
        </w:rPr>
        <w:t>i</w:t>
      </w:r>
      <w:r w:rsidR="00DB7C8A" w:rsidRPr="009D03BE">
        <w:rPr>
          <w:rFonts w:ascii="Book Antiqua" w:hAnsi="Book Antiqua"/>
          <w:lang w:val="en-GB"/>
        </w:rPr>
        <w:t>tive cells</w:t>
      </w:r>
      <w:r w:rsidR="00B66153" w:rsidRPr="009D03BE">
        <w:rPr>
          <w:rFonts w:ascii="Book Antiqua" w:hAnsi="Book Antiqua"/>
          <w:lang w:val="en-GB"/>
        </w:rPr>
        <w:t>.</w:t>
      </w:r>
      <w:r w:rsidR="00703246" w:rsidRPr="009D03BE">
        <w:rPr>
          <w:rFonts w:ascii="Book Antiqua" w:hAnsi="Book Antiqua"/>
          <w:lang w:val="en-GB"/>
        </w:rPr>
        <w:t xml:space="preserve"> IgG </w:t>
      </w:r>
      <w:r w:rsidR="00800580" w:rsidRPr="009D03BE">
        <w:rPr>
          <w:rFonts w:ascii="Book Antiqua" w:hAnsi="Book Antiqua"/>
          <w:lang w:val="en-GB"/>
        </w:rPr>
        <w:t>levels</w:t>
      </w:r>
      <w:r w:rsidR="00AA68D6" w:rsidRPr="009D03BE">
        <w:rPr>
          <w:rFonts w:ascii="Book Antiqua" w:hAnsi="Book Antiqua"/>
          <w:lang w:val="en-GB"/>
        </w:rPr>
        <w:t>, white cell blood count</w:t>
      </w:r>
      <w:r w:rsidR="00DD1B35" w:rsidRPr="009D03BE">
        <w:rPr>
          <w:rFonts w:ascii="Book Antiqua" w:hAnsi="Book Antiqua"/>
          <w:lang w:val="en-GB"/>
        </w:rPr>
        <w:t>,</w:t>
      </w:r>
      <w:r w:rsidR="00800580" w:rsidRPr="009D03BE">
        <w:rPr>
          <w:rFonts w:ascii="Book Antiqua" w:hAnsi="Book Antiqua"/>
          <w:lang w:val="en-GB"/>
        </w:rPr>
        <w:t xml:space="preserve"> and CD19-positive cells </w:t>
      </w:r>
      <w:r w:rsidR="00703246" w:rsidRPr="009D03BE">
        <w:rPr>
          <w:rFonts w:ascii="Book Antiqua" w:hAnsi="Book Antiqua"/>
          <w:lang w:val="en-GB"/>
        </w:rPr>
        <w:t>were evaluated at</w:t>
      </w:r>
      <w:r w:rsidR="007C03E5" w:rsidRPr="009D03BE">
        <w:rPr>
          <w:rFonts w:ascii="Book Antiqua" w:hAnsi="Book Antiqua"/>
          <w:lang w:val="en-GB"/>
        </w:rPr>
        <w:t xml:space="preserve"> 3</w:t>
      </w:r>
      <w:r w:rsidR="00703246" w:rsidRPr="009D03BE">
        <w:rPr>
          <w:rFonts w:ascii="Book Antiqua" w:hAnsi="Book Antiqua"/>
          <w:lang w:val="en-GB"/>
        </w:rPr>
        <w:t xml:space="preserve"> </w:t>
      </w:r>
      <w:proofErr w:type="spellStart"/>
      <w:r w:rsidR="00DD1B35" w:rsidRPr="009D03BE">
        <w:rPr>
          <w:rFonts w:ascii="Book Antiqua" w:hAnsi="Book Antiqua"/>
          <w:lang w:val="en-GB"/>
        </w:rPr>
        <w:t>mo</w:t>
      </w:r>
      <w:proofErr w:type="spellEnd"/>
      <w:r w:rsidR="00DD1B35" w:rsidRPr="009D03BE">
        <w:rPr>
          <w:rFonts w:ascii="Book Antiqua" w:hAnsi="Book Antiqua"/>
          <w:lang w:val="en-GB"/>
        </w:rPr>
        <w:t xml:space="preserve"> </w:t>
      </w:r>
      <w:r w:rsidR="00703246" w:rsidRPr="009D03BE">
        <w:rPr>
          <w:rFonts w:ascii="Book Antiqua" w:hAnsi="Book Antiqua"/>
          <w:lang w:val="en-GB"/>
        </w:rPr>
        <w:t xml:space="preserve">and 6 </w:t>
      </w:r>
      <w:proofErr w:type="spellStart"/>
      <w:r w:rsidR="00703246" w:rsidRPr="009D03BE">
        <w:rPr>
          <w:rFonts w:ascii="Book Antiqua" w:hAnsi="Book Antiqua"/>
          <w:lang w:val="en-GB"/>
        </w:rPr>
        <w:t>mo</w:t>
      </w:r>
      <w:proofErr w:type="spellEnd"/>
      <w:r w:rsidR="00703246" w:rsidRPr="009D03BE">
        <w:rPr>
          <w:rFonts w:ascii="Book Antiqua" w:hAnsi="Book Antiqua"/>
          <w:lang w:val="en-GB"/>
        </w:rPr>
        <w:t xml:space="preserve"> after </w:t>
      </w:r>
      <w:r w:rsidR="003171C6" w:rsidRPr="009D03BE">
        <w:rPr>
          <w:rFonts w:ascii="Book Antiqua" w:hAnsi="Book Antiqua"/>
          <w:lang w:val="en-GB"/>
        </w:rPr>
        <w:t xml:space="preserve">the first </w:t>
      </w:r>
      <w:r w:rsidR="00703246" w:rsidRPr="009D03BE">
        <w:rPr>
          <w:rFonts w:ascii="Book Antiqua" w:hAnsi="Book Antiqua"/>
          <w:lang w:val="en-GB"/>
        </w:rPr>
        <w:t xml:space="preserve">RTX infusion and then every </w:t>
      </w:r>
      <w:r w:rsidR="00DD1B35" w:rsidRPr="009D03BE">
        <w:rPr>
          <w:rFonts w:ascii="Book Antiqua" w:hAnsi="Book Antiqua"/>
          <w:lang w:val="en-GB"/>
        </w:rPr>
        <w:t>6 mo</w:t>
      </w:r>
      <w:r w:rsidR="00703246" w:rsidRPr="009D03BE">
        <w:rPr>
          <w:rFonts w:ascii="Book Antiqua" w:hAnsi="Book Antiqua"/>
          <w:lang w:val="en-GB"/>
        </w:rPr>
        <w:t>.</w:t>
      </w:r>
      <w:r w:rsidR="007C03E5" w:rsidRPr="009D03BE">
        <w:rPr>
          <w:rFonts w:ascii="Book Antiqua" w:hAnsi="Book Antiqua"/>
          <w:lang w:val="en-GB"/>
        </w:rPr>
        <w:t xml:space="preserve"> After RTX initiation, we slow</w:t>
      </w:r>
      <w:r w:rsidR="00887AA2" w:rsidRPr="009D03BE">
        <w:rPr>
          <w:rFonts w:ascii="Book Antiqua" w:hAnsi="Book Antiqua"/>
          <w:lang w:val="en-GB"/>
        </w:rPr>
        <w:t xml:space="preserve">ly </w:t>
      </w:r>
      <w:r w:rsidR="00DD1B35" w:rsidRPr="009D03BE">
        <w:rPr>
          <w:rFonts w:ascii="Book Antiqua" w:hAnsi="Book Antiqua"/>
          <w:lang w:val="en-GB"/>
        </w:rPr>
        <w:t xml:space="preserve">tapered </w:t>
      </w:r>
      <w:r w:rsidR="003171C6" w:rsidRPr="009D03BE">
        <w:rPr>
          <w:rFonts w:ascii="Book Antiqua" w:hAnsi="Book Antiqua"/>
          <w:lang w:val="en-GB"/>
        </w:rPr>
        <w:t xml:space="preserve">cyclosporine </w:t>
      </w:r>
      <w:r w:rsidR="00887AA2" w:rsidRPr="009D03BE">
        <w:rPr>
          <w:rFonts w:ascii="Book Antiqua" w:hAnsi="Book Antiqua"/>
          <w:lang w:val="en-GB"/>
        </w:rPr>
        <w:t>dose</w:t>
      </w:r>
      <w:r w:rsidR="007C03E5" w:rsidRPr="009D03BE">
        <w:rPr>
          <w:rFonts w:ascii="Book Antiqua" w:hAnsi="Book Antiqua"/>
          <w:lang w:val="en-GB"/>
        </w:rPr>
        <w:t xml:space="preserve"> </w:t>
      </w:r>
      <w:r w:rsidR="00DD1B35" w:rsidRPr="009D03BE">
        <w:rPr>
          <w:rFonts w:ascii="Book Antiqua" w:hAnsi="Book Antiqua"/>
          <w:lang w:val="en-GB"/>
        </w:rPr>
        <w:t xml:space="preserve">before stopping </w:t>
      </w:r>
      <w:r w:rsidR="001A6623" w:rsidRPr="009D03BE">
        <w:rPr>
          <w:rFonts w:ascii="Book Antiqua" w:hAnsi="Book Antiqua"/>
          <w:lang w:val="en-GB"/>
        </w:rPr>
        <w:t>completely</w:t>
      </w:r>
      <w:r w:rsidR="007C03E5" w:rsidRPr="009D03BE">
        <w:rPr>
          <w:rFonts w:ascii="Book Antiqua" w:hAnsi="Book Antiqua"/>
          <w:lang w:val="en-GB"/>
        </w:rPr>
        <w:t xml:space="preserve"> and </w:t>
      </w:r>
      <w:r w:rsidR="00DD1B35" w:rsidRPr="009D03BE">
        <w:rPr>
          <w:rFonts w:ascii="Book Antiqua" w:hAnsi="Book Antiqua"/>
          <w:lang w:val="en-GB"/>
        </w:rPr>
        <w:t xml:space="preserve">then </w:t>
      </w:r>
      <w:r w:rsidR="007C03E5" w:rsidRPr="009D03BE">
        <w:rPr>
          <w:rFonts w:ascii="Book Antiqua" w:hAnsi="Book Antiqua"/>
          <w:lang w:val="en-GB"/>
        </w:rPr>
        <w:t xml:space="preserve">slowly </w:t>
      </w:r>
      <w:r w:rsidR="00DD1B35" w:rsidRPr="009D03BE">
        <w:rPr>
          <w:rFonts w:ascii="Book Antiqua" w:hAnsi="Book Antiqua"/>
          <w:lang w:val="en-GB"/>
        </w:rPr>
        <w:t>tapered</w:t>
      </w:r>
      <w:r w:rsidR="007C03E5" w:rsidRPr="009D03BE">
        <w:rPr>
          <w:rFonts w:ascii="Book Antiqua" w:hAnsi="Book Antiqua"/>
          <w:lang w:val="en-GB"/>
        </w:rPr>
        <w:t xml:space="preserve"> </w:t>
      </w:r>
      <w:r w:rsidR="003171C6" w:rsidRPr="009D03BE">
        <w:rPr>
          <w:rFonts w:ascii="Book Antiqua" w:hAnsi="Book Antiqua"/>
          <w:lang w:val="en-GB"/>
        </w:rPr>
        <w:t>corticosteroid</w:t>
      </w:r>
      <w:r w:rsidR="002B6111" w:rsidRPr="009D03BE">
        <w:rPr>
          <w:rFonts w:ascii="Book Antiqua" w:hAnsi="Book Antiqua"/>
          <w:lang w:val="en-GB"/>
        </w:rPr>
        <w:t xml:space="preserve"> </w:t>
      </w:r>
      <w:r w:rsidR="00C51805" w:rsidRPr="009D03BE">
        <w:rPr>
          <w:rFonts w:ascii="Book Antiqua" w:hAnsi="Book Antiqua"/>
          <w:lang w:val="en-GB"/>
        </w:rPr>
        <w:t>doses stopping their</w:t>
      </w:r>
      <w:r w:rsidR="007C03E5" w:rsidRPr="009D03BE">
        <w:rPr>
          <w:rFonts w:ascii="Book Antiqua" w:hAnsi="Book Antiqua"/>
          <w:lang w:val="en-GB"/>
        </w:rPr>
        <w:t xml:space="preserve"> administration. </w:t>
      </w:r>
    </w:p>
    <w:p w14:paraId="77F6CE01" w14:textId="77777777" w:rsidR="005034EC" w:rsidRPr="009D03BE" w:rsidRDefault="005034EC" w:rsidP="00EC24C5">
      <w:pPr>
        <w:snapToGrid w:val="0"/>
        <w:spacing w:line="360" w:lineRule="auto"/>
        <w:jc w:val="both"/>
        <w:rPr>
          <w:rFonts w:ascii="Book Antiqua" w:hAnsi="Book Antiqua"/>
          <w:lang w:val="en-GB" w:eastAsia="zh-CN"/>
        </w:rPr>
      </w:pPr>
    </w:p>
    <w:p w14:paraId="5249F226" w14:textId="77777777" w:rsidR="00A25F8F" w:rsidRPr="009D03BE" w:rsidRDefault="00A25F8F" w:rsidP="00EC24C5">
      <w:pPr>
        <w:snapToGrid w:val="0"/>
        <w:spacing w:line="360" w:lineRule="auto"/>
        <w:jc w:val="both"/>
        <w:rPr>
          <w:rFonts w:ascii="Book Antiqua" w:hAnsi="Book Antiqua"/>
          <w:b/>
          <w:i/>
          <w:lang w:val="en-GB"/>
        </w:rPr>
      </w:pPr>
      <w:r w:rsidRPr="009D03BE">
        <w:rPr>
          <w:rFonts w:ascii="Book Antiqua" w:hAnsi="Book Antiqua"/>
          <w:b/>
          <w:i/>
          <w:lang w:val="en-GB"/>
        </w:rPr>
        <w:t>Primary outcome</w:t>
      </w:r>
    </w:p>
    <w:p w14:paraId="79DB8A52" w14:textId="77777777" w:rsidR="00A25F8F" w:rsidRPr="009D03BE" w:rsidRDefault="00A25F8F" w:rsidP="00EC24C5">
      <w:pPr>
        <w:snapToGrid w:val="0"/>
        <w:spacing w:line="360" w:lineRule="auto"/>
        <w:jc w:val="both"/>
        <w:rPr>
          <w:rFonts w:ascii="Book Antiqua" w:hAnsi="Book Antiqua"/>
          <w:lang w:val="en-GB"/>
        </w:rPr>
      </w:pPr>
      <w:r w:rsidRPr="009D03BE">
        <w:rPr>
          <w:rFonts w:ascii="Book Antiqua" w:hAnsi="Book Antiqua"/>
          <w:lang w:val="en-GB"/>
        </w:rPr>
        <w:lastRenderedPageBreak/>
        <w:t>The primary outcome was the onset of IgG hypogammaglobulinemia during the follow-up</w:t>
      </w:r>
      <w:r w:rsidR="003F536B" w:rsidRPr="009D03BE">
        <w:rPr>
          <w:rFonts w:ascii="Book Antiqua" w:hAnsi="Book Antiqua"/>
          <w:lang w:val="en-GB"/>
        </w:rPr>
        <w:t xml:space="preserve"> according to </w:t>
      </w:r>
      <w:r w:rsidR="00DD1B35" w:rsidRPr="009D03BE">
        <w:rPr>
          <w:rFonts w:ascii="Book Antiqua" w:hAnsi="Book Antiqua"/>
          <w:lang w:val="en-GB"/>
        </w:rPr>
        <w:t xml:space="preserve">normal </w:t>
      </w:r>
      <w:r w:rsidR="00E000CD" w:rsidRPr="009D03BE">
        <w:rPr>
          <w:rFonts w:ascii="Book Antiqua" w:hAnsi="Book Antiqua"/>
          <w:lang w:val="en-GB"/>
        </w:rPr>
        <w:t xml:space="preserve">IgG </w:t>
      </w:r>
      <w:r w:rsidR="003F536B" w:rsidRPr="009D03BE">
        <w:rPr>
          <w:rFonts w:ascii="Book Antiqua" w:hAnsi="Book Antiqua"/>
          <w:lang w:val="en-GB"/>
        </w:rPr>
        <w:t xml:space="preserve">values for age (mean </w:t>
      </w:r>
      <w:r w:rsidR="006F7875" w:rsidRPr="009D03BE">
        <w:rPr>
          <w:rFonts w:ascii="Book Antiqua" w:hAnsi="Book Antiqua"/>
          <w:lang w:val="en-GB"/>
        </w:rPr>
        <w:t>±</w:t>
      </w:r>
      <w:r w:rsidR="006F7875" w:rsidRPr="009D03BE">
        <w:rPr>
          <w:rFonts w:ascii="Book Antiqua" w:hAnsi="Book Antiqua"/>
          <w:lang w:val="en-GB" w:eastAsia="zh-CN"/>
        </w:rPr>
        <w:t xml:space="preserve"> </w:t>
      </w:r>
      <w:r w:rsidR="006F7875" w:rsidRPr="009D03BE">
        <w:rPr>
          <w:rFonts w:ascii="Book Antiqua" w:hAnsi="Book Antiqua"/>
          <w:lang w:val="en-GB"/>
        </w:rPr>
        <w:t>SD</w:t>
      </w:r>
      <w:r w:rsidR="003F536B" w:rsidRPr="009D03BE">
        <w:rPr>
          <w:rFonts w:ascii="Book Antiqua" w:hAnsi="Book Antiqua"/>
          <w:lang w:val="en-GB"/>
        </w:rPr>
        <w:t>)</w:t>
      </w:r>
      <w:r w:rsidR="00C31CBB" w:rsidRPr="009D03BE">
        <w:rPr>
          <w:rFonts w:ascii="Book Antiqua" w:hAnsi="Book Antiqua"/>
          <w:lang w:val="en-GB"/>
        </w:rPr>
        <w:t xml:space="preserve"> </w:t>
      </w:r>
      <w:r w:rsidR="00A668F4" w:rsidRPr="009D03BE">
        <w:rPr>
          <w:rFonts w:ascii="Book Antiqua" w:hAnsi="Book Antiqua"/>
          <w:lang w:val="en-GB"/>
        </w:rPr>
        <w:t>(Fig</w:t>
      </w:r>
      <w:r w:rsidR="005034EC" w:rsidRPr="009D03BE">
        <w:rPr>
          <w:rFonts w:ascii="Book Antiqua" w:hAnsi="Book Antiqua"/>
          <w:lang w:val="en-GB" w:eastAsia="zh-CN"/>
        </w:rPr>
        <w:t>ure</w:t>
      </w:r>
      <w:r w:rsidR="002479BB" w:rsidRPr="009D03BE">
        <w:rPr>
          <w:rFonts w:ascii="Book Antiqua" w:hAnsi="Book Antiqua"/>
          <w:lang w:val="en-GB"/>
        </w:rPr>
        <w:t xml:space="preserve"> 1A)</w:t>
      </w:r>
      <w:r w:rsidR="0093596C"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{"citationItems":[{"id":"ITEM-1","itemData":{"ISSN":"0031-4005","PMID":"4956666","author":[{"dropping-particle":"","family":"Stiehm","given":"E R","non-dropping-particle":"","parse-names":false,"suffix":""},{"dropping-particle":"","family":"Fudenberg","given":"H H","non-dropping-particle":"","parse-names":false,"suffix":""}],"container-title":"Pediatrics","id":"ITEM-1","issue":"5","issued":{"date-parts":[["1966","5"]]},"page":"715-27","title":"Serum levels of immune globulins in health and disease: a survey.","type":"article-journal","volume":"37"},"uris":["http://www.mendeley.com/documents/?uuid=ea442d84-7756-3972-b7e5-7d3c4337140d"]}],"mendeley":{"formattedCitation":"&lt;sup&gt;[8]&lt;/sup&gt;","plainTextFormattedCitation":"[8]","previouslyFormattedCitation":"&lt;sup&gt;[8]&lt;/sup&gt;"},"properties":{"noteIndex":0},"schema":"https://github.com/citation-style-language/schema/raw/master/csl-citation.json"}</w:instrText>
      </w:r>
      <w:r w:rsidR="0093596C" w:rsidRPr="009D03BE">
        <w:rPr>
          <w:rFonts w:ascii="Book Antiqua" w:hAnsi="Book Antiqua"/>
          <w:lang w:val="en-GB"/>
        </w:rPr>
        <w:fldChar w:fldCharType="separate"/>
      </w:r>
      <w:r w:rsidR="00FE12CB" w:rsidRPr="009D03BE">
        <w:rPr>
          <w:rFonts w:ascii="Book Antiqua" w:hAnsi="Book Antiqua"/>
          <w:vertAlign w:val="superscript"/>
          <w:lang w:val="en-GB"/>
        </w:rPr>
        <w:t>[8]</w:t>
      </w:r>
      <w:r w:rsidR="0093596C" w:rsidRPr="009D03BE">
        <w:rPr>
          <w:rFonts w:ascii="Book Antiqua" w:hAnsi="Book Antiqua"/>
          <w:lang w:val="en-GB"/>
        </w:rPr>
        <w:fldChar w:fldCharType="end"/>
      </w:r>
      <w:r w:rsidR="00C31CBB" w:rsidRPr="009D03BE">
        <w:rPr>
          <w:rFonts w:ascii="Book Antiqua" w:hAnsi="Book Antiqua"/>
          <w:lang w:val="en-GB"/>
        </w:rPr>
        <w:t>.</w:t>
      </w:r>
      <w:r w:rsidR="00887AA2" w:rsidRPr="009D03BE">
        <w:rPr>
          <w:rFonts w:ascii="Book Antiqua" w:hAnsi="Book Antiqua"/>
          <w:lang w:val="en-GB"/>
        </w:rPr>
        <w:t xml:space="preserve"> We also documented possible recovery </w:t>
      </w:r>
      <w:r w:rsidR="006C7542" w:rsidRPr="009D03BE">
        <w:rPr>
          <w:rFonts w:ascii="Book Antiqua" w:hAnsi="Book Antiqua"/>
          <w:lang w:val="en-GB"/>
        </w:rPr>
        <w:t xml:space="preserve">from IgG hypogammaglobulinemia and </w:t>
      </w:r>
      <w:r w:rsidR="00891C0E" w:rsidRPr="009D03BE">
        <w:rPr>
          <w:rFonts w:ascii="Book Antiqua" w:hAnsi="Book Antiqua"/>
          <w:lang w:val="en-GB"/>
        </w:rPr>
        <w:t>recorded</w:t>
      </w:r>
      <w:r w:rsidR="00887AA2" w:rsidRPr="009D03BE">
        <w:rPr>
          <w:rFonts w:ascii="Book Antiqua" w:hAnsi="Book Antiqua"/>
          <w:lang w:val="en-GB"/>
        </w:rPr>
        <w:t xml:space="preserve"> infections and neutropenia.</w:t>
      </w:r>
      <w:r w:rsidR="005034EC" w:rsidRPr="009D03BE">
        <w:rPr>
          <w:rFonts w:ascii="Book Antiqua" w:hAnsi="Book Antiqua"/>
          <w:lang w:val="en-GB"/>
        </w:rPr>
        <w:t xml:space="preserve"> </w:t>
      </w:r>
    </w:p>
    <w:p w14:paraId="765668EB" w14:textId="77777777" w:rsidR="00CF6EBE" w:rsidRPr="009D03BE" w:rsidRDefault="00CF6EBE" w:rsidP="00EC24C5">
      <w:pPr>
        <w:snapToGrid w:val="0"/>
        <w:spacing w:line="360" w:lineRule="auto"/>
        <w:jc w:val="both"/>
        <w:rPr>
          <w:rFonts w:ascii="Book Antiqua" w:hAnsi="Book Antiqua"/>
          <w:i/>
          <w:lang w:val="en-GB"/>
        </w:rPr>
      </w:pPr>
    </w:p>
    <w:p w14:paraId="6C03E665" w14:textId="77777777" w:rsidR="00A25F8F" w:rsidRPr="009D03BE" w:rsidRDefault="00A25F8F" w:rsidP="00EC24C5">
      <w:pPr>
        <w:snapToGrid w:val="0"/>
        <w:spacing w:line="360" w:lineRule="auto"/>
        <w:jc w:val="both"/>
        <w:rPr>
          <w:rFonts w:ascii="Book Antiqua" w:hAnsi="Book Antiqua"/>
          <w:b/>
          <w:lang w:val="en-GB"/>
        </w:rPr>
      </w:pPr>
      <w:r w:rsidRPr="009D03BE">
        <w:rPr>
          <w:rFonts w:ascii="Book Antiqua" w:hAnsi="Book Antiqua"/>
          <w:b/>
          <w:i/>
          <w:lang w:val="en-GB"/>
        </w:rPr>
        <w:t>Statistical analysis</w:t>
      </w:r>
    </w:p>
    <w:p w14:paraId="6CAAA79A" w14:textId="77777777" w:rsidR="00A25F8F" w:rsidRPr="009D03BE" w:rsidRDefault="00A25F8F" w:rsidP="00EC24C5">
      <w:pPr>
        <w:autoSpaceDE w:val="0"/>
        <w:snapToGrid w:val="0"/>
        <w:spacing w:line="360" w:lineRule="auto"/>
        <w:jc w:val="both"/>
        <w:rPr>
          <w:rFonts w:ascii="Book Antiqua" w:hAnsi="Book Antiqua"/>
          <w:lang w:val="en-GB"/>
        </w:rPr>
      </w:pPr>
      <w:r w:rsidRPr="009D03BE">
        <w:rPr>
          <w:rFonts w:ascii="Book Antiqua" w:hAnsi="Book Antiqua"/>
          <w:i/>
          <w:lang w:val="en-GB"/>
        </w:rPr>
        <w:t>P</w:t>
      </w:r>
      <w:r w:rsidRPr="009D03BE">
        <w:rPr>
          <w:rFonts w:ascii="Book Antiqua" w:hAnsi="Book Antiqua"/>
          <w:lang w:val="en-GB"/>
        </w:rPr>
        <w:t xml:space="preserve"> values ≤</w:t>
      </w:r>
      <w:r w:rsidR="005034EC" w:rsidRPr="009D03BE">
        <w:rPr>
          <w:rFonts w:ascii="Book Antiqua" w:hAnsi="Book Antiqua"/>
          <w:lang w:val="en-GB" w:eastAsia="zh-CN"/>
        </w:rPr>
        <w:t xml:space="preserve"> </w:t>
      </w:r>
      <w:r w:rsidRPr="009D03BE">
        <w:rPr>
          <w:rFonts w:ascii="Book Antiqua" w:hAnsi="Book Antiqua"/>
          <w:lang w:val="en-GB"/>
        </w:rPr>
        <w:t xml:space="preserve">0.05 were considered statistically significant. </w:t>
      </w:r>
      <w:r w:rsidR="00E2135E" w:rsidRPr="009D03BE">
        <w:rPr>
          <w:rFonts w:ascii="Book Antiqua" w:hAnsi="Book Antiqua"/>
          <w:lang w:val="en-GB"/>
        </w:rPr>
        <w:t xml:space="preserve">Differences for continuous variables were </w:t>
      </w:r>
      <w:r w:rsidR="00356FE9" w:rsidRPr="009D03BE">
        <w:rPr>
          <w:rFonts w:ascii="Book Antiqua" w:hAnsi="Book Antiqua"/>
          <w:lang w:val="en-GB"/>
        </w:rPr>
        <w:t>analysed</w:t>
      </w:r>
      <w:r w:rsidR="00E2135E" w:rsidRPr="009D03BE">
        <w:rPr>
          <w:rFonts w:ascii="Book Antiqua" w:hAnsi="Book Antiqua"/>
          <w:lang w:val="en-GB"/>
        </w:rPr>
        <w:t xml:space="preserve"> with the independent-sample </w:t>
      </w:r>
      <w:r w:rsidR="00E2135E" w:rsidRPr="009D03BE">
        <w:rPr>
          <w:rFonts w:ascii="Book Antiqua" w:hAnsi="Book Antiqua"/>
          <w:i/>
          <w:lang w:val="en-GB"/>
        </w:rPr>
        <w:t>t</w:t>
      </w:r>
      <w:r w:rsidR="00E2135E" w:rsidRPr="009D03BE">
        <w:rPr>
          <w:rFonts w:ascii="Book Antiqua" w:hAnsi="Book Antiqua"/>
          <w:lang w:val="en-GB"/>
        </w:rPr>
        <w:t xml:space="preserve"> test for normally distributed variables and with the Mann-Whitney test in case of non-normality. </w:t>
      </w:r>
      <w:r w:rsidRPr="009D03BE">
        <w:rPr>
          <w:rFonts w:ascii="Book Antiqua" w:hAnsi="Book Antiqua"/>
          <w:lang w:val="en-GB"/>
        </w:rPr>
        <w:t>Qualitative variables were compared using the chi-squared test. The development of primary outcome</w:t>
      </w:r>
      <w:r w:rsidR="00C970E8" w:rsidRPr="009D03BE">
        <w:rPr>
          <w:rFonts w:ascii="Book Antiqua" w:hAnsi="Book Antiqua"/>
          <w:lang w:val="en-GB"/>
        </w:rPr>
        <w:t xml:space="preserve"> </w:t>
      </w:r>
      <w:r w:rsidR="00B16308" w:rsidRPr="009D03BE">
        <w:rPr>
          <w:rFonts w:ascii="Book Antiqua" w:hAnsi="Book Antiqua"/>
          <w:lang w:val="en-GB"/>
        </w:rPr>
        <w:t>was</w:t>
      </w:r>
      <w:r w:rsidRPr="009D03BE">
        <w:rPr>
          <w:rFonts w:ascii="Book Antiqua" w:hAnsi="Book Antiqua"/>
          <w:lang w:val="en-GB"/>
        </w:rPr>
        <w:t xml:space="preserve"> determined by survival analysis accord</w:t>
      </w:r>
      <w:r w:rsidR="00B16308" w:rsidRPr="009D03BE">
        <w:rPr>
          <w:rFonts w:ascii="Book Antiqua" w:hAnsi="Book Antiqua"/>
          <w:lang w:val="en-GB"/>
        </w:rPr>
        <w:t>ing to the Kaplan-Meier method. T</w:t>
      </w:r>
      <w:r w:rsidRPr="009D03BE">
        <w:rPr>
          <w:rFonts w:ascii="Book Antiqua" w:hAnsi="Book Antiqua"/>
          <w:lang w:val="en-GB"/>
        </w:rPr>
        <w:t xml:space="preserve">he day of </w:t>
      </w:r>
      <w:r w:rsidR="002349FA" w:rsidRPr="009D03BE">
        <w:rPr>
          <w:rFonts w:ascii="Book Antiqua" w:hAnsi="Book Antiqua"/>
          <w:lang w:val="en-GB"/>
        </w:rPr>
        <w:t xml:space="preserve">first RTX infusion </w:t>
      </w:r>
      <w:r w:rsidRPr="009D03BE">
        <w:rPr>
          <w:rFonts w:ascii="Book Antiqua" w:hAnsi="Book Antiqua"/>
          <w:lang w:val="en-GB"/>
        </w:rPr>
        <w:t xml:space="preserve">was considered </w:t>
      </w:r>
      <w:r w:rsidR="00DD1B35" w:rsidRPr="009D03BE">
        <w:rPr>
          <w:rFonts w:ascii="Book Antiqua" w:hAnsi="Book Antiqua"/>
          <w:lang w:val="en-GB"/>
        </w:rPr>
        <w:t xml:space="preserve">the </w:t>
      </w:r>
      <w:r w:rsidRPr="009D03BE">
        <w:rPr>
          <w:rFonts w:ascii="Book Antiqua" w:hAnsi="Book Antiqua"/>
          <w:lang w:val="en-GB"/>
        </w:rPr>
        <w:t xml:space="preserve">starting point, while the end point was the date of the primary outcome onset. Patients arriving at their last available follow-up without showing primary outcome were right censored. The Stat-Graph XVII software for Windows was used for all statistical analyses with the exception of </w:t>
      </w:r>
      <w:r w:rsidR="002349FA" w:rsidRPr="009D03BE">
        <w:rPr>
          <w:rFonts w:ascii="Book Antiqua" w:hAnsi="Book Antiqua"/>
          <w:lang w:val="en-GB"/>
        </w:rPr>
        <w:t>Ka</w:t>
      </w:r>
      <w:r w:rsidR="00D77617" w:rsidRPr="009D03BE">
        <w:rPr>
          <w:rFonts w:ascii="Book Antiqua" w:hAnsi="Book Antiqua"/>
          <w:lang w:val="en-GB"/>
        </w:rPr>
        <w:t>plan-Meir analysis</w:t>
      </w:r>
      <w:r w:rsidRPr="009D03BE">
        <w:rPr>
          <w:rFonts w:ascii="Book Antiqua" w:hAnsi="Book Antiqua"/>
          <w:lang w:val="en-GB"/>
        </w:rPr>
        <w:t xml:space="preserve">, </w:t>
      </w:r>
      <w:r w:rsidR="00DD1B35" w:rsidRPr="009D03BE">
        <w:rPr>
          <w:rFonts w:ascii="Book Antiqua" w:hAnsi="Book Antiqua"/>
          <w:lang w:val="en-GB"/>
        </w:rPr>
        <w:t>whi</w:t>
      </w:r>
      <w:r w:rsidR="001A6623" w:rsidRPr="009D03BE">
        <w:rPr>
          <w:rFonts w:ascii="Book Antiqua" w:hAnsi="Book Antiqua"/>
          <w:lang w:val="en-GB"/>
        </w:rPr>
        <w:t>ch</w:t>
      </w:r>
      <w:r w:rsidR="00DD1B35" w:rsidRPr="009D03BE">
        <w:rPr>
          <w:rFonts w:ascii="Book Antiqua" w:hAnsi="Book Antiqua"/>
          <w:lang w:val="en-GB"/>
        </w:rPr>
        <w:t xml:space="preserve"> was </w:t>
      </w:r>
      <w:r w:rsidRPr="009D03BE">
        <w:rPr>
          <w:rFonts w:ascii="Book Antiqua" w:hAnsi="Book Antiqua"/>
          <w:lang w:val="en-GB"/>
        </w:rPr>
        <w:t xml:space="preserve">done using </w:t>
      </w:r>
      <w:proofErr w:type="spellStart"/>
      <w:r w:rsidR="00A56286" w:rsidRPr="009D03BE">
        <w:rPr>
          <w:rFonts w:ascii="Book Antiqua" w:hAnsi="Book Antiqua"/>
          <w:lang w:val="en-GB"/>
        </w:rPr>
        <w:t>Graphpad</w:t>
      </w:r>
      <w:proofErr w:type="spellEnd"/>
      <w:r w:rsidR="00A56286" w:rsidRPr="009D03BE">
        <w:rPr>
          <w:rFonts w:ascii="Book Antiqua" w:hAnsi="Book Antiqua"/>
          <w:lang w:val="en-GB"/>
        </w:rPr>
        <w:t xml:space="preserve"> Prims 7</w:t>
      </w:r>
      <w:r w:rsidRPr="009D03BE">
        <w:rPr>
          <w:rFonts w:ascii="Book Antiqua" w:hAnsi="Book Antiqua"/>
          <w:lang w:val="en-GB"/>
        </w:rPr>
        <w:t xml:space="preserve"> software</w:t>
      </w:r>
      <w:r w:rsidR="00DD1B35" w:rsidRPr="009D03BE">
        <w:rPr>
          <w:rFonts w:ascii="Book Antiqua" w:hAnsi="Book Antiqua"/>
          <w:lang w:val="en-GB"/>
        </w:rPr>
        <w:t xml:space="preserve"> </w:t>
      </w:r>
      <w:r w:rsidRPr="009D03BE">
        <w:rPr>
          <w:rFonts w:ascii="Book Antiqua" w:hAnsi="Book Antiqua"/>
          <w:lang w:val="en-GB"/>
        </w:rPr>
        <w:t>for Windows</w:t>
      </w:r>
      <w:r w:rsidR="00DD1B35" w:rsidRPr="009D03BE">
        <w:rPr>
          <w:rFonts w:ascii="Book Antiqua" w:hAnsi="Book Antiqua"/>
          <w:lang w:val="en-GB"/>
        </w:rPr>
        <w:t xml:space="preserve"> (La Jolla, CA, United States)</w:t>
      </w:r>
      <w:r w:rsidRPr="009D03BE">
        <w:rPr>
          <w:rFonts w:ascii="Book Antiqua" w:hAnsi="Book Antiqua"/>
          <w:lang w:val="en-GB"/>
        </w:rPr>
        <w:t>.</w:t>
      </w:r>
    </w:p>
    <w:p w14:paraId="69ECA2F9" w14:textId="77777777" w:rsidR="00CF6EBE" w:rsidRPr="009D03BE" w:rsidRDefault="00CF6EBE" w:rsidP="00EC24C5">
      <w:pPr>
        <w:snapToGrid w:val="0"/>
        <w:spacing w:line="360" w:lineRule="auto"/>
        <w:jc w:val="both"/>
        <w:rPr>
          <w:rFonts w:ascii="Book Antiqua" w:hAnsi="Book Antiqua"/>
          <w:b/>
          <w:lang w:val="en-GB" w:eastAsia="zh-CN"/>
        </w:rPr>
      </w:pPr>
    </w:p>
    <w:p w14:paraId="3635172E" w14:textId="77777777" w:rsidR="00C91F35" w:rsidRPr="009D03BE" w:rsidRDefault="00436A6B" w:rsidP="00EC24C5">
      <w:pPr>
        <w:snapToGrid w:val="0"/>
        <w:spacing w:line="360" w:lineRule="auto"/>
        <w:jc w:val="both"/>
        <w:rPr>
          <w:rFonts w:ascii="Book Antiqua" w:hAnsi="Book Antiqua"/>
          <w:b/>
          <w:lang w:val="en-GB"/>
        </w:rPr>
      </w:pPr>
      <w:r w:rsidRPr="009D03BE">
        <w:rPr>
          <w:rFonts w:ascii="Book Antiqua" w:hAnsi="Book Antiqua"/>
          <w:b/>
          <w:lang w:val="en-GB"/>
        </w:rPr>
        <w:t>R</w:t>
      </w:r>
      <w:r w:rsidR="00CF6EBE" w:rsidRPr="009D03BE">
        <w:rPr>
          <w:rFonts w:ascii="Book Antiqua" w:hAnsi="Book Antiqua"/>
          <w:b/>
          <w:lang w:val="en-GB"/>
        </w:rPr>
        <w:t>ESULTS</w:t>
      </w:r>
    </w:p>
    <w:p w14:paraId="2DC708B1" w14:textId="77777777" w:rsidR="003F324E" w:rsidRPr="009D03BE" w:rsidRDefault="00BA6E6D" w:rsidP="00EC24C5">
      <w:pPr>
        <w:snapToGrid w:val="0"/>
        <w:spacing w:line="360" w:lineRule="auto"/>
        <w:jc w:val="both"/>
        <w:rPr>
          <w:rFonts w:ascii="Book Antiqua" w:hAnsi="Book Antiqua"/>
          <w:lang w:val="en-GB"/>
        </w:rPr>
      </w:pPr>
      <w:r w:rsidRPr="009D03BE">
        <w:rPr>
          <w:rFonts w:ascii="Book Antiqua" w:hAnsi="Book Antiqua"/>
          <w:lang w:val="en-GB"/>
        </w:rPr>
        <w:t xml:space="preserve">A total of 20 patients were enrolled. </w:t>
      </w:r>
      <w:r w:rsidR="0037611A" w:rsidRPr="009D03BE">
        <w:rPr>
          <w:rFonts w:ascii="Book Antiqua" w:hAnsi="Book Antiqua"/>
          <w:lang w:val="en-GB"/>
        </w:rPr>
        <w:t>The mea</w:t>
      </w:r>
      <w:r w:rsidR="003F324E" w:rsidRPr="009D03BE">
        <w:rPr>
          <w:rFonts w:ascii="Book Antiqua" w:hAnsi="Book Antiqua"/>
          <w:lang w:val="en-GB"/>
        </w:rPr>
        <w:t>n age of the study population at t</w:t>
      </w:r>
      <w:r w:rsidR="00C24803" w:rsidRPr="009D03BE">
        <w:rPr>
          <w:rFonts w:ascii="Book Antiqua" w:hAnsi="Book Antiqua"/>
          <w:lang w:val="en-GB"/>
        </w:rPr>
        <w:t>he time of NS diagnosis was 4.2</w:t>
      </w:r>
      <w:r w:rsidR="005034EC" w:rsidRPr="009D03BE">
        <w:rPr>
          <w:rFonts w:ascii="Book Antiqua" w:hAnsi="Book Antiqua"/>
          <w:lang w:val="en-GB"/>
        </w:rPr>
        <w:t xml:space="preserve"> ± </w:t>
      </w:r>
      <w:r w:rsidR="00135248" w:rsidRPr="009D03BE">
        <w:rPr>
          <w:rFonts w:ascii="Book Antiqua" w:hAnsi="Book Antiqua"/>
          <w:lang w:val="en-GB"/>
        </w:rPr>
        <w:t>3.3 years (range 1.6-11.5</w:t>
      </w:r>
      <w:r w:rsidR="00393D12" w:rsidRPr="009D03BE">
        <w:rPr>
          <w:rFonts w:ascii="Book Antiqua" w:hAnsi="Book Antiqua"/>
          <w:lang w:val="en-GB"/>
        </w:rPr>
        <w:t xml:space="preserve"> years).</w:t>
      </w:r>
      <w:r w:rsidR="006B2F43" w:rsidRPr="009D03BE">
        <w:rPr>
          <w:rFonts w:ascii="Book Antiqua" w:hAnsi="Book Antiqua"/>
          <w:lang w:val="en-GB"/>
        </w:rPr>
        <w:t xml:space="preserve"> All patients developed complicated, frequently relapsing</w:t>
      </w:r>
      <w:r w:rsidR="00DD1B35" w:rsidRPr="009D03BE">
        <w:rPr>
          <w:rFonts w:ascii="Book Antiqua" w:hAnsi="Book Antiqua"/>
          <w:lang w:val="en-GB"/>
        </w:rPr>
        <w:t>,</w:t>
      </w:r>
      <w:r w:rsidR="006B2F43" w:rsidRPr="009D03BE">
        <w:rPr>
          <w:rFonts w:ascii="Book Antiqua" w:hAnsi="Book Antiqua"/>
          <w:lang w:val="en-GB"/>
        </w:rPr>
        <w:t xml:space="preserve"> and steroid- and cyclosporine-dependent </w:t>
      </w:r>
      <w:r w:rsidR="00CD3E49" w:rsidRPr="009D03BE">
        <w:rPr>
          <w:rFonts w:ascii="Book Antiqua" w:hAnsi="Book Antiqua"/>
          <w:lang w:val="en-GB"/>
        </w:rPr>
        <w:t>NS</w:t>
      </w:r>
      <w:r w:rsidR="006B2F43" w:rsidRPr="009D03BE">
        <w:rPr>
          <w:rFonts w:ascii="Book Antiqua" w:hAnsi="Book Antiqua"/>
          <w:lang w:val="en-GB"/>
        </w:rPr>
        <w:t xml:space="preserve"> and were treated with the “starting doses” of RTX</w:t>
      </w:r>
      <w:r w:rsidR="0037611A" w:rsidRPr="009D03BE">
        <w:rPr>
          <w:rFonts w:ascii="Book Antiqua" w:hAnsi="Book Antiqua"/>
          <w:lang w:val="en-GB"/>
        </w:rPr>
        <w:t xml:space="preserve"> at mean age of </w:t>
      </w:r>
      <w:r w:rsidR="00E375B3" w:rsidRPr="009D03BE">
        <w:rPr>
          <w:rFonts w:ascii="Book Antiqua" w:hAnsi="Book Antiqua"/>
          <w:lang w:val="en-GB"/>
        </w:rPr>
        <w:t>10.9</w:t>
      </w:r>
      <w:r w:rsidR="005034EC" w:rsidRPr="009D03BE">
        <w:rPr>
          <w:rFonts w:ascii="Book Antiqua" w:hAnsi="Book Antiqua"/>
          <w:lang w:val="en-GB"/>
        </w:rPr>
        <w:t xml:space="preserve"> ± </w:t>
      </w:r>
      <w:r w:rsidR="00E375B3" w:rsidRPr="009D03BE">
        <w:rPr>
          <w:rFonts w:ascii="Book Antiqua" w:hAnsi="Book Antiqua"/>
          <w:lang w:val="en-GB"/>
        </w:rPr>
        <w:t>3.5</w:t>
      </w:r>
      <w:r w:rsidR="0037611A" w:rsidRPr="009D03BE">
        <w:rPr>
          <w:rFonts w:ascii="Book Antiqua" w:hAnsi="Book Antiqua"/>
          <w:lang w:val="en-GB"/>
        </w:rPr>
        <w:t xml:space="preserve"> years</w:t>
      </w:r>
      <w:r w:rsidR="006B2F43" w:rsidRPr="009D03BE">
        <w:rPr>
          <w:rFonts w:ascii="Book Antiqua" w:hAnsi="Book Antiqua"/>
          <w:lang w:val="en-GB"/>
        </w:rPr>
        <w:t xml:space="preserve">. RTX doses were repeated in </w:t>
      </w:r>
      <w:r w:rsidR="0037611A" w:rsidRPr="009D03BE">
        <w:rPr>
          <w:rFonts w:ascii="Book Antiqua" w:hAnsi="Book Antiqua"/>
          <w:lang w:val="en-GB"/>
        </w:rPr>
        <w:t>11 patients because of NS relapse</w:t>
      </w:r>
      <w:r w:rsidR="00C2161A" w:rsidRPr="009D03BE">
        <w:rPr>
          <w:rFonts w:ascii="Book Antiqua" w:hAnsi="Book Antiqua"/>
          <w:lang w:val="en-GB"/>
        </w:rPr>
        <w:t>s</w:t>
      </w:r>
      <w:r w:rsidR="0037611A" w:rsidRPr="009D03BE">
        <w:rPr>
          <w:rFonts w:ascii="Book Antiqua" w:hAnsi="Book Antiqua"/>
          <w:lang w:val="en-GB"/>
        </w:rPr>
        <w:t>.</w:t>
      </w:r>
      <w:r w:rsidR="0028157F" w:rsidRPr="009D03BE">
        <w:rPr>
          <w:rFonts w:ascii="Book Antiqua" w:hAnsi="Book Antiqua"/>
          <w:lang w:val="en-GB"/>
        </w:rPr>
        <w:t xml:space="preserve"> Therefore</w:t>
      </w:r>
      <w:r w:rsidR="00C2161A" w:rsidRPr="009D03BE">
        <w:rPr>
          <w:rFonts w:ascii="Book Antiqua" w:hAnsi="Book Antiqua"/>
          <w:lang w:val="en-GB"/>
        </w:rPr>
        <w:t>,</w:t>
      </w:r>
      <w:r w:rsidR="0028157F" w:rsidRPr="009D03BE">
        <w:rPr>
          <w:rFonts w:ascii="Book Antiqua" w:hAnsi="Book Antiqua"/>
          <w:lang w:val="en-GB"/>
        </w:rPr>
        <w:t xml:space="preserve"> a total of 7</w:t>
      </w:r>
      <w:r w:rsidR="00C2161A" w:rsidRPr="009D03BE">
        <w:rPr>
          <w:rFonts w:ascii="Book Antiqua" w:hAnsi="Book Antiqua"/>
          <w:lang w:val="en-GB"/>
        </w:rPr>
        <w:t>9</w:t>
      </w:r>
      <w:r w:rsidR="0028157F" w:rsidRPr="009D03BE">
        <w:rPr>
          <w:rFonts w:ascii="Book Antiqua" w:hAnsi="Book Antiqua"/>
          <w:lang w:val="en-GB"/>
        </w:rPr>
        <w:t xml:space="preserve"> doses of RTX were administered in the study period: </w:t>
      </w:r>
      <w:r w:rsidR="00645732" w:rsidRPr="009D03BE">
        <w:rPr>
          <w:rFonts w:ascii="Book Antiqua" w:hAnsi="Book Antiqua"/>
          <w:lang w:val="en-GB"/>
        </w:rPr>
        <w:t>o</w:t>
      </w:r>
      <w:r w:rsidR="000E61B3" w:rsidRPr="009D03BE">
        <w:rPr>
          <w:rFonts w:ascii="Book Antiqua" w:hAnsi="Book Antiqua"/>
          <w:lang w:val="en-GB"/>
        </w:rPr>
        <w:t xml:space="preserve">nly </w:t>
      </w:r>
      <w:r w:rsidR="0028157F" w:rsidRPr="009D03BE">
        <w:rPr>
          <w:rFonts w:ascii="Book Antiqua" w:hAnsi="Book Antiqua"/>
          <w:lang w:val="en-GB"/>
        </w:rPr>
        <w:t xml:space="preserve">the </w:t>
      </w:r>
      <w:r w:rsidR="00DD1B35" w:rsidRPr="009D03BE">
        <w:rPr>
          <w:rFonts w:ascii="Book Antiqua" w:hAnsi="Book Antiqua"/>
          <w:lang w:val="en-GB"/>
        </w:rPr>
        <w:t xml:space="preserve">two </w:t>
      </w:r>
      <w:r w:rsidR="0028157F" w:rsidRPr="009D03BE">
        <w:rPr>
          <w:rFonts w:ascii="Book Antiqua" w:hAnsi="Book Antiqua"/>
          <w:lang w:val="en-GB"/>
        </w:rPr>
        <w:t xml:space="preserve">“starting doses” in </w:t>
      </w:r>
      <w:r w:rsidR="00DD1B35" w:rsidRPr="009D03BE">
        <w:rPr>
          <w:rFonts w:ascii="Book Antiqua" w:hAnsi="Book Antiqua"/>
          <w:lang w:val="en-GB"/>
        </w:rPr>
        <w:t>eight</w:t>
      </w:r>
      <w:r w:rsidR="0028157F" w:rsidRPr="009D03BE">
        <w:rPr>
          <w:rFonts w:ascii="Book Antiqua" w:hAnsi="Book Antiqua"/>
          <w:lang w:val="en-GB"/>
        </w:rPr>
        <w:t xml:space="preserve"> patients, </w:t>
      </w:r>
      <w:r w:rsidR="00DD1B35" w:rsidRPr="009D03BE">
        <w:rPr>
          <w:rFonts w:ascii="Book Antiqua" w:hAnsi="Book Antiqua"/>
          <w:lang w:val="en-GB"/>
        </w:rPr>
        <w:t>three</w:t>
      </w:r>
      <w:r w:rsidR="0028157F" w:rsidRPr="009D03BE">
        <w:rPr>
          <w:rFonts w:ascii="Book Antiqua" w:hAnsi="Book Antiqua"/>
          <w:lang w:val="en-GB"/>
        </w:rPr>
        <w:t xml:space="preserve"> doses in </w:t>
      </w:r>
      <w:r w:rsidR="00EE1B17" w:rsidRPr="009D03BE">
        <w:rPr>
          <w:rFonts w:ascii="Book Antiqua" w:hAnsi="Book Antiqua"/>
          <w:lang w:val="en-GB"/>
        </w:rPr>
        <w:t>2</w:t>
      </w:r>
      <w:r w:rsidR="0028157F" w:rsidRPr="009D03BE">
        <w:rPr>
          <w:rFonts w:ascii="Book Antiqua" w:hAnsi="Book Antiqua"/>
          <w:lang w:val="en-GB"/>
        </w:rPr>
        <w:t xml:space="preserve"> patient</w:t>
      </w:r>
      <w:r w:rsidR="00EE1B17" w:rsidRPr="009D03BE">
        <w:rPr>
          <w:rFonts w:ascii="Book Antiqua" w:hAnsi="Book Antiqua"/>
          <w:lang w:val="en-GB"/>
        </w:rPr>
        <w:t>s</w:t>
      </w:r>
      <w:r w:rsidR="00CD3E49" w:rsidRPr="009D03BE">
        <w:rPr>
          <w:rFonts w:ascii="Book Antiqua" w:hAnsi="Book Antiqua"/>
          <w:lang w:val="en-GB"/>
        </w:rPr>
        <w:t xml:space="preserve">, </w:t>
      </w:r>
      <w:r w:rsidR="00DD1B35" w:rsidRPr="009D03BE">
        <w:rPr>
          <w:rFonts w:ascii="Book Antiqua" w:hAnsi="Book Antiqua"/>
          <w:lang w:val="en-GB"/>
        </w:rPr>
        <w:t>four</w:t>
      </w:r>
      <w:r w:rsidR="00CD3E49" w:rsidRPr="009D03BE">
        <w:rPr>
          <w:rFonts w:ascii="Book Antiqua" w:hAnsi="Book Antiqua"/>
          <w:lang w:val="en-GB"/>
        </w:rPr>
        <w:t xml:space="preserve"> doses in </w:t>
      </w:r>
      <w:r w:rsidR="00DD1B35" w:rsidRPr="009D03BE">
        <w:rPr>
          <w:rFonts w:ascii="Book Antiqua" w:hAnsi="Book Antiqua"/>
          <w:lang w:val="en-GB"/>
        </w:rPr>
        <w:t>five</w:t>
      </w:r>
      <w:r w:rsidR="00A02ABD" w:rsidRPr="009D03BE">
        <w:rPr>
          <w:rFonts w:ascii="Book Antiqua" w:hAnsi="Book Antiqua"/>
          <w:lang w:val="en-GB"/>
        </w:rPr>
        <w:t xml:space="preserve"> patients</w:t>
      </w:r>
      <w:r w:rsidR="00CD3E49" w:rsidRPr="009D03BE">
        <w:rPr>
          <w:rFonts w:ascii="Book Antiqua" w:hAnsi="Book Antiqua"/>
          <w:lang w:val="en-GB"/>
        </w:rPr>
        <w:t xml:space="preserve">, </w:t>
      </w:r>
      <w:r w:rsidR="00DD1B35" w:rsidRPr="009D03BE">
        <w:rPr>
          <w:rFonts w:ascii="Book Antiqua" w:hAnsi="Book Antiqua"/>
          <w:lang w:val="en-GB"/>
        </w:rPr>
        <w:t xml:space="preserve">five </w:t>
      </w:r>
      <w:r w:rsidR="00CD3E49" w:rsidRPr="009D03BE">
        <w:rPr>
          <w:rFonts w:ascii="Book Antiqua" w:hAnsi="Book Antiqua"/>
          <w:lang w:val="en-GB"/>
        </w:rPr>
        <w:t xml:space="preserve">doses in </w:t>
      </w:r>
      <w:r w:rsidR="00A70892" w:rsidRPr="009D03BE">
        <w:rPr>
          <w:rFonts w:ascii="Book Antiqua" w:hAnsi="Book Antiqua"/>
          <w:lang w:val="en-GB"/>
        </w:rPr>
        <w:t>1</w:t>
      </w:r>
      <w:r w:rsidR="00A02ABD" w:rsidRPr="009D03BE">
        <w:rPr>
          <w:rFonts w:ascii="Book Antiqua" w:hAnsi="Book Antiqua"/>
          <w:lang w:val="en-GB"/>
        </w:rPr>
        <w:t xml:space="preserve"> patient</w:t>
      </w:r>
      <w:r w:rsidR="00CD3E49" w:rsidRPr="009D03BE">
        <w:rPr>
          <w:rFonts w:ascii="Book Antiqua" w:hAnsi="Book Antiqua"/>
          <w:lang w:val="en-GB"/>
        </w:rPr>
        <w:t xml:space="preserve">, </w:t>
      </w:r>
      <w:r w:rsidR="00DD1B35" w:rsidRPr="009D03BE">
        <w:rPr>
          <w:rFonts w:ascii="Book Antiqua" w:hAnsi="Book Antiqua"/>
          <w:lang w:val="en-GB"/>
        </w:rPr>
        <w:t>seven</w:t>
      </w:r>
      <w:r w:rsidR="00CD3E49" w:rsidRPr="009D03BE">
        <w:rPr>
          <w:rFonts w:ascii="Book Antiqua" w:hAnsi="Book Antiqua"/>
          <w:lang w:val="en-GB"/>
        </w:rPr>
        <w:t xml:space="preserve"> doses in </w:t>
      </w:r>
      <w:r w:rsidR="00A70892" w:rsidRPr="009D03BE">
        <w:rPr>
          <w:rFonts w:ascii="Book Antiqua" w:hAnsi="Book Antiqua"/>
          <w:lang w:val="en-GB"/>
        </w:rPr>
        <w:t>1</w:t>
      </w:r>
      <w:r w:rsidR="00A02ABD" w:rsidRPr="009D03BE">
        <w:rPr>
          <w:rFonts w:ascii="Book Antiqua" w:hAnsi="Book Antiqua"/>
          <w:lang w:val="en-GB"/>
        </w:rPr>
        <w:t xml:space="preserve"> patient</w:t>
      </w:r>
      <w:r w:rsidR="00CD3E49" w:rsidRPr="009D03BE">
        <w:rPr>
          <w:rFonts w:ascii="Book Antiqua" w:hAnsi="Book Antiqua"/>
          <w:lang w:val="en-GB"/>
        </w:rPr>
        <w:t xml:space="preserve">, </w:t>
      </w:r>
      <w:r w:rsidR="00DD1B35" w:rsidRPr="009D03BE">
        <w:rPr>
          <w:rFonts w:ascii="Book Antiqua" w:hAnsi="Book Antiqua"/>
          <w:lang w:val="en-GB"/>
        </w:rPr>
        <w:t>eight</w:t>
      </w:r>
      <w:r w:rsidR="00CD3E49" w:rsidRPr="009D03BE">
        <w:rPr>
          <w:rFonts w:ascii="Book Antiqua" w:hAnsi="Book Antiqua"/>
          <w:lang w:val="en-GB"/>
        </w:rPr>
        <w:t xml:space="preserve"> doses in </w:t>
      </w:r>
      <w:r w:rsidR="00A70892" w:rsidRPr="009D03BE">
        <w:rPr>
          <w:rFonts w:ascii="Book Antiqua" w:hAnsi="Book Antiqua"/>
          <w:lang w:val="en-GB"/>
        </w:rPr>
        <w:t>2</w:t>
      </w:r>
      <w:r w:rsidR="00A02ABD" w:rsidRPr="009D03BE">
        <w:rPr>
          <w:rFonts w:ascii="Book Antiqua" w:hAnsi="Book Antiqua"/>
          <w:lang w:val="en-GB"/>
        </w:rPr>
        <w:t xml:space="preserve"> patients</w:t>
      </w:r>
      <w:r w:rsidR="0028157F" w:rsidRPr="009D03BE">
        <w:rPr>
          <w:rFonts w:ascii="Book Antiqua" w:hAnsi="Book Antiqua"/>
          <w:lang w:val="en-GB"/>
        </w:rPr>
        <w:t xml:space="preserve">, </w:t>
      </w:r>
      <w:r w:rsidR="00DD1B35" w:rsidRPr="009D03BE">
        <w:rPr>
          <w:rFonts w:ascii="Book Antiqua" w:hAnsi="Book Antiqua"/>
          <w:lang w:val="en-GB"/>
        </w:rPr>
        <w:t>nine</w:t>
      </w:r>
      <w:r w:rsidR="0028157F" w:rsidRPr="009D03BE">
        <w:rPr>
          <w:rFonts w:ascii="Book Antiqua" w:hAnsi="Book Antiqua"/>
          <w:lang w:val="en-GB"/>
        </w:rPr>
        <w:t xml:space="preserve"> doses in </w:t>
      </w:r>
      <w:r w:rsidR="00A70892" w:rsidRPr="009D03BE">
        <w:rPr>
          <w:rFonts w:ascii="Book Antiqua" w:hAnsi="Book Antiqua"/>
          <w:lang w:val="en-GB"/>
        </w:rPr>
        <w:t>1</w:t>
      </w:r>
      <w:r w:rsidR="0028157F" w:rsidRPr="009D03BE">
        <w:rPr>
          <w:rFonts w:ascii="Book Antiqua" w:hAnsi="Book Antiqua"/>
          <w:lang w:val="en-GB"/>
        </w:rPr>
        <w:t xml:space="preserve"> patient. </w:t>
      </w:r>
      <w:r w:rsidR="00120E8B" w:rsidRPr="009D03BE">
        <w:rPr>
          <w:rFonts w:ascii="Book Antiqua" w:hAnsi="Book Antiqua"/>
          <w:lang w:val="en-GB"/>
        </w:rPr>
        <w:t xml:space="preserve">The mean follow-up available after the last RTX infusion was </w:t>
      </w:r>
      <w:r w:rsidR="000F15DC" w:rsidRPr="009D03BE">
        <w:rPr>
          <w:rFonts w:ascii="Book Antiqua" w:hAnsi="Book Antiqua"/>
          <w:lang w:val="en-GB"/>
        </w:rPr>
        <w:t>29.8</w:t>
      </w:r>
      <w:r w:rsidR="005034EC" w:rsidRPr="009D03BE">
        <w:rPr>
          <w:rFonts w:ascii="Book Antiqua" w:hAnsi="Book Antiqua"/>
          <w:lang w:val="en-GB"/>
        </w:rPr>
        <w:t xml:space="preserve"> ± </w:t>
      </w:r>
      <w:r w:rsidR="000F15DC" w:rsidRPr="009D03BE">
        <w:rPr>
          <w:rFonts w:ascii="Book Antiqua" w:hAnsi="Book Antiqua"/>
          <w:lang w:val="en-GB"/>
        </w:rPr>
        <w:t>17.5</w:t>
      </w:r>
      <w:r w:rsidR="00120E8B" w:rsidRPr="009D03BE">
        <w:rPr>
          <w:rFonts w:ascii="Book Antiqua" w:hAnsi="Book Antiqua"/>
          <w:lang w:val="en-GB"/>
        </w:rPr>
        <w:t xml:space="preserve"> mo.</w:t>
      </w:r>
    </w:p>
    <w:p w14:paraId="47A544FE" w14:textId="77777777" w:rsidR="0028499F" w:rsidRPr="009D03BE" w:rsidRDefault="00423427"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IgG hypogammaglobulinemia after RTX therapy was recorded in 11/20 (55%) patients. In 8 out of 11</w:t>
      </w:r>
      <w:r w:rsidR="00CB3CAE" w:rsidRPr="009D03BE">
        <w:rPr>
          <w:rFonts w:ascii="Book Antiqua" w:hAnsi="Book Antiqua"/>
          <w:lang w:val="en-GB"/>
        </w:rPr>
        <w:t xml:space="preserve"> patients</w:t>
      </w:r>
      <w:r w:rsidRPr="009D03BE">
        <w:rPr>
          <w:rFonts w:ascii="Book Antiqua" w:hAnsi="Book Antiqua"/>
          <w:lang w:val="en-GB"/>
        </w:rPr>
        <w:t xml:space="preserve">, </w:t>
      </w:r>
      <w:r w:rsidR="00CB3CAE" w:rsidRPr="009D03BE">
        <w:rPr>
          <w:rFonts w:ascii="Book Antiqua" w:hAnsi="Book Antiqua"/>
          <w:lang w:val="en-GB"/>
        </w:rPr>
        <w:t>IgG hypogammaglobulinemia</w:t>
      </w:r>
      <w:r w:rsidRPr="009D03BE">
        <w:rPr>
          <w:rFonts w:ascii="Book Antiqua" w:hAnsi="Book Antiqua"/>
          <w:lang w:val="en-GB"/>
        </w:rPr>
        <w:t xml:space="preserve"> occurred after the </w:t>
      </w:r>
      <w:r w:rsidR="00CB3CAE" w:rsidRPr="009D03BE">
        <w:rPr>
          <w:rFonts w:ascii="Book Antiqua" w:hAnsi="Book Antiqua"/>
          <w:lang w:val="en-GB"/>
        </w:rPr>
        <w:t xml:space="preserve">RTX </w:t>
      </w:r>
      <w:r w:rsidRPr="009D03BE">
        <w:rPr>
          <w:rFonts w:ascii="Book Antiqua" w:hAnsi="Book Antiqua"/>
          <w:lang w:val="en-GB"/>
        </w:rPr>
        <w:t xml:space="preserve">“starting doses” and in the remaining </w:t>
      </w:r>
      <w:r w:rsidR="00366A4F" w:rsidRPr="009D03BE">
        <w:rPr>
          <w:rFonts w:ascii="Book Antiqua" w:hAnsi="Book Antiqua"/>
          <w:lang w:val="en-GB"/>
        </w:rPr>
        <w:t>three</w:t>
      </w:r>
      <w:r w:rsidR="00A668F4" w:rsidRPr="009D03BE">
        <w:rPr>
          <w:rFonts w:ascii="Book Antiqua" w:hAnsi="Book Antiqua"/>
          <w:lang w:val="en-GB"/>
        </w:rPr>
        <w:t xml:space="preserve"> </w:t>
      </w:r>
      <w:r w:rsidR="00871F35" w:rsidRPr="009D03BE">
        <w:rPr>
          <w:rFonts w:ascii="Book Antiqua" w:hAnsi="Book Antiqua"/>
          <w:lang w:val="en-GB"/>
        </w:rPr>
        <w:t xml:space="preserve">patients after the </w:t>
      </w:r>
      <w:r w:rsidR="006A1AF7" w:rsidRPr="009D03BE">
        <w:rPr>
          <w:rFonts w:ascii="Book Antiqua" w:hAnsi="Book Antiqua"/>
          <w:lang w:val="en-GB"/>
        </w:rPr>
        <w:t>subsequent</w:t>
      </w:r>
      <w:r w:rsidR="00A668F4" w:rsidRPr="009D03BE">
        <w:rPr>
          <w:rFonts w:ascii="Book Antiqua" w:hAnsi="Book Antiqua"/>
          <w:lang w:val="en-GB"/>
        </w:rPr>
        <w:t xml:space="preserve"> doses (Fig</w:t>
      </w:r>
      <w:r w:rsidR="000E61B3" w:rsidRPr="009D03BE">
        <w:rPr>
          <w:rFonts w:ascii="Book Antiqua" w:hAnsi="Book Antiqua"/>
          <w:lang w:val="en-GB" w:eastAsia="zh-CN"/>
        </w:rPr>
        <w:t>ure</w:t>
      </w:r>
      <w:r w:rsidRPr="009D03BE">
        <w:rPr>
          <w:rFonts w:ascii="Book Antiqua" w:hAnsi="Book Antiqua"/>
          <w:lang w:val="en-GB"/>
        </w:rPr>
        <w:t xml:space="preserve"> 1A). Only 3 out of the 11 patients experienced subsequent normalization of IgG levels.</w:t>
      </w:r>
      <w:r w:rsidR="005034EC" w:rsidRPr="009D03BE">
        <w:rPr>
          <w:rFonts w:ascii="Book Antiqua" w:hAnsi="Book Antiqua"/>
          <w:lang w:val="en-GB"/>
        </w:rPr>
        <w:t xml:space="preserve"> </w:t>
      </w:r>
      <w:r w:rsidR="003F6EA8" w:rsidRPr="009D03BE">
        <w:rPr>
          <w:rFonts w:ascii="Book Antiqua" w:hAnsi="Book Antiqua"/>
          <w:lang w:val="en-GB"/>
        </w:rPr>
        <w:t xml:space="preserve">These 3 patients underwent only the </w:t>
      </w:r>
      <w:r w:rsidR="00366A4F" w:rsidRPr="009D03BE">
        <w:rPr>
          <w:rFonts w:ascii="Book Antiqua" w:hAnsi="Book Antiqua"/>
          <w:lang w:val="en-GB"/>
        </w:rPr>
        <w:t>two</w:t>
      </w:r>
      <w:r w:rsidR="003F6EA8" w:rsidRPr="009D03BE">
        <w:rPr>
          <w:rFonts w:ascii="Book Antiqua" w:hAnsi="Book Antiqua"/>
          <w:lang w:val="en-GB"/>
        </w:rPr>
        <w:t xml:space="preserve"> </w:t>
      </w:r>
      <w:r w:rsidR="00A21244" w:rsidRPr="009D03BE">
        <w:rPr>
          <w:rFonts w:ascii="Book Antiqua" w:hAnsi="Book Antiqua"/>
          <w:lang w:val="en-GB"/>
        </w:rPr>
        <w:t>“</w:t>
      </w:r>
      <w:r w:rsidR="003F6EA8" w:rsidRPr="009D03BE">
        <w:rPr>
          <w:rFonts w:ascii="Book Antiqua" w:hAnsi="Book Antiqua"/>
          <w:lang w:val="en-GB"/>
        </w:rPr>
        <w:t>starting doses</w:t>
      </w:r>
      <w:r w:rsidR="00A21244" w:rsidRPr="009D03BE">
        <w:rPr>
          <w:rFonts w:ascii="Book Antiqua" w:hAnsi="Book Antiqua"/>
          <w:lang w:val="en-GB"/>
        </w:rPr>
        <w:t>”</w:t>
      </w:r>
      <w:r w:rsidR="003F6EA8" w:rsidRPr="009D03BE">
        <w:rPr>
          <w:rFonts w:ascii="Book Antiqua" w:hAnsi="Book Antiqua"/>
          <w:lang w:val="en-GB"/>
        </w:rPr>
        <w:t xml:space="preserve"> of RTX and did not receive further RTX infusions.</w:t>
      </w:r>
      <w:r w:rsidRPr="009D03BE">
        <w:rPr>
          <w:rFonts w:ascii="Book Antiqua" w:hAnsi="Book Antiqua"/>
          <w:lang w:val="en-GB"/>
        </w:rPr>
        <w:t xml:space="preserve"> </w:t>
      </w:r>
      <w:r w:rsidR="00881C91" w:rsidRPr="009D03BE">
        <w:rPr>
          <w:rFonts w:ascii="Book Antiqua" w:hAnsi="Book Antiqua"/>
          <w:bCs/>
          <w:lang w:val="en-GB"/>
        </w:rPr>
        <w:lastRenderedPageBreak/>
        <w:t xml:space="preserve">None of the patients </w:t>
      </w:r>
      <w:r w:rsidR="006A1AF7" w:rsidRPr="009D03BE">
        <w:rPr>
          <w:rFonts w:ascii="Book Antiqua" w:hAnsi="Book Antiqua"/>
          <w:bCs/>
          <w:lang w:val="en-GB"/>
        </w:rPr>
        <w:t>who developed</w:t>
      </w:r>
      <w:r w:rsidR="00881C91" w:rsidRPr="009D03BE">
        <w:rPr>
          <w:rFonts w:ascii="Book Antiqua" w:hAnsi="Book Antiqua"/>
          <w:bCs/>
          <w:lang w:val="en-GB"/>
        </w:rPr>
        <w:t xml:space="preserve"> IgG hypogammaglobulinemia showed severe infections. Only one patient (Fig</w:t>
      </w:r>
      <w:r w:rsidR="000E61B3" w:rsidRPr="009D03BE">
        <w:rPr>
          <w:rFonts w:ascii="Book Antiqua" w:hAnsi="Book Antiqua"/>
          <w:bCs/>
          <w:lang w:val="en-GB" w:eastAsia="zh-CN"/>
        </w:rPr>
        <w:t>ure</w:t>
      </w:r>
      <w:r w:rsidR="00881C91" w:rsidRPr="009D03BE">
        <w:rPr>
          <w:rFonts w:ascii="Book Antiqua" w:hAnsi="Book Antiqua"/>
          <w:bCs/>
          <w:lang w:val="en-GB"/>
        </w:rPr>
        <w:t xml:space="preserve"> 1A) suffered from recurrent acute otitis media and underwent substitutive IgG infusion after immunological consultation</w:t>
      </w:r>
      <w:r w:rsidR="00624178" w:rsidRPr="009D03BE">
        <w:rPr>
          <w:rFonts w:ascii="Book Antiqua" w:hAnsi="Book Antiqua"/>
          <w:lang w:val="en-GB"/>
        </w:rPr>
        <w:t xml:space="preserve">. </w:t>
      </w:r>
      <w:r w:rsidR="006A1AF7" w:rsidRPr="009D03BE">
        <w:rPr>
          <w:rFonts w:ascii="Book Antiqua" w:hAnsi="Book Antiqua"/>
          <w:lang w:val="en-GB"/>
        </w:rPr>
        <w:t>T</w:t>
      </w:r>
      <w:r w:rsidR="004627DD" w:rsidRPr="009D03BE">
        <w:rPr>
          <w:rFonts w:ascii="Book Antiqua" w:hAnsi="Book Antiqua"/>
          <w:lang w:val="en-GB"/>
        </w:rPr>
        <w:t xml:space="preserve">he first </w:t>
      </w:r>
      <w:r w:rsidR="00C121B4" w:rsidRPr="009D03BE">
        <w:rPr>
          <w:rFonts w:ascii="Book Antiqua" w:hAnsi="Book Antiqua"/>
          <w:lang w:val="en-GB"/>
        </w:rPr>
        <w:t>episode of NS</w:t>
      </w:r>
      <w:r w:rsidR="006A1AF7" w:rsidRPr="009D03BE">
        <w:rPr>
          <w:rFonts w:ascii="Book Antiqua" w:hAnsi="Book Antiqua"/>
          <w:lang w:val="en-GB"/>
        </w:rPr>
        <w:t xml:space="preserve"> in this patient was</w:t>
      </w:r>
      <w:r w:rsidR="00C121B4" w:rsidRPr="009D03BE">
        <w:rPr>
          <w:rFonts w:ascii="Book Antiqua" w:hAnsi="Book Antiqua"/>
          <w:lang w:val="en-GB"/>
        </w:rPr>
        <w:t xml:space="preserve"> at the age of 1.6 years. </w:t>
      </w:r>
      <w:r w:rsidR="008A587B" w:rsidRPr="009D03BE">
        <w:rPr>
          <w:rFonts w:ascii="Book Antiqua" w:hAnsi="Book Antiqua"/>
          <w:lang w:val="en-GB"/>
        </w:rPr>
        <w:t>Before the RTX infusion, h</w:t>
      </w:r>
      <w:r w:rsidR="00C121B4" w:rsidRPr="009D03BE">
        <w:rPr>
          <w:rFonts w:ascii="Book Antiqua" w:hAnsi="Book Antiqua"/>
          <w:lang w:val="en-GB"/>
        </w:rPr>
        <w:t>e showed 16 NS relapses despite</w:t>
      </w:r>
      <w:r w:rsidR="000349B2" w:rsidRPr="009D03BE">
        <w:rPr>
          <w:rFonts w:ascii="Book Antiqua" w:hAnsi="Book Antiqua"/>
          <w:lang w:val="en-GB"/>
        </w:rPr>
        <w:t xml:space="preserve"> corticosteroids, cyclophosphamide, tacrolimus</w:t>
      </w:r>
      <w:r w:rsidR="006A1AF7" w:rsidRPr="009D03BE">
        <w:rPr>
          <w:rFonts w:ascii="Book Antiqua" w:hAnsi="Book Antiqua"/>
          <w:lang w:val="en-GB"/>
        </w:rPr>
        <w:t>,</w:t>
      </w:r>
      <w:r w:rsidR="000349B2" w:rsidRPr="009D03BE">
        <w:rPr>
          <w:rFonts w:ascii="Book Antiqua" w:hAnsi="Book Antiqua"/>
          <w:lang w:val="en-GB"/>
        </w:rPr>
        <w:t xml:space="preserve"> and mycophenolate treatments. This patient underwent </w:t>
      </w:r>
      <w:r w:rsidR="006A1AF7" w:rsidRPr="009D03BE">
        <w:rPr>
          <w:rFonts w:ascii="Book Antiqua" w:hAnsi="Book Antiqua"/>
          <w:lang w:val="en-GB"/>
        </w:rPr>
        <w:t xml:space="preserve">his </w:t>
      </w:r>
      <w:r w:rsidR="000349B2" w:rsidRPr="009D03BE">
        <w:rPr>
          <w:rFonts w:ascii="Book Antiqua" w:hAnsi="Book Antiqua"/>
          <w:lang w:val="en-GB"/>
        </w:rPr>
        <w:t>first RTX doses at 6.8 years of age and</w:t>
      </w:r>
      <w:r w:rsidR="00824098" w:rsidRPr="009D03BE">
        <w:rPr>
          <w:rFonts w:ascii="Book Antiqua" w:hAnsi="Book Antiqua"/>
          <w:lang w:val="en-GB"/>
        </w:rPr>
        <w:t xml:space="preserve"> showed persisting IgG hypogammaglobulinemia after the fifth dose of RTX. After the eighth RTX dose</w:t>
      </w:r>
      <w:r w:rsidR="006A1AF7" w:rsidRPr="009D03BE">
        <w:rPr>
          <w:rFonts w:ascii="Book Antiqua" w:hAnsi="Book Antiqua"/>
          <w:lang w:val="en-GB"/>
        </w:rPr>
        <w:t>,</w:t>
      </w:r>
      <w:r w:rsidR="00824098" w:rsidRPr="009D03BE">
        <w:rPr>
          <w:rFonts w:ascii="Book Antiqua" w:hAnsi="Book Antiqua"/>
          <w:lang w:val="en-GB"/>
        </w:rPr>
        <w:t xml:space="preserve"> he </w:t>
      </w:r>
      <w:r w:rsidR="006A1AF7" w:rsidRPr="009D03BE">
        <w:rPr>
          <w:rFonts w:ascii="Book Antiqua" w:hAnsi="Book Antiqua"/>
          <w:lang w:val="en-GB"/>
        </w:rPr>
        <w:t>had six</w:t>
      </w:r>
      <w:r w:rsidR="00824098" w:rsidRPr="009D03BE">
        <w:rPr>
          <w:rFonts w:ascii="Book Antiqua" w:hAnsi="Book Antiqua"/>
          <w:lang w:val="en-GB"/>
        </w:rPr>
        <w:t xml:space="preserve"> episodes of acute </w:t>
      </w:r>
      <w:r w:rsidR="004B04D1" w:rsidRPr="009D03BE">
        <w:rPr>
          <w:rFonts w:ascii="Book Antiqua" w:hAnsi="Book Antiqua"/>
          <w:lang w:val="en-GB"/>
        </w:rPr>
        <w:t xml:space="preserve">otitis </w:t>
      </w:r>
      <w:r w:rsidR="00824098" w:rsidRPr="009D03BE">
        <w:rPr>
          <w:rFonts w:ascii="Book Antiqua" w:hAnsi="Book Antiqua"/>
          <w:lang w:val="en-GB"/>
        </w:rPr>
        <w:t xml:space="preserve">media </w:t>
      </w:r>
      <w:r w:rsidR="00B37013" w:rsidRPr="009D03BE">
        <w:rPr>
          <w:rFonts w:ascii="Book Antiqua" w:hAnsi="Book Antiqua"/>
          <w:lang w:val="en-GB"/>
        </w:rPr>
        <w:t>in 8 mo. Therefore,</w:t>
      </w:r>
      <w:r w:rsidR="00824098" w:rsidRPr="009D03BE">
        <w:rPr>
          <w:rFonts w:ascii="Book Antiqua" w:hAnsi="Book Antiqua"/>
          <w:lang w:val="en-GB"/>
        </w:rPr>
        <w:t xml:space="preserve"> substitutive IgG infusion </w:t>
      </w:r>
      <w:r w:rsidR="0064329E" w:rsidRPr="009D03BE">
        <w:rPr>
          <w:rFonts w:ascii="Book Antiqua" w:hAnsi="Book Antiqua"/>
          <w:lang w:val="en-GB"/>
        </w:rPr>
        <w:t>was start</w:t>
      </w:r>
      <w:r w:rsidR="00EE3832" w:rsidRPr="009D03BE">
        <w:rPr>
          <w:rFonts w:ascii="Book Antiqua" w:hAnsi="Book Antiqua"/>
          <w:lang w:val="en-GB"/>
        </w:rPr>
        <w:t>ed. He has undergo</w:t>
      </w:r>
      <w:r w:rsidR="006A1AF7" w:rsidRPr="009D03BE">
        <w:rPr>
          <w:rFonts w:ascii="Book Antiqua" w:hAnsi="Book Antiqua"/>
          <w:lang w:val="en-GB"/>
        </w:rPr>
        <w:t>ne</w:t>
      </w:r>
      <w:r w:rsidR="0064329E" w:rsidRPr="009D03BE">
        <w:rPr>
          <w:rFonts w:ascii="Book Antiqua" w:hAnsi="Book Antiqua"/>
          <w:lang w:val="en-GB"/>
        </w:rPr>
        <w:t xml:space="preserve"> s</w:t>
      </w:r>
      <w:r w:rsidR="00C038C5" w:rsidRPr="009D03BE">
        <w:rPr>
          <w:rFonts w:ascii="Book Antiqua" w:hAnsi="Book Antiqua"/>
          <w:lang w:val="en-GB"/>
        </w:rPr>
        <w:t xml:space="preserve">ubstitutive IgG infusions for 18 </w:t>
      </w:r>
      <w:proofErr w:type="spellStart"/>
      <w:r w:rsidR="00C038C5" w:rsidRPr="009D03BE">
        <w:rPr>
          <w:rFonts w:ascii="Book Antiqua" w:hAnsi="Book Antiqua"/>
          <w:lang w:val="en-GB"/>
        </w:rPr>
        <w:t>mo</w:t>
      </w:r>
      <w:proofErr w:type="spellEnd"/>
      <w:r w:rsidR="006A1AF7" w:rsidRPr="009D03BE">
        <w:rPr>
          <w:rFonts w:ascii="Book Antiqua" w:hAnsi="Book Antiqua"/>
          <w:lang w:val="en-GB"/>
        </w:rPr>
        <w:t>,</w:t>
      </w:r>
      <w:r w:rsidR="00C038C5" w:rsidRPr="009D03BE">
        <w:rPr>
          <w:rFonts w:ascii="Book Antiqua" w:hAnsi="Book Antiqua"/>
          <w:lang w:val="en-GB"/>
        </w:rPr>
        <w:t xml:space="preserve"> and he has not shown other acute otitis </w:t>
      </w:r>
      <w:r w:rsidR="004B04D1" w:rsidRPr="009D03BE">
        <w:rPr>
          <w:rFonts w:ascii="Book Antiqua" w:hAnsi="Book Antiqua"/>
          <w:lang w:val="en-GB"/>
        </w:rPr>
        <w:t xml:space="preserve">media </w:t>
      </w:r>
      <w:r w:rsidR="00C038C5" w:rsidRPr="009D03BE">
        <w:rPr>
          <w:rFonts w:ascii="Book Antiqua" w:hAnsi="Book Antiqua"/>
          <w:lang w:val="en-GB"/>
        </w:rPr>
        <w:t>episodes.</w:t>
      </w:r>
      <w:r w:rsidR="0064329E" w:rsidRPr="009D03BE">
        <w:rPr>
          <w:rFonts w:ascii="Book Antiqua" w:hAnsi="Book Antiqua"/>
          <w:lang w:val="en-GB"/>
        </w:rPr>
        <w:t xml:space="preserve"> </w:t>
      </w:r>
    </w:p>
    <w:p w14:paraId="2A54A42F" w14:textId="77777777" w:rsidR="00436A6B" w:rsidRPr="009D03BE" w:rsidRDefault="00624178"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 xml:space="preserve">CD19-positive cell depletion was found in all the patients </w:t>
      </w:r>
      <w:r w:rsidR="00CF5672" w:rsidRPr="009D03BE">
        <w:rPr>
          <w:rFonts w:ascii="Book Antiqua" w:hAnsi="Book Antiqua"/>
          <w:lang w:val="en-GB"/>
        </w:rPr>
        <w:t>with a</w:t>
      </w:r>
      <w:r w:rsidR="00B03464" w:rsidRPr="009D03BE">
        <w:rPr>
          <w:rFonts w:ascii="Book Antiqua" w:hAnsi="Book Antiqua"/>
          <w:lang w:val="en-GB"/>
        </w:rPr>
        <w:t xml:space="preserve"> mean </w:t>
      </w:r>
      <w:r w:rsidRPr="009D03BE">
        <w:rPr>
          <w:rFonts w:ascii="Book Antiqua" w:hAnsi="Book Antiqua"/>
          <w:lang w:val="en-GB"/>
        </w:rPr>
        <w:t>recovery</w:t>
      </w:r>
      <w:r w:rsidR="003269F7" w:rsidRPr="009D03BE">
        <w:rPr>
          <w:rFonts w:ascii="Book Antiqua" w:hAnsi="Book Antiqua"/>
          <w:lang w:val="en-GB"/>
        </w:rPr>
        <w:t xml:space="preserve"> time</w:t>
      </w:r>
      <w:r w:rsidRPr="009D03BE">
        <w:rPr>
          <w:rFonts w:ascii="Book Antiqua" w:hAnsi="Book Antiqua"/>
          <w:lang w:val="en-GB"/>
        </w:rPr>
        <w:t xml:space="preserve"> </w:t>
      </w:r>
      <w:r w:rsidR="00B03464" w:rsidRPr="009D03BE">
        <w:rPr>
          <w:rFonts w:ascii="Book Antiqua" w:hAnsi="Book Antiqua"/>
          <w:lang w:val="en-GB"/>
        </w:rPr>
        <w:t>of</w:t>
      </w:r>
      <w:r w:rsidRPr="009D03BE">
        <w:rPr>
          <w:rFonts w:ascii="Book Antiqua" w:hAnsi="Book Antiqua"/>
          <w:lang w:val="en-GB"/>
        </w:rPr>
        <w:t xml:space="preserve"> 6</w:t>
      </w:r>
      <w:r w:rsidR="008D5B9F" w:rsidRPr="009D03BE">
        <w:rPr>
          <w:rFonts w:ascii="Book Antiqua" w:hAnsi="Book Antiqua"/>
          <w:lang w:val="en-GB"/>
        </w:rPr>
        <w:t>.3</w:t>
      </w:r>
      <w:r w:rsidR="005034EC" w:rsidRPr="009D03BE">
        <w:rPr>
          <w:rFonts w:ascii="Book Antiqua" w:hAnsi="Book Antiqua"/>
          <w:lang w:val="en-GB"/>
        </w:rPr>
        <w:t xml:space="preserve"> ± </w:t>
      </w:r>
      <w:r w:rsidR="00DE5604" w:rsidRPr="009D03BE">
        <w:rPr>
          <w:rFonts w:ascii="Book Antiqua" w:hAnsi="Book Antiqua"/>
          <w:lang w:val="en-GB"/>
        </w:rPr>
        <w:t xml:space="preserve">17.5 </w:t>
      </w:r>
      <w:proofErr w:type="spellStart"/>
      <w:r w:rsidRPr="009D03BE">
        <w:rPr>
          <w:rFonts w:ascii="Book Antiqua" w:hAnsi="Book Antiqua"/>
          <w:lang w:val="en-GB"/>
        </w:rPr>
        <w:t>mo</w:t>
      </w:r>
      <w:proofErr w:type="spellEnd"/>
      <w:r w:rsidRPr="009D03BE">
        <w:rPr>
          <w:rFonts w:ascii="Book Antiqua" w:hAnsi="Book Antiqua"/>
          <w:lang w:val="en-GB"/>
        </w:rPr>
        <w:t xml:space="preserve"> from every RTX infusion.</w:t>
      </w:r>
      <w:r w:rsidR="00C31CBB" w:rsidRPr="009D03BE">
        <w:rPr>
          <w:rFonts w:ascii="Book Antiqua" w:hAnsi="Book Antiqua"/>
          <w:lang w:val="en-GB"/>
        </w:rPr>
        <w:t xml:space="preserve"> None of the patients showed neutropenia.</w:t>
      </w:r>
      <w:r w:rsidR="000E61B3" w:rsidRPr="009D03BE">
        <w:rPr>
          <w:rFonts w:ascii="Book Antiqua" w:hAnsi="Book Antiqua"/>
          <w:lang w:val="en-GB" w:eastAsia="zh-CN"/>
        </w:rPr>
        <w:t xml:space="preserve"> </w:t>
      </w:r>
      <w:r w:rsidR="00A9518A" w:rsidRPr="009D03BE">
        <w:rPr>
          <w:rFonts w:ascii="Book Antiqua" w:hAnsi="Book Antiqua"/>
          <w:lang w:val="en-GB" w:eastAsia="zh-CN"/>
        </w:rPr>
        <w:t xml:space="preserve">When </w:t>
      </w:r>
      <w:r w:rsidR="00A9518A" w:rsidRPr="009D03BE">
        <w:rPr>
          <w:rFonts w:ascii="Book Antiqua" w:hAnsi="Book Antiqua"/>
          <w:lang w:val="en-GB"/>
        </w:rPr>
        <w:t>c</w:t>
      </w:r>
      <w:r w:rsidR="00495E22" w:rsidRPr="009D03BE">
        <w:rPr>
          <w:rFonts w:ascii="Book Antiqua" w:hAnsi="Book Antiqua"/>
          <w:lang w:val="en-GB"/>
        </w:rPr>
        <w:t>omparing patients showing and not showing IgG</w:t>
      </w:r>
      <w:r w:rsidR="00A73BD2" w:rsidRPr="009D03BE">
        <w:rPr>
          <w:rFonts w:ascii="Book Antiqua" w:hAnsi="Book Antiqua"/>
          <w:lang w:val="en-GB"/>
        </w:rPr>
        <w:t xml:space="preserve"> hypogammaglobulinemia, no differences</w:t>
      </w:r>
      <w:r w:rsidR="00A9518A" w:rsidRPr="009D03BE">
        <w:rPr>
          <w:rFonts w:ascii="Book Antiqua" w:hAnsi="Book Antiqua"/>
          <w:lang w:val="en-GB"/>
        </w:rPr>
        <w:t xml:space="preserve"> were found</w:t>
      </w:r>
      <w:r w:rsidR="00A73BD2" w:rsidRPr="009D03BE">
        <w:rPr>
          <w:rFonts w:ascii="Book Antiqua" w:hAnsi="Book Antiqua"/>
          <w:lang w:val="en-GB"/>
        </w:rPr>
        <w:t xml:space="preserve"> in</w:t>
      </w:r>
      <w:r w:rsidR="00A9518A" w:rsidRPr="009D03BE">
        <w:rPr>
          <w:rFonts w:ascii="Book Antiqua" w:hAnsi="Book Antiqua"/>
          <w:lang w:val="en-GB"/>
        </w:rPr>
        <w:t xml:space="preserve"> the</w:t>
      </w:r>
      <w:r w:rsidR="00A73BD2" w:rsidRPr="009D03BE">
        <w:rPr>
          <w:rFonts w:ascii="Book Antiqua" w:hAnsi="Book Antiqua"/>
          <w:lang w:val="en-GB"/>
        </w:rPr>
        <w:t xml:space="preserve"> </w:t>
      </w:r>
      <w:r w:rsidR="00B3126F" w:rsidRPr="009D03BE">
        <w:rPr>
          <w:rFonts w:ascii="Book Antiqua" w:hAnsi="Book Antiqua"/>
          <w:lang w:val="en-GB"/>
        </w:rPr>
        <w:t>uti</w:t>
      </w:r>
      <w:r w:rsidR="00E35228" w:rsidRPr="009D03BE">
        <w:rPr>
          <w:rFonts w:ascii="Book Antiqua" w:hAnsi="Book Antiqua"/>
          <w:lang w:val="en-GB"/>
        </w:rPr>
        <w:t xml:space="preserve">lization of corticosteroids, cyclosporine, cyclophosphamide, </w:t>
      </w:r>
      <w:r w:rsidR="00B3126F" w:rsidRPr="009D03BE">
        <w:rPr>
          <w:rFonts w:ascii="Book Antiqua" w:hAnsi="Book Antiqua"/>
          <w:lang w:val="en-GB"/>
        </w:rPr>
        <w:t>o</w:t>
      </w:r>
      <w:r w:rsidR="00A86F35" w:rsidRPr="009D03BE">
        <w:rPr>
          <w:rFonts w:ascii="Book Antiqua" w:hAnsi="Book Antiqua"/>
          <w:lang w:val="en-GB"/>
        </w:rPr>
        <w:t>ther immunosuppressive agents</w:t>
      </w:r>
      <w:r w:rsidR="00A9518A" w:rsidRPr="009D03BE">
        <w:rPr>
          <w:rFonts w:ascii="Book Antiqua" w:hAnsi="Book Antiqua"/>
          <w:lang w:val="en-GB"/>
        </w:rPr>
        <w:t>,</w:t>
      </w:r>
      <w:r w:rsidR="00A86F35" w:rsidRPr="009D03BE">
        <w:rPr>
          <w:rFonts w:ascii="Book Antiqua" w:hAnsi="Book Antiqua"/>
          <w:lang w:val="en-GB"/>
        </w:rPr>
        <w:t xml:space="preserve"> and</w:t>
      </w:r>
      <w:r w:rsidR="00B3126F" w:rsidRPr="009D03BE">
        <w:rPr>
          <w:rFonts w:ascii="Book Antiqua" w:hAnsi="Book Antiqua"/>
          <w:lang w:val="en-GB"/>
        </w:rPr>
        <w:t xml:space="preserve"> </w:t>
      </w:r>
      <w:r w:rsidR="00A9518A" w:rsidRPr="009D03BE">
        <w:rPr>
          <w:rFonts w:ascii="Book Antiqua" w:hAnsi="Book Antiqua"/>
          <w:lang w:val="en-GB"/>
        </w:rPr>
        <w:t>more than one</w:t>
      </w:r>
      <w:r w:rsidR="00B3126F" w:rsidRPr="009D03BE">
        <w:rPr>
          <w:rFonts w:ascii="Book Antiqua" w:hAnsi="Book Antiqua"/>
          <w:lang w:val="en-GB"/>
        </w:rPr>
        <w:t xml:space="preserve"> immunosuppressive agent (</w:t>
      </w:r>
      <w:r w:rsidR="00504F6D" w:rsidRPr="009D03BE">
        <w:rPr>
          <w:rFonts w:ascii="Book Antiqua" w:hAnsi="Book Antiqua"/>
          <w:lang w:val="en-GB"/>
        </w:rPr>
        <w:t>Table</w:t>
      </w:r>
      <w:r w:rsidR="00B3126F" w:rsidRPr="009D03BE">
        <w:rPr>
          <w:rFonts w:ascii="Book Antiqua" w:hAnsi="Book Antiqua"/>
          <w:lang w:val="en-GB"/>
        </w:rPr>
        <w:t xml:space="preserve"> 1). </w:t>
      </w:r>
      <w:r w:rsidR="00951302" w:rsidRPr="009D03BE">
        <w:rPr>
          <w:rFonts w:ascii="Book Antiqua" w:hAnsi="Book Antiqua"/>
          <w:lang w:val="en-GB"/>
        </w:rPr>
        <w:t>The months of follow-up after the last RTX infusion, the number of RTX infusion</w:t>
      </w:r>
      <w:r w:rsidR="00E35228" w:rsidRPr="009D03BE">
        <w:rPr>
          <w:rFonts w:ascii="Book Antiqua" w:hAnsi="Book Antiqua"/>
          <w:lang w:val="en-GB"/>
        </w:rPr>
        <w:t>s</w:t>
      </w:r>
      <w:r w:rsidR="00A9518A" w:rsidRPr="009D03BE">
        <w:rPr>
          <w:rFonts w:ascii="Book Antiqua" w:hAnsi="Book Antiqua"/>
          <w:lang w:val="en-GB"/>
        </w:rPr>
        <w:t>,</w:t>
      </w:r>
      <w:r w:rsidR="00951302" w:rsidRPr="009D03BE">
        <w:rPr>
          <w:rFonts w:ascii="Book Antiqua" w:hAnsi="Book Antiqua"/>
          <w:lang w:val="en-GB"/>
        </w:rPr>
        <w:t xml:space="preserve"> and the months of CD-19 cells depletion were similar between patients showing and not showing IgG hypogammaglobulinemia. </w:t>
      </w:r>
      <w:r w:rsidR="00AD7ECA" w:rsidRPr="009D03BE">
        <w:rPr>
          <w:rFonts w:ascii="Book Antiqua" w:hAnsi="Book Antiqua"/>
          <w:lang w:val="en-GB"/>
        </w:rPr>
        <w:t>Moreover, a non</w:t>
      </w:r>
      <w:r w:rsidR="00B3126F" w:rsidRPr="009D03BE">
        <w:rPr>
          <w:rFonts w:ascii="Book Antiqua" w:hAnsi="Book Antiqua"/>
          <w:lang w:val="en-GB"/>
        </w:rPr>
        <w:t xml:space="preserve">-significant trend showing a lower number of relapses after RTX infusion and younger age at first RTX infusion for the patients presenting </w:t>
      </w:r>
      <w:r w:rsidR="00797892" w:rsidRPr="009D03BE">
        <w:rPr>
          <w:rFonts w:ascii="Book Antiqua" w:hAnsi="Book Antiqua"/>
          <w:lang w:val="en-GB"/>
        </w:rPr>
        <w:t xml:space="preserve">IgG </w:t>
      </w:r>
      <w:r w:rsidR="00B3126F" w:rsidRPr="009D03BE">
        <w:rPr>
          <w:rFonts w:ascii="Book Antiqua" w:hAnsi="Book Antiqua"/>
          <w:lang w:val="en-GB"/>
        </w:rPr>
        <w:t xml:space="preserve">hypogammaglobulinemia compared with the patients not presenting </w:t>
      </w:r>
      <w:r w:rsidR="00797892" w:rsidRPr="009D03BE">
        <w:rPr>
          <w:rFonts w:ascii="Book Antiqua" w:hAnsi="Book Antiqua"/>
          <w:lang w:val="en-GB"/>
        </w:rPr>
        <w:t xml:space="preserve">IgG </w:t>
      </w:r>
      <w:r w:rsidR="00B3126F" w:rsidRPr="009D03BE">
        <w:rPr>
          <w:rFonts w:ascii="Book Antiqua" w:hAnsi="Book Antiqua"/>
          <w:lang w:val="en-GB"/>
        </w:rPr>
        <w:t xml:space="preserve">hypogammaglobulinemia </w:t>
      </w:r>
      <w:r w:rsidR="005B2AE1" w:rsidRPr="009D03BE">
        <w:rPr>
          <w:rFonts w:ascii="Book Antiqua" w:hAnsi="Book Antiqua"/>
          <w:lang w:val="en-GB"/>
        </w:rPr>
        <w:t xml:space="preserve">was present </w:t>
      </w:r>
      <w:r w:rsidR="00B3126F" w:rsidRPr="009D03BE">
        <w:rPr>
          <w:rFonts w:ascii="Book Antiqua" w:hAnsi="Book Antiqua"/>
          <w:lang w:val="en-GB"/>
        </w:rPr>
        <w:t>(</w:t>
      </w:r>
      <w:r w:rsidR="00504F6D" w:rsidRPr="009D03BE">
        <w:rPr>
          <w:rFonts w:ascii="Book Antiqua" w:hAnsi="Book Antiqua"/>
          <w:lang w:val="en-GB"/>
        </w:rPr>
        <w:t>Table</w:t>
      </w:r>
      <w:r w:rsidR="00B3126F" w:rsidRPr="009D03BE">
        <w:rPr>
          <w:rFonts w:ascii="Book Antiqua" w:hAnsi="Book Antiqua"/>
          <w:lang w:val="en-GB"/>
        </w:rPr>
        <w:t xml:space="preserve"> 1).</w:t>
      </w:r>
      <w:r w:rsidR="005034EC" w:rsidRPr="009D03BE">
        <w:rPr>
          <w:rFonts w:ascii="Book Antiqua" w:hAnsi="Book Antiqua"/>
          <w:lang w:val="en-GB"/>
        </w:rPr>
        <w:t xml:space="preserve"> </w:t>
      </w:r>
    </w:p>
    <w:p w14:paraId="0C2B65BC" w14:textId="77777777" w:rsidR="00CC5D1D" w:rsidRPr="009D03BE" w:rsidRDefault="00C15F3D"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Using</w:t>
      </w:r>
      <w:r w:rsidR="00F50780" w:rsidRPr="009D03BE">
        <w:rPr>
          <w:rFonts w:ascii="Book Antiqua" w:hAnsi="Book Antiqua"/>
          <w:lang w:val="en-GB"/>
        </w:rPr>
        <w:t xml:space="preserve"> Kaplan-Meier analysis, the cumulative proportion of patients free of </w:t>
      </w:r>
      <w:r w:rsidR="001A4338" w:rsidRPr="009D03BE">
        <w:rPr>
          <w:rFonts w:ascii="Book Antiqua" w:hAnsi="Book Antiqua"/>
          <w:lang w:val="en-GB"/>
        </w:rPr>
        <w:t xml:space="preserve">IgG </w:t>
      </w:r>
      <w:r w:rsidR="00A86F35" w:rsidRPr="009D03BE">
        <w:rPr>
          <w:rFonts w:ascii="Book Antiqua" w:hAnsi="Book Antiqua"/>
          <w:lang w:val="en-GB"/>
        </w:rPr>
        <w:t xml:space="preserve">hypogammaglobulinemia </w:t>
      </w:r>
      <w:r w:rsidR="00F50780" w:rsidRPr="009D03BE">
        <w:rPr>
          <w:rFonts w:ascii="Book Antiqua" w:hAnsi="Book Antiqua"/>
          <w:lang w:val="en-GB"/>
        </w:rPr>
        <w:t xml:space="preserve">was </w:t>
      </w:r>
      <w:r w:rsidR="001A4338" w:rsidRPr="009D03BE">
        <w:rPr>
          <w:rFonts w:ascii="Book Antiqua" w:hAnsi="Book Antiqua"/>
          <w:lang w:val="en-GB"/>
        </w:rPr>
        <w:t>57.8</w:t>
      </w:r>
      <w:r w:rsidR="00F50780" w:rsidRPr="009D03BE">
        <w:rPr>
          <w:rFonts w:ascii="Book Antiqua" w:hAnsi="Book Antiqua"/>
          <w:lang w:val="en-GB"/>
        </w:rPr>
        <w:t xml:space="preserve">% </w:t>
      </w:r>
      <w:r w:rsidR="001A4338" w:rsidRPr="009D03BE">
        <w:rPr>
          <w:rFonts w:ascii="Book Antiqua" w:hAnsi="Book Antiqua"/>
          <w:lang w:val="en-GB"/>
        </w:rPr>
        <w:t xml:space="preserve">after the </w:t>
      </w:r>
      <w:r w:rsidR="009C64E3" w:rsidRPr="009D03BE">
        <w:rPr>
          <w:rFonts w:ascii="Book Antiqua" w:hAnsi="Book Antiqua"/>
          <w:lang w:val="en-GB"/>
        </w:rPr>
        <w:t>first dose</w:t>
      </w:r>
      <w:r w:rsidR="001A4338" w:rsidRPr="009D03BE">
        <w:rPr>
          <w:rFonts w:ascii="Book Antiqua" w:hAnsi="Book Antiqua"/>
          <w:lang w:val="en-GB"/>
        </w:rPr>
        <w:t xml:space="preserve"> of RTX, 51.5% after the third dose, 44.1% after the fourth dose</w:t>
      </w:r>
      <w:r w:rsidRPr="009D03BE">
        <w:rPr>
          <w:rFonts w:ascii="Book Antiqua" w:hAnsi="Book Antiqua"/>
          <w:lang w:val="en-GB"/>
        </w:rPr>
        <w:t>,</w:t>
      </w:r>
      <w:r w:rsidR="001A4338" w:rsidRPr="009D03BE">
        <w:rPr>
          <w:rFonts w:ascii="Book Antiqua" w:hAnsi="Book Antiqua"/>
          <w:lang w:val="en-GB"/>
        </w:rPr>
        <w:t xml:space="preserve"> and 35.5% after the fifth dose </w:t>
      </w:r>
      <w:r w:rsidR="00A668F4" w:rsidRPr="009D03BE">
        <w:rPr>
          <w:rFonts w:ascii="Book Antiqua" w:hAnsi="Book Antiqua"/>
          <w:lang w:val="en-GB"/>
        </w:rPr>
        <w:t>(Fig</w:t>
      </w:r>
      <w:r w:rsidR="000E61B3" w:rsidRPr="009D03BE">
        <w:rPr>
          <w:rFonts w:ascii="Book Antiqua" w:hAnsi="Book Antiqua"/>
          <w:lang w:val="en-GB" w:eastAsia="zh-CN"/>
        </w:rPr>
        <w:t>ure</w:t>
      </w:r>
      <w:r w:rsidR="00000816" w:rsidRPr="009D03BE">
        <w:rPr>
          <w:rFonts w:ascii="Book Antiqua" w:hAnsi="Book Antiqua"/>
          <w:lang w:val="en-GB"/>
        </w:rPr>
        <w:t xml:space="preserve"> 1B</w:t>
      </w:r>
      <w:r w:rsidR="00F50780" w:rsidRPr="009D03BE">
        <w:rPr>
          <w:rFonts w:ascii="Book Antiqua" w:hAnsi="Book Antiqua"/>
          <w:lang w:val="en-GB"/>
        </w:rPr>
        <w:t xml:space="preserve">). </w:t>
      </w:r>
    </w:p>
    <w:p w14:paraId="77EA9BC9" w14:textId="77777777" w:rsidR="00CF6EBE" w:rsidRPr="009D03BE" w:rsidRDefault="00CF6EBE" w:rsidP="00EC24C5">
      <w:pPr>
        <w:autoSpaceDE w:val="0"/>
        <w:snapToGrid w:val="0"/>
        <w:spacing w:line="360" w:lineRule="auto"/>
        <w:jc w:val="both"/>
        <w:rPr>
          <w:rFonts w:ascii="Book Antiqua" w:hAnsi="Book Antiqua"/>
          <w:b/>
          <w:lang w:val="en-GB"/>
        </w:rPr>
      </w:pPr>
    </w:p>
    <w:p w14:paraId="7E675A96" w14:textId="77777777" w:rsidR="00CC5D1D" w:rsidRPr="009D03BE" w:rsidRDefault="00CF6EBE" w:rsidP="00EC24C5">
      <w:pPr>
        <w:autoSpaceDE w:val="0"/>
        <w:snapToGrid w:val="0"/>
        <w:spacing w:line="360" w:lineRule="auto"/>
        <w:jc w:val="both"/>
        <w:rPr>
          <w:rFonts w:ascii="Book Antiqua" w:hAnsi="Book Antiqua"/>
          <w:b/>
          <w:lang w:val="en-GB"/>
        </w:rPr>
      </w:pPr>
      <w:r w:rsidRPr="009D03BE">
        <w:rPr>
          <w:rFonts w:ascii="Book Antiqua" w:hAnsi="Book Antiqua"/>
          <w:b/>
          <w:lang w:val="en-GB"/>
        </w:rPr>
        <w:t>DISCUSSION</w:t>
      </w:r>
    </w:p>
    <w:p w14:paraId="5E0B3456" w14:textId="77777777" w:rsidR="00B5006C" w:rsidRPr="009D03BE" w:rsidRDefault="003E5923" w:rsidP="00EC24C5">
      <w:pPr>
        <w:snapToGrid w:val="0"/>
        <w:spacing w:line="360" w:lineRule="auto"/>
        <w:jc w:val="both"/>
        <w:rPr>
          <w:rFonts w:ascii="Book Antiqua" w:hAnsi="Book Antiqua"/>
          <w:lang w:val="en-GB"/>
        </w:rPr>
      </w:pPr>
      <w:r w:rsidRPr="009D03BE">
        <w:rPr>
          <w:rFonts w:ascii="Book Antiqua" w:hAnsi="Book Antiqua"/>
          <w:lang w:val="en-GB"/>
        </w:rPr>
        <w:t>Evidence on the impact of RTX treatment on IgG levels in children with complicated NS having normal baseline IgG levels are limited to few cases for each available study</w:t>
      </w:r>
      <w:r w:rsidR="003166C0"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1.0 g/L and were not significantly different from the MMF/CyA group (8.2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syndrome?","type":"article-journal","volume":"28"},"uris":["http://www.mendeley.com/documents/?uuid=cae5fc94-754f-32af-8245-3e350d2db4df"]},{"id":"ITEM-2","itemData":{"DOI":"10.5414/CN108835","ISSN":"0301-0430","PMID":"27125626","abstract":"BACKGROUND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nephrology","id":"ITEM-2","issue":"6","issued":{"date-parts":[["2016","6","1"]]},"page":"340-5","title":"Late-onset adverse events after a single dose of rituximab in children with complicated steroid-dependent nephrotic syndrome.","type":"article-journal","volume":"85"},"uris":["http://www.mendeley.com/documents/?uuid=be83b04e-2a8b-3bf0-bd35-0ecf7b13bb0e"]},{"id":"ITEM-3","itemData":{"DOI":"10.1007/s00467-008-0814-1","ISSN":"0931-041X","PMID":"18465150","abstract":"Several case reports suggest that rituximab (RTX) could be effective in steroid-dependent nephrotic syndrome, but RTX efficacy has not yet been studied in a series of patients. Safety and efficacy of RTX were assessed in a multicenter series of 22 patients aged 6.3-22 years with severe steroid-dependent nephrotic syndrome or steroid-resistant but cyclosporin-sensitive idiopathic nephrotic syndrome. Patients were treated with two to four infusions of RTX. Seven patients were nephrotic at the time of RTX treatment. Peripheral B cells were depleted in all subjects. Remission was induced in three of the seven proteinuric patients. One or more immunosuppressive (IS) treatments could be withdrawn in 19 patients (85%), with no relapse of proteinuria and without increasing other IS drugs. RTX was effective in all patients when administered during a proteinuria-free period in association with other IS agents. When relapses occurred, they were always associated with an increase in CD19 cell count. Adverse effects were observed in 45% of cases, but most of them were mild and transient. This study suggests that RTX could be an effective treatment for severe steroid-dependent nephrotic syndrome.","author":[{"dropping-particle":"","family":"Guigonis","given":"Vincent","non-dropping-particle":"","parse-names":false,"suffix":""},{"dropping-particle":"","family":"Dallocchio","given":"Aymeric","non-dropping-particle":"","parse-names":false,"suffix":""},{"dropping-particle":"","family":"Baudouin","given":"Véronique","non-dropping-particle":"","parse-names":false,"suffix":""},{"dropping-particle":"","family":"Dehennault","given":"Maud","non-dropping-particle":"","parse-names":false,"suffix":""},{"dropping-particle":"","family":"Hachon-Le Camus","given":"Caroline","non-dropping-particle":"","parse-names":false,"suffix":""},{"dropping-particle":"","family":"Afanetti","given":"Mickael","non-dropping-particle":"","parse-names":false,"suffix":""},{"dropping-particle":"","family":"Groothoff","given":"Jaap","non-dropping-particle":"","parse-names":false,"suffix":""},{"dropping-particle":"","family":"Llanas","given":"Brigitte","non-dropping-particle":"","parse-names":false,"suffix":""},{"dropping-particle":"","family":"Niaudet","given":"Patrick","non-dropping-particle":"","parse-names":false,"suffix":""},{"dropping-particle":"","family":"Nivet","given":"Hubert","non-dropping-particle":"","parse-names":false,"suffix":""},{"dropping-particle":"","family":"Raynaud","given":"Natacha","non-dropping-particle":"","parse-names":false,"suffix":""},{"dropping-particle":"","family":"Taque","given":"Sophie","non-dropping-particle":"","parse-names":false,"suffix":""},{"dropping-particle":"","family":"Ronco","given":"Pierre","non-dropping-particle":"","parse-names":false,"suffix":""},{"dropping-particle":"","family":"Bouissou","given":"François","non-dropping-particle":"","parse-names":false,"suffix":""}],"container-title":"Pediatric Nephrology","id":"ITEM-3","issue":"8","issued":{"date-parts":[["2008","8","9"]]},"page":"1269-1279","title":"Rituximab treatment for severe steroid- or cyclosporine-dependent nephrotic syndrome: a multicentric series of 22 cases","type":"article-journal","volume":"23"},"uris":["http://www.mendeley.com/documents/?uuid=2ace6725-d36f-3990-8775-c227b676fc80"]}],"mendeley":{"formattedCitation":"&lt;sup&gt;[5–7]&lt;/sup&gt;","plainTextFormattedCitation":"[5–7]","previouslyFormattedCitation":"&lt;sup&gt;[5–7]&lt;/sup&gt;"},"properties":{"noteIndex":0},"schema":"https://github.com/citation-style-language/schema/raw/master/csl-citation.json"}</w:instrText>
      </w:r>
      <w:r w:rsidR="003166C0" w:rsidRPr="009D03BE">
        <w:rPr>
          <w:rFonts w:ascii="Book Antiqua" w:hAnsi="Book Antiqua"/>
          <w:lang w:val="en-GB"/>
        </w:rPr>
        <w:fldChar w:fldCharType="separate"/>
      </w:r>
      <w:r w:rsidR="00FE12CB" w:rsidRPr="009D03BE">
        <w:rPr>
          <w:rFonts w:ascii="Book Antiqua" w:hAnsi="Book Antiqua"/>
          <w:vertAlign w:val="superscript"/>
          <w:lang w:val="en-GB"/>
        </w:rPr>
        <w:t>[5–7]</w:t>
      </w:r>
      <w:r w:rsidR="003166C0" w:rsidRPr="009D03BE">
        <w:rPr>
          <w:rFonts w:ascii="Book Antiqua" w:hAnsi="Book Antiqua"/>
          <w:lang w:val="en-GB"/>
        </w:rPr>
        <w:fldChar w:fldCharType="end"/>
      </w:r>
      <w:r w:rsidR="003166C0" w:rsidRPr="009D03BE">
        <w:rPr>
          <w:rFonts w:ascii="Book Antiqua" w:hAnsi="Book Antiqua"/>
          <w:lang w:val="en-GB"/>
        </w:rPr>
        <w:t>.</w:t>
      </w:r>
      <w:r w:rsidR="00CD069B" w:rsidRPr="009D03BE">
        <w:rPr>
          <w:rFonts w:ascii="Book Antiqua" w:hAnsi="Book Antiqua"/>
          <w:lang w:val="en-GB"/>
        </w:rPr>
        <w:t xml:space="preserve"> </w:t>
      </w:r>
      <w:proofErr w:type="spellStart"/>
      <w:r w:rsidR="000E61B3" w:rsidRPr="009D03BE">
        <w:rPr>
          <w:rFonts w:ascii="Book Antiqua" w:hAnsi="Book Antiqua"/>
          <w:lang w:val="en-GB"/>
        </w:rPr>
        <w:t>Delbe-Bertin</w:t>
      </w:r>
      <w:proofErr w:type="spellEnd"/>
      <w:r w:rsidR="000E61B3" w:rsidRPr="009D03BE">
        <w:rPr>
          <w:rFonts w:ascii="Book Antiqua" w:hAnsi="Book Antiqua"/>
          <w:lang w:val="en-GB"/>
        </w:rPr>
        <w:t xml:space="preserve"> </w:t>
      </w:r>
      <w:r w:rsidR="000E61B3" w:rsidRPr="009D03BE">
        <w:rPr>
          <w:rFonts w:ascii="Book Antiqua" w:hAnsi="Book Antiqua"/>
          <w:i/>
          <w:lang w:val="en-GB"/>
        </w:rPr>
        <w:t>et al</w:t>
      </w:r>
      <w:r w:rsidR="00E11073"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1.0 g/L and were not significantly different from the MMF/CyA group (8.2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mendeley":{"formattedCitation":"&lt;sup&gt;[5]&lt;/sup&gt;","plainTextFormattedCitation":"[5]","previouslyFormattedCitation":"&lt;sup&gt;[5]&lt;/sup&gt;"},"properties":{"noteIndex":0},"schema":"https://github.com/citation-style-language/schema/raw/master/csl-citation.json"}</w:instrText>
      </w:r>
      <w:r w:rsidR="00E11073" w:rsidRPr="009D03BE">
        <w:rPr>
          <w:rFonts w:ascii="Book Antiqua" w:hAnsi="Book Antiqua"/>
          <w:lang w:val="en-GB"/>
        </w:rPr>
        <w:fldChar w:fldCharType="separate"/>
      </w:r>
      <w:r w:rsidR="00FE12CB" w:rsidRPr="009D03BE">
        <w:rPr>
          <w:rFonts w:ascii="Book Antiqua" w:hAnsi="Book Antiqua"/>
          <w:vertAlign w:val="superscript"/>
          <w:lang w:val="en-GB"/>
        </w:rPr>
        <w:t>[5]</w:t>
      </w:r>
      <w:r w:rsidR="00E11073" w:rsidRPr="009D03BE">
        <w:rPr>
          <w:rFonts w:ascii="Book Antiqua" w:hAnsi="Book Antiqua"/>
          <w:lang w:val="en-GB"/>
        </w:rPr>
        <w:fldChar w:fldCharType="end"/>
      </w:r>
      <w:r w:rsidR="00155399" w:rsidRPr="009D03BE">
        <w:rPr>
          <w:rFonts w:ascii="Book Antiqua" w:hAnsi="Book Antiqua"/>
          <w:lang w:val="en-GB"/>
        </w:rPr>
        <w:t xml:space="preserve"> report</w:t>
      </w:r>
      <w:r w:rsidR="00E11073" w:rsidRPr="009D03BE">
        <w:rPr>
          <w:rFonts w:ascii="Book Antiqua" w:hAnsi="Book Antiqua"/>
          <w:lang w:val="en-GB"/>
        </w:rPr>
        <w:t>ed that persisting post-RTX IgG hypogammaglobulinemia was observed in 7 patients with IgG hypogammaglobulinemia before RTX infusion</w:t>
      </w:r>
      <w:r w:rsidR="00841405" w:rsidRPr="009D03BE">
        <w:rPr>
          <w:rFonts w:ascii="Book Antiqua" w:hAnsi="Book Antiqua"/>
          <w:lang w:val="en-GB"/>
        </w:rPr>
        <w:t>,</w:t>
      </w:r>
      <w:r w:rsidR="00E11073" w:rsidRPr="009D03BE">
        <w:rPr>
          <w:rFonts w:ascii="Book Antiqua" w:hAnsi="Book Antiqua"/>
          <w:lang w:val="en-GB"/>
        </w:rPr>
        <w:t xml:space="preserve"> while n</w:t>
      </w:r>
      <w:r w:rsidR="00155399" w:rsidRPr="009D03BE">
        <w:rPr>
          <w:rFonts w:ascii="Book Antiqua" w:hAnsi="Book Antiqua"/>
          <w:lang w:val="en-GB"/>
        </w:rPr>
        <w:t>one of the 4 patients with</w:t>
      </w:r>
      <w:r w:rsidR="00E11073" w:rsidRPr="009D03BE">
        <w:rPr>
          <w:rFonts w:ascii="Book Antiqua" w:hAnsi="Book Antiqua"/>
          <w:lang w:val="en-GB"/>
        </w:rPr>
        <w:t xml:space="preserve"> normal pre-RTX IgG levels presented IgG hypogammaglobulinemia after RTX initiation. In </w:t>
      </w:r>
      <w:r w:rsidR="006700AD" w:rsidRPr="009D03BE">
        <w:rPr>
          <w:rFonts w:ascii="Book Antiqua" w:hAnsi="Book Antiqua"/>
          <w:lang w:val="en-GB"/>
        </w:rPr>
        <w:t>addition</w:t>
      </w:r>
      <w:r w:rsidR="000E61B3" w:rsidRPr="009D03BE">
        <w:rPr>
          <w:rFonts w:ascii="Book Antiqua" w:hAnsi="Book Antiqua"/>
          <w:lang w:val="en-GB"/>
        </w:rPr>
        <w:t xml:space="preserve">, </w:t>
      </w:r>
      <w:proofErr w:type="spellStart"/>
      <w:r w:rsidR="000E61B3" w:rsidRPr="009D03BE">
        <w:rPr>
          <w:rFonts w:ascii="Book Antiqua" w:hAnsi="Book Antiqua"/>
          <w:lang w:val="en-GB"/>
        </w:rPr>
        <w:t>Fujinaga</w:t>
      </w:r>
      <w:proofErr w:type="spellEnd"/>
      <w:r w:rsidR="000E61B3" w:rsidRPr="009D03BE">
        <w:rPr>
          <w:rFonts w:ascii="Book Antiqua" w:hAnsi="Book Antiqua"/>
          <w:lang w:val="en-GB"/>
        </w:rPr>
        <w:t xml:space="preserve"> </w:t>
      </w:r>
      <w:r w:rsidR="000E61B3" w:rsidRPr="009D03BE">
        <w:rPr>
          <w:rFonts w:ascii="Book Antiqua" w:hAnsi="Book Antiqua"/>
          <w:i/>
          <w:lang w:val="en-GB"/>
        </w:rPr>
        <w:t>et al</w:t>
      </w:r>
      <w:r w:rsidR="00E11073"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nephrology","id":"ITEM-1","issue":"6","issued":{"date-parts":[["2016","6","1"]]},"page":"340-5","title":"Late-onset adverse events after a single dose of rituximab in children with complicated steroid-dependent nephrotic syndrome.","type":"article-journal","volume":"85"},"uris":["http://www.mendeley.com/documents/?uuid=be83b04e-2a8b-3bf0-bd35-0ecf7b13bb0e"]}],"mendeley":{"formattedCitation":"&lt;sup&gt;[6]&lt;/sup&gt;","plainTextFormattedCitation":"[6]","previouslyFormattedCitation":"&lt;sup&gt;[6]&lt;/sup&gt;"},"properties":{"noteIndex":0},"schema":"https://github.com/citation-style-language/schema/raw/master/csl-citation.json"}</w:instrText>
      </w:r>
      <w:r w:rsidR="00E11073" w:rsidRPr="009D03BE">
        <w:rPr>
          <w:rFonts w:ascii="Book Antiqua" w:hAnsi="Book Antiqua"/>
          <w:lang w:val="en-GB"/>
        </w:rPr>
        <w:fldChar w:fldCharType="separate"/>
      </w:r>
      <w:r w:rsidR="00FE12CB" w:rsidRPr="009D03BE">
        <w:rPr>
          <w:rFonts w:ascii="Book Antiqua" w:hAnsi="Book Antiqua"/>
          <w:vertAlign w:val="superscript"/>
          <w:lang w:val="en-GB"/>
        </w:rPr>
        <w:t>[6]</w:t>
      </w:r>
      <w:r w:rsidR="00E11073" w:rsidRPr="009D03BE">
        <w:rPr>
          <w:rFonts w:ascii="Book Antiqua" w:hAnsi="Book Antiqua"/>
          <w:lang w:val="en-GB"/>
        </w:rPr>
        <w:fldChar w:fldCharType="end"/>
      </w:r>
      <w:r w:rsidR="00E11073" w:rsidRPr="009D03BE">
        <w:rPr>
          <w:rFonts w:ascii="Book Antiqua" w:hAnsi="Book Antiqua"/>
          <w:lang w:val="en-GB"/>
        </w:rPr>
        <w:t xml:space="preserve"> found that nine out of 60 patients with </w:t>
      </w:r>
      <w:r w:rsidR="00E11073" w:rsidRPr="009D03BE">
        <w:rPr>
          <w:rFonts w:ascii="Book Antiqua" w:hAnsi="Book Antiqua"/>
          <w:lang w:val="en-GB"/>
        </w:rPr>
        <w:lastRenderedPageBreak/>
        <w:t xml:space="preserve">complicated steroid-dependent NS showed hypogammaglobulinemia </w:t>
      </w:r>
      <w:r w:rsidR="00072D72" w:rsidRPr="009D03BE">
        <w:rPr>
          <w:rFonts w:ascii="Book Antiqua" w:hAnsi="Book Antiqua"/>
          <w:lang w:val="en-GB"/>
        </w:rPr>
        <w:t>(</w:t>
      </w:r>
      <w:r w:rsidR="006E4659" w:rsidRPr="009D03BE">
        <w:rPr>
          <w:rFonts w:ascii="Book Antiqua" w:hAnsi="Book Antiqua"/>
          <w:lang w:val="en-GB"/>
        </w:rPr>
        <w:t xml:space="preserve">defined as </w:t>
      </w:r>
      <w:r w:rsidR="00072D72" w:rsidRPr="009D03BE">
        <w:rPr>
          <w:rFonts w:ascii="Book Antiqua" w:hAnsi="Book Antiqua"/>
          <w:lang w:val="en-GB"/>
        </w:rPr>
        <w:t>IgG levels &lt;</w:t>
      </w:r>
      <w:r w:rsidR="000E61B3" w:rsidRPr="009D03BE">
        <w:rPr>
          <w:rFonts w:ascii="Book Antiqua" w:hAnsi="Book Antiqua"/>
          <w:lang w:val="en-GB" w:eastAsia="zh-CN"/>
        </w:rPr>
        <w:t xml:space="preserve"> </w:t>
      </w:r>
      <w:r w:rsidR="00072D72" w:rsidRPr="009D03BE">
        <w:rPr>
          <w:rFonts w:ascii="Book Antiqua" w:hAnsi="Book Antiqua"/>
          <w:lang w:val="en-GB"/>
        </w:rPr>
        <w:t xml:space="preserve">500 mg/dL) </w:t>
      </w:r>
      <w:r w:rsidR="00E11073" w:rsidRPr="009D03BE">
        <w:rPr>
          <w:rFonts w:ascii="Book Antiqua" w:hAnsi="Book Antiqua"/>
          <w:lang w:val="en-GB"/>
        </w:rPr>
        <w:t xml:space="preserve">after RTX </w:t>
      </w:r>
      <w:r w:rsidR="003169C1" w:rsidRPr="009D03BE">
        <w:rPr>
          <w:rFonts w:ascii="Book Antiqua" w:hAnsi="Book Antiqua"/>
          <w:lang w:val="en-GB"/>
        </w:rPr>
        <w:t>infusion</w:t>
      </w:r>
      <w:r w:rsidR="00E11073" w:rsidRPr="009D03BE">
        <w:rPr>
          <w:rFonts w:ascii="Book Antiqua" w:hAnsi="Book Antiqua"/>
          <w:lang w:val="en-GB"/>
        </w:rPr>
        <w:t>. Among these 9 pat</w:t>
      </w:r>
      <w:r w:rsidR="00963CA7" w:rsidRPr="009D03BE">
        <w:rPr>
          <w:rFonts w:ascii="Book Antiqua" w:hAnsi="Book Antiqua"/>
          <w:lang w:val="en-GB"/>
        </w:rPr>
        <w:t>ients, only 3 patients had</w:t>
      </w:r>
      <w:r w:rsidR="00E11073" w:rsidRPr="009D03BE">
        <w:rPr>
          <w:rFonts w:ascii="Book Antiqua" w:hAnsi="Book Antiqua"/>
          <w:lang w:val="en-GB"/>
        </w:rPr>
        <w:t xml:space="preserve"> normal IgG l</w:t>
      </w:r>
      <w:r w:rsidR="0031082C" w:rsidRPr="009D03BE">
        <w:rPr>
          <w:rFonts w:ascii="Book Antiqua" w:hAnsi="Book Antiqua"/>
          <w:lang w:val="en-GB"/>
        </w:rPr>
        <w:t>evels before the RTX infusion.</w:t>
      </w:r>
      <w:r w:rsidR="005034EC" w:rsidRPr="009D03BE">
        <w:rPr>
          <w:rFonts w:ascii="Book Antiqua" w:hAnsi="Book Antiqua"/>
          <w:lang w:val="en-GB"/>
        </w:rPr>
        <w:t xml:space="preserve"> </w:t>
      </w:r>
      <w:r w:rsidR="00A0050D" w:rsidRPr="009D03BE">
        <w:rPr>
          <w:rFonts w:ascii="Book Antiqua" w:hAnsi="Book Antiqua"/>
          <w:lang w:val="en-GB"/>
        </w:rPr>
        <w:t xml:space="preserve">In another </w:t>
      </w:r>
      <w:r w:rsidR="001C17F7" w:rsidRPr="009D03BE">
        <w:rPr>
          <w:rFonts w:ascii="Book Antiqua" w:hAnsi="Book Antiqua"/>
          <w:lang w:val="en-GB"/>
        </w:rPr>
        <w:t xml:space="preserve">multi-centre </w:t>
      </w:r>
      <w:r w:rsidR="00A0050D" w:rsidRPr="009D03BE">
        <w:rPr>
          <w:rFonts w:ascii="Book Antiqua" w:hAnsi="Book Antiqua"/>
          <w:lang w:val="en-GB"/>
        </w:rPr>
        <w:t>case series,</w:t>
      </w:r>
      <w:r w:rsidR="001C17F7" w:rsidRPr="009D03BE">
        <w:rPr>
          <w:rFonts w:ascii="Book Antiqua" w:hAnsi="Book Antiqua"/>
          <w:lang w:val="en-GB"/>
        </w:rPr>
        <w:t xml:space="preserve"> </w:t>
      </w:r>
      <w:proofErr w:type="spellStart"/>
      <w:r w:rsidR="001C17F7" w:rsidRPr="009D03BE">
        <w:rPr>
          <w:rFonts w:ascii="Book Antiqua" w:hAnsi="Book Antiqua"/>
          <w:lang w:val="en-GB"/>
        </w:rPr>
        <w:t>Guigonis</w:t>
      </w:r>
      <w:proofErr w:type="spellEnd"/>
      <w:r w:rsidR="001C17F7" w:rsidRPr="009D03BE">
        <w:rPr>
          <w:rFonts w:ascii="Book Antiqua" w:hAnsi="Book Antiqua"/>
          <w:lang w:val="en-GB"/>
        </w:rPr>
        <w:t xml:space="preserve"> </w:t>
      </w:r>
      <w:r w:rsidR="001C17F7" w:rsidRPr="009D03BE">
        <w:rPr>
          <w:rFonts w:ascii="Book Antiqua" w:hAnsi="Book Antiqua"/>
          <w:i/>
          <w:lang w:val="en-GB"/>
        </w:rPr>
        <w:t>et al</w:t>
      </w:r>
      <w:r w:rsidR="002F50A5" w:rsidRPr="009D03BE">
        <w:rPr>
          <w:rFonts w:ascii="Book Antiqua" w:hAnsi="Book Antiqua"/>
          <w:lang w:val="en-GB"/>
        </w:rPr>
        <w:fldChar w:fldCharType="begin" w:fldLock="1"/>
      </w:r>
      <w:r w:rsidR="002F50A5" w:rsidRPr="009D03BE">
        <w:rPr>
          <w:rFonts w:ascii="Book Antiqua" w:hAnsi="Book Antiqua"/>
          <w:lang w:val="en-GB"/>
        </w:rPr>
        <w:instrText>ADDIN CSL_CITATION {"citationItems":[{"id":"ITEM-1","itemData":{"DOI":"10.1007/s00467-008-0814-1","ISSN":"0931-041X","PMID":"18465150","abstract":"Several case reports suggest that rituximab (RTX) could be effective in steroid-dependent nephrotic syndrome, but RTX efficacy has not yet been studied in a series of patients. Safety and efficacy of RTX were assessed in a multicenter series of 22 patients aged 6.3-22 years with severe steroid-dependent nephrotic syndrome or steroid-resistant but cyclosporin-sensitive idiopathic nephrotic syndrome. Patients were treated with two to four infusions of RTX. Seven patients were nephrotic at the time of RTX treatment. Peripheral B cells were depleted in all subjects. Remission was induced in three of the seven proteinuric patients. One or more immunosuppressive (IS) treatments could be withdrawn in 19 patients (85%), with no relapse of proteinuria and without increasing other IS drugs. RTX was effective in all patients when administered during a proteinuria-free period in association with other IS agents. When relapses occurred, they were always associated with an increase in CD19 cell count. Adverse effects were observed in 45% of cases, but most of them were mild and transient. This study suggests that RTX could be an effective treatment for severe steroid-dependent nephrotic syndrome.","author":[{"dropping-particle":"","family":"Guigonis","given":"Vincent","non-dropping-particle":"","parse-names":false,"suffix":""},{"dropping-particle":"","family":"Dallocchio","given":"Aymeric","non-dropping-particle":"","parse-names":false,"suffix":""},{"dropping-particle":"","family":"Baudouin","given":"Véronique","non-dropping-particle":"","parse-names":false,"suffix":""},{"dropping-particle":"","family":"Dehennault","given":"Maud","non-dropping-particle":"","parse-names":false,"suffix":""},{"dropping-particle":"","family":"Hachon-Le Camus","given":"Caroline","non-dropping-particle":"","parse-names":false,"suffix":""},{"dropping-particle":"","family":"Afanetti","given":"Mickael","non-dropping-particle":"","parse-names":false,"suffix":""},{"dropping-particle":"","family":"Groothoff","given":"Jaap","non-dropping-particle":"","parse-names":false,"suffix":""},{"dropping-particle":"","family":"Llanas","given":"Brigitte","non-dropping-particle":"","parse-names":false,"suffix":""},{"dropping-particle":"","family":"Niaudet","given":"Patrick","non-dropping-particle":"","parse-names":false,"suffix":""},{"dropping-particle":"","family":"Nivet","given":"Hubert","non-dropping-particle":"","parse-names":false,"suffix":""},{"dropping-particle":"","family":"Raynaud","given":"Natacha","non-dropping-particle":"","parse-names":false,"suffix":""},{"dropping-particle":"","family":"Taque","given":"Sophie","non-dropping-particle":"","parse-names":false,"suffix":""},{"dropping-particle":"","family":"Ronco","given":"Pierre","non-dropping-particle":"","parse-names":false,"suffix":""},{"dropping-particle":"","family":"Bouissou","given":"François","non-dropping-particle":"","parse-names":false,"suffix":""}],"container-title":"Pediatric Nephrology","id":"ITEM-1","issue":"8","issued":{"date-parts":[["2008","8","9"]]},"page":"1269-1279","title":"Rituximab treatment for severe steroid- or cyclosporine-dependent nephrotic syndrome: a multicentric series of 22 cases","type":"article-journal","volume":"23"},"uris":["http://www.mendeley.com/documents/?uuid=2ace6725-d36f-3990-8775-c227b676fc80"]}],"mendeley":{"formattedCitation":"&lt;sup&gt;[7]&lt;/sup&gt;","plainTextFormattedCitation":"[7]","previouslyFormattedCitation":"&lt;sup&gt;[7]&lt;/sup&gt;"},"properties":{"noteIndex":0},"schema":"https://github.com/citation-style-language/schema/raw/master/csl-citation.json"}</w:instrText>
      </w:r>
      <w:r w:rsidR="002F50A5" w:rsidRPr="009D03BE">
        <w:rPr>
          <w:rFonts w:ascii="Book Antiqua" w:hAnsi="Book Antiqua"/>
          <w:lang w:val="en-GB"/>
        </w:rPr>
        <w:fldChar w:fldCharType="separate"/>
      </w:r>
      <w:r w:rsidR="002F50A5" w:rsidRPr="009D03BE">
        <w:rPr>
          <w:rFonts w:ascii="Book Antiqua" w:hAnsi="Book Antiqua"/>
          <w:vertAlign w:val="superscript"/>
          <w:lang w:val="en-GB"/>
        </w:rPr>
        <w:t>[7]</w:t>
      </w:r>
      <w:r w:rsidR="002F50A5" w:rsidRPr="009D03BE">
        <w:rPr>
          <w:rFonts w:ascii="Book Antiqua" w:hAnsi="Book Antiqua"/>
          <w:lang w:val="en-GB"/>
        </w:rPr>
        <w:fldChar w:fldCharType="end"/>
      </w:r>
      <w:r w:rsidR="001C17F7" w:rsidRPr="009D03BE">
        <w:rPr>
          <w:rFonts w:ascii="Book Antiqua" w:hAnsi="Book Antiqua"/>
          <w:lang w:val="en-GB"/>
        </w:rPr>
        <w:t xml:space="preserve"> found that 4 out of 22 patients with severe s</w:t>
      </w:r>
      <w:r w:rsidR="00CF1A1A" w:rsidRPr="009D03BE">
        <w:rPr>
          <w:rFonts w:ascii="Book Antiqua" w:hAnsi="Book Antiqua"/>
          <w:lang w:val="en-GB"/>
        </w:rPr>
        <w:t>teroid- and cyclosporine-depende</w:t>
      </w:r>
      <w:r w:rsidR="001C17F7" w:rsidRPr="009D03BE">
        <w:rPr>
          <w:rFonts w:ascii="Book Antiqua" w:hAnsi="Book Antiqua"/>
          <w:lang w:val="en-GB"/>
        </w:rPr>
        <w:t xml:space="preserve">nt NS developed </w:t>
      </w:r>
      <w:r w:rsidR="00165951" w:rsidRPr="009D03BE">
        <w:rPr>
          <w:rFonts w:ascii="Book Antiqua" w:hAnsi="Book Antiqua"/>
          <w:lang w:val="en-GB"/>
        </w:rPr>
        <w:t>RT</w:t>
      </w:r>
      <w:r w:rsidR="00B64E6C" w:rsidRPr="009D03BE">
        <w:rPr>
          <w:rFonts w:ascii="Book Antiqua" w:hAnsi="Book Antiqua"/>
          <w:lang w:val="en-GB"/>
        </w:rPr>
        <w:t>X-related hypogammaglobulinemia.</w:t>
      </w:r>
      <w:r w:rsidR="00935AAC" w:rsidRPr="009D03BE">
        <w:rPr>
          <w:rFonts w:ascii="Book Antiqua" w:hAnsi="Book Antiqua"/>
          <w:lang w:val="en-GB"/>
        </w:rPr>
        <w:t xml:space="preserve"> In that case series, no further follow-up of IgG levels was reported.</w:t>
      </w:r>
      <w:r w:rsidR="00165951" w:rsidRPr="009D03BE">
        <w:rPr>
          <w:rFonts w:ascii="Book Antiqua" w:hAnsi="Book Antiqua"/>
          <w:lang w:val="en-GB"/>
        </w:rPr>
        <w:t xml:space="preserve"> </w:t>
      </w:r>
    </w:p>
    <w:p w14:paraId="6EE3AD38" w14:textId="77777777" w:rsidR="00793007" w:rsidRPr="009D03BE" w:rsidRDefault="006F43A6"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 xml:space="preserve">The present </w:t>
      </w:r>
      <w:r w:rsidR="00221337" w:rsidRPr="009D03BE">
        <w:rPr>
          <w:rFonts w:ascii="Book Antiqua" w:hAnsi="Book Antiqua"/>
          <w:lang w:val="en-GB"/>
        </w:rPr>
        <w:t xml:space="preserve">single-centre </w:t>
      </w:r>
      <w:r w:rsidR="006A7288" w:rsidRPr="009D03BE">
        <w:rPr>
          <w:rFonts w:ascii="Book Antiqua" w:hAnsi="Book Antiqua"/>
          <w:lang w:val="en-GB"/>
        </w:rPr>
        <w:t>study was specifically designed to enrol</w:t>
      </w:r>
      <w:r w:rsidR="00956DA6" w:rsidRPr="009D03BE">
        <w:rPr>
          <w:rFonts w:ascii="Book Antiqua" w:hAnsi="Book Antiqua"/>
          <w:lang w:val="en-GB"/>
        </w:rPr>
        <w:t xml:space="preserve"> only patients with complicated, frequently relapsing</w:t>
      </w:r>
      <w:r w:rsidR="00841405" w:rsidRPr="009D03BE">
        <w:rPr>
          <w:rFonts w:ascii="Book Antiqua" w:hAnsi="Book Antiqua"/>
          <w:lang w:val="en-GB"/>
        </w:rPr>
        <w:t>,</w:t>
      </w:r>
      <w:r w:rsidR="00956DA6" w:rsidRPr="009D03BE">
        <w:rPr>
          <w:rFonts w:ascii="Book Antiqua" w:hAnsi="Book Antiqua"/>
          <w:lang w:val="en-GB"/>
        </w:rPr>
        <w:t xml:space="preserve"> and steroid- and cyclosporine-dependent </w:t>
      </w:r>
      <w:r w:rsidR="003B3C47" w:rsidRPr="009D03BE">
        <w:rPr>
          <w:rFonts w:ascii="Book Antiqua" w:hAnsi="Book Antiqua"/>
          <w:lang w:val="en-GB"/>
        </w:rPr>
        <w:t>NS</w:t>
      </w:r>
      <w:r w:rsidR="00956DA6" w:rsidRPr="009D03BE">
        <w:rPr>
          <w:rFonts w:ascii="Book Antiqua" w:hAnsi="Book Antiqua"/>
          <w:lang w:val="en-GB"/>
        </w:rPr>
        <w:t xml:space="preserve"> with normal basal IgG levels. W</w:t>
      </w:r>
      <w:r w:rsidR="009404F0" w:rsidRPr="009D03BE">
        <w:rPr>
          <w:rFonts w:ascii="Book Antiqua" w:hAnsi="Book Antiqua"/>
          <w:lang w:val="en-GB"/>
        </w:rPr>
        <w:t xml:space="preserve">e found that </w:t>
      </w:r>
      <w:r w:rsidR="00956DA6" w:rsidRPr="009D03BE">
        <w:rPr>
          <w:rFonts w:ascii="Book Antiqua" w:hAnsi="Book Antiqua"/>
          <w:lang w:val="en-GB"/>
        </w:rPr>
        <w:t>11 out of 20 patients (</w:t>
      </w:r>
      <w:r w:rsidR="00124F68" w:rsidRPr="009D03BE">
        <w:rPr>
          <w:rFonts w:ascii="Book Antiqua" w:hAnsi="Book Antiqua"/>
          <w:lang w:val="en-GB"/>
        </w:rPr>
        <w:t>55%</w:t>
      </w:r>
      <w:r w:rsidR="00956DA6" w:rsidRPr="009D03BE">
        <w:rPr>
          <w:rFonts w:ascii="Book Antiqua" w:hAnsi="Book Antiqua"/>
          <w:lang w:val="en-GB"/>
        </w:rPr>
        <w:t>)</w:t>
      </w:r>
      <w:r w:rsidR="00124F68" w:rsidRPr="009D03BE">
        <w:rPr>
          <w:rFonts w:ascii="Book Antiqua" w:hAnsi="Book Antiqua"/>
          <w:lang w:val="en-GB"/>
        </w:rPr>
        <w:t xml:space="preserve"> deve</w:t>
      </w:r>
      <w:r w:rsidR="004F1601" w:rsidRPr="009D03BE">
        <w:rPr>
          <w:rFonts w:ascii="Book Antiqua" w:hAnsi="Book Antiqua"/>
          <w:lang w:val="en-GB"/>
        </w:rPr>
        <w:t>loped IgG hypogammaglobulinemia</w:t>
      </w:r>
      <w:r w:rsidR="006A7288" w:rsidRPr="009D03BE">
        <w:rPr>
          <w:rFonts w:ascii="Book Antiqua" w:hAnsi="Book Antiqua"/>
          <w:lang w:val="en-GB"/>
        </w:rPr>
        <w:t xml:space="preserve"> after RTX therapy</w:t>
      </w:r>
      <w:r w:rsidR="004F1601" w:rsidRPr="009D03BE">
        <w:rPr>
          <w:rFonts w:ascii="Book Antiqua" w:hAnsi="Book Antiqua"/>
          <w:lang w:val="en-GB"/>
        </w:rPr>
        <w:t>,</w:t>
      </w:r>
      <w:r w:rsidR="006A7288" w:rsidRPr="009D03BE">
        <w:rPr>
          <w:rFonts w:ascii="Book Antiqua" w:hAnsi="Book Antiqua"/>
          <w:lang w:val="en-GB"/>
        </w:rPr>
        <w:t xml:space="preserve"> with</w:t>
      </w:r>
      <w:r w:rsidR="004F1601" w:rsidRPr="009D03BE">
        <w:rPr>
          <w:rFonts w:ascii="Book Antiqua" w:hAnsi="Book Antiqua"/>
          <w:lang w:val="en-GB"/>
        </w:rPr>
        <w:t xml:space="preserve"> eight</w:t>
      </w:r>
      <w:r w:rsidR="006A7288" w:rsidRPr="009D03BE">
        <w:rPr>
          <w:rFonts w:ascii="Book Antiqua" w:hAnsi="Book Antiqua"/>
          <w:lang w:val="en-GB"/>
        </w:rPr>
        <w:t xml:space="preserve"> of them having</w:t>
      </w:r>
      <w:r w:rsidR="004F1601" w:rsidRPr="009D03BE">
        <w:rPr>
          <w:rFonts w:ascii="Book Antiqua" w:hAnsi="Book Antiqua"/>
          <w:lang w:val="en-GB"/>
        </w:rPr>
        <w:t xml:space="preserve"> </w:t>
      </w:r>
      <w:r w:rsidR="00EE47B9" w:rsidRPr="009D03BE">
        <w:rPr>
          <w:rFonts w:ascii="Book Antiqua" w:hAnsi="Book Antiqua"/>
          <w:lang w:val="en-GB"/>
        </w:rPr>
        <w:t xml:space="preserve">developed IgG hypogammaglobulinemia </w:t>
      </w:r>
      <w:r w:rsidR="004F1601" w:rsidRPr="009D03BE">
        <w:rPr>
          <w:rFonts w:ascii="Book Antiqua" w:hAnsi="Book Antiqua"/>
          <w:lang w:val="en-GB"/>
        </w:rPr>
        <w:t xml:space="preserve">after the “starting doses” </w:t>
      </w:r>
      <w:r w:rsidR="006A7288" w:rsidRPr="009D03BE">
        <w:rPr>
          <w:rFonts w:ascii="Book Antiqua" w:hAnsi="Book Antiqua"/>
          <w:lang w:val="en-GB"/>
        </w:rPr>
        <w:t>and</w:t>
      </w:r>
      <w:r w:rsidR="00EE47B9" w:rsidRPr="009D03BE">
        <w:rPr>
          <w:rFonts w:ascii="Book Antiqua" w:hAnsi="Book Antiqua"/>
          <w:lang w:val="en-GB"/>
        </w:rPr>
        <w:t xml:space="preserve"> </w:t>
      </w:r>
      <w:r w:rsidR="006A7288" w:rsidRPr="009D03BE">
        <w:rPr>
          <w:rFonts w:ascii="Book Antiqua" w:hAnsi="Book Antiqua"/>
          <w:lang w:val="en-GB"/>
        </w:rPr>
        <w:t>three</w:t>
      </w:r>
      <w:r w:rsidR="004F1601" w:rsidRPr="009D03BE">
        <w:rPr>
          <w:rFonts w:ascii="Book Antiqua" w:hAnsi="Book Antiqua"/>
          <w:lang w:val="en-GB"/>
        </w:rPr>
        <w:t xml:space="preserve"> after the following RTX doses.</w:t>
      </w:r>
      <w:r w:rsidR="00A20CD2" w:rsidRPr="009D03BE">
        <w:rPr>
          <w:rFonts w:ascii="Book Antiqua" w:hAnsi="Book Antiqua"/>
          <w:lang w:val="en-GB"/>
        </w:rPr>
        <w:t xml:space="preserve"> </w:t>
      </w:r>
      <w:r w:rsidR="004A0C1D" w:rsidRPr="009D03BE">
        <w:rPr>
          <w:rFonts w:ascii="Book Antiqua" w:hAnsi="Book Antiqua"/>
          <w:lang w:val="en-GB"/>
        </w:rPr>
        <w:t xml:space="preserve">Noteworthy, we found recovery from IgG hypogammaglobulinemia only in the </w:t>
      </w:r>
      <w:r w:rsidR="00E94199" w:rsidRPr="009D03BE">
        <w:rPr>
          <w:rFonts w:ascii="Book Antiqua" w:hAnsi="Book Antiqua"/>
          <w:lang w:val="en-GB"/>
        </w:rPr>
        <w:t xml:space="preserve">3 </w:t>
      </w:r>
      <w:r w:rsidR="00841405" w:rsidRPr="009D03BE">
        <w:rPr>
          <w:rFonts w:ascii="Book Antiqua" w:hAnsi="Book Antiqua"/>
          <w:lang w:val="en-GB"/>
        </w:rPr>
        <w:t>who underwent</w:t>
      </w:r>
      <w:r w:rsidR="004A0C1D" w:rsidRPr="009D03BE">
        <w:rPr>
          <w:rFonts w:ascii="Book Antiqua" w:hAnsi="Book Antiqua"/>
          <w:lang w:val="en-GB"/>
        </w:rPr>
        <w:t xml:space="preserve"> “starting doses” of RTX without receiving further RTX infusions.</w:t>
      </w:r>
      <w:r w:rsidR="005034EC" w:rsidRPr="009D03BE">
        <w:rPr>
          <w:rFonts w:ascii="Book Antiqua" w:hAnsi="Book Antiqua"/>
          <w:lang w:val="en-GB"/>
        </w:rPr>
        <w:t xml:space="preserve"> </w:t>
      </w:r>
      <w:r w:rsidR="00881C91" w:rsidRPr="009D03BE">
        <w:rPr>
          <w:rFonts w:ascii="Book Antiqua" w:hAnsi="Book Antiqua"/>
          <w:bCs/>
          <w:lang w:val="en-GB"/>
        </w:rPr>
        <w:t xml:space="preserve">None of the patients </w:t>
      </w:r>
      <w:r w:rsidR="00841405" w:rsidRPr="009D03BE">
        <w:rPr>
          <w:rFonts w:ascii="Book Antiqua" w:hAnsi="Book Antiqua"/>
          <w:bCs/>
          <w:lang w:val="en-GB"/>
        </w:rPr>
        <w:t>who developed</w:t>
      </w:r>
      <w:r w:rsidR="00881C91" w:rsidRPr="009D03BE">
        <w:rPr>
          <w:rFonts w:ascii="Book Antiqua" w:hAnsi="Book Antiqua"/>
          <w:bCs/>
          <w:lang w:val="en-GB"/>
        </w:rPr>
        <w:t xml:space="preserve"> IgG hypogammaglobulinemia showed severe infections. Only one patient (Fig</w:t>
      </w:r>
      <w:r w:rsidR="000E61B3" w:rsidRPr="009D03BE">
        <w:rPr>
          <w:rFonts w:ascii="Book Antiqua" w:hAnsi="Book Antiqua"/>
          <w:bCs/>
          <w:lang w:val="en-GB" w:eastAsia="zh-CN"/>
        </w:rPr>
        <w:t>ure</w:t>
      </w:r>
      <w:r w:rsidR="00881C91" w:rsidRPr="009D03BE">
        <w:rPr>
          <w:rFonts w:ascii="Book Antiqua" w:hAnsi="Book Antiqua"/>
          <w:bCs/>
          <w:lang w:val="en-GB"/>
        </w:rPr>
        <w:t xml:space="preserve"> 1A) suffered from recurrent acute otitis media, and </w:t>
      </w:r>
      <w:r w:rsidR="00841405" w:rsidRPr="009D03BE">
        <w:rPr>
          <w:rFonts w:ascii="Book Antiqua" w:hAnsi="Book Antiqua"/>
          <w:bCs/>
          <w:lang w:val="en-GB"/>
        </w:rPr>
        <w:t xml:space="preserve">he </w:t>
      </w:r>
      <w:r w:rsidR="00881C91" w:rsidRPr="009D03BE">
        <w:rPr>
          <w:rFonts w:ascii="Book Antiqua" w:hAnsi="Book Antiqua"/>
          <w:bCs/>
          <w:lang w:val="en-GB"/>
        </w:rPr>
        <w:t>underwent substitutive IgG infusion</w:t>
      </w:r>
    </w:p>
    <w:p w14:paraId="2F791F5A" w14:textId="77777777" w:rsidR="002A7E3B" w:rsidRPr="009D03BE" w:rsidRDefault="001B010B"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 xml:space="preserve">We failed to demonstrate potential risk factors </w:t>
      </w:r>
      <w:r w:rsidR="003F0BA6" w:rsidRPr="009D03BE">
        <w:rPr>
          <w:rFonts w:ascii="Book Antiqua" w:hAnsi="Book Antiqua"/>
          <w:lang w:val="en-GB"/>
        </w:rPr>
        <w:t xml:space="preserve">of developing IgG hypogammaglobulinemia after RTX treatment in patients with NS probably because </w:t>
      </w:r>
      <w:r w:rsidR="007640A6" w:rsidRPr="009D03BE">
        <w:rPr>
          <w:rFonts w:ascii="Book Antiqua" w:hAnsi="Book Antiqua"/>
          <w:lang w:val="en-GB"/>
        </w:rPr>
        <w:t xml:space="preserve">of </w:t>
      </w:r>
      <w:r w:rsidR="003F0BA6" w:rsidRPr="009D03BE">
        <w:rPr>
          <w:rFonts w:ascii="Book Antiqua" w:hAnsi="Book Antiqua"/>
          <w:lang w:val="en-GB"/>
        </w:rPr>
        <w:t xml:space="preserve">the limited population number. However, we </w:t>
      </w:r>
      <w:r w:rsidR="007640A6" w:rsidRPr="009D03BE">
        <w:rPr>
          <w:rFonts w:ascii="Book Antiqua" w:hAnsi="Book Antiqua"/>
          <w:lang w:val="en-GB"/>
        </w:rPr>
        <w:t>did identify</w:t>
      </w:r>
      <w:r w:rsidR="003F0BA6" w:rsidRPr="009D03BE">
        <w:rPr>
          <w:rFonts w:ascii="Book Antiqua" w:hAnsi="Book Antiqua"/>
          <w:lang w:val="en-GB"/>
        </w:rPr>
        <w:t xml:space="preserve"> </w:t>
      </w:r>
      <w:r w:rsidR="00BB5FB4" w:rsidRPr="009D03BE">
        <w:rPr>
          <w:rFonts w:ascii="Book Antiqua" w:hAnsi="Book Antiqua"/>
          <w:lang w:val="en-GB"/>
        </w:rPr>
        <w:t xml:space="preserve">a trend showing that the patients developing IgG hypogammaglobulinemia were younger both at NS onset and first RTX infusion </w:t>
      </w:r>
      <w:r w:rsidR="007640A6" w:rsidRPr="009D03BE">
        <w:rPr>
          <w:rFonts w:ascii="Book Antiqua" w:hAnsi="Book Antiqua"/>
          <w:lang w:val="en-GB"/>
        </w:rPr>
        <w:t>than patients who did not develop</w:t>
      </w:r>
      <w:r w:rsidR="00BB5FB4" w:rsidRPr="009D03BE">
        <w:rPr>
          <w:rFonts w:ascii="Book Antiqua" w:hAnsi="Book Antiqua"/>
          <w:lang w:val="en-GB"/>
        </w:rPr>
        <w:t xml:space="preserve"> IgG hypogammaglobulinemia. </w:t>
      </w:r>
      <w:r w:rsidR="007B2F47" w:rsidRPr="009D03BE">
        <w:rPr>
          <w:rFonts w:ascii="Book Antiqua" w:hAnsi="Book Antiqua"/>
          <w:lang w:val="en-GB"/>
        </w:rPr>
        <w:t>In</w:t>
      </w:r>
      <w:r w:rsidR="007640A6" w:rsidRPr="009D03BE">
        <w:rPr>
          <w:rFonts w:ascii="Book Antiqua" w:hAnsi="Book Antiqua"/>
          <w:lang w:val="en-GB"/>
        </w:rPr>
        <w:t xml:space="preserve"> the</w:t>
      </w:r>
      <w:r w:rsidR="007B2F47" w:rsidRPr="009D03BE">
        <w:rPr>
          <w:rFonts w:ascii="Book Antiqua" w:hAnsi="Book Antiqua"/>
          <w:lang w:val="en-GB"/>
        </w:rPr>
        <w:t xml:space="preserve"> literature, data about risk factors of developing post-RTX hypogammaglobulinemia</w:t>
      </w:r>
      <w:r w:rsidR="00B84C58" w:rsidRPr="009D03BE">
        <w:rPr>
          <w:rFonts w:ascii="Book Antiqua" w:hAnsi="Book Antiqua"/>
          <w:lang w:val="en-GB"/>
        </w:rPr>
        <w:t xml:space="preserve"> in children with NS</w:t>
      </w:r>
      <w:r w:rsidR="007B2F47" w:rsidRPr="009D03BE">
        <w:rPr>
          <w:rFonts w:ascii="Book Antiqua" w:hAnsi="Book Antiqua"/>
          <w:lang w:val="en-GB"/>
        </w:rPr>
        <w:t xml:space="preserve"> are not yet available</w:t>
      </w:r>
      <w:r w:rsidR="00B84C58" w:rsidRPr="009D03BE">
        <w:rPr>
          <w:rFonts w:ascii="Book Antiqua" w:hAnsi="Book Antiqua"/>
          <w:lang w:val="en-GB"/>
        </w:rPr>
        <w:t>.</w:t>
      </w:r>
      <w:r w:rsidR="007B2F47" w:rsidRPr="009D03BE">
        <w:rPr>
          <w:rFonts w:ascii="Book Antiqua" w:hAnsi="Book Antiqua"/>
          <w:lang w:val="en-GB"/>
        </w:rPr>
        <w:t xml:space="preserve"> </w:t>
      </w:r>
      <w:r w:rsidR="00B84C58" w:rsidRPr="009D03BE">
        <w:rPr>
          <w:rFonts w:ascii="Book Antiqua" w:hAnsi="Book Antiqua"/>
          <w:lang w:val="en-GB"/>
        </w:rPr>
        <w:t>H</w:t>
      </w:r>
      <w:r w:rsidR="007B2F47" w:rsidRPr="009D03BE">
        <w:rPr>
          <w:rFonts w:ascii="Book Antiqua" w:hAnsi="Book Antiqua"/>
          <w:lang w:val="en-GB"/>
        </w:rPr>
        <w:t xml:space="preserve">owever, </w:t>
      </w:r>
      <w:r w:rsidR="007640A6" w:rsidRPr="009D03BE">
        <w:rPr>
          <w:rFonts w:ascii="Book Antiqua" w:hAnsi="Book Antiqua"/>
          <w:lang w:val="en-GB"/>
        </w:rPr>
        <w:t>more than one</w:t>
      </w:r>
      <w:r w:rsidR="00B84C58" w:rsidRPr="009D03BE">
        <w:rPr>
          <w:rFonts w:ascii="Book Antiqua" w:hAnsi="Book Antiqua"/>
          <w:lang w:val="en-GB"/>
        </w:rPr>
        <w:t xml:space="preserve"> course of RTX, previous exposure to purine analogues, </w:t>
      </w:r>
      <w:r w:rsidR="007640A6" w:rsidRPr="009D03BE">
        <w:rPr>
          <w:rFonts w:ascii="Book Antiqua" w:hAnsi="Book Antiqua"/>
          <w:lang w:val="en-GB"/>
        </w:rPr>
        <w:t xml:space="preserve">more than eight </w:t>
      </w:r>
      <w:r w:rsidR="00B84C58" w:rsidRPr="009D03BE">
        <w:rPr>
          <w:rFonts w:ascii="Book Antiqua" w:hAnsi="Book Antiqua"/>
          <w:lang w:val="en-GB"/>
        </w:rPr>
        <w:t xml:space="preserve">doses of RTX, RTX maintenance regimens, age at the administration of RTX, </w:t>
      </w:r>
      <w:r w:rsidR="007640A6" w:rsidRPr="009D03BE">
        <w:rPr>
          <w:rFonts w:ascii="Book Antiqua" w:hAnsi="Book Antiqua"/>
          <w:lang w:val="en-GB"/>
        </w:rPr>
        <w:t xml:space="preserve">and </w:t>
      </w:r>
      <w:r w:rsidR="00B84C58" w:rsidRPr="009D03BE">
        <w:rPr>
          <w:rFonts w:ascii="Book Antiqua" w:hAnsi="Book Antiqua"/>
          <w:lang w:val="en-GB"/>
        </w:rPr>
        <w:t xml:space="preserve">post-RTX mycophenolate administration have been identified as risk factors in adults undergoing RTX administration </w:t>
      </w:r>
      <w:r w:rsidR="000E07F6" w:rsidRPr="009D03BE">
        <w:rPr>
          <w:rFonts w:ascii="Book Antiqua" w:hAnsi="Book Antiqua"/>
          <w:lang w:val="en-GB"/>
        </w:rPr>
        <w:t xml:space="preserve">because </w:t>
      </w:r>
      <w:r w:rsidR="00F20283" w:rsidRPr="009D03BE">
        <w:rPr>
          <w:rFonts w:ascii="Book Antiqua" w:hAnsi="Book Antiqua"/>
          <w:lang w:val="en-GB"/>
        </w:rPr>
        <w:t>of</w:t>
      </w:r>
      <w:r w:rsidR="000E07F6" w:rsidRPr="009D03BE">
        <w:rPr>
          <w:rFonts w:ascii="Book Antiqua" w:hAnsi="Book Antiqua"/>
          <w:lang w:val="en-GB"/>
        </w:rPr>
        <w:t xml:space="preserve"> non-Hodgkin lymphoma, rheumatoid arthritis,</w:t>
      </w:r>
      <w:r w:rsidR="007640A6" w:rsidRPr="009D03BE">
        <w:rPr>
          <w:rFonts w:ascii="Book Antiqua" w:hAnsi="Book Antiqua"/>
          <w:lang w:val="en-GB"/>
        </w:rPr>
        <w:t xml:space="preserve"> and</w:t>
      </w:r>
      <w:r w:rsidR="000E07F6" w:rsidRPr="009D03BE">
        <w:rPr>
          <w:rFonts w:ascii="Book Antiqua" w:hAnsi="Book Antiqua"/>
          <w:lang w:val="en-GB"/>
        </w:rPr>
        <w:t xml:space="preserve"> systemic Lupus Erythematous</w:t>
      </w:r>
      <w:r w:rsidR="00047562"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{"citationItems":[{"id":"ITEM-1","itemData":{"DOI":"10.1080/08830185.2017.1346092","ISSN":"1563-5244","PMID":"28800262","abstract":"Rituximab (RTX) is a monoclonal antibody against CD20, commonly used in the treatment of hematological malignancies and autoimmune diseases. The use of RTX is related to the development of hypogammaglobulinemia and infections. Aim of this review is to summarize the evidence supporting the association of specific risk factors with the development of hypogammaglobulinemia and infections post-RTX. Immunological complications are more common in patients with malignant diseases as compared to non-malignant diseases. Moreover, the use of more than one dose of RTX, maintenance regimens, low pre-treatment basal immunoglobulin levels and the association with Mycophenolate and purine analogues represent risk factors for the development of hypogammaglobulinemia. The number of RTX courses, the evidence of low IgG levels for more than 6 months, the use of G-CSF, the occurrence of chronic lung disease, cardiac insufficiency, extra-articular involvement in patients with rheumatoid arthritis, low levels of IgG and older age have been correlated with a higher risk of infections. Even though the heterogeneity of the studies in terms of study population age and underlying disease, RTX schedules as well as differences in pre-treatment or concomitant therapy doesn't allow drawing definitive conclusions, the study of the literature highlight the association of specific risk factors with the occurrence of hypogammaglobulinemia and/or infections. A long term randomized controlled clinical trial could be useful to define a personalized evidence-based risk management plan for patients treated with RTX.","author":[{"dropping-particle":"","family":"Christou","given":"Evangelos A A","non-dropping-particle":"","parse-names":false,"suffix":""},{"dropping-particle":"","family":"Giardino","given":"Giuliana","non-dropping-particle":"","parse-names":false,"suffix":""},{"dropping-particle":"","family":"Worth","given":"Austen","non-dropping-particle":"","parse-names":false,"suffix":""},{"dropping-particle":"","family":"Ladomenou","given":"Fani","non-dropping-particle":"","parse-names":false,"suffix":""}],"container-title":"International reviews of immunology","id":"ITEM-1","issue":"6","issued":{"date-parts":[["2017","11","2"]]},"page":"352-359","title":"Risk factors predisposing to the development of hypogammaglobulinemia and infections post-Rituximab.","type":"article-journal","volume":"36"},"uris":["http://www.mendeley.com/documents/?uuid=39bacaa8-6078-39b0-aebf-6fe5c6e7f978"]}],"mendeley":{"formattedCitation":"&lt;sup&gt;[9]&lt;/sup&gt;","plainTextFormattedCitation":"[9]"},"properties":{"noteIndex":0},"schema":"https://github.com/citation-style-language/schema/raw/master/csl-citation.json"}</w:instrText>
      </w:r>
      <w:r w:rsidR="00047562" w:rsidRPr="009D03BE">
        <w:rPr>
          <w:rFonts w:ascii="Book Antiqua" w:hAnsi="Book Antiqua"/>
          <w:lang w:val="en-GB"/>
        </w:rPr>
        <w:fldChar w:fldCharType="separate"/>
      </w:r>
      <w:r w:rsidR="00047562" w:rsidRPr="009D03BE">
        <w:rPr>
          <w:rFonts w:ascii="Book Antiqua" w:hAnsi="Book Antiqua"/>
          <w:vertAlign w:val="superscript"/>
          <w:lang w:val="en-GB"/>
        </w:rPr>
        <w:t>[9]</w:t>
      </w:r>
      <w:r w:rsidR="00047562" w:rsidRPr="009D03BE">
        <w:rPr>
          <w:rFonts w:ascii="Book Antiqua" w:hAnsi="Book Antiqua"/>
          <w:lang w:val="en-GB"/>
        </w:rPr>
        <w:fldChar w:fldCharType="end"/>
      </w:r>
      <w:r w:rsidR="000E07F6" w:rsidRPr="009D03BE">
        <w:rPr>
          <w:rFonts w:ascii="Book Antiqua" w:hAnsi="Book Antiqua"/>
          <w:lang w:val="en-GB"/>
        </w:rPr>
        <w:t>.</w:t>
      </w:r>
    </w:p>
    <w:p w14:paraId="54B489A6" w14:textId="77777777" w:rsidR="00793007" w:rsidRPr="009D03BE" w:rsidRDefault="002070CB"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Regarding</w:t>
      </w:r>
      <w:r w:rsidR="00D50354" w:rsidRPr="009D03BE">
        <w:rPr>
          <w:rFonts w:ascii="Book Antiqua" w:hAnsi="Book Antiqua"/>
          <w:lang w:val="en-GB"/>
        </w:rPr>
        <w:t xml:space="preserve"> the risk of severe infections fol</w:t>
      </w:r>
      <w:r w:rsidR="00287A5C" w:rsidRPr="009D03BE">
        <w:rPr>
          <w:rFonts w:ascii="Book Antiqua" w:hAnsi="Book Antiqua"/>
          <w:lang w:val="en-GB"/>
        </w:rPr>
        <w:t>lowing RTX infusion in</w:t>
      </w:r>
      <w:r w:rsidR="00800FB4" w:rsidRPr="009D03BE">
        <w:rPr>
          <w:rFonts w:ascii="Book Antiqua" w:hAnsi="Book Antiqua"/>
          <w:lang w:val="en-GB"/>
        </w:rPr>
        <w:t xml:space="preserve"> </w:t>
      </w:r>
      <w:r w:rsidR="00356FE9" w:rsidRPr="009D03BE">
        <w:rPr>
          <w:rFonts w:ascii="Book Antiqua" w:hAnsi="Book Antiqua"/>
          <w:lang w:val="en-GB"/>
        </w:rPr>
        <w:t>paediatric</w:t>
      </w:r>
      <w:r w:rsidR="00800FB4" w:rsidRPr="009D03BE">
        <w:rPr>
          <w:rFonts w:ascii="Book Antiqua" w:hAnsi="Book Antiqua"/>
          <w:lang w:val="en-GB"/>
        </w:rPr>
        <w:t xml:space="preserve"> patients affected by</w:t>
      </w:r>
      <w:r w:rsidR="00287A5C" w:rsidRPr="009D03BE">
        <w:rPr>
          <w:rFonts w:ascii="Book Antiqua" w:hAnsi="Book Antiqua"/>
          <w:lang w:val="en-GB"/>
        </w:rPr>
        <w:t xml:space="preserve"> NS</w:t>
      </w:r>
      <w:r w:rsidR="00800FB4" w:rsidRPr="009D03BE">
        <w:rPr>
          <w:rFonts w:ascii="Book Antiqua" w:hAnsi="Book Antiqua"/>
          <w:lang w:val="en-GB"/>
        </w:rPr>
        <w:t>, among</w:t>
      </w:r>
      <w:r w:rsidR="00287A5C" w:rsidRPr="009D03BE">
        <w:rPr>
          <w:rFonts w:ascii="Book Antiqua" w:hAnsi="Book Antiqua"/>
          <w:lang w:val="en-GB"/>
        </w:rPr>
        <w:t xml:space="preserve"> </w:t>
      </w:r>
      <w:r w:rsidR="00800FB4" w:rsidRPr="009D03BE">
        <w:rPr>
          <w:rFonts w:ascii="Book Antiqua" w:hAnsi="Book Antiqua"/>
          <w:lang w:val="en-GB"/>
        </w:rPr>
        <w:t>the</w:t>
      </w:r>
      <w:r w:rsidR="00441F9B" w:rsidRPr="009D03BE">
        <w:rPr>
          <w:rFonts w:ascii="Book Antiqua" w:hAnsi="Book Antiqua"/>
          <w:lang w:val="en-GB"/>
        </w:rPr>
        <w:t xml:space="preserve"> </w:t>
      </w:r>
      <w:r w:rsidR="00DC415F" w:rsidRPr="009D03BE">
        <w:rPr>
          <w:rFonts w:ascii="Book Antiqua" w:hAnsi="Book Antiqua"/>
          <w:lang w:val="en-GB"/>
        </w:rPr>
        <w:t>27 patients</w:t>
      </w:r>
      <w:r w:rsidR="00441F9B" w:rsidRPr="009D03BE">
        <w:rPr>
          <w:rFonts w:ascii="Book Antiqua" w:hAnsi="Book Antiqua"/>
          <w:lang w:val="en-GB"/>
        </w:rPr>
        <w:t xml:space="preserve"> showing post-RTX IgG hypogammaglobulinemia </w:t>
      </w:r>
      <w:r w:rsidR="00DC415F" w:rsidRPr="009D03BE">
        <w:rPr>
          <w:rFonts w:ascii="Book Antiqua" w:hAnsi="Book Antiqua"/>
          <w:lang w:val="en-GB"/>
        </w:rPr>
        <w:t xml:space="preserve">(including our patients and </w:t>
      </w:r>
      <w:r w:rsidRPr="009D03BE">
        <w:rPr>
          <w:rFonts w:ascii="Book Antiqua" w:hAnsi="Book Antiqua"/>
          <w:lang w:val="en-GB"/>
        </w:rPr>
        <w:t>other in</w:t>
      </w:r>
      <w:r w:rsidR="00744629" w:rsidRPr="009D03BE">
        <w:rPr>
          <w:rFonts w:ascii="Book Antiqua" w:hAnsi="Book Antiqua"/>
          <w:lang w:val="en-GB"/>
        </w:rPr>
        <w:t xml:space="preserve"> the literature with available follow-up</w:t>
      </w:r>
      <w:r w:rsidR="00DC415F" w:rsidRPr="009D03BE">
        <w:rPr>
          <w:rFonts w:ascii="Book Antiqua" w:hAnsi="Book Antiqua"/>
          <w:lang w:val="en-GB"/>
        </w:rPr>
        <w:t>)</w:t>
      </w:r>
      <w:r w:rsidR="00441F9B"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1.0 g/L and were not significantly different from the MMF/CyA group (8.2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syndrome?","type":"article-journal","volume":"28"},"uris":["http://www.mendeley.com/documents/?uuid=cae5fc94-754f-32af-8245-3e350d2db4df"]},{"id":"ITEM-2","itemData":{"DOI":"10.5414/CN108835","ISSN":"0301-0430","PMID":"27125626","abstract":"BACKGROUND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nephrology","id":"ITEM-2","issue":"6","issued":{"date-parts":[["2016","6","1"]]},"page":"340-5","title":"Late-onset adverse events after a single dose of rituximab in children with complicated steroid-dependent nephrotic syndrome.","type":"article-journal","volume":"85"},"uris":["http://www.mendeley.com/documents/?uuid=be83b04e-2a8b-3bf0-bd35-0ecf7b13bb0e"]}],"mendeley":{"formattedCitation":"&lt;sup&gt;[5,6]&lt;/sup&gt;","plainTextFormattedCitation":"[5,6]","previouslyFormattedCitation":"&lt;sup&gt;[5,6]&lt;/sup&gt;"},"properties":{"noteIndex":0},"schema":"https://github.com/citation-style-language/schema/raw/master/csl-citation.json"}</w:instrText>
      </w:r>
      <w:r w:rsidR="00441F9B" w:rsidRPr="009D03BE">
        <w:rPr>
          <w:rFonts w:ascii="Book Antiqua" w:hAnsi="Book Antiqua"/>
          <w:lang w:val="en-GB"/>
        </w:rPr>
        <w:fldChar w:fldCharType="separate"/>
      </w:r>
      <w:r w:rsidR="00FE12CB" w:rsidRPr="009D03BE">
        <w:rPr>
          <w:rFonts w:ascii="Book Antiqua" w:hAnsi="Book Antiqua"/>
          <w:vertAlign w:val="superscript"/>
          <w:lang w:val="en-GB"/>
        </w:rPr>
        <w:t>[5,6]</w:t>
      </w:r>
      <w:r w:rsidR="00441F9B" w:rsidRPr="009D03BE">
        <w:rPr>
          <w:rFonts w:ascii="Book Antiqua" w:hAnsi="Book Antiqua"/>
          <w:lang w:val="en-GB"/>
        </w:rPr>
        <w:fldChar w:fldCharType="end"/>
      </w:r>
      <w:r w:rsidRPr="009D03BE">
        <w:rPr>
          <w:rFonts w:ascii="Book Antiqua" w:hAnsi="Book Antiqua"/>
          <w:lang w:val="en-GB"/>
        </w:rPr>
        <w:t xml:space="preserve">, </w:t>
      </w:r>
      <w:r w:rsidR="00DC415F" w:rsidRPr="009D03BE">
        <w:rPr>
          <w:rFonts w:ascii="Book Antiqua" w:hAnsi="Book Antiqua"/>
          <w:lang w:val="en-GB"/>
        </w:rPr>
        <w:t>no life-threatening infection</w:t>
      </w:r>
      <w:r w:rsidRPr="009D03BE">
        <w:rPr>
          <w:rFonts w:ascii="Book Antiqua" w:hAnsi="Book Antiqua"/>
          <w:lang w:val="en-GB"/>
        </w:rPr>
        <w:t>s</w:t>
      </w:r>
      <w:r w:rsidR="00DC415F" w:rsidRPr="009D03BE">
        <w:rPr>
          <w:rFonts w:ascii="Book Antiqua" w:hAnsi="Book Antiqua"/>
          <w:lang w:val="en-GB"/>
        </w:rPr>
        <w:t xml:space="preserve"> were detected. </w:t>
      </w:r>
      <w:r w:rsidR="004435E2" w:rsidRPr="009D03BE">
        <w:rPr>
          <w:rFonts w:ascii="Book Antiqua" w:hAnsi="Book Antiqua"/>
          <w:lang w:val="en-GB"/>
        </w:rPr>
        <w:t>Among non-</w:t>
      </w:r>
      <w:r w:rsidR="00441F9B" w:rsidRPr="009D03BE">
        <w:rPr>
          <w:rFonts w:ascii="Book Antiqua" w:hAnsi="Book Antiqua"/>
          <w:lang w:val="en-GB"/>
        </w:rPr>
        <w:t>life-threatening infections, o</w:t>
      </w:r>
      <w:r w:rsidR="00B64E6C" w:rsidRPr="009D03BE">
        <w:rPr>
          <w:rFonts w:ascii="Book Antiqua" w:hAnsi="Book Antiqua"/>
          <w:lang w:val="en-GB"/>
        </w:rPr>
        <w:t xml:space="preserve">ne patient </w:t>
      </w:r>
      <w:r w:rsidR="00B64E6C" w:rsidRPr="009D03BE">
        <w:rPr>
          <w:rFonts w:ascii="Book Antiqua" w:hAnsi="Book Antiqua"/>
          <w:lang w:val="en-GB"/>
        </w:rPr>
        <w:lastRenderedPageBreak/>
        <w:t>presented bronchitis</w:t>
      </w:r>
      <w:r w:rsidR="00441F9B"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nephrology","id":"ITEM-1","issue":"6","issued":{"date-parts":[["2016","6","1"]]},"page":"340-5","title":"Late-onset adverse events after a single dose of rituximab in children with complicated steroid-dependent nephrotic syndrome.","type":"article-journal","volume":"85"},"uris":["http://www.mendeley.com/documents/?uuid=be83b04e-2a8b-3bf0-bd35-0ecf7b13bb0e"]}],"mendeley":{"formattedCitation":"&lt;sup&gt;[6]&lt;/sup&gt;","plainTextFormattedCitation":"[6]","previouslyFormattedCitation":"&lt;sup&gt;[6]&lt;/sup&gt;"},"properties":{"noteIndex":0},"schema":"https://github.com/citation-style-language/schema/raw/master/csl-citation.json"}</w:instrText>
      </w:r>
      <w:r w:rsidR="00441F9B" w:rsidRPr="009D03BE">
        <w:rPr>
          <w:rFonts w:ascii="Book Antiqua" w:hAnsi="Book Antiqua"/>
          <w:lang w:val="en-GB"/>
        </w:rPr>
        <w:fldChar w:fldCharType="separate"/>
      </w:r>
      <w:r w:rsidR="00FE12CB" w:rsidRPr="009D03BE">
        <w:rPr>
          <w:rFonts w:ascii="Book Antiqua" w:hAnsi="Book Antiqua"/>
          <w:vertAlign w:val="superscript"/>
          <w:lang w:val="en-GB"/>
        </w:rPr>
        <w:t>[6]</w:t>
      </w:r>
      <w:r w:rsidR="00441F9B" w:rsidRPr="009D03BE">
        <w:rPr>
          <w:rFonts w:ascii="Book Antiqua" w:hAnsi="Book Antiqua"/>
          <w:lang w:val="en-GB"/>
        </w:rPr>
        <w:fldChar w:fldCharType="end"/>
      </w:r>
      <w:r w:rsidR="00B64E6C" w:rsidRPr="009D03BE">
        <w:rPr>
          <w:rFonts w:ascii="Book Antiqua" w:hAnsi="Book Antiqua"/>
          <w:lang w:val="en-GB"/>
        </w:rPr>
        <w:t>,</w:t>
      </w:r>
      <w:r w:rsidR="00441F9B" w:rsidRPr="009D03BE">
        <w:rPr>
          <w:rFonts w:ascii="Book Antiqua" w:hAnsi="Book Antiqua"/>
          <w:lang w:val="en-GB"/>
        </w:rPr>
        <w:t xml:space="preserve"> </w:t>
      </w:r>
      <w:r w:rsidR="00B64E6C" w:rsidRPr="009D03BE">
        <w:rPr>
          <w:rFonts w:ascii="Book Antiqua" w:hAnsi="Book Antiqua"/>
          <w:lang w:val="en-GB"/>
        </w:rPr>
        <w:t>one enteritis</w:t>
      </w:r>
      <w:r w:rsidR="00441F9B"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nephrology","id":"ITEM-1","issue":"6","issued":{"date-parts":[["2016","6","1"]]},"page":"340-5","title":"Late-onset adverse events after a single dose of rituximab in children with complicated steroid-dependent nephrotic syndrome.","type":"article-journal","volume":"85"},"uris":["http://www.mendeley.com/documents/?uuid=be83b04e-2a8b-3bf0-bd35-0ecf7b13bb0e"]}],"mendeley":{"formattedCitation":"&lt;sup&gt;[6]&lt;/sup&gt;","plainTextFormattedCitation":"[6]","previouslyFormattedCitation":"&lt;sup&gt;[6]&lt;/sup&gt;"},"properties":{"noteIndex":0},"schema":"https://github.com/citation-style-language/schema/raw/master/csl-citation.json"}</w:instrText>
      </w:r>
      <w:r w:rsidR="00441F9B" w:rsidRPr="009D03BE">
        <w:rPr>
          <w:rFonts w:ascii="Book Antiqua" w:hAnsi="Book Antiqua"/>
          <w:lang w:val="en-GB"/>
        </w:rPr>
        <w:fldChar w:fldCharType="separate"/>
      </w:r>
      <w:r w:rsidR="00FE12CB" w:rsidRPr="009D03BE">
        <w:rPr>
          <w:rFonts w:ascii="Book Antiqua" w:hAnsi="Book Antiqua"/>
          <w:vertAlign w:val="superscript"/>
          <w:lang w:val="en-GB"/>
        </w:rPr>
        <w:t>[6]</w:t>
      </w:r>
      <w:r w:rsidR="00441F9B" w:rsidRPr="009D03BE">
        <w:rPr>
          <w:rFonts w:ascii="Book Antiqua" w:hAnsi="Book Antiqua"/>
          <w:lang w:val="en-GB"/>
        </w:rPr>
        <w:fldChar w:fldCharType="end"/>
      </w:r>
      <w:r w:rsidR="00B64E6C" w:rsidRPr="009D03BE">
        <w:rPr>
          <w:rFonts w:ascii="Book Antiqua" w:hAnsi="Book Antiqua"/>
          <w:lang w:val="en-GB"/>
        </w:rPr>
        <w:t>,</w:t>
      </w:r>
      <w:r w:rsidR="00E8481B" w:rsidRPr="009D03BE">
        <w:rPr>
          <w:rFonts w:ascii="Book Antiqua" w:hAnsi="Book Antiqua"/>
          <w:lang w:val="en-GB"/>
        </w:rPr>
        <w:t xml:space="preserve"> </w:t>
      </w:r>
      <w:r w:rsidR="00E101BA" w:rsidRPr="009D03BE">
        <w:rPr>
          <w:rFonts w:ascii="Book Antiqua" w:hAnsi="Book Antiqua"/>
          <w:lang w:val="en-GB"/>
        </w:rPr>
        <w:t>and o</w:t>
      </w:r>
      <w:r w:rsidR="00287A5C" w:rsidRPr="009D03BE">
        <w:rPr>
          <w:rFonts w:ascii="Book Antiqua" w:hAnsi="Book Antiqua"/>
          <w:lang w:val="en-GB"/>
        </w:rPr>
        <w:t xml:space="preserve">ne </w:t>
      </w:r>
      <w:r w:rsidR="00E101BA" w:rsidRPr="009D03BE">
        <w:rPr>
          <w:rFonts w:ascii="Book Antiqua" w:hAnsi="Book Antiqua"/>
          <w:lang w:val="en-GB"/>
        </w:rPr>
        <w:t>recurrent episodes of acute otitis</w:t>
      </w:r>
      <w:r w:rsidR="00CD069B" w:rsidRPr="009D03BE">
        <w:rPr>
          <w:rFonts w:ascii="Book Antiqua" w:hAnsi="Book Antiqua"/>
          <w:lang w:val="en-GB"/>
        </w:rPr>
        <w:t xml:space="preserve"> media</w:t>
      </w:r>
      <w:r w:rsidR="00E101BA" w:rsidRPr="009D03BE">
        <w:rPr>
          <w:rFonts w:ascii="Book Antiqua" w:hAnsi="Book Antiqua"/>
          <w:lang w:val="en-GB"/>
        </w:rPr>
        <w:t>.</w:t>
      </w:r>
      <w:r w:rsidR="00FD006E" w:rsidRPr="009D03BE">
        <w:rPr>
          <w:rFonts w:ascii="Book Antiqua" w:hAnsi="Book Antiqua"/>
          <w:lang w:val="en-GB"/>
        </w:rPr>
        <w:t xml:space="preserve"> </w:t>
      </w:r>
      <w:r w:rsidR="00793007" w:rsidRPr="009D03BE">
        <w:rPr>
          <w:rFonts w:ascii="Book Antiqua" w:hAnsi="Book Antiqua"/>
          <w:lang w:val="en-GB"/>
        </w:rPr>
        <w:t xml:space="preserve">Moreover, evaluating the need </w:t>
      </w:r>
      <w:r w:rsidR="0008272D" w:rsidRPr="009D03BE">
        <w:rPr>
          <w:rFonts w:ascii="Book Antiqua" w:hAnsi="Book Antiqua"/>
          <w:lang w:val="en-GB"/>
        </w:rPr>
        <w:t xml:space="preserve">of substitutive IgG infusion, </w:t>
      </w:r>
      <w:r w:rsidR="00793007" w:rsidRPr="009D03BE">
        <w:rPr>
          <w:rFonts w:ascii="Book Antiqua" w:hAnsi="Book Antiqua"/>
          <w:lang w:val="en-GB"/>
        </w:rPr>
        <w:t>4 out</w:t>
      </w:r>
      <w:r w:rsidR="007A12ED" w:rsidRPr="009D03BE">
        <w:rPr>
          <w:rFonts w:ascii="Book Antiqua" w:hAnsi="Book Antiqua"/>
          <w:lang w:val="en-GB"/>
        </w:rPr>
        <w:t xml:space="preserve"> of the 27 patients underwent</w:t>
      </w:r>
      <w:r w:rsidR="00793007" w:rsidRPr="009D03BE">
        <w:rPr>
          <w:rFonts w:ascii="Book Antiqua" w:hAnsi="Book Antiqua"/>
          <w:lang w:val="en-GB"/>
        </w:rPr>
        <w:t xml:space="preserve"> IgG supplementation</w:t>
      </w:r>
      <w:r w:rsidR="009F2D34" w:rsidRPr="009D03BE">
        <w:rPr>
          <w:rFonts w:ascii="Book Antiqua" w:hAnsi="Book Antiqua"/>
          <w:lang w:val="en-GB"/>
        </w:rPr>
        <w:t>. Among these 4 patients, 3 received IgG suppleme</w:t>
      </w:r>
      <w:r w:rsidR="00B64E6C" w:rsidRPr="009D03BE">
        <w:rPr>
          <w:rFonts w:ascii="Book Antiqua" w:hAnsi="Book Antiqua"/>
          <w:lang w:val="en-GB"/>
        </w:rPr>
        <w:t>ntation only for low IgG levels</w:t>
      </w:r>
      <w:r w:rsidR="0098181D"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1.0 g/L and were not significantly different from the MMF/CyA group (8.2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syndrome?","type":"article-journal","volume":"28"},"uris":["http://www.mendeley.com/documents/?uuid=cae5fc94-754f-32af-8245-3e350d2db4df"]},{"id":"ITEM-2","itemData":{"DOI":"10.5414/CN108835","ISSN":"0301-0430","PMID":"27125626","abstract":"BACKGROUND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nephrology","id":"ITEM-2","issue":"6","issued":{"date-parts":[["2016","6","1"]]},"page":"340-5","title":"Late-onset adverse events after a single dose of rituximab in children with complicated steroid-dependent nephrotic syndrome.","type":"article-journal","volume":"85"},"uris":["http://www.mendeley.com/documents/?uuid=be83b04e-2a8b-3bf0-bd35-0ecf7b13bb0e"]}],"mendeley":{"formattedCitation":"&lt;sup&gt;[5,6]&lt;/sup&gt;","plainTextFormattedCitation":"[5,6]","previouslyFormattedCitation":"&lt;sup&gt;[5,6]&lt;/sup&gt;"},"properties":{"noteIndex":0},"schema":"https://github.com/citation-style-language/schema/raw/master/csl-citation.json"}</w:instrText>
      </w:r>
      <w:r w:rsidR="0098181D" w:rsidRPr="009D03BE">
        <w:rPr>
          <w:rFonts w:ascii="Book Antiqua" w:hAnsi="Book Antiqua"/>
          <w:lang w:val="en-GB"/>
        </w:rPr>
        <w:fldChar w:fldCharType="separate"/>
      </w:r>
      <w:r w:rsidR="00FE12CB" w:rsidRPr="009D03BE">
        <w:rPr>
          <w:rFonts w:ascii="Book Antiqua" w:hAnsi="Book Antiqua"/>
          <w:vertAlign w:val="superscript"/>
          <w:lang w:val="en-GB"/>
        </w:rPr>
        <w:t>[5,6]</w:t>
      </w:r>
      <w:r w:rsidR="0098181D" w:rsidRPr="009D03BE">
        <w:rPr>
          <w:rFonts w:ascii="Book Antiqua" w:hAnsi="Book Antiqua"/>
          <w:lang w:val="en-GB"/>
        </w:rPr>
        <w:fldChar w:fldCharType="end"/>
      </w:r>
      <w:r w:rsidR="00B64E6C" w:rsidRPr="009D03BE">
        <w:rPr>
          <w:rFonts w:ascii="Book Antiqua" w:hAnsi="Book Antiqua"/>
          <w:lang w:val="en-GB"/>
        </w:rPr>
        <w:t>,</w:t>
      </w:r>
      <w:r w:rsidR="0098181D" w:rsidRPr="009D03BE">
        <w:rPr>
          <w:rFonts w:ascii="Book Antiqua" w:hAnsi="Book Antiqua"/>
          <w:lang w:val="en-GB"/>
        </w:rPr>
        <w:t xml:space="preserve"> and one for recurrent acute otitis</w:t>
      </w:r>
      <w:r w:rsidR="00CD069B" w:rsidRPr="009D03BE">
        <w:rPr>
          <w:rFonts w:ascii="Book Antiqua" w:hAnsi="Book Antiqua"/>
          <w:lang w:val="en-GB"/>
        </w:rPr>
        <w:t xml:space="preserve"> media</w:t>
      </w:r>
      <w:r w:rsidR="0098181D" w:rsidRPr="009D03BE">
        <w:rPr>
          <w:rFonts w:ascii="Book Antiqua" w:hAnsi="Book Antiqua"/>
          <w:lang w:val="en-GB"/>
        </w:rPr>
        <w:t>.</w:t>
      </w:r>
      <w:r w:rsidR="00E8481B" w:rsidRPr="009D03BE">
        <w:rPr>
          <w:rFonts w:ascii="Book Antiqua" w:hAnsi="Book Antiqua"/>
          <w:lang w:val="en-GB"/>
        </w:rPr>
        <w:t xml:space="preserve"> It is important to </w:t>
      </w:r>
      <w:r w:rsidRPr="009D03BE">
        <w:rPr>
          <w:rFonts w:ascii="Book Antiqua" w:hAnsi="Book Antiqua"/>
          <w:lang w:val="en-GB"/>
        </w:rPr>
        <w:t>emphasize</w:t>
      </w:r>
      <w:r w:rsidR="00E8481B" w:rsidRPr="009D03BE">
        <w:rPr>
          <w:rFonts w:ascii="Book Antiqua" w:hAnsi="Book Antiqua"/>
          <w:lang w:val="en-GB"/>
        </w:rPr>
        <w:t xml:space="preserve"> that one of these patients in IgG supplementation presented aseptic meningitis as</w:t>
      </w:r>
      <w:r w:rsidRPr="009D03BE">
        <w:rPr>
          <w:rFonts w:ascii="Book Antiqua" w:hAnsi="Book Antiqua"/>
          <w:lang w:val="en-GB"/>
        </w:rPr>
        <w:t xml:space="preserve"> an</w:t>
      </w:r>
      <w:r w:rsidR="00E8481B" w:rsidRPr="009D03BE">
        <w:rPr>
          <w:rFonts w:ascii="Book Antiqua" w:hAnsi="Book Antiqua"/>
          <w:lang w:val="en-GB"/>
        </w:rPr>
        <w:t xml:space="preserve"> advers</w:t>
      </w:r>
      <w:r w:rsidR="00B64E6C" w:rsidRPr="009D03BE">
        <w:rPr>
          <w:rFonts w:ascii="Book Antiqua" w:hAnsi="Book Antiqua"/>
          <w:lang w:val="en-GB"/>
        </w:rPr>
        <w:t>e effect of IgG supplementation</w:t>
      </w:r>
      <w:r w:rsidR="00E8481B"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1.0 g/L and were not significantly different from the MMF/CyA group (8.2</w:instrText>
      </w:r>
      <w:r w:rsidR="00047562" w:rsidRPr="009D03BE">
        <w:rPr>
          <w:lang w:val="en-GB"/>
        </w:rPr>
        <w:instrText> </w:instrText>
      </w:r>
      <w:r w:rsidR="00047562" w:rsidRPr="009D03BE">
        <w:rPr>
          <w:rFonts w:ascii="Book Antiqua" w:hAnsi="Book Antiqua" w:cs="Book Antiqua"/>
          <w:lang w:val="en-GB"/>
        </w:rPr>
        <w:instrText>±</w:instrText>
      </w:r>
      <w:r w:rsidR="00047562" w:rsidRPr="009D03BE">
        <w:rPr>
          <w:lang w:val="en-GB"/>
        </w:rPr>
        <w:instrText> </w:instrText>
      </w:r>
      <w:r w:rsidR="00047562"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mendeley":{"formattedCitation":"&lt;sup&gt;[5]&lt;/sup&gt;","plainTextFormattedCitation":"[5]","previouslyFormattedCitation":"&lt;sup&gt;[5]&lt;/sup&gt;"},"properties":{"noteIndex":0},"schema":"https://github.com/citation-style-language/schema/raw/master/csl-citation.json"}</w:instrText>
      </w:r>
      <w:r w:rsidR="00E8481B" w:rsidRPr="009D03BE">
        <w:rPr>
          <w:rFonts w:ascii="Book Antiqua" w:hAnsi="Book Antiqua"/>
          <w:lang w:val="en-GB"/>
        </w:rPr>
        <w:fldChar w:fldCharType="separate"/>
      </w:r>
      <w:r w:rsidR="00FE12CB" w:rsidRPr="009D03BE">
        <w:rPr>
          <w:rFonts w:ascii="Book Antiqua" w:hAnsi="Book Antiqua"/>
          <w:vertAlign w:val="superscript"/>
          <w:lang w:val="en-GB"/>
        </w:rPr>
        <w:t>[5]</w:t>
      </w:r>
      <w:r w:rsidR="00E8481B" w:rsidRPr="009D03BE">
        <w:rPr>
          <w:rFonts w:ascii="Book Antiqua" w:hAnsi="Book Antiqua"/>
          <w:lang w:val="en-GB"/>
        </w:rPr>
        <w:fldChar w:fldCharType="end"/>
      </w:r>
      <w:r w:rsidR="00B64E6C" w:rsidRPr="009D03BE">
        <w:rPr>
          <w:rFonts w:ascii="Book Antiqua" w:hAnsi="Book Antiqua"/>
          <w:lang w:val="en-GB"/>
        </w:rPr>
        <w:t>.</w:t>
      </w:r>
    </w:p>
    <w:p w14:paraId="2D1189DC" w14:textId="77777777" w:rsidR="0098614B" w:rsidRPr="009D03BE" w:rsidRDefault="0098614B"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Finally</w:t>
      </w:r>
      <w:r w:rsidR="0040292D" w:rsidRPr="009D03BE">
        <w:rPr>
          <w:rFonts w:ascii="Book Antiqua" w:hAnsi="Book Antiqua"/>
          <w:lang w:val="en-GB"/>
        </w:rPr>
        <w:t>,</w:t>
      </w:r>
      <w:r w:rsidRPr="009D03BE">
        <w:rPr>
          <w:rFonts w:ascii="Book Antiqua" w:hAnsi="Book Antiqua"/>
          <w:lang w:val="en-GB"/>
        </w:rPr>
        <w:t xml:space="preserve"> evaluating the percentage of recovery of serum levels of IgG in patients developing IgG </w:t>
      </w:r>
      <w:r w:rsidR="0040292D" w:rsidRPr="009D03BE">
        <w:rPr>
          <w:rFonts w:ascii="Book Antiqua" w:hAnsi="Book Antiqua"/>
          <w:lang w:val="en-GB"/>
        </w:rPr>
        <w:t xml:space="preserve">hypogammaglobulinemia, </w:t>
      </w:r>
      <w:proofErr w:type="spellStart"/>
      <w:r w:rsidR="000E61B3" w:rsidRPr="009D03BE">
        <w:rPr>
          <w:rFonts w:ascii="Book Antiqua" w:hAnsi="Book Antiqua"/>
          <w:lang w:val="en-GB"/>
        </w:rPr>
        <w:t>Fujinaga</w:t>
      </w:r>
      <w:proofErr w:type="spellEnd"/>
      <w:r w:rsidR="000E61B3" w:rsidRPr="009D03BE">
        <w:rPr>
          <w:rFonts w:ascii="Book Antiqua" w:hAnsi="Book Antiqua"/>
          <w:lang w:val="en-GB"/>
        </w:rPr>
        <w:t xml:space="preserve"> </w:t>
      </w:r>
      <w:r w:rsidR="000E61B3" w:rsidRPr="009D03BE">
        <w:rPr>
          <w:rFonts w:ascii="Book Antiqua" w:hAnsi="Book Antiqua"/>
          <w:i/>
          <w:lang w:val="en-GB"/>
        </w:rPr>
        <w:t>et al</w:t>
      </w:r>
      <w:r w:rsidR="003B6DE8" w:rsidRPr="009D03BE">
        <w:rPr>
          <w:rFonts w:ascii="Book Antiqua" w:hAnsi="Book Antiqua"/>
          <w:lang w:val="en-GB"/>
        </w:rPr>
        <w:fldChar w:fldCharType="begin" w:fldLock="1"/>
      </w:r>
      <w:r w:rsidR="00047562" w:rsidRPr="009D03BE">
        <w:rPr>
          <w:rFonts w:ascii="Book Antiqua" w:hAnsi="Book Antiqua"/>
          <w:lang w:val="en-GB"/>
        </w:rPr>
        <w:instrText>ADDIN CSL_CITATION {"citationItems":[{"id":"ITEM-1","itemData":{"DOI":"10.5414/CN108835","ISSN":"0301-0430","PMID":"27125626","abstract":"BACKGROUND Rituximab (RTX) is regarded as a relatively safe and effective treatment for children with steroid-dependent nephrotic syndrome (SDNS). However, late-onset adverse events after RTX, including neutropenia, hypogammaglobulinemia, and increased risk of infections, have been rarely reported in this cohort. MATERIALS AND METHODS This was a single-center retrospective analysis of adverse events during B-cell depletion periods after a single dose of RTX (375 mg/m2) in 60 patients with complicated SDNS (total 126 doses). After RTX, maintenance therapy with cyclosporine (CsA) or mycophenolate mofetil (MMF) was continued, and prednisolone was discontinued within 6 months. To detect potential drug toxicity, clinical and laboratory parameters were measured before and 1 week after RTX infusion and every month thereafter during B-cell depletion periods (at least 6 months). A single dose of RTX was added if NS relapsed despite maintenance therapy with MMF or CsA after the re-emergence of CD19+ B cells (&gt; 1% of total lymphocytes) in the peripheral blood. RESULTS Severe neutropenia (neutrophil count &lt; 500/mm3) was identified in 3 patients and hypogammaglobulinemia (IgG levels &lt; 500 mg/dL) in 9 patients. During B-cell depletion periods (median 5 months; range 1 - 20 months), 2 patients required hospitalization because of bacterial infections. However, no lifethreatening infections were identified in our cohort. CONCLUSION Although neutropenia and hypogammaglobulinemia should be kept in mind as late-onset adverse events of RTX therapy in patients with complicated SDNS, severe infections during B-cell depletion periods are infrequent when our treatment strategies are implemented.","author":[{"dropping-particle":"","family":"Fujinaga","given":"Shuichiro","non-dropping-particle":"","parse-names":false,"suffix":""},{"dropping-particle":"","family":"Ozawa","given":"Kanako","non-dropping-particle":"","parse-names":false,"suffix":""},{"dropping-particle":"","family":"Sakuraya","given":"Koji","non-dropping-particle":"","parse-names":false,"suffix":""},{"dropping-particle":"","family":"Yamada","given":"Akifumi","non-dropping-particle":"","parse-names":false,"suffix":""},{"dropping-particle":"","family":"Shimizu","given":"Toshiaki","non-dropping-particle":"","parse-names":false,"suffix":""}],"container-title":"Clinical nephrology","id":"ITEM-1","issue":"6","issued":{"date-parts":[["2016","6","1"]]},"page":"340-5","title":"Late-onset adverse events after a single dose of rituximab in children with complicated steroid-dependent nephrotic syndrome.","type":"article-journal","volume":"85"},"uris":["http://www.mendeley.com/documents/?uuid=be83b04e-2a8b-3bf0-bd35-0ecf7b13bb0e"]}],"mendeley":{"formattedCitation":"&lt;sup&gt;[6]&lt;/sup&gt;","plainTextFormattedCitation":"[6]","previouslyFormattedCitation":"&lt;sup&gt;[6]&lt;/sup&gt;"},"properties":{"noteIndex":0},"schema":"https://github.com/citation-style-language/schema/raw/master/csl-citation.json"}</w:instrText>
      </w:r>
      <w:r w:rsidR="003B6DE8" w:rsidRPr="009D03BE">
        <w:rPr>
          <w:rFonts w:ascii="Book Antiqua" w:hAnsi="Book Antiqua"/>
          <w:lang w:val="en-GB"/>
        </w:rPr>
        <w:fldChar w:fldCharType="separate"/>
      </w:r>
      <w:r w:rsidR="00FE12CB" w:rsidRPr="009D03BE">
        <w:rPr>
          <w:rFonts w:ascii="Book Antiqua" w:hAnsi="Book Antiqua"/>
          <w:vertAlign w:val="superscript"/>
          <w:lang w:val="en-GB"/>
        </w:rPr>
        <w:t>[6]</w:t>
      </w:r>
      <w:r w:rsidR="003B6DE8" w:rsidRPr="009D03BE">
        <w:rPr>
          <w:rFonts w:ascii="Book Antiqua" w:hAnsi="Book Antiqua"/>
          <w:lang w:val="en-GB"/>
        </w:rPr>
        <w:fldChar w:fldCharType="end"/>
      </w:r>
      <w:r w:rsidRPr="009D03BE">
        <w:rPr>
          <w:rFonts w:ascii="Book Antiqua" w:hAnsi="Book Antiqua"/>
          <w:lang w:val="en-GB"/>
        </w:rPr>
        <w:t xml:space="preserve"> </w:t>
      </w:r>
      <w:r w:rsidR="0040292D" w:rsidRPr="009D03BE">
        <w:rPr>
          <w:rFonts w:ascii="Book Antiqua" w:hAnsi="Book Antiqua"/>
          <w:lang w:val="en-GB"/>
        </w:rPr>
        <w:t>showed</w:t>
      </w:r>
      <w:r w:rsidR="003B6DE8" w:rsidRPr="009D03BE">
        <w:rPr>
          <w:rFonts w:ascii="Book Antiqua" w:hAnsi="Book Antiqua"/>
          <w:lang w:val="en-GB"/>
        </w:rPr>
        <w:t xml:space="preserve"> IgG levels recovery in 6</w:t>
      </w:r>
      <w:r w:rsidRPr="009D03BE">
        <w:rPr>
          <w:rFonts w:ascii="Book Antiqua" w:hAnsi="Book Antiqua"/>
          <w:lang w:val="en-GB"/>
        </w:rPr>
        <w:t xml:space="preserve"> </w:t>
      </w:r>
      <w:r w:rsidR="003B6DE8" w:rsidRPr="009D03BE">
        <w:rPr>
          <w:rFonts w:ascii="Book Antiqua" w:hAnsi="Book Antiqua"/>
          <w:lang w:val="en-GB"/>
        </w:rPr>
        <w:t xml:space="preserve">out of 9 </w:t>
      </w:r>
      <w:r w:rsidRPr="009D03BE">
        <w:rPr>
          <w:rFonts w:ascii="Book Antiqua" w:hAnsi="Book Antiqua"/>
          <w:lang w:val="en-GB"/>
        </w:rPr>
        <w:t>patients</w:t>
      </w:r>
      <w:r w:rsidR="0040292D" w:rsidRPr="009D03BE">
        <w:rPr>
          <w:rFonts w:ascii="Book Antiqua" w:hAnsi="Book Antiqua"/>
          <w:lang w:val="en-GB"/>
        </w:rPr>
        <w:t>,</w:t>
      </w:r>
      <w:r w:rsidR="005034EC" w:rsidRPr="009D03BE">
        <w:rPr>
          <w:rFonts w:ascii="Book Antiqua" w:hAnsi="Book Antiqua"/>
          <w:lang w:val="en-GB"/>
        </w:rPr>
        <w:t xml:space="preserve"> </w:t>
      </w:r>
      <w:proofErr w:type="spellStart"/>
      <w:r w:rsidR="0040292D" w:rsidRPr="009D03BE">
        <w:rPr>
          <w:rFonts w:ascii="Book Antiqua" w:hAnsi="Book Antiqua"/>
          <w:lang w:val="en-GB"/>
        </w:rPr>
        <w:t>Delbe-Bertin</w:t>
      </w:r>
      <w:proofErr w:type="spellEnd"/>
      <w:r w:rsidR="0040292D" w:rsidRPr="009D03BE">
        <w:rPr>
          <w:rFonts w:ascii="Book Antiqua" w:hAnsi="Book Antiqua"/>
          <w:lang w:val="en-GB"/>
        </w:rPr>
        <w:t xml:space="preserve"> </w:t>
      </w:r>
      <w:r w:rsidR="0040292D" w:rsidRPr="009D03BE">
        <w:rPr>
          <w:rFonts w:ascii="Book Antiqua" w:hAnsi="Book Antiqua"/>
          <w:i/>
          <w:lang w:val="en-GB"/>
        </w:rPr>
        <w:t>et al</w:t>
      </w:r>
      <w:r w:rsidR="002F50A5" w:rsidRPr="009D03BE">
        <w:rPr>
          <w:rFonts w:ascii="Book Antiqua" w:hAnsi="Book Antiqua"/>
          <w:lang w:val="en-GB"/>
        </w:rPr>
        <w:fldChar w:fldCharType="begin" w:fldLock="1"/>
      </w:r>
      <w:r w:rsidR="002F50A5" w:rsidRPr="009D03BE">
        <w:rPr>
          <w:rFonts w:ascii="Book Antiqua" w:hAnsi="Book Antiqua"/>
          <w:lang w:val="en-GB"/>
        </w:rPr>
        <w:instrText>ADDIN CSL_CITATION {"citationItems":[{"id":"ITEM-1","itemData":{"DOI":"10.1007/s00467-012-2361-z","ISSN":"0931-041X","PMID":"23212560","abstract":"BACKGROUND Rituximab (RTX) is a promising strategy for treating steroid-dependent idiopathic nephrotic syndrome (SDNS). RTX induces profound B-cell depletion, suggesting hypogammaglobulinemia as a potential side effect after long-term treatment. PATIENTS AND METHODS We analyzed immunoglobulin G (IgG) levels in 12 pediatric patients on RTX with a B-cell depletion of a minimum of 3 months and compared the results to 16 patients on orally administered immunosuppressive drugs, such as mycophenolate mofetil (MMF) and/or cyclosporine A (CyA). All patients were in stable remission of SDNS at the time of IgG analysis. RESULTS IgG levels in the RTX group before RTX introduction were 6.2</w:instrText>
      </w:r>
      <w:r w:rsidR="002F50A5" w:rsidRPr="009D03BE">
        <w:rPr>
          <w:lang w:val="en-GB"/>
        </w:rPr>
        <w:instrText> </w:instrText>
      </w:r>
      <w:r w:rsidR="002F50A5" w:rsidRPr="009D03BE">
        <w:rPr>
          <w:rFonts w:ascii="Book Antiqua" w:hAnsi="Book Antiqua" w:cs="Book Antiqua"/>
          <w:lang w:val="en-GB"/>
        </w:rPr>
        <w:instrText>±</w:instrText>
      </w:r>
      <w:r w:rsidR="002F50A5" w:rsidRPr="009D03BE">
        <w:rPr>
          <w:lang w:val="en-GB"/>
        </w:rPr>
        <w:instrText> </w:instrText>
      </w:r>
      <w:r w:rsidR="002F50A5" w:rsidRPr="009D03BE">
        <w:rPr>
          <w:rFonts w:ascii="Book Antiqua" w:hAnsi="Book Antiqua"/>
          <w:lang w:val="en-GB"/>
        </w:rPr>
        <w:instrText>1.0 g/L and were not significantly different from the MMF/CyA group (8.2</w:instrText>
      </w:r>
      <w:r w:rsidR="002F50A5" w:rsidRPr="009D03BE">
        <w:rPr>
          <w:lang w:val="en-GB"/>
        </w:rPr>
        <w:instrText> </w:instrText>
      </w:r>
      <w:r w:rsidR="002F50A5" w:rsidRPr="009D03BE">
        <w:rPr>
          <w:rFonts w:ascii="Book Antiqua" w:hAnsi="Book Antiqua" w:cs="Book Antiqua"/>
          <w:lang w:val="en-GB"/>
        </w:rPr>
        <w:instrText>±</w:instrText>
      </w:r>
      <w:r w:rsidR="002F50A5" w:rsidRPr="009D03BE">
        <w:rPr>
          <w:lang w:val="en-GB"/>
        </w:rPr>
        <w:instrText> </w:instrText>
      </w:r>
      <w:r w:rsidR="002F50A5" w:rsidRPr="009D03BE">
        <w:rPr>
          <w:rFonts w:ascii="Book Antiqua" w:hAnsi="Book Antiqua"/>
          <w:lang w:val="en-GB"/>
        </w:rPr>
        <w:instrText>2.5 g/L). In the MMF/CyA group, five patients had at least one episode of hypogammaglobulinemia. In two of them, this episode was prolonged (&gt;3 months), and only one required IgG supplementation. In the RTX group, eight patients had decreased IgG levels before RTX infusion. After RTX, hypogammaglobulinemia persisted in seven among those eight patients. No decreased IgG plasma levels were noted in patients with normal baseline IgG levels before RTX treatment. CONCLUSION RTX does not seem to directly induce decreased IgG levels in patients with SDNS, but it seems to prolong a preexisting low IgG levels.","author":[{"dropping-particle":"","family":"Delbe-Bertin","given":"Laëtitia","non-dropping-particle":"","parse-names":false,"suffix":""},{"dropping-particle":"","family":"Aoun","given":"Bilal","non-dropping-particle":"","parse-names":false,"suffix":""},{"dropping-particle":"","family":"Tudorache","given":"Elena","non-dropping-particle":"","parse-names":false,"suffix":""},{"dropping-particle":"","family":"Lapillone","given":"Hélène","non-dropping-particle":"","parse-names":false,"suffix":""},{"dropping-particle":"","family":"Ulinski","given":"Tim","non-dropping-particle":"","parse-names":false,"suffix":""}],"container-title":"Pediatric Nephrology","id":"ITEM-1","issue":"3","issued":{"date-parts":[["2013","3","5"]]},"page":"447-451","title":"Does rituximab induce hypogammaglobulinemia in patients with pediatric idiopathic nephrotic syndrome?","type":"article-journal","volume":"28"},"uris":["http://www.mendeley.com/documents/?uuid=cae5fc94-754f-32af-8245-3e350d2db4df"]}],"mendeley":{"formattedCitation":"&lt;sup&gt;[5]&lt;/sup&gt;","plainTextFormattedCitation":"[5]","previouslyFormattedCitation":"&lt;sup&gt;[5]&lt;/sup&gt;"},"properties":{"noteIndex":0},"schema":"https://github.com/citation-style-language/schema/raw/master/csl-citation.json"}</w:instrText>
      </w:r>
      <w:r w:rsidR="002F50A5" w:rsidRPr="009D03BE">
        <w:rPr>
          <w:rFonts w:ascii="Book Antiqua" w:hAnsi="Book Antiqua"/>
          <w:lang w:val="en-GB"/>
        </w:rPr>
        <w:fldChar w:fldCharType="separate"/>
      </w:r>
      <w:r w:rsidR="002F50A5" w:rsidRPr="009D03BE">
        <w:rPr>
          <w:rFonts w:ascii="Book Antiqua" w:hAnsi="Book Antiqua"/>
          <w:vertAlign w:val="superscript"/>
          <w:lang w:val="en-GB"/>
        </w:rPr>
        <w:t>[5]</w:t>
      </w:r>
      <w:r w:rsidR="002F50A5" w:rsidRPr="009D03BE">
        <w:rPr>
          <w:rFonts w:ascii="Book Antiqua" w:hAnsi="Book Antiqua"/>
          <w:lang w:val="en-GB"/>
        </w:rPr>
        <w:fldChar w:fldCharType="end"/>
      </w:r>
      <w:r w:rsidR="002D3439" w:rsidRPr="009D03BE">
        <w:rPr>
          <w:rFonts w:ascii="Book Antiqua" w:hAnsi="Book Antiqua"/>
          <w:lang w:val="en-GB"/>
        </w:rPr>
        <w:t xml:space="preserve"> </w:t>
      </w:r>
      <w:r w:rsidR="00400BD8" w:rsidRPr="009D03BE">
        <w:rPr>
          <w:rFonts w:ascii="Book Antiqua" w:hAnsi="Book Antiqua"/>
          <w:lang w:val="en-GB"/>
        </w:rPr>
        <w:t xml:space="preserve">showed IgG recovery in 1 out of </w:t>
      </w:r>
      <w:r w:rsidR="0008272D" w:rsidRPr="009D03BE">
        <w:rPr>
          <w:rFonts w:ascii="Book Antiqua" w:hAnsi="Book Antiqua"/>
          <w:lang w:val="en-GB"/>
        </w:rPr>
        <w:t xml:space="preserve">8 </w:t>
      </w:r>
      <w:r w:rsidR="00400BD8" w:rsidRPr="009D03BE">
        <w:rPr>
          <w:rFonts w:ascii="Book Antiqua" w:hAnsi="Book Antiqua"/>
          <w:lang w:val="en-GB"/>
        </w:rPr>
        <w:t>patients</w:t>
      </w:r>
      <w:r w:rsidR="002070CB" w:rsidRPr="009D03BE">
        <w:rPr>
          <w:rFonts w:ascii="Book Antiqua" w:hAnsi="Book Antiqua"/>
          <w:lang w:val="en-GB"/>
        </w:rPr>
        <w:t>,</w:t>
      </w:r>
      <w:r w:rsidR="00DD6749" w:rsidRPr="009D03BE">
        <w:rPr>
          <w:rFonts w:ascii="Book Antiqua" w:hAnsi="Book Antiqua"/>
          <w:lang w:val="en-GB"/>
        </w:rPr>
        <w:t xml:space="preserve"> </w:t>
      </w:r>
      <w:r w:rsidR="003B6DE8" w:rsidRPr="009D03BE">
        <w:rPr>
          <w:rFonts w:ascii="Book Antiqua" w:hAnsi="Book Antiqua"/>
          <w:lang w:val="en-GB"/>
        </w:rPr>
        <w:t xml:space="preserve">and in the present case series </w:t>
      </w:r>
      <w:r w:rsidR="00400BD8" w:rsidRPr="009D03BE">
        <w:rPr>
          <w:rFonts w:ascii="Book Antiqua" w:hAnsi="Book Antiqua"/>
          <w:lang w:val="en-GB"/>
        </w:rPr>
        <w:t xml:space="preserve">we found IgG recovery </w:t>
      </w:r>
      <w:r w:rsidR="003B6DE8" w:rsidRPr="009D03BE">
        <w:rPr>
          <w:rFonts w:ascii="Book Antiqua" w:hAnsi="Book Antiqua"/>
          <w:lang w:val="en-GB"/>
        </w:rPr>
        <w:t xml:space="preserve">in 3 out of 11 patients. </w:t>
      </w:r>
    </w:p>
    <w:p w14:paraId="14E28D9F" w14:textId="77777777" w:rsidR="00B63A6F" w:rsidRPr="009D03BE" w:rsidRDefault="00BA310E"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 xml:space="preserve">In conclusion, our case series </w:t>
      </w:r>
      <w:r w:rsidR="00C6184B" w:rsidRPr="009D03BE">
        <w:rPr>
          <w:rFonts w:ascii="Book Antiqua" w:hAnsi="Book Antiqua"/>
          <w:lang w:val="en-GB"/>
        </w:rPr>
        <w:t>shows</w:t>
      </w:r>
      <w:r w:rsidRPr="009D03BE">
        <w:rPr>
          <w:rFonts w:ascii="Book Antiqua" w:hAnsi="Book Antiqua"/>
          <w:lang w:val="en-GB"/>
        </w:rPr>
        <w:t xml:space="preserve"> that RTX can induce IgG hypogammaglobulinemia in patients with pre-RTX IgG normal values</w:t>
      </w:r>
      <w:r w:rsidR="00A04C01" w:rsidRPr="009D03BE">
        <w:rPr>
          <w:rFonts w:ascii="Book Antiqua" w:hAnsi="Book Antiqua"/>
          <w:lang w:val="en-GB"/>
        </w:rPr>
        <w:t xml:space="preserve"> and that persisting IgG hypogammaglobulinemia could be dose-dependent</w:t>
      </w:r>
      <w:r w:rsidR="0008272D" w:rsidRPr="009D03BE">
        <w:rPr>
          <w:rFonts w:ascii="Book Antiqua" w:hAnsi="Book Antiqua"/>
          <w:lang w:val="en-GB"/>
        </w:rPr>
        <w:t xml:space="preserve">. </w:t>
      </w:r>
    </w:p>
    <w:p w14:paraId="525FD84A" w14:textId="77777777" w:rsidR="00B63A6F" w:rsidRPr="009D03BE" w:rsidRDefault="00B63A6F" w:rsidP="00EC24C5">
      <w:pPr>
        <w:autoSpaceDE w:val="0"/>
        <w:snapToGrid w:val="0"/>
        <w:spacing w:line="360" w:lineRule="auto"/>
        <w:ind w:firstLineChars="100" w:firstLine="240"/>
        <w:jc w:val="both"/>
        <w:rPr>
          <w:rFonts w:ascii="Book Antiqua" w:hAnsi="Book Antiqua"/>
          <w:lang w:val="en-GB"/>
        </w:rPr>
      </w:pPr>
      <w:r w:rsidRPr="009D03BE">
        <w:rPr>
          <w:rFonts w:ascii="Book Antiqua" w:hAnsi="Book Antiqua"/>
          <w:lang w:val="en-GB"/>
        </w:rPr>
        <w:t>When evaluating a patient with complicated NS and post-RTX IgG h</w:t>
      </w:r>
      <w:r w:rsidR="00211663" w:rsidRPr="009D03BE">
        <w:rPr>
          <w:rFonts w:ascii="Book Antiqua" w:hAnsi="Book Antiqua"/>
          <w:lang w:val="en-GB"/>
        </w:rPr>
        <w:t xml:space="preserve">ypogammaglobulinemia, </w:t>
      </w:r>
      <w:r w:rsidRPr="009D03BE">
        <w:rPr>
          <w:rFonts w:ascii="Book Antiqua" w:hAnsi="Book Antiqua"/>
          <w:lang w:val="en-GB"/>
        </w:rPr>
        <w:t xml:space="preserve">IgG supplementation </w:t>
      </w:r>
      <w:r w:rsidR="002070CB" w:rsidRPr="009D03BE">
        <w:rPr>
          <w:rFonts w:ascii="Book Antiqua" w:hAnsi="Book Antiqua"/>
          <w:lang w:val="en-GB"/>
        </w:rPr>
        <w:t>may</w:t>
      </w:r>
      <w:r w:rsidRPr="009D03BE">
        <w:rPr>
          <w:rFonts w:ascii="Book Antiqua" w:hAnsi="Book Antiqua"/>
          <w:lang w:val="en-GB"/>
        </w:rPr>
        <w:t xml:space="preserve"> </w:t>
      </w:r>
      <w:r w:rsidR="00744629" w:rsidRPr="009D03BE">
        <w:rPr>
          <w:rFonts w:ascii="Book Antiqua" w:hAnsi="Book Antiqua"/>
          <w:lang w:val="en-GB"/>
        </w:rPr>
        <w:t xml:space="preserve">not </w:t>
      </w:r>
      <w:r w:rsidRPr="009D03BE">
        <w:rPr>
          <w:rFonts w:ascii="Book Antiqua" w:hAnsi="Book Antiqua"/>
          <w:lang w:val="en-GB"/>
        </w:rPr>
        <w:t xml:space="preserve">be </w:t>
      </w:r>
      <w:r w:rsidR="00744629" w:rsidRPr="009D03BE">
        <w:rPr>
          <w:rFonts w:ascii="Book Antiqua" w:hAnsi="Book Antiqua"/>
          <w:lang w:val="en-GB"/>
        </w:rPr>
        <w:t>needed</w:t>
      </w:r>
      <w:r w:rsidRPr="009D03BE">
        <w:rPr>
          <w:rFonts w:ascii="Book Antiqua" w:hAnsi="Book Antiqua"/>
          <w:lang w:val="en-GB"/>
        </w:rPr>
        <w:t xml:space="preserve"> because</w:t>
      </w:r>
      <w:r w:rsidR="00211663" w:rsidRPr="009D03BE">
        <w:rPr>
          <w:rFonts w:ascii="Book Antiqua" w:hAnsi="Book Antiqua"/>
          <w:lang w:val="en-GB"/>
        </w:rPr>
        <w:t>,</w:t>
      </w:r>
      <w:r w:rsidRPr="009D03BE">
        <w:rPr>
          <w:rFonts w:ascii="Book Antiqua" w:hAnsi="Book Antiqua"/>
          <w:lang w:val="en-GB"/>
        </w:rPr>
        <w:t xml:space="preserve"> </w:t>
      </w:r>
      <w:r w:rsidR="002070CB" w:rsidRPr="009D03BE">
        <w:rPr>
          <w:rFonts w:ascii="Book Antiqua" w:hAnsi="Book Antiqua"/>
          <w:lang w:val="en-GB"/>
        </w:rPr>
        <w:t>to date</w:t>
      </w:r>
      <w:r w:rsidR="00211663" w:rsidRPr="009D03BE">
        <w:rPr>
          <w:rFonts w:ascii="Book Antiqua" w:hAnsi="Book Antiqua"/>
          <w:lang w:val="en-GB"/>
        </w:rPr>
        <w:t>,</w:t>
      </w:r>
      <w:r w:rsidRPr="009D03BE">
        <w:rPr>
          <w:rFonts w:ascii="Book Antiqua" w:hAnsi="Book Antiqua"/>
          <w:lang w:val="en-GB"/>
        </w:rPr>
        <w:t xml:space="preserve"> no severe infections </w:t>
      </w:r>
      <w:r w:rsidR="00ED57E4" w:rsidRPr="009D03BE">
        <w:rPr>
          <w:rFonts w:ascii="Book Antiqua" w:hAnsi="Book Antiqua"/>
          <w:lang w:val="en-GB"/>
        </w:rPr>
        <w:t>have been detected</w:t>
      </w:r>
      <w:r w:rsidR="00211663" w:rsidRPr="009D03BE">
        <w:rPr>
          <w:rFonts w:ascii="Book Antiqua" w:hAnsi="Book Antiqua"/>
          <w:lang w:val="en-GB"/>
        </w:rPr>
        <w:t xml:space="preserve"> and the possibility of </w:t>
      </w:r>
      <w:r w:rsidRPr="009D03BE">
        <w:rPr>
          <w:rFonts w:ascii="Book Antiqua" w:hAnsi="Book Antiqua"/>
          <w:lang w:val="en-GB"/>
        </w:rPr>
        <w:t xml:space="preserve">adverse events </w:t>
      </w:r>
      <w:r w:rsidR="007D53CF" w:rsidRPr="009D03BE">
        <w:rPr>
          <w:rFonts w:ascii="Book Antiqua" w:hAnsi="Book Antiqua"/>
          <w:lang w:val="en-GB"/>
        </w:rPr>
        <w:t xml:space="preserve">related </w:t>
      </w:r>
      <w:r w:rsidRPr="009D03BE">
        <w:rPr>
          <w:rFonts w:ascii="Book Antiqua" w:hAnsi="Book Antiqua"/>
          <w:lang w:val="en-GB"/>
        </w:rPr>
        <w:t xml:space="preserve">to IgG supplementation </w:t>
      </w:r>
      <w:r w:rsidR="00211663" w:rsidRPr="009D03BE">
        <w:rPr>
          <w:rFonts w:ascii="Book Antiqua" w:hAnsi="Book Antiqua"/>
          <w:lang w:val="en-GB"/>
        </w:rPr>
        <w:t>exists</w:t>
      </w:r>
      <w:r w:rsidRPr="009D03BE">
        <w:rPr>
          <w:rFonts w:ascii="Book Antiqua" w:hAnsi="Book Antiqua"/>
          <w:lang w:val="en-GB"/>
        </w:rPr>
        <w:t>.</w:t>
      </w:r>
    </w:p>
    <w:p w14:paraId="41F96C52" w14:textId="77777777" w:rsidR="00CF6EBE" w:rsidRPr="009D03BE" w:rsidRDefault="00CF6EBE" w:rsidP="00EC24C5">
      <w:pPr>
        <w:snapToGrid w:val="0"/>
        <w:spacing w:line="360" w:lineRule="auto"/>
        <w:jc w:val="both"/>
        <w:rPr>
          <w:rFonts w:ascii="Book Antiqua" w:hAnsi="Book Antiqua"/>
          <w:b/>
          <w:lang w:val="en-GB" w:eastAsia="zh-CN"/>
        </w:rPr>
      </w:pPr>
    </w:p>
    <w:p w14:paraId="18BD4CAD" w14:textId="77777777" w:rsidR="0057459A" w:rsidRPr="009D03BE" w:rsidRDefault="0057459A" w:rsidP="00EC24C5">
      <w:pPr>
        <w:snapToGrid w:val="0"/>
        <w:spacing w:line="360" w:lineRule="auto"/>
        <w:jc w:val="both"/>
        <w:rPr>
          <w:rFonts w:ascii="Book Antiqua" w:hAnsi="Book Antiqua"/>
          <w:b/>
          <w:lang w:val="en-GB"/>
        </w:rPr>
      </w:pPr>
      <w:r w:rsidRPr="009D03BE">
        <w:rPr>
          <w:rFonts w:ascii="Book Antiqua" w:hAnsi="Book Antiqua" w:cs="Segoe UI"/>
          <w:b/>
          <w:lang w:val="en-GB"/>
        </w:rPr>
        <w:t>ARTICLE HIGHLIGHTS</w:t>
      </w:r>
    </w:p>
    <w:p w14:paraId="313335E1" w14:textId="77777777" w:rsidR="0057459A"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Research background</w:t>
      </w:r>
    </w:p>
    <w:p w14:paraId="14A6D8F3" w14:textId="77777777" w:rsidR="006E29D4" w:rsidRPr="009D03BE" w:rsidRDefault="006E29D4"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It has been shown in </w:t>
      </w:r>
      <w:r w:rsidR="00356FE9" w:rsidRPr="009D03BE">
        <w:rPr>
          <w:rFonts w:ascii="Book Antiqua" w:hAnsi="Book Antiqua"/>
          <w:lang w:val="en-GB"/>
        </w:rPr>
        <w:t>paediatric</w:t>
      </w:r>
      <w:r w:rsidRPr="009D03BE">
        <w:rPr>
          <w:rFonts w:ascii="Book Antiqua" w:hAnsi="Book Antiqua"/>
          <w:lang w:val="en-GB"/>
        </w:rPr>
        <w:t xml:space="preserve"> patients with complicated nephrotic syndrome (NS) that rituximab (RTX) administration can induce persistent IgG hypogammaglobulinemia among subjects showing low basal IgG levels</w:t>
      </w:r>
      <w:r w:rsidR="00CB73DD" w:rsidRPr="009D03BE">
        <w:rPr>
          <w:rFonts w:ascii="Book Antiqua" w:hAnsi="Book Antiqua"/>
          <w:lang w:val="en-GB"/>
        </w:rPr>
        <w:t>.</w:t>
      </w:r>
    </w:p>
    <w:p w14:paraId="5FDD9E71" w14:textId="77777777" w:rsidR="000E61B3" w:rsidRPr="009D03BE" w:rsidRDefault="000E61B3" w:rsidP="00EC24C5">
      <w:pPr>
        <w:snapToGrid w:val="0"/>
        <w:spacing w:line="360" w:lineRule="auto"/>
        <w:jc w:val="both"/>
        <w:rPr>
          <w:rFonts w:ascii="Book Antiqua" w:hAnsi="Book Antiqua"/>
          <w:lang w:val="en-GB" w:eastAsia="zh-CN"/>
        </w:rPr>
      </w:pPr>
    </w:p>
    <w:p w14:paraId="54144FC8" w14:textId="77777777" w:rsidR="006E29D4"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Research motivation</w:t>
      </w:r>
    </w:p>
    <w:p w14:paraId="2A4599BA" w14:textId="77777777" w:rsidR="006E29D4" w:rsidRPr="009D03BE" w:rsidRDefault="006E29D4" w:rsidP="00EC24C5">
      <w:pPr>
        <w:snapToGrid w:val="0"/>
        <w:spacing w:line="360" w:lineRule="auto"/>
        <w:jc w:val="both"/>
        <w:rPr>
          <w:rFonts w:ascii="Book Antiqua" w:hAnsi="Book Antiqua"/>
          <w:lang w:val="en-GB" w:eastAsia="zh-CN"/>
        </w:rPr>
      </w:pPr>
      <w:r w:rsidRPr="009D03BE">
        <w:rPr>
          <w:rFonts w:ascii="Book Antiqua" w:hAnsi="Book Antiqua"/>
          <w:lang w:val="en-GB"/>
        </w:rPr>
        <w:t>RTX is an effective and safe treatment for childhood-onset, complicated, frequently relapsing</w:t>
      </w:r>
      <w:r w:rsidR="008F09C2" w:rsidRPr="009D03BE">
        <w:rPr>
          <w:rFonts w:ascii="Book Antiqua" w:hAnsi="Book Antiqua"/>
          <w:lang w:val="en-GB"/>
        </w:rPr>
        <w:t>,</w:t>
      </w:r>
      <w:r w:rsidRPr="009D03BE">
        <w:rPr>
          <w:rFonts w:ascii="Book Antiqua" w:hAnsi="Book Antiqua"/>
          <w:lang w:val="en-GB"/>
        </w:rPr>
        <w:t xml:space="preserve"> and steroid-dependent </w:t>
      </w:r>
      <w:r w:rsidR="005034EC" w:rsidRPr="009D03BE">
        <w:rPr>
          <w:rFonts w:ascii="Book Antiqua" w:hAnsi="Book Antiqua"/>
          <w:lang w:val="en-GB"/>
        </w:rPr>
        <w:t>NS</w:t>
      </w:r>
      <w:r w:rsidRPr="009D03BE">
        <w:rPr>
          <w:rFonts w:ascii="Book Antiqua" w:hAnsi="Book Antiqua"/>
          <w:lang w:val="en-GB"/>
        </w:rPr>
        <w:t>. Data about long-term safety are limited</w:t>
      </w:r>
      <w:r w:rsidR="00CB73DD" w:rsidRPr="009D03BE">
        <w:rPr>
          <w:rFonts w:ascii="Book Antiqua" w:hAnsi="Book Antiqua"/>
          <w:lang w:val="en-GB"/>
        </w:rPr>
        <w:t>.</w:t>
      </w:r>
      <w:r w:rsidR="00F20283" w:rsidRPr="009D03BE">
        <w:rPr>
          <w:rFonts w:ascii="Book Antiqua" w:hAnsi="Book Antiqua"/>
          <w:lang w:val="en-GB"/>
        </w:rPr>
        <w:t xml:space="preserve"> Evidence on the impact of RTX treatment on IgG levels in children with complicated NS having normal baseline IgG levels are limited to </w:t>
      </w:r>
      <w:r w:rsidR="008F09C2" w:rsidRPr="009D03BE">
        <w:rPr>
          <w:rFonts w:ascii="Book Antiqua" w:hAnsi="Book Antiqua"/>
          <w:lang w:val="en-GB"/>
        </w:rPr>
        <w:t xml:space="preserve">a </w:t>
      </w:r>
      <w:r w:rsidR="00F20283" w:rsidRPr="009D03BE">
        <w:rPr>
          <w:rFonts w:ascii="Book Antiqua" w:hAnsi="Book Antiqua"/>
          <w:lang w:val="en-GB"/>
        </w:rPr>
        <w:t>few cases for each available study</w:t>
      </w:r>
      <w:r w:rsidR="00FD7414" w:rsidRPr="009D03BE">
        <w:rPr>
          <w:rFonts w:ascii="Book Antiqua" w:hAnsi="Book Antiqua"/>
          <w:lang w:val="en-GB"/>
        </w:rPr>
        <w:t>.</w:t>
      </w:r>
      <w:r w:rsidR="00CB73DD" w:rsidRPr="009D03BE">
        <w:rPr>
          <w:rFonts w:ascii="Book Antiqua" w:hAnsi="Book Antiqua"/>
          <w:lang w:val="en-GB"/>
        </w:rPr>
        <w:t xml:space="preserve"> </w:t>
      </w:r>
      <w:r w:rsidR="008F09C2" w:rsidRPr="009D03BE">
        <w:rPr>
          <w:rFonts w:ascii="Book Antiqua" w:hAnsi="Book Antiqua"/>
          <w:lang w:val="en-GB"/>
        </w:rPr>
        <w:t xml:space="preserve">Here, </w:t>
      </w:r>
      <w:r w:rsidR="00253491" w:rsidRPr="009D03BE">
        <w:rPr>
          <w:rFonts w:ascii="Book Antiqua" w:hAnsi="Book Antiqua"/>
          <w:lang w:val="en-GB"/>
        </w:rPr>
        <w:t xml:space="preserve">we aimed </w:t>
      </w:r>
      <w:r w:rsidR="008F09C2" w:rsidRPr="009D03BE">
        <w:rPr>
          <w:rFonts w:ascii="Book Antiqua" w:hAnsi="Book Antiqua"/>
          <w:lang w:val="en-GB"/>
        </w:rPr>
        <w:t xml:space="preserve">to </w:t>
      </w:r>
      <w:r w:rsidR="00253491" w:rsidRPr="009D03BE">
        <w:rPr>
          <w:rFonts w:ascii="Book Antiqua" w:hAnsi="Book Antiqua"/>
          <w:lang w:val="en-GB"/>
        </w:rPr>
        <w:t>provid</w:t>
      </w:r>
      <w:r w:rsidR="008F09C2" w:rsidRPr="009D03BE">
        <w:rPr>
          <w:rFonts w:ascii="Book Antiqua" w:hAnsi="Book Antiqua"/>
          <w:lang w:val="en-GB"/>
        </w:rPr>
        <w:t>e</w:t>
      </w:r>
      <w:r w:rsidR="00253491" w:rsidRPr="009D03BE">
        <w:rPr>
          <w:rFonts w:ascii="Book Antiqua" w:hAnsi="Book Antiqua"/>
          <w:lang w:val="en-GB"/>
        </w:rPr>
        <w:t xml:space="preserve"> further evidence about RTX safety in childhood</w:t>
      </w:r>
      <w:r w:rsidR="005848FA" w:rsidRPr="009D03BE">
        <w:rPr>
          <w:rFonts w:ascii="Book Antiqua" w:hAnsi="Book Antiqua"/>
          <w:lang w:val="en-GB"/>
        </w:rPr>
        <w:t xml:space="preserve"> and </w:t>
      </w:r>
      <w:r w:rsidR="008F09C2" w:rsidRPr="009D03BE">
        <w:rPr>
          <w:rFonts w:ascii="Book Antiqua" w:hAnsi="Book Antiqua"/>
          <w:lang w:val="en-GB"/>
        </w:rPr>
        <w:t>provide a</w:t>
      </w:r>
      <w:r w:rsidR="005848FA" w:rsidRPr="009D03BE">
        <w:rPr>
          <w:rFonts w:ascii="Book Antiqua" w:hAnsi="Book Antiqua"/>
          <w:lang w:val="en-GB"/>
        </w:rPr>
        <w:t xml:space="preserve"> way </w:t>
      </w:r>
      <w:r w:rsidR="008F09C2" w:rsidRPr="009D03BE">
        <w:rPr>
          <w:rFonts w:ascii="Book Antiqua" w:hAnsi="Book Antiqua"/>
          <w:lang w:val="en-GB"/>
        </w:rPr>
        <w:t>for</w:t>
      </w:r>
      <w:r w:rsidR="005848FA" w:rsidRPr="009D03BE">
        <w:rPr>
          <w:rFonts w:ascii="Book Antiqua" w:hAnsi="Book Antiqua"/>
          <w:lang w:val="en-GB"/>
        </w:rPr>
        <w:t xml:space="preserve"> possible future perspective multi-centre studies about this topic</w:t>
      </w:r>
      <w:r w:rsidR="00CB73DD" w:rsidRPr="009D03BE">
        <w:rPr>
          <w:rFonts w:ascii="Book Antiqua" w:hAnsi="Book Antiqua"/>
          <w:lang w:val="en-GB"/>
        </w:rPr>
        <w:t xml:space="preserve">. </w:t>
      </w:r>
    </w:p>
    <w:p w14:paraId="4B2747E4" w14:textId="77777777" w:rsidR="000E61B3" w:rsidRPr="009D03BE" w:rsidRDefault="000E61B3" w:rsidP="00EC24C5">
      <w:pPr>
        <w:snapToGrid w:val="0"/>
        <w:spacing w:line="360" w:lineRule="auto"/>
        <w:jc w:val="both"/>
        <w:rPr>
          <w:rFonts w:ascii="Book Antiqua" w:hAnsi="Book Antiqua"/>
          <w:b/>
          <w:lang w:val="en-GB" w:eastAsia="zh-CN"/>
        </w:rPr>
      </w:pPr>
    </w:p>
    <w:p w14:paraId="3CFDCF11" w14:textId="77777777" w:rsidR="006E29D4"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lastRenderedPageBreak/>
        <w:t>Research objectives</w:t>
      </w:r>
    </w:p>
    <w:p w14:paraId="6FFDA5D3" w14:textId="77777777" w:rsidR="006E29D4" w:rsidRPr="009D03BE" w:rsidRDefault="006E29D4" w:rsidP="00EC24C5">
      <w:pPr>
        <w:snapToGrid w:val="0"/>
        <w:spacing w:line="360" w:lineRule="auto"/>
        <w:jc w:val="both"/>
        <w:rPr>
          <w:rFonts w:ascii="Book Antiqua" w:hAnsi="Book Antiqua"/>
          <w:lang w:val="en-GB" w:eastAsia="zh-CN"/>
        </w:rPr>
      </w:pPr>
      <w:r w:rsidRPr="009D03BE">
        <w:rPr>
          <w:rFonts w:ascii="Book Antiqua" w:hAnsi="Book Antiqua"/>
          <w:lang w:val="en-GB"/>
        </w:rPr>
        <w:t>The aim of our study was to evaluate the effect of RTX on IgG levels and infections in patients with complicated, frequently relapsing</w:t>
      </w:r>
      <w:r w:rsidR="008F09C2" w:rsidRPr="009D03BE">
        <w:rPr>
          <w:rFonts w:ascii="Book Antiqua" w:hAnsi="Book Antiqua"/>
          <w:lang w:val="en-GB"/>
        </w:rPr>
        <w:t>,</w:t>
      </w:r>
      <w:r w:rsidRPr="009D03BE">
        <w:rPr>
          <w:rFonts w:ascii="Book Antiqua" w:hAnsi="Book Antiqua"/>
          <w:lang w:val="en-GB"/>
        </w:rPr>
        <w:t xml:space="preserve"> and steroid- and cyclosporine-dependent NS </w:t>
      </w:r>
      <w:r w:rsidR="008F09C2" w:rsidRPr="009D03BE">
        <w:rPr>
          <w:rFonts w:ascii="Book Antiqua" w:hAnsi="Book Antiqua"/>
          <w:lang w:val="en-GB"/>
        </w:rPr>
        <w:t>with</w:t>
      </w:r>
      <w:r w:rsidRPr="009D03BE">
        <w:rPr>
          <w:rFonts w:ascii="Book Antiqua" w:hAnsi="Book Antiqua"/>
          <w:lang w:val="en-GB"/>
        </w:rPr>
        <w:t xml:space="preserve"> normal baseline IgG levels.</w:t>
      </w:r>
    </w:p>
    <w:p w14:paraId="70CF8A02" w14:textId="77777777" w:rsidR="000E61B3" w:rsidRPr="009D03BE" w:rsidRDefault="000E61B3" w:rsidP="00EC24C5">
      <w:pPr>
        <w:snapToGrid w:val="0"/>
        <w:spacing w:line="360" w:lineRule="auto"/>
        <w:jc w:val="both"/>
        <w:rPr>
          <w:rFonts w:ascii="Book Antiqua" w:hAnsi="Book Antiqua"/>
          <w:lang w:val="en-GB" w:eastAsia="zh-CN"/>
        </w:rPr>
      </w:pPr>
    </w:p>
    <w:p w14:paraId="64EE6064" w14:textId="77777777" w:rsidR="006E29D4"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Research methods</w:t>
      </w:r>
    </w:p>
    <w:p w14:paraId="27F4CB4C" w14:textId="77777777" w:rsidR="00074CAA" w:rsidRPr="009D03BE" w:rsidRDefault="00074CAA" w:rsidP="00EC24C5">
      <w:pPr>
        <w:snapToGrid w:val="0"/>
        <w:spacing w:line="360" w:lineRule="auto"/>
        <w:jc w:val="both"/>
        <w:rPr>
          <w:rFonts w:ascii="Book Antiqua" w:hAnsi="Book Antiqua"/>
          <w:lang w:val="en-GB" w:eastAsia="zh-CN"/>
        </w:rPr>
      </w:pPr>
      <w:r w:rsidRPr="009D03BE">
        <w:rPr>
          <w:rFonts w:ascii="Book Antiqua" w:hAnsi="Book Antiqua"/>
          <w:lang w:val="en-GB"/>
        </w:rPr>
        <w:t>We consecutively enrolled all patients with complicated NS and normal basal IgG levels undergoing the first RTX infusion from January 2008 to January 2016. Basal IgG</w:t>
      </w:r>
      <w:r w:rsidR="002F50A5" w:rsidRPr="009D03BE">
        <w:rPr>
          <w:rFonts w:ascii="Book Antiqua" w:hAnsi="Book Antiqua"/>
          <w:lang w:val="en-GB"/>
        </w:rPr>
        <w:t xml:space="preserve"> levels were dosed after 6 </w:t>
      </w:r>
      <w:proofErr w:type="spellStart"/>
      <w:r w:rsidR="002F50A5" w:rsidRPr="009D03BE">
        <w:rPr>
          <w:rFonts w:ascii="Book Antiqua" w:hAnsi="Book Antiqua"/>
          <w:lang w:val="en-GB"/>
        </w:rPr>
        <w:t>wk</w:t>
      </w:r>
      <w:proofErr w:type="spellEnd"/>
      <w:r w:rsidRPr="009D03BE">
        <w:rPr>
          <w:rFonts w:ascii="Book Antiqua" w:hAnsi="Book Antiqua"/>
          <w:lang w:val="en-GB"/>
        </w:rPr>
        <w:t xml:space="preserve"> of absent proteinuria and with a maximal interval of 3 </w:t>
      </w:r>
      <w:proofErr w:type="spellStart"/>
      <w:r w:rsidRPr="009D03BE">
        <w:rPr>
          <w:rFonts w:ascii="Book Antiqua" w:hAnsi="Book Antiqua"/>
          <w:lang w:val="en-GB"/>
        </w:rPr>
        <w:t>mo</w:t>
      </w:r>
      <w:proofErr w:type="spellEnd"/>
      <w:r w:rsidRPr="009D03BE">
        <w:rPr>
          <w:rFonts w:ascii="Book Antiqua" w:hAnsi="Book Antiqua"/>
          <w:lang w:val="en-GB"/>
        </w:rPr>
        <w:t xml:space="preserve"> before RTX infusion. The primary outcome was the onset of IgG hypogammaglobulinemia during the follow-up according to IgG normal values for age (mean</w:t>
      </w:r>
      <w:r w:rsidR="00136583" w:rsidRPr="009D03BE">
        <w:rPr>
          <w:rFonts w:ascii="Book Antiqua" w:hAnsi="Book Antiqua"/>
          <w:lang w:val="en-GB" w:eastAsia="zh-CN"/>
        </w:rPr>
        <w:t xml:space="preserve"> </w:t>
      </w:r>
      <w:r w:rsidR="00136583" w:rsidRPr="009D03BE">
        <w:rPr>
          <w:rFonts w:ascii="Book Antiqua" w:hAnsi="Book Antiqua"/>
          <w:lang w:val="en-GB"/>
        </w:rPr>
        <w:t>±</w:t>
      </w:r>
      <w:r w:rsidR="00136583" w:rsidRPr="009D03BE">
        <w:rPr>
          <w:rFonts w:ascii="Book Antiqua" w:hAnsi="Book Antiqua"/>
          <w:lang w:val="en-GB" w:eastAsia="zh-CN"/>
        </w:rPr>
        <w:t xml:space="preserve"> </w:t>
      </w:r>
      <w:r w:rsidR="00136583" w:rsidRPr="009D03BE">
        <w:rPr>
          <w:rFonts w:ascii="Book Antiqua" w:hAnsi="Book Antiqua"/>
          <w:lang w:val="en-GB"/>
        </w:rPr>
        <w:t>SD</w:t>
      </w:r>
      <w:r w:rsidRPr="009D03BE">
        <w:rPr>
          <w:rFonts w:ascii="Book Antiqua" w:hAnsi="Book Antiqua"/>
          <w:lang w:val="en-GB"/>
        </w:rPr>
        <w:t xml:space="preserve">). </w:t>
      </w:r>
    </w:p>
    <w:p w14:paraId="7527FCD2" w14:textId="77777777" w:rsidR="000E61B3" w:rsidRPr="009D03BE" w:rsidRDefault="000E61B3" w:rsidP="00EC24C5">
      <w:pPr>
        <w:snapToGrid w:val="0"/>
        <w:spacing w:line="360" w:lineRule="auto"/>
        <w:jc w:val="both"/>
        <w:rPr>
          <w:rFonts w:ascii="Book Antiqua" w:hAnsi="Book Antiqua"/>
          <w:lang w:val="en-GB" w:eastAsia="zh-CN"/>
        </w:rPr>
      </w:pPr>
    </w:p>
    <w:p w14:paraId="1A1AF8CE" w14:textId="77777777" w:rsidR="006E29D4"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Research results</w:t>
      </w:r>
    </w:p>
    <w:p w14:paraId="17C7BBB3" w14:textId="77777777" w:rsidR="00B937A1" w:rsidRPr="009D03BE" w:rsidRDefault="00B937A1"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We enrolled 20 patients with </w:t>
      </w:r>
      <w:r w:rsidR="008F09C2" w:rsidRPr="009D03BE">
        <w:rPr>
          <w:rFonts w:ascii="Book Antiqua" w:hAnsi="Book Antiqua"/>
          <w:lang w:val="en-GB"/>
        </w:rPr>
        <w:t xml:space="preserve">a </w:t>
      </w:r>
      <w:r w:rsidRPr="009D03BE">
        <w:rPr>
          <w:rFonts w:ascii="Book Antiqua" w:hAnsi="Book Antiqua"/>
          <w:lang w:val="en-GB"/>
        </w:rPr>
        <w:t>mean age at NS diagnosis of 4.2</w:t>
      </w:r>
      <w:r w:rsidR="005034EC" w:rsidRPr="009D03BE">
        <w:rPr>
          <w:rFonts w:ascii="Book Antiqua" w:hAnsi="Book Antiqua"/>
          <w:lang w:val="en-GB"/>
        </w:rPr>
        <w:t xml:space="preserve"> ± </w:t>
      </w:r>
      <w:r w:rsidRPr="009D03BE">
        <w:rPr>
          <w:rFonts w:ascii="Book Antiqua" w:hAnsi="Book Antiqua"/>
          <w:lang w:val="en-GB"/>
        </w:rPr>
        <w:t>3.3years. The mean age at the first RTX infusion was 10.9</w:t>
      </w:r>
      <w:r w:rsidR="005034EC" w:rsidRPr="009D03BE">
        <w:rPr>
          <w:rFonts w:ascii="Book Antiqua" w:hAnsi="Book Antiqua"/>
          <w:lang w:val="en-GB"/>
        </w:rPr>
        <w:t xml:space="preserve"> ± </w:t>
      </w:r>
      <w:r w:rsidRPr="009D03BE">
        <w:rPr>
          <w:rFonts w:ascii="Book Antiqua" w:hAnsi="Book Antiqua"/>
          <w:lang w:val="en-GB"/>
        </w:rPr>
        <w:t>3.5</w:t>
      </w:r>
      <w:r w:rsidR="008F09C2" w:rsidRPr="009D03BE">
        <w:rPr>
          <w:rFonts w:ascii="Book Antiqua" w:hAnsi="Book Antiqua"/>
          <w:lang w:val="en-GB"/>
        </w:rPr>
        <w:t xml:space="preserve"> </w:t>
      </w:r>
      <w:r w:rsidRPr="009D03BE">
        <w:rPr>
          <w:rFonts w:ascii="Book Antiqua" w:hAnsi="Book Antiqua"/>
          <w:lang w:val="en-GB"/>
        </w:rPr>
        <w:t xml:space="preserve">years. Eleven out of </w:t>
      </w:r>
      <w:r w:rsidR="00A70892" w:rsidRPr="009D03BE">
        <w:rPr>
          <w:rFonts w:ascii="Book Antiqua" w:hAnsi="Book Antiqua"/>
          <w:lang w:val="en-GB"/>
        </w:rPr>
        <w:t>twenty</w:t>
      </w:r>
      <w:r w:rsidRPr="009D03BE">
        <w:rPr>
          <w:rFonts w:ascii="Book Antiqua" w:hAnsi="Book Antiqua"/>
          <w:lang w:val="en-GB"/>
        </w:rPr>
        <w:t xml:space="preserve"> patients (55%) developed IgG hypogammaglobulinemia. None of these patients showed severe or recurrent infections. Only one patient </w:t>
      </w:r>
      <w:r w:rsidRPr="009D03BE">
        <w:rPr>
          <w:rFonts w:ascii="Book Antiqua" w:hAnsi="Book Antiqua"/>
          <w:bCs/>
          <w:lang w:val="en-GB"/>
        </w:rPr>
        <w:t>suffered from recurrent acute otitis media and underwent substitutive IgG infusion</w:t>
      </w:r>
      <w:r w:rsidRPr="009D03BE">
        <w:rPr>
          <w:rFonts w:ascii="Book Antiqua" w:hAnsi="Book Antiqua"/>
          <w:lang w:val="en-GB"/>
        </w:rPr>
        <w:t xml:space="preserve">. Three patients undergoing only the </w:t>
      </w:r>
      <w:r w:rsidR="008F09C2" w:rsidRPr="009D03BE">
        <w:rPr>
          <w:rFonts w:ascii="Book Antiqua" w:hAnsi="Book Antiqua"/>
          <w:lang w:val="en-GB"/>
        </w:rPr>
        <w:t>two</w:t>
      </w:r>
      <w:r w:rsidRPr="009D03BE">
        <w:rPr>
          <w:rFonts w:ascii="Book Antiqua" w:hAnsi="Book Antiqua"/>
          <w:lang w:val="en-GB"/>
        </w:rPr>
        <w:t xml:space="preserve"> “starting doses”</w:t>
      </w:r>
      <w:r w:rsidR="00356FE9" w:rsidRPr="009D03BE">
        <w:rPr>
          <w:rFonts w:ascii="Book Antiqua" w:hAnsi="Book Antiqua"/>
          <w:lang w:val="en-GB"/>
        </w:rPr>
        <w:t xml:space="preserve"> </w:t>
      </w:r>
      <w:r w:rsidRPr="009D03BE">
        <w:rPr>
          <w:rFonts w:ascii="Book Antiqua" w:hAnsi="Book Antiqua"/>
          <w:lang w:val="en-GB"/>
        </w:rPr>
        <w:t>experience</w:t>
      </w:r>
      <w:r w:rsidR="000E61B3" w:rsidRPr="009D03BE">
        <w:rPr>
          <w:rFonts w:ascii="Book Antiqua" w:hAnsi="Book Antiqua"/>
          <w:lang w:val="en-GB"/>
        </w:rPr>
        <w:t xml:space="preserve">d normalization of IgG levels. </w:t>
      </w:r>
      <w:r w:rsidR="008F09C2" w:rsidRPr="009D03BE">
        <w:rPr>
          <w:rFonts w:ascii="Book Antiqua" w:hAnsi="Book Antiqua"/>
          <w:lang w:val="en-GB"/>
        </w:rPr>
        <w:t>When c</w:t>
      </w:r>
      <w:r w:rsidRPr="009D03BE">
        <w:rPr>
          <w:rFonts w:ascii="Book Antiqua" w:hAnsi="Book Antiqua"/>
          <w:lang w:val="en-GB"/>
        </w:rPr>
        <w:t>omparing patients showing and not showing IgG hypogammaglobulinemia, no differences</w:t>
      </w:r>
      <w:r w:rsidR="008F09C2" w:rsidRPr="009D03BE">
        <w:rPr>
          <w:rFonts w:ascii="Book Antiqua" w:hAnsi="Book Antiqua"/>
          <w:lang w:val="en-GB"/>
        </w:rPr>
        <w:t xml:space="preserve"> were found</w:t>
      </w:r>
      <w:r w:rsidRPr="009D03BE">
        <w:rPr>
          <w:rFonts w:ascii="Book Antiqua" w:hAnsi="Book Antiqua"/>
          <w:lang w:val="en-GB"/>
        </w:rPr>
        <w:t xml:space="preserve"> in</w:t>
      </w:r>
      <w:r w:rsidR="008F09C2" w:rsidRPr="009D03BE">
        <w:rPr>
          <w:rFonts w:ascii="Book Antiqua" w:hAnsi="Book Antiqua"/>
          <w:lang w:val="en-GB"/>
        </w:rPr>
        <w:t xml:space="preserve"> the</w:t>
      </w:r>
      <w:r w:rsidRPr="009D03BE">
        <w:rPr>
          <w:rFonts w:ascii="Book Antiqua" w:hAnsi="Book Antiqua"/>
          <w:lang w:val="en-GB"/>
        </w:rPr>
        <w:t xml:space="preserve"> utilization of corticosteroids, cyclosporine, cyclophosphamide, other immunosuppressive agents</w:t>
      </w:r>
      <w:r w:rsidR="008F09C2" w:rsidRPr="009D03BE">
        <w:rPr>
          <w:rFonts w:ascii="Book Antiqua" w:hAnsi="Book Antiqua"/>
          <w:lang w:val="en-GB"/>
        </w:rPr>
        <w:t>,</w:t>
      </w:r>
      <w:r w:rsidRPr="009D03BE">
        <w:rPr>
          <w:rFonts w:ascii="Book Antiqua" w:hAnsi="Book Antiqua"/>
          <w:lang w:val="en-GB"/>
        </w:rPr>
        <w:t xml:space="preserve"> and </w:t>
      </w:r>
      <w:r w:rsidR="008F09C2" w:rsidRPr="009D03BE">
        <w:rPr>
          <w:rFonts w:ascii="Book Antiqua" w:hAnsi="Book Antiqua"/>
          <w:lang w:val="en-GB"/>
        </w:rPr>
        <w:t>more than one</w:t>
      </w:r>
      <w:r w:rsidRPr="009D03BE">
        <w:rPr>
          <w:rFonts w:ascii="Book Antiqua" w:hAnsi="Book Antiqua"/>
          <w:lang w:val="en-GB"/>
        </w:rPr>
        <w:t xml:space="preserve"> immunosuppressive agent. A non-significant trend showing a lower number of relapses after RTX infusion and younger age at first RTX infusion for the patients presenting IgG hypogammaglobulinemia compared with the patients not presenting IgG hypogammaglobulinemia was present</w:t>
      </w:r>
      <w:r w:rsidR="003A002D" w:rsidRPr="009D03BE">
        <w:rPr>
          <w:rFonts w:ascii="Book Antiqua" w:hAnsi="Book Antiqua"/>
          <w:lang w:val="en-GB"/>
        </w:rPr>
        <w:t>.</w:t>
      </w:r>
      <w:r w:rsidR="000E61B3" w:rsidRPr="009D03BE">
        <w:rPr>
          <w:rFonts w:ascii="Book Antiqua" w:hAnsi="Book Antiqua"/>
          <w:lang w:val="en-GB" w:eastAsia="zh-CN"/>
        </w:rPr>
        <w:t xml:space="preserve"> </w:t>
      </w:r>
      <w:r w:rsidR="008F09C2" w:rsidRPr="009D03BE">
        <w:rPr>
          <w:rFonts w:ascii="Book Antiqua" w:hAnsi="Book Antiqua"/>
          <w:lang w:val="en-GB"/>
        </w:rPr>
        <w:t>Using</w:t>
      </w:r>
      <w:r w:rsidRPr="009D03BE">
        <w:rPr>
          <w:rFonts w:ascii="Book Antiqua" w:hAnsi="Book Antiqua"/>
          <w:lang w:val="en-GB"/>
        </w:rPr>
        <w:t xml:space="preserve"> Kaplan-Meier analysis, the cumulative proportion of patients free of IgG hypogammaglobulinemia was 57.8% after the first RTX dose, 51.5% after the third, 44.1% after the fourth</w:t>
      </w:r>
      <w:r w:rsidR="008F09C2" w:rsidRPr="009D03BE">
        <w:rPr>
          <w:rFonts w:ascii="Book Antiqua" w:hAnsi="Book Antiqua"/>
          <w:lang w:val="en-GB"/>
        </w:rPr>
        <w:t>,</w:t>
      </w:r>
      <w:r w:rsidRPr="009D03BE">
        <w:rPr>
          <w:rFonts w:ascii="Book Antiqua" w:hAnsi="Book Antiqua"/>
          <w:lang w:val="en-GB"/>
        </w:rPr>
        <w:t xml:space="preserve"> and 35.5% after the fifth dose. </w:t>
      </w:r>
    </w:p>
    <w:p w14:paraId="647872BB" w14:textId="77777777" w:rsidR="000E61B3" w:rsidRPr="009D03BE" w:rsidRDefault="000E61B3" w:rsidP="00EC24C5">
      <w:pPr>
        <w:snapToGrid w:val="0"/>
        <w:spacing w:line="360" w:lineRule="auto"/>
        <w:jc w:val="both"/>
        <w:rPr>
          <w:rFonts w:ascii="Book Antiqua" w:hAnsi="Book Antiqua"/>
          <w:lang w:val="en-GB" w:eastAsia="zh-CN"/>
        </w:rPr>
      </w:pPr>
    </w:p>
    <w:p w14:paraId="7BD64C51" w14:textId="77777777" w:rsidR="006E29D4"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Research conclusions</w:t>
      </w:r>
    </w:p>
    <w:p w14:paraId="673ABE34" w14:textId="77777777" w:rsidR="004F18CB" w:rsidRPr="009D03BE" w:rsidRDefault="003B451A" w:rsidP="00EC24C5">
      <w:pPr>
        <w:snapToGrid w:val="0"/>
        <w:spacing w:line="360" w:lineRule="auto"/>
        <w:jc w:val="both"/>
        <w:rPr>
          <w:rFonts w:ascii="Book Antiqua" w:hAnsi="Book Antiqua"/>
          <w:bCs/>
          <w:lang w:val="en-GB" w:eastAsia="zh-CN"/>
        </w:rPr>
      </w:pPr>
      <w:r w:rsidRPr="009D03BE">
        <w:rPr>
          <w:rFonts w:ascii="Book Antiqua" w:hAnsi="Book Antiqua"/>
          <w:lang w:val="en-GB"/>
        </w:rPr>
        <w:t xml:space="preserve">Our study is the first study specifically designed to </w:t>
      </w:r>
      <w:r w:rsidR="00356FE9" w:rsidRPr="009D03BE">
        <w:rPr>
          <w:rFonts w:ascii="Book Antiqua" w:hAnsi="Book Antiqua"/>
          <w:lang w:val="en-GB"/>
        </w:rPr>
        <w:t>enrol</w:t>
      </w:r>
      <w:r w:rsidRPr="009D03BE">
        <w:rPr>
          <w:rFonts w:ascii="Book Antiqua" w:hAnsi="Book Antiqua"/>
          <w:lang w:val="en-GB"/>
        </w:rPr>
        <w:t xml:space="preserve"> only children with complicated, frequently relapsing</w:t>
      </w:r>
      <w:r w:rsidR="009C465D" w:rsidRPr="009D03BE">
        <w:rPr>
          <w:rFonts w:ascii="Book Antiqua" w:hAnsi="Book Antiqua"/>
          <w:lang w:val="en-GB"/>
        </w:rPr>
        <w:t>,</w:t>
      </w:r>
      <w:r w:rsidRPr="009D03BE">
        <w:rPr>
          <w:rFonts w:ascii="Book Antiqua" w:hAnsi="Book Antiqua"/>
          <w:lang w:val="en-GB"/>
        </w:rPr>
        <w:t xml:space="preserve"> and steroid- and cyclosporine-dependent NS with normal basal IgG levels. </w:t>
      </w:r>
      <w:r w:rsidR="004F18CB" w:rsidRPr="009D03BE">
        <w:rPr>
          <w:rFonts w:ascii="Book Antiqua" w:hAnsi="Book Antiqua"/>
          <w:lang w:val="en-GB"/>
        </w:rPr>
        <w:t xml:space="preserve">Our case series shows that RTX can induce IgG hypogammaglobulinemia in patients </w:t>
      </w:r>
      <w:r w:rsidR="004F18CB" w:rsidRPr="009D03BE">
        <w:rPr>
          <w:rFonts w:ascii="Book Antiqua" w:hAnsi="Book Antiqua"/>
          <w:lang w:val="en-GB"/>
        </w:rPr>
        <w:lastRenderedPageBreak/>
        <w:t xml:space="preserve">with pre-RTX IgG normal values and that persisting </w:t>
      </w:r>
      <w:r w:rsidRPr="009D03BE">
        <w:rPr>
          <w:rFonts w:ascii="Book Antiqua" w:hAnsi="Book Antiqua"/>
          <w:lang w:val="en-GB"/>
        </w:rPr>
        <w:t xml:space="preserve">post-RTX </w:t>
      </w:r>
      <w:r w:rsidR="004F18CB" w:rsidRPr="009D03BE">
        <w:rPr>
          <w:rFonts w:ascii="Book Antiqua" w:hAnsi="Book Antiqua"/>
          <w:lang w:val="en-GB"/>
        </w:rPr>
        <w:t xml:space="preserve">IgG hypogammaglobulinemia could be dose-dependent. </w:t>
      </w:r>
      <w:r w:rsidR="00320FA9" w:rsidRPr="009D03BE">
        <w:rPr>
          <w:rFonts w:ascii="Book Antiqua" w:hAnsi="Book Antiqua"/>
          <w:bCs/>
          <w:lang w:val="en-GB"/>
        </w:rPr>
        <w:t>None of the patients developing IgG hypogammaglobulinemia showed severe infections. Only one patient suffered from recurrent acute otitis media and underwent substitutive IgG infusion</w:t>
      </w:r>
      <w:r w:rsidR="000E61B3" w:rsidRPr="009D03BE">
        <w:rPr>
          <w:rFonts w:ascii="Book Antiqua" w:hAnsi="Book Antiqua"/>
          <w:bCs/>
          <w:lang w:val="en-GB" w:eastAsia="zh-CN"/>
        </w:rPr>
        <w:t>.</w:t>
      </w:r>
    </w:p>
    <w:p w14:paraId="539FB79E" w14:textId="77777777" w:rsidR="000E61B3" w:rsidRPr="009D03BE" w:rsidRDefault="000E61B3" w:rsidP="00EC24C5">
      <w:pPr>
        <w:snapToGrid w:val="0"/>
        <w:spacing w:line="360" w:lineRule="auto"/>
        <w:jc w:val="both"/>
        <w:rPr>
          <w:rFonts w:ascii="Book Antiqua" w:hAnsi="Book Antiqua"/>
          <w:i/>
          <w:lang w:val="en-GB" w:eastAsia="zh-CN"/>
        </w:rPr>
      </w:pPr>
    </w:p>
    <w:p w14:paraId="3154035D" w14:textId="77777777" w:rsidR="006E29D4" w:rsidRPr="009D03BE" w:rsidRDefault="006E29D4" w:rsidP="00EC24C5">
      <w:pPr>
        <w:snapToGrid w:val="0"/>
        <w:spacing w:line="360" w:lineRule="auto"/>
        <w:jc w:val="both"/>
        <w:rPr>
          <w:rFonts w:ascii="Book Antiqua" w:hAnsi="Book Antiqua"/>
          <w:b/>
          <w:i/>
          <w:lang w:val="en-GB" w:eastAsia="zh-CN"/>
        </w:rPr>
      </w:pPr>
      <w:r w:rsidRPr="009D03BE">
        <w:rPr>
          <w:rFonts w:ascii="Book Antiqua" w:hAnsi="Book Antiqua"/>
          <w:b/>
          <w:i/>
          <w:lang w:val="en-GB" w:eastAsia="zh-CN"/>
        </w:rPr>
        <w:t>Research perspectives</w:t>
      </w:r>
    </w:p>
    <w:p w14:paraId="7F11CDE3" w14:textId="77777777" w:rsidR="00585E3A" w:rsidRPr="009D03BE" w:rsidRDefault="00585E3A" w:rsidP="00EC24C5">
      <w:pPr>
        <w:snapToGrid w:val="0"/>
        <w:spacing w:line="360" w:lineRule="auto"/>
        <w:jc w:val="both"/>
        <w:rPr>
          <w:rFonts w:ascii="Book Antiqua" w:hAnsi="Book Antiqua"/>
          <w:lang w:val="en-GB" w:eastAsia="zh-CN"/>
        </w:rPr>
      </w:pPr>
      <w:r w:rsidRPr="009D03BE">
        <w:rPr>
          <w:rFonts w:ascii="Book Antiqua" w:hAnsi="Book Antiqua"/>
          <w:lang w:val="en-GB" w:eastAsia="zh-CN"/>
        </w:rPr>
        <w:t>This article</w:t>
      </w:r>
      <w:r w:rsidR="009C465D" w:rsidRPr="009D03BE">
        <w:rPr>
          <w:rFonts w:ascii="Book Antiqua" w:hAnsi="Book Antiqua"/>
          <w:lang w:val="en-GB" w:eastAsia="zh-CN"/>
        </w:rPr>
        <w:t xml:space="preserve"> adds to our</w:t>
      </w:r>
      <w:r w:rsidRPr="009D03BE">
        <w:rPr>
          <w:rFonts w:ascii="Book Antiqua" w:hAnsi="Book Antiqua"/>
          <w:lang w:val="en-GB" w:eastAsia="zh-CN"/>
        </w:rPr>
        <w:t xml:space="preserve"> knowledge about</w:t>
      </w:r>
      <w:r w:rsidR="009C465D" w:rsidRPr="009D03BE">
        <w:rPr>
          <w:rFonts w:ascii="Book Antiqua" w:hAnsi="Book Antiqua"/>
          <w:lang w:val="en-GB" w:eastAsia="zh-CN"/>
        </w:rPr>
        <w:t xml:space="preserve"> the</w:t>
      </w:r>
      <w:r w:rsidRPr="009D03BE">
        <w:rPr>
          <w:rFonts w:ascii="Book Antiqua" w:hAnsi="Book Antiqua"/>
          <w:lang w:val="en-GB" w:eastAsia="zh-CN"/>
        </w:rPr>
        <w:t xml:space="preserve"> safety of RTX in children </w:t>
      </w:r>
      <w:r w:rsidR="006075B7" w:rsidRPr="009D03BE">
        <w:rPr>
          <w:rFonts w:ascii="Book Antiqua" w:hAnsi="Book Antiqua"/>
          <w:lang w:val="en-GB" w:eastAsia="zh-CN"/>
        </w:rPr>
        <w:t xml:space="preserve">with complicated NS. Future studies should prospectively collect multicentre data on </w:t>
      </w:r>
      <w:r w:rsidR="009C465D" w:rsidRPr="009D03BE">
        <w:rPr>
          <w:rFonts w:ascii="Book Antiqua" w:hAnsi="Book Antiqua"/>
          <w:lang w:val="en-GB" w:eastAsia="zh-CN"/>
        </w:rPr>
        <w:t xml:space="preserve">the </w:t>
      </w:r>
      <w:r w:rsidR="001674C4" w:rsidRPr="009D03BE">
        <w:rPr>
          <w:rFonts w:ascii="Book Antiqua" w:hAnsi="Book Antiqua"/>
          <w:lang w:val="en-GB" w:eastAsia="zh-CN"/>
        </w:rPr>
        <w:t>effects of RTX on IgG levels and risk of severe infections.</w:t>
      </w:r>
      <w:r w:rsidR="00B245F7" w:rsidRPr="009D03BE">
        <w:rPr>
          <w:rFonts w:ascii="Book Antiqua" w:hAnsi="Book Antiqua"/>
          <w:lang w:val="en-GB" w:eastAsia="zh-CN"/>
        </w:rPr>
        <w:t xml:space="preserve"> This will improv</w:t>
      </w:r>
      <w:r w:rsidR="003F7FB6" w:rsidRPr="009D03BE">
        <w:rPr>
          <w:rFonts w:ascii="Book Antiqua" w:hAnsi="Book Antiqua"/>
          <w:lang w:val="en-GB" w:eastAsia="zh-CN"/>
        </w:rPr>
        <w:t>e management of post-RTX IgG hypogammaglobulinemia</w:t>
      </w:r>
      <w:r w:rsidR="009C465D" w:rsidRPr="009D03BE">
        <w:rPr>
          <w:rFonts w:ascii="Book Antiqua" w:hAnsi="Book Antiqua"/>
          <w:lang w:val="en-GB" w:eastAsia="zh-CN"/>
        </w:rPr>
        <w:t xml:space="preserve"> and help</w:t>
      </w:r>
      <w:r w:rsidR="003F7FB6" w:rsidRPr="009D03BE">
        <w:rPr>
          <w:rFonts w:ascii="Book Antiqua" w:hAnsi="Book Antiqua"/>
          <w:lang w:val="en-GB" w:eastAsia="zh-CN"/>
        </w:rPr>
        <w:t xml:space="preserve"> defin</w:t>
      </w:r>
      <w:r w:rsidR="009C465D" w:rsidRPr="009D03BE">
        <w:rPr>
          <w:rFonts w:ascii="Book Antiqua" w:hAnsi="Book Antiqua"/>
          <w:lang w:val="en-GB" w:eastAsia="zh-CN"/>
        </w:rPr>
        <w:t>e</w:t>
      </w:r>
      <w:r w:rsidR="003F7FB6" w:rsidRPr="009D03BE">
        <w:rPr>
          <w:rFonts w:ascii="Book Antiqua" w:hAnsi="Book Antiqua"/>
          <w:lang w:val="en-GB" w:eastAsia="zh-CN"/>
        </w:rPr>
        <w:t xml:space="preserve"> patients </w:t>
      </w:r>
      <w:r w:rsidR="00B47F46" w:rsidRPr="009D03BE">
        <w:rPr>
          <w:rFonts w:ascii="Book Antiqua" w:hAnsi="Book Antiqua"/>
          <w:lang w:val="en-GB" w:eastAsia="zh-CN"/>
        </w:rPr>
        <w:t>who could benefit from</w:t>
      </w:r>
      <w:r w:rsidR="003F7FB6" w:rsidRPr="009D03BE">
        <w:rPr>
          <w:rFonts w:ascii="Book Antiqua" w:hAnsi="Book Antiqua"/>
          <w:lang w:val="en-GB" w:eastAsia="zh-CN"/>
        </w:rPr>
        <w:t xml:space="preserve"> substitutive IgG infusion. </w:t>
      </w:r>
    </w:p>
    <w:p w14:paraId="69148C20" w14:textId="77777777" w:rsidR="00181B64" w:rsidRPr="009D03BE" w:rsidRDefault="00181B64" w:rsidP="00EC24C5">
      <w:pPr>
        <w:snapToGrid w:val="0"/>
        <w:spacing w:line="360" w:lineRule="auto"/>
        <w:jc w:val="both"/>
        <w:rPr>
          <w:rFonts w:ascii="Book Antiqua" w:hAnsi="Book Antiqua"/>
          <w:b/>
          <w:lang w:val="en-GB" w:eastAsia="zh-CN"/>
        </w:rPr>
      </w:pPr>
    </w:p>
    <w:p w14:paraId="5450A1D5" w14:textId="77777777" w:rsidR="000E61B3" w:rsidRPr="009D03BE" w:rsidRDefault="000E61B3" w:rsidP="00EC24C5">
      <w:pPr>
        <w:snapToGrid w:val="0"/>
        <w:spacing w:line="360" w:lineRule="auto"/>
        <w:jc w:val="both"/>
        <w:rPr>
          <w:rFonts w:ascii="Book Antiqua" w:hAnsi="Book Antiqua"/>
          <w:b/>
          <w:lang w:val="en-GB" w:eastAsia="zh-CN"/>
        </w:rPr>
      </w:pPr>
      <w:r w:rsidRPr="009D03BE">
        <w:rPr>
          <w:rFonts w:ascii="Book Antiqua" w:hAnsi="Book Antiqua"/>
          <w:b/>
          <w:lang w:val="en-GB"/>
        </w:rPr>
        <w:t>ACKNOWLEDGMENTS</w:t>
      </w:r>
    </w:p>
    <w:p w14:paraId="345D4C09" w14:textId="77777777" w:rsidR="000E61B3" w:rsidRPr="009D03BE" w:rsidRDefault="000E61B3" w:rsidP="00EC24C5">
      <w:pPr>
        <w:snapToGrid w:val="0"/>
        <w:spacing w:line="360" w:lineRule="auto"/>
        <w:jc w:val="both"/>
        <w:rPr>
          <w:rFonts w:ascii="Book Antiqua" w:hAnsi="Book Antiqua"/>
          <w:b/>
          <w:lang w:val="en-GB"/>
        </w:rPr>
      </w:pPr>
      <w:r w:rsidRPr="009D03BE">
        <w:rPr>
          <w:rFonts w:ascii="Book Antiqua" w:hAnsi="Book Antiqua"/>
          <w:lang w:val="en-GB"/>
        </w:rPr>
        <w:t xml:space="preserve">The authors thank Anna </w:t>
      </w:r>
      <w:proofErr w:type="spellStart"/>
      <w:r w:rsidRPr="009D03BE">
        <w:rPr>
          <w:rFonts w:ascii="Book Antiqua" w:hAnsi="Book Antiqua"/>
          <w:lang w:val="en-GB"/>
        </w:rPr>
        <w:t>Carella</w:t>
      </w:r>
      <w:proofErr w:type="spellEnd"/>
      <w:r w:rsidRPr="009D03BE">
        <w:rPr>
          <w:rFonts w:ascii="Book Antiqua" w:hAnsi="Book Antiqua"/>
          <w:lang w:val="en-GB"/>
        </w:rPr>
        <w:t xml:space="preserve"> for English language editing of this manuscript.</w:t>
      </w:r>
    </w:p>
    <w:p w14:paraId="7A3ABF12" w14:textId="77777777" w:rsidR="000E61B3" w:rsidRPr="009D03BE" w:rsidRDefault="000E61B3" w:rsidP="00EC24C5">
      <w:pPr>
        <w:snapToGrid w:val="0"/>
        <w:spacing w:line="360" w:lineRule="auto"/>
        <w:jc w:val="both"/>
        <w:rPr>
          <w:rFonts w:ascii="Book Antiqua" w:hAnsi="Book Antiqua"/>
          <w:b/>
          <w:lang w:val="en-GB"/>
        </w:rPr>
      </w:pPr>
      <w:r w:rsidRPr="009D03BE">
        <w:rPr>
          <w:rFonts w:ascii="Book Antiqua" w:hAnsi="Book Antiqua"/>
          <w:b/>
          <w:lang w:val="en-GB" w:eastAsia="zh-CN"/>
        </w:rPr>
        <w:br w:type="page"/>
      </w:r>
      <w:r w:rsidR="00CF6EBE" w:rsidRPr="009D03BE">
        <w:rPr>
          <w:rFonts w:ascii="Book Antiqua" w:hAnsi="Book Antiqua"/>
          <w:b/>
          <w:lang w:val="en-GB"/>
        </w:rPr>
        <w:lastRenderedPageBreak/>
        <w:t>REFERENCES</w:t>
      </w:r>
    </w:p>
    <w:p w14:paraId="3AC11285"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1 </w:t>
      </w:r>
      <w:proofErr w:type="spellStart"/>
      <w:r w:rsidRPr="009D03BE">
        <w:rPr>
          <w:rFonts w:ascii="Book Antiqua" w:hAnsi="Book Antiqua"/>
          <w:b/>
          <w:lang w:val="en-GB"/>
        </w:rPr>
        <w:t>Iijima</w:t>
      </w:r>
      <w:proofErr w:type="spellEnd"/>
      <w:r w:rsidRPr="009D03BE">
        <w:rPr>
          <w:rFonts w:ascii="Book Antiqua" w:hAnsi="Book Antiqua"/>
          <w:b/>
          <w:lang w:val="en-GB"/>
        </w:rPr>
        <w:t xml:space="preserve"> K</w:t>
      </w:r>
      <w:r w:rsidRPr="009D03BE">
        <w:rPr>
          <w:rFonts w:ascii="Book Antiqua" w:hAnsi="Book Antiqua"/>
          <w:lang w:val="en-GB"/>
        </w:rPr>
        <w:t xml:space="preserve">, </w:t>
      </w:r>
      <w:proofErr w:type="spellStart"/>
      <w:r w:rsidRPr="009D03BE">
        <w:rPr>
          <w:rFonts w:ascii="Book Antiqua" w:hAnsi="Book Antiqua"/>
          <w:lang w:val="en-GB"/>
        </w:rPr>
        <w:t>Sako</w:t>
      </w:r>
      <w:proofErr w:type="spellEnd"/>
      <w:r w:rsidRPr="009D03BE">
        <w:rPr>
          <w:rFonts w:ascii="Book Antiqua" w:hAnsi="Book Antiqua"/>
          <w:lang w:val="en-GB"/>
        </w:rPr>
        <w:t xml:space="preserve"> M, </w:t>
      </w:r>
      <w:proofErr w:type="spellStart"/>
      <w:r w:rsidRPr="009D03BE">
        <w:rPr>
          <w:rFonts w:ascii="Book Antiqua" w:hAnsi="Book Antiqua"/>
          <w:lang w:val="en-GB"/>
        </w:rPr>
        <w:t>Nozu</w:t>
      </w:r>
      <w:proofErr w:type="spellEnd"/>
      <w:r w:rsidRPr="009D03BE">
        <w:rPr>
          <w:rFonts w:ascii="Book Antiqua" w:hAnsi="Book Antiqua"/>
          <w:lang w:val="en-GB"/>
        </w:rPr>
        <w:t xml:space="preserve"> K, Mori R, </w:t>
      </w:r>
      <w:proofErr w:type="spellStart"/>
      <w:r w:rsidRPr="009D03BE">
        <w:rPr>
          <w:rFonts w:ascii="Book Antiqua" w:hAnsi="Book Antiqua"/>
          <w:lang w:val="en-GB"/>
        </w:rPr>
        <w:t>Tuchida</w:t>
      </w:r>
      <w:proofErr w:type="spellEnd"/>
      <w:r w:rsidRPr="009D03BE">
        <w:rPr>
          <w:rFonts w:ascii="Book Antiqua" w:hAnsi="Book Antiqua"/>
          <w:lang w:val="en-GB"/>
        </w:rPr>
        <w:t xml:space="preserve"> N, Kamei K, Miura K, Aya K, Nakanishi K, </w:t>
      </w:r>
      <w:proofErr w:type="spellStart"/>
      <w:r w:rsidRPr="009D03BE">
        <w:rPr>
          <w:rFonts w:ascii="Book Antiqua" w:hAnsi="Book Antiqua"/>
          <w:lang w:val="en-GB"/>
        </w:rPr>
        <w:t>Ohtomo</w:t>
      </w:r>
      <w:proofErr w:type="spellEnd"/>
      <w:r w:rsidRPr="009D03BE">
        <w:rPr>
          <w:rFonts w:ascii="Book Antiqua" w:hAnsi="Book Antiqua"/>
          <w:lang w:val="en-GB"/>
        </w:rPr>
        <w:t xml:space="preserve"> Y, Takahashi S, Tanaka R, </w:t>
      </w:r>
      <w:proofErr w:type="spellStart"/>
      <w:r w:rsidRPr="009D03BE">
        <w:rPr>
          <w:rFonts w:ascii="Book Antiqua" w:hAnsi="Book Antiqua"/>
          <w:lang w:val="en-GB"/>
        </w:rPr>
        <w:t>Kaito</w:t>
      </w:r>
      <w:proofErr w:type="spellEnd"/>
      <w:r w:rsidRPr="009D03BE">
        <w:rPr>
          <w:rFonts w:ascii="Book Antiqua" w:hAnsi="Book Antiqua"/>
          <w:lang w:val="en-GB"/>
        </w:rPr>
        <w:t xml:space="preserve"> H, Nakamura H, </w:t>
      </w:r>
      <w:proofErr w:type="spellStart"/>
      <w:r w:rsidRPr="009D03BE">
        <w:rPr>
          <w:rFonts w:ascii="Book Antiqua" w:hAnsi="Book Antiqua"/>
          <w:lang w:val="en-GB"/>
        </w:rPr>
        <w:t>Ishikura</w:t>
      </w:r>
      <w:proofErr w:type="spellEnd"/>
      <w:r w:rsidRPr="009D03BE">
        <w:rPr>
          <w:rFonts w:ascii="Book Antiqua" w:hAnsi="Book Antiqua"/>
          <w:lang w:val="en-GB"/>
        </w:rPr>
        <w:t xml:space="preserve"> K, Ito S, Ohashi Y; Rituximab for Childhood-onset Refractory Nephrotic Syndrome (RCRNS) Study Group. Rituximab for childhood-onset, complicated, frequently relapsing nephrotic syndrome or steroid-dependent nephrotic syndrome: a multicentre, double-blind, randomised, placebo-controlled trial. </w:t>
      </w:r>
      <w:r w:rsidRPr="009D03BE">
        <w:rPr>
          <w:rFonts w:ascii="Book Antiqua" w:hAnsi="Book Antiqua"/>
          <w:i/>
          <w:lang w:val="en-GB"/>
        </w:rPr>
        <w:t>Lancet</w:t>
      </w:r>
      <w:r w:rsidRPr="009D03BE">
        <w:rPr>
          <w:rFonts w:ascii="Book Antiqua" w:hAnsi="Book Antiqua"/>
          <w:lang w:val="en-GB"/>
        </w:rPr>
        <w:t xml:space="preserve"> 2014; </w:t>
      </w:r>
      <w:r w:rsidRPr="009D03BE">
        <w:rPr>
          <w:rFonts w:ascii="Book Antiqua" w:hAnsi="Book Antiqua"/>
          <w:b/>
          <w:lang w:val="en-GB"/>
        </w:rPr>
        <w:t>384</w:t>
      </w:r>
      <w:r w:rsidRPr="009D03BE">
        <w:rPr>
          <w:rFonts w:ascii="Book Antiqua" w:hAnsi="Book Antiqua"/>
          <w:lang w:val="en-GB"/>
        </w:rPr>
        <w:t>: 1273-1281 [PMID: 24965823 DOI: 10.1016/S0140-6736(14)60541-9]</w:t>
      </w:r>
    </w:p>
    <w:p w14:paraId="1BF05142"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2 </w:t>
      </w:r>
      <w:r w:rsidRPr="009D03BE">
        <w:rPr>
          <w:rFonts w:ascii="Book Antiqua" w:hAnsi="Book Antiqua"/>
          <w:b/>
          <w:lang w:val="en-GB"/>
        </w:rPr>
        <w:t>Marco H</w:t>
      </w:r>
      <w:r w:rsidRPr="009D03BE">
        <w:rPr>
          <w:rFonts w:ascii="Book Antiqua" w:hAnsi="Book Antiqua"/>
          <w:lang w:val="en-GB"/>
        </w:rPr>
        <w:t xml:space="preserve">, Smith RM, Jones RB, </w:t>
      </w:r>
      <w:proofErr w:type="spellStart"/>
      <w:r w:rsidRPr="009D03BE">
        <w:rPr>
          <w:rFonts w:ascii="Book Antiqua" w:hAnsi="Book Antiqua"/>
          <w:lang w:val="en-GB"/>
        </w:rPr>
        <w:t>Guerry</w:t>
      </w:r>
      <w:proofErr w:type="spellEnd"/>
      <w:r w:rsidRPr="009D03BE">
        <w:rPr>
          <w:rFonts w:ascii="Book Antiqua" w:hAnsi="Book Antiqua"/>
          <w:lang w:val="en-GB"/>
        </w:rPr>
        <w:t xml:space="preserve"> MJ, </w:t>
      </w:r>
      <w:proofErr w:type="spellStart"/>
      <w:r w:rsidRPr="009D03BE">
        <w:rPr>
          <w:rFonts w:ascii="Book Antiqua" w:hAnsi="Book Antiqua"/>
          <w:lang w:val="en-GB"/>
        </w:rPr>
        <w:t>Catapano</w:t>
      </w:r>
      <w:proofErr w:type="spellEnd"/>
      <w:r w:rsidRPr="009D03BE">
        <w:rPr>
          <w:rFonts w:ascii="Book Antiqua" w:hAnsi="Book Antiqua"/>
          <w:lang w:val="en-GB"/>
        </w:rPr>
        <w:t xml:space="preserve"> F, </w:t>
      </w:r>
      <w:proofErr w:type="spellStart"/>
      <w:r w:rsidRPr="009D03BE">
        <w:rPr>
          <w:rFonts w:ascii="Book Antiqua" w:hAnsi="Book Antiqua"/>
          <w:lang w:val="en-GB"/>
        </w:rPr>
        <w:t>Burns</w:t>
      </w:r>
      <w:proofErr w:type="spellEnd"/>
      <w:r w:rsidRPr="009D03BE">
        <w:rPr>
          <w:rFonts w:ascii="Book Antiqua" w:hAnsi="Book Antiqua"/>
          <w:lang w:val="en-GB"/>
        </w:rPr>
        <w:t xml:space="preserve"> S, Chaudhry AN, Smith KG, Jayne DR. The effect of rituximab therapy on immunoglobulin levels in patients with multisystem autoimmune disease. </w:t>
      </w:r>
      <w:r w:rsidRPr="009D03BE">
        <w:rPr>
          <w:rFonts w:ascii="Book Antiqua" w:hAnsi="Book Antiqua"/>
          <w:i/>
          <w:lang w:val="en-GB"/>
        </w:rPr>
        <w:t xml:space="preserve">BMC </w:t>
      </w:r>
      <w:proofErr w:type="spellStart"/>
      <w:r w:rsidRPr="009D03BE">
        <w:rPr>
          <w:rFonts w:ascii="Book Antiqua" w:hAnsi="Book Antiqua"/>
          <w:i/>
          <w:lang w:val="en-GB"/>
        </w:rPr>
        <w:t>Musculoskelet</w:t>
      </w:r>
      <w:proofErr w:type="spellEnd"/>
      <w:r w:rsidRPr="009D03BE">
        <w:rPr>
          <w:rFonts w:ascii="Book Antiqua" w:hAnsi="Book Antiqua"/>
          <w:i/>
          <w:lang w:val="en-GB"/>
        </w:rPr>
        <w:t xml:space="preserve"> </w:t>
      </w:r>
      <w:proofErr w:type="spellStart"/>
      <w:r w:rsidRPr="009D03BE">
        <w:rPr>
          <w:rFonts w:ascii="Book Antiqua" w:hAnsi="Book Antiqua"/>
          <w:i/>
          <w:lang w:val="en-GB"/>
        </w:rPr>
        <w:t>Disord</w:t>
      </w:r>
      <w:proofErr w:type="spellEnd"/>
      <w:r w:rsidRPr="009D03BE">
        <w:rPr>
          <w:rFonts w:ascii="Book Antiqua" w:hAnsi="Book Antiqua"/>
          <w:lang w:val="en-GB"/>
        </w:rPr>
        <w:t xml:space="preserve"> 2014; </w:t>
      </w:r>
      <w:r w:rsidRPr="009D03BE">
        <w:rPr>
          <w:rFonts w:ascii="Book Antiqua" w:hAnsi="Book Antiqua"/>
          <w:b/>
          <w:lang w:val="en-GB"/>
        </w:rPr>
        <w:t>15</w:t>
      </w:r>
      <w:r w:rsidRPr="009D03BE">
        <w:rPr>
          <w:rFonts w:ascii="Book Antiqua" w:hAnsi="Book Antiqua"/>
          <w:lang w:val="en-GB"/>
        </w:rPr>
        <w:t>: 178 [PMID: 24884562 DOI: 10.1186/1471-2474-15-178]</w:t>
      </w:r>
    </w:p>
    <w:p w14:paraId="6D6A1BC1"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3 </w:t>
      </w:r>
      <w:r w:rsidRPr="009D03BE">
        <w:rPr>
          <w:rFonts w:ascii="Book Antiqua" w:hAnsi="Book Antiqua"/>
          <w:b/>
          <w:lang w:val="en-GB"/>
        </w:rPr>
        <w:t>Roberts DM</w:t>
      </w:r>
      <w:r w:rsidRPr="009D03BE">
        <w:rPr>
          <w:rFonts w:ascii="Book Antiqua" w:hAnsi="Book Antiqua"/>
          <w:lang w:val="en-GB"/>
        </w:rPr>
        <w:t xml:space="preserve">, Jones RB, Smith RM, Alberici F, </w:t>
      </w:r>
      <w:proofErr w:type="spellStart"/>
      <w:r w:rsidRPr="009D03BE">
        <w:rPr>
          <w:rFonts w:ascii="Book Antiqua" w:hAnsi="Book Antiqua"/>
          <w:lang w:val="en-GB"/>
        </w:rPr>
        <w:t>Kumaratne</w:t>
      </w:r>
      <w:proofErr w:type="spellEnd"/>
      <w:r w:rsidRPr="009D03BE">
        <w:rPr>
          <w:rFonts w:ascii="Book Antiqua" w:hAnsi="Book Antiqua"/>
          <w:lang w:val="en-GB"/>
        </w:rPr>
        <w:t xml:space="preserve"> DS, </w:t>
      </w:r>
      <w:proofErr w:type="spellStart"/>
      <w:r w:rsidRPr="009D03BE">
        <w:rPr>
          <w:rFonts w:ascii="Book Antiqua" w:hAnsi="Book Antiqua"/>
          <w:lang w:val="en-GB"/>
        </w:rPr>
        <w:t>Burns</w:t>
      </w:r>
      <w:proofErr w:type="spellEnd"/>
      <w:r w:rsidRPr="009D03BE">
        <w:rPr>
          <w:rFonts w:ascii="Book Antiqua" w:hAnsi="Book Antiqua"/>
          <w:lang w:val="en-GB"/>
        </w:rPr>
        <w:t xml:space="preserve"> S, Jayne DR. Rituximab-associated hypogammaglobulinemia: incidence, predictors and outcomes in patients with multi-system autoimmune disease. </w:t>
      </w:r>
      <w:r w:rsidRPr="009D03BE">
        <w:rPr>
          <w:rFonts w:ascii="Book Antiqua" w:hAnsi="Book Antiqua"/>
          <w:i/>
          <w:lang w:val="en-GB"/>
        </w:rPr>
        <w:t xml:space="preserve">J </w:t>
      </w:r>
      <w:proofErr w:type="spellStart"/>
      <w:r w:rsidRPr="009D03BE">
        <w:rPr>
          <w:rFonts w:ascii="Book Antiqua" w:hAnsi="Book Antiqua"/>
          <w:i/>
          <w:lang w:val="en-GB"/>
        </w:rPr>
        <w:t>Autoimmun</w:t>
      </w:r>
      <w:proofErr w:type="spellEnd"/>
      <w:r w:rsidRPr="009D03BE">
        <w:rPr>
          <w:rFonts w:ascii="Book Antiqua" w:hAnsi="Book Antiqua"/>
          <w:lang w:val="en-GB"/>
        </w:rPr>
        <w:t xml:space="preserve"> 2015; </w:t>
      </w:r>
      <w:r w:rsidRPr="009D03BE">
        <w:rPr>
          <w:rFonts w:ascii="Book Antiqua" w:hAnsi="Book Antiqua"/>
          <w:b/>
          <w:lang w:val="en-GB"/>
        </w:rPr>
        <w:t>57</w:t>
      </w:r>
      <w:r w:rsidRPr="009D03BE">
        <w:rPr>
          <w:rFonts w:ascii="Book Antiqua" w:hAnsi="Book Antiqua"/>
          <w:lang w:val="en-GB"/>
        </w:rPr>
        <w:t>: 60-65 [PMID: 25556904 DOI: 10.1016/j.jaut.2014.11.009]</w:t>
      </w:r>
    </w:p>
    <w:p w14:paraId="1AB79F98"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4 </w:t>
      </w:r>
      <w:proofErr w:type="spellStart"/>
      <w:r w:rsidRPr="009D03BE">
        <w:rPr>
          <w:rFonts w:ascii="Book Antiqua" w:hAnsi="Book Antiqua"/>
          <w:b/>
          <w:lang w:val="en-GB"/>
        </w:rPr>
        <w:t>Venhoff</w:t>
      </w:r>
      <w:proofErr w:type="spellEnd"/>
      <w:r w:rsidRPr="009D03BE">
        <w:rPr>
          <w:rFonts w:ascii="Book Antiqua" w:hAnsi="Book Antiqua"/>
          <w:b/>
          <w:lang w:val="en-GB"/>
        </w:rPr>
        <w:t xml:space="preserve"> N</w:t>
      </w:r>
      <w:r w:rsidRPr="009D03BE">
        <w:rPr>
          <w:rFonts w:ascii="Book Antiqua" w:hAnsi="Book Antiqua"/>
          <w:lang w:val="en-GB"/>
        </w:rPr>
        <w:t xml:space="preserve">, </w:t>
      </w:r>
      <w:proofErr w:type="spellStart"/>
      <w:r w:rsidRPr="009D03BE">
        <w:rPr>
          <w:rFonts w:ascii="Book Antiqua" w:hAnsi="Book Antiqua"/>
          <w:lang w:val="en-GB"/>
        </w:rPr>
        <w:t>Effelsberg</w:t>
      </w:r>
      <w:proofErr w:type="spellEnd"/>
      <w:r w:rsidRPr="009D03BE">
        <w:rPr>
          <w:rFonts w:ascii="Book Antiqua" w:hAnsi="Book Antiqua"/>
          <w:lang w:val="en-GB"/>
        </w:rPr>
        <w:t xml:space="preserve"> NM, </w:t>
      </w:r>
      <w:proofErr w:type="spellStart"/>
      <w:r w:rsidRPr="009D03BE">
        <w:rPr>
          <w:rFonts w:ascii="Book Antiqua" w:hAnsi="Book Antiqua"/>
          <w:lang w:val="en-GB"/>
        </w:rPr>
        <w:t>Salzer</w:t>
      </w:r>
      <w:proofErr w:type="spellEnd"/>
      <w:r w:rsidRPr="009D03BE">
        <w:rPr>
          <w:rFonts w:ascii="Book Antiqua" w:hAnsi="Book Antiqua"/>
          <w:lang w:val="en-GB"/>
        </w:rPr>
        <w:t xml:space="preserve"> U, </w:t>
      </w:r>
      <w:proofErr w:type="spellStart"/>
      <w:r w:rsidRPr="009D03BE">
        <w:rPr>
          <w:rFonts w:ascii="Book Antiqua" w:hAnsi="Book Antiqua"/>
          <w:lang w:val="en-GB"/>
        </w:rPr>
        <w:t>Warnatz</w:t>
      </w:r>
      <w:proofErr w:type="spellEnd"/>
      <w:r w:rsidRPr="009D03BE">
        <w:rPr>
          <w:rFonts w:ascii="Book Antiqua" w:hAnsi="Book Antiqua"/>
          <w:lang w:val="en-GB"/>
        </w:rPr>
        <w:t xml:space="preserve"> K, Peter HH, </w:t>
      </w:r>
      <w:proofErr w:type="spellStart"/>
      <w:r w:rsidRPr="009D03BE">
        <w:rPr>
          <w:rFonts w:ascii="Book Antiqua" w:hAnsi="Book Antiqua"/>
          <w:lang w:val="en-GB"/>
        </w:rPr>
        <w:t>Lebrecht</w:t>
      </w:r>
      <w:proofErr w:type="spellEnd"/>
      <w:r w:rsidRPr="009D03BE">
        <w:rPr>
          <w:rFonts w:ascii="Book Antiqua" w:hAnsi="Book Antiqua"/>
          <w:lang w:val="en-GB"/>
        </w:rPr>
        <w:t xml:space="preserve"> D, </w:t>
      </w:r>
      <w:proofErr w:type="spellStart"/>
      <w:r w:rsidRPr="009D03BE">
        <w:rPr>
          <w:rFonts w:ascii="Book Antiqua" w:hAnsi="Book Antiqua"/>
          <w:lang w:val="en-GB"/>
        </w:rPr>
        <w:t>Schlesier</w:t>
      </w:r>
      <w:proofErr w:type="spellEnd"/>
      <w:r w:rsidRPr="009D03BE">
        <w:rPr>
          <w:rFonts w:ascii="Book Antiqua" w:hAnsi="Book Antiqua"/>
          <w:lang w:val="en-GB"/>
        </w:rPr>
        <w:t xml:space="preserve"> M, </w:t>
      </w:r>
      <w:proofErr w:type="spellStart"/>
      <w:r w:rsidRPr="009D03BE">
        <w:rPr>
          <w:rFonts w:ascii="Book Antiqua" w:hAnsi="Book Antiqua"/>
          <w:lang w:val="en-GB"/>
        </w:rPr>
        <w:t>Voll</w:t>
      </w:r>
      <w:proofErr w:type="spellEnd"/>
      <w:r w:rsidRPr="009D03BE">
        <w:rPr>
          <w:rFonts w:ascii="Book Antiqua" w:hAnsi="Book Antiqua"/>
          <w:lang w:val="en-GB"/>
        </w:rPr>
        <w:t xml:space="preserve"> RE, </w:t>
      </w:r>
      <w:proofErr w:type="spellStart"/>
      <w:r w:rsidRPr="009D03BE">
        <w:rPr>
          <w:rFonts w:ascii="Book Antiqua" w:hAnsi="Book Antiqua"/>
          <w:lang w:val="en-GB"/>
        </w:rPr>
        <w:t>Thiel</w:t>
      </w:r>
      <w:proofErr w:type="spellEnd"/>
      <w:r w:rsidRPr="009D03BE">
        <w:rPr>
          <w:rFonts w:ascii="Book Antiqua" w:hAnsi="Book Antiqua"/>
          <w:lang w:val="en-GB"/>
        </w:rPr>
        <w:t xml:space="preserve"> J. Impact of rituximab on immunoglobulin concentrations and B cell numbers after cyclophosphamide treatment in patients with ANCA-associated </w:t>
      </w:r>
      <w:proofErr w:type="spellStart"/>
      <w:r w:rsidRPr="009D03BE">
        <w:rPr>
          <w:rFonts w:ascii="Book Antiqua" w:hAnsi="Book Antiqua"/>
          <w:lang w:val="en-GB"/>
        </w:rPr>
        <w:t>vasculitides</w:t>
      </w:r>
      <w:proofErr w:type="spellEnd"/>
      <w:r w:rsidRPr="009D03BE">
        <w:rPr>
          <w:rFonts w:ascii="Book Antiqua" w:hAnsi="Book Antiqua"/>
          <w:lang w:val="en-GB"/>
        </w:rPr>
        <w:t xml:space="preserve">. </w:t>
      </w:r>
      <w:proofErr w:type="spellStart"/>
      <w:r w:rsidRPr="009D03BE">
        <w:rPr>
          <w:rFonts w:ascii="Book Antiqua" w:hAnsi="Book Antiqua"/>
          <w:i/>
          <w:lang w:val="en-GB"/>
        </w:rPr>
        <w:t>PLoS</w:t>
      </w:r>
      <w:proofErr w:type="spellEnd"/>
      <w:r w:rsidRPr="009D03BE">
        <w:rPr>
          <w:rFonts w:ascii="Book Antiqua" w:hAnsi="Book Antiqua"/>
          <w:i/>
          <w:lang w:val="en-GB"/>
        </w:rPr>
        <w:t xml:space="preserve"> One</w:t>
      </w:r>
      <w:r w:rsidRPr="009D03BE">
        <w:rPr>
          <w:rFonts w:ascii="Book Antiqua" w:hAnsi="Book Antiqua"/>
          <w:lang w:val="en-GB"/>
        </w:rPr>
        <w:t xml:space="preserve"> 2012; </w:t>
      </w:r>
      <w:r w:rsidRPr="009D03BE">
        <w:rPr>
          <w:rFonts w:ascii="Book Antiqua" w:hAnsi="Book Antiqua"/>
          <w:b/>
          <w:lang w:val="en-GB"/>
        </w:rPr>
        <w:t>7</w:t>
      </w:r>
      <w:r w:rsidRPr="009D03BE">
        <w:rPr>
          <w:rFonts w:ascii="Book Antiqua" w:hAnsi="Book Antiqua"/>
          <w:lang w:val="en-GB"/>
        </w:rPr>
        <w:t>: e37626 [PMID: 22629432 DOI: 10.1371/journal.pone.0037626]</w:t>
      </w:r>
    </w:p>
    <w:p w14:paraId="11725407"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5 </w:t>
      </w:r>
      <w:proofErr w:type="spellStart"/>
      <w:r w:rsidRPr="009D03BE">
        <w:rPr>
          <w:rFonts w:ascii="Book Antiqua" w:hAnsi="Book Antiqua"/>
          <w:b/>
          <w:lang w:val="en-GB"/>
        </w:rPr>
        <w:t>Delbe-Bertin</w:t>
      </w:r>
      <w:proofErr w:type="spellEnd"/>
      <w:r w:rsidRPr="009D03BE">
        <w:rPr>
          <w:rFonts w:ascii="Book Antiqua" w:hAnsi="Book Antiqua"/>
          <w:b/>
          <w:lang w:val="en-GB"/>
        </w:rPr>
        <w:t xml:space="preserve"> L</w:t>
      </w:r>
      <w:r w:rsidRPr="009D03BE">
        <w:rPr>
          <w:rFonts w:ascii="Book Antiqua" w:hAnsi="Book Antiqua"/>
          <w:lang w:val="en-GB"/>
        </w:rPr>
        <w:t xml:space="preserve">, Aoun B, </w:t>
      </w:r>
      <w:proofErr w:type="spellStart"/>
      <w:r w:rsidRPr="009D03BE">
        <w:rPr>
          <w:rFonts w:ascii="Book Antiqua" w:hAnsi="Book Antiqua"/>
          <w:lang w:val="en-GB"/>
        </w:rPr>
        <w:t>Tudorache</w:t>
      </w:r>
      <w:proofErr w:type="spellEnd"/>
      <w:r w:rsidRPr="009D03BE">
        <w:rPr>
          <w:rFonts w:ascii="Book Antiqua" w:hAnsi="Book Antiqua"/>
          <w:lang w:val="en-GB"/>
        </w:rPr>
        <w:t xml:space="preserve"> E, </w:t>
      </w:r>
      <w:proofErr w:type="spellStart"/>
      <w:r w:rsidRPr="009D03BE">
        <w:rPr>
          <w:rFonts w:ascii="Book Antiqua" w:hAnsi="Book Antiqua"/>
          <w:lang w:val="en-GB"/>
        </w:rPr>
        <w:t>Lapillone</w:t>
      </w:r>
      <w:proofErr w:type="spellEnd"/>
      <w:r w:rsidRPr="009D03BE">
        <w:rPr>
          <w:rFonts w:ascii="Book Antiqua" w:hAnsi="Book Antiqua"/>
          <w:lang w:val="en-GB"/>
        </w:rPr>
        <w:t xml:space="preserve"> H, </w:t>
      </w:r>
      <w:proofErr w:type="spellStart"/>
      <w:r w:rsidRPr="009D03BE">
        <w:rPr>
          <w:rFonts w:ascii="Book Antiqua" w:hAnsi="Book Antiqua"/>
          <w:lang w:val="en-GB"/>
        </w:rPr>
        <w:t>Ulinski</w:t>
      </w:r>
      <w:proofErr w:type="spellEnd"/>
      <w:r w:rsidRPr="009D03BE">
        <w:rPr>
          <w:rFonts w:ascii="Book Antiqua" w:hAnsi="Book Antiqua"/>
          <w:lang w:val="en-GB"/>
        </w:rPr>
        <w:t xml:space="preserve"> T. Does rituximab induce hypogammaglobulinemia in patients with </w:t>
      </w:r>
      <w:r w:rsidR="00356FE9" w:rsidRPr="009D03BE">
        <w:rPr>
          <w:rFonts w:ascii="Book Antiqua" w:hAnsi="Book Antiqua"/>
          <w:lang w:val="en-GB"/>
        </w:rPr>
        <w:t>paediatric</w:t>
      </w:r>
      <w:r w:rsidRPr="009D03BE">
        <w:rPr>
          <w:rFonts w:ascii="Book Antiqua" w:hAnsi="Book Antiqua"/>
          <w:lang w:val="en-GB"/>
        </w:rPr>
        <w:t xml:space="preserve"> idiopathic nephrotic syndrome? </w:t>
      </w:r>
      <w:proofErr w:type="spellStart"/>
      <w:r w:rsidRPr="009D03BE">
        <w:rPr>
          <w:rFonts w:ascii="Book Antiqua" w:hAnsi="Book Antiqua"/>
          <w:i/>
          <w:lang w:val="en-GB"/>
        </w:rPr>
        <w:t>Pediatr</w:t>
      </w:r>
      <w:proofErr w:type="spellEnd"/>
      <w:r w:rsidRPr="009D03BE">
        <w:rPr>
          <w:rFonts w:ascii="Book Antiqua" w:hAnsi="Book Antiqua"/>
          <w:i/>
          <w:lang w:val="en-GB"/>
        </w:rPr>
        <w:t xml:space="preserve"> </w:t>
      </w:r>
      <w:proofErr w:type="spellStart"/>
      <w:r w:rsidRPr="009D03BE">
        <w:rPr>
          <w:rFonts w:ascii="Book Antiqua" w:hAnsi="Book Antiqua"/>
          <w:i/>
          <w:lang w:val="en-GB"/>
        </w:rPr>
        <w:t>Nephrol</w:t>
      </w:r>
      <w:proofErr w:type="spellEnd"/>
      <w:r w:rsidRPr="009D03BE">
        <w:rPr>
          <w:rFonts w:ascii="Book Antiqua" w:hAnsi="Book Antiqua"/>
          <w:lang w:val="en-GB"/>
        </w:rPr>
        <w:t xml:space="preserve"> 2013; </w:t>
      </w:r>
      <w:r w:rsidRPr="009D03BE">
        <w:rPr>
          <w:rFonts w:ascii="Book Antiqua" w:hAnsi="Book Antiqua"/>
          <w:b/>
          <w:lang w:val="en-GB"/>
        </w:rPr>
        <w:t>28</w:t>
      </w:r>
      <w:r w:rsidRPr="009D03BE">
        <w:rPr>
          <w:rFonts w:ascii="Book Antiqua" w:hAnsi="Book Antiqua"/>
          <w:lang w:val="en-GB"/>
        </w:rPr>
        <w:t>: 447-451 [PMID: 23212560 DOI: 10.1007/s00467-012-2361-z]</w:t>
      </w:r>
    </w:p>
    <w:p w14:paraId="6A0E40CB"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6 </w:t>
      </w:r>
      <w:proofErr w:type="spellStart"/>
      <w:r w:rsidRPr="009D03BE">
        <w:rPr>
          <w:rFonts w:ascii="Book Antiqua" w:hAnsi="Book Antiqua"/>
          <w:b/>
          <w:lang w:val="en-GB"/>
        </w:rPr>
        <w:t>Fujinaga</w:t>
      </w:r>
      <w:proofErr w:type="spellEnd"/>
      <w:r w:rsidRPr="009D03BE">
        <w:rPr>
          <w:rFonts w:ascii="Book Antiqua" w:hAnsi="Book Antiqua"/>
          <w:b/>
          <w:lang w:val="en-GB"/>
        </w:rPr>
        <w:t xml:space="preserve"> S</w:t>
      </w:r>
      <w:r w:rsidRPr="009D03BE">
        <w:rPr>
          <w:rFonts w:ascii="Book Antiqua" w:hAnsi="Book Antiqua"/>
          <w:lang w:val="en-GB"/>
        </w:rPr>
        <w:t xml:space="preserve">, Ozawa K, </w:t>
      </w:r>
      <w:proofErr w:type="spellStart"/>
      <w:r w:rsidRPr="009D03BE">
        <w:rPr>
          <w:rFonts w:ascii="Book Antiqua" w:hAnsi="Book Antiqua"/>
          <w:lang w:val="en-GB"/>
        </w:rPr>
        <w:t>Sakuraya</w:t>
      </w:r>
      <w:proofErr w:type="spellEnd"/>
      <w:r w:rsidRPr="009D03BE">
        <w:rPr>
          <w:rFonts w:ascii="Book Antiqua" w:hAnsi="Book Antiqua"/>
          <w:lang w:val="en-GB"/>
        </w:rPr>
        <w:t xml:space="preserve"> K, Yamada A, Shimizu T. Late-onset adverse events after a single dose of rituximab in children with complicated steroid-dependent nephrotic syndrome. </w:t>
      </w:r>
      <w:r w:rsidRPr="009D03BE">
        <w:rPr>
          <w:rFonts w:ascii="Book Antiqua" w:hAnsi="Book Antiqua"/>
          <w:i/>
          <w:lang w:val="en-GB"/>
        </w:rPr>
        <w:t xml:space="preserve">Clin </w:t>
      </w:r>
      <w:proofErr w:type="spellStart"/>
      <w:r w:rsidRPr="009D03BE">
        <w:rPr>
          <w:rFonts w:ascii="Book Antiqua" w:hAnsi="Book Antiqua"/>
          <w:i/>
          <w:lang w:val="en-GB"/>
        </w:rPr>
        <w:t>Nephrol</w:t>
      </w:r>
      <w:proofErr w:type="spellEnd"/>
      <w:r w:rsidRPr="009D03BE">
        <w:rPr>
          <w:rFonts w:ascii="Book Antiqua" w:hAnsi="Book Antiqua"/>
          <w:lang w:val="en-GB"/>
        </w:rPr>
        <w:t xml:space="preserve"> 2016; </w:t>
      </w:r>
      <w:r w:rsidRPr="009D03BE">
        <w:rPr>
          <w:rFonts w:ascii="Book Antiqua" w:hAnsi="Book Antiqua"/>
          <w:b/>
          <w:lang w:val="en-GB"/>
        </w:rPr>
        <w:t>85</w:t>
      </w:r>
      <w:r w:rsidRPr="009D03BE">
        <w:rPr>
          <w:rFonts w:ascii="Book Antiqua" w:hAnsi="Book Antiqua"/>
          <w:lang w:val="en-GB"/>
        </w:rPr>
        <w:t>: 340-345 [PMID: 27125626 DOI: 10.5414/CN108835]</w:t>
      </w:r>
    </w:p>
    <w:p w14:paraId="3FD8AB0D"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7 </w:t>
      </w:r>
      <w:proofErr w:type="spellStart"/>
      <w:r w:rsidRPr="009D03BE">
        <w:rPr>
          <w:rFonts w:ascii="Book Antiqua" w:hAnsi="Book Antiqua"/>
          <w:b/>
          <w:lang w:val="en-GB"/>
        </w:rPr>
        <w:t>Guigonis</w:t>
      </w:r>
      <w:proofErr w:type="spellEnd"/>
      <w:r w:rsidRPr="009D03BE">
        <w:rPr>
          <w:rFonts w:ascii="Book Antiqua" w:hAnsi="Book Antiqua"/>
          <w:b/>
          <w:lang w:val="en-GB"/>
        </w:rPr>
        <w:t xml:space="preserve"> V</w:t>
      </w:r>
      <w:r w:rsidRPr="009D03BE">
        <w:rPr>
          <w:rFonts w:ascii="Book Antiqua" w:hAnsi="Book Antiqua"/>
          <w:lang w:val="en-GB"/>
        </w:rPr>
        <w:t xml:space="preserve">, </w:t>
      </w:r>
      <w:proofErr w:type="spellStart"/>
      <w:r w:rsidRPr="009D03BE">
        <w:rPr>
          <w:rFonts w:ascii="Book Antiqua" w:hAnsi="Book Antiqua"/>
          <w:lang w:val="en-GB"/>
        </w:rPr>
        <w:t>Dallocchio</w:t>
      </w:r>
      <w:proofErr w:type="spellEnd"/>
      <w:r w:rsidRPr="009D03BE">
        <w:rPr>
          <w:rFonts w:ascii="Book Antiqua" w:hAnsi="Book Antiqua"/>
          <w:lang w:val="en-GB"/>
        </w:rPr>
        <w:t xml:space="preserve"> A, Baudouin V, </w:t>
      </w:r>
      <w:proofErr w:type="spellStart"/>
      <w:r w:rsidRPr="009D03BE">
        <w:rPr>
          <w:rFonts w:ascii="Book Antiqua" w:hAnsi="Book Antiqua"/>
          <w:lang w:val="en-GB"/>
        </w:rPr>
        <w:t>Dehennault</w:t>
      </w:r>
      <w:proofErr w:type="spellEnd"/>
      <w:r w:rsidRPr="009D03BE">
        <w:rPr>
          <w:rFonts w:ascii="Book Antiqua" w:hAnsi="Book Antiqua"/>
          <w:lang w:val="en-GB"/>
        </w:rPr>
        <w:t xml:space="preserve"> M, </w:t>
      </w:r>
      <w:proofErr w:type="spellStart"/>
      <w:r w:rsidRPr="009D03BE">
        <w:rPr>
          <w:rFonts w:ascii="Book Antiqua" w:hAnsi="Book Antiqua"/>
          <w:lang w:val="en-GB"/>
        </w:rPr>
        <w:t>Hachon</w:t>
      </w:r>
      <w:proofErr w:type="spellEnd"/>
      <w:r w:rsidRPr="009D03BE">
        <w:rPr>
          <w:rFonts w:ascii="Book Antiqua" w:hAnsi="Book Antiqua"/>
          <w:lang w:val="en-GB"/>
        </w:rPr>
        <w:t xml:space="preserve">-Le Camus C, </w:t>
      </w:r>
      <w:proofErr w:type="spellStart"/>
      <w:r w:rsidRPr="009D03BE">
        <w:rPr>
          <w:rFonts w:ascii="Book Antiqua" w:hAnsi="Book Antiqua"/>
          <w:lang w:val="en-GB"/>
        </w:rPr>
        <w:t>Afanetti</w:t>
      </w:r>
      <w:proofErr w:type="spellEnd"/>
      <w:r w:rsidRPr="009D03BE">
        <w:rPr>
          <w:rFonts w:ascii="Book Antiqua" w:hAnsi="Book Antiqua"/>
          <w:lang w:val="en-GB"/>
        </w:rPr>
        <w:t xml:space="preserve"> M, </w:t>
      </w:r>
      <w:proofErr w:type="spellStart"/>
      <w:r w:rsidRPr="009D03BE">
        <w:rPr>
          <w:rFonts w:ascii="Book Antiqua" w:hAnsi="Book Antiqua"/>
          <w:lang w:val="en-GB"/>
        </w:rPr>
        <w:t>Groothoff</w:t>
      </w:r>
      <w:proofErr w:type="spellEnd"/>
      <w:r w:rsidRPr="009D03BE">
        <w:rPr>
          <w:rFonts w:ascii="Book Antiqua" w:hAnsi="Book Antiqua"/>
          <w:lang w:val="en-GB"/>
        </w:rPr>
        <w:t xml:space="preserve"> J, </w:t>
      </w:r>
      <w:proofErr w:type="spellStart"/>
      <w:r w:rsidRPr="009D03BE">
        <w:rPr>
          <w:rFonts w:ascii="Book Antiqua" w:hAnsi="Book Antiqua"/>
          <w:lang w:val="en-GB"/>
        </w:rPr>
        <w:t>Llanas</w:t>
      </w:r>
      <w:proofErr w:type="spellEnd"/>
      <w:r w:rsidRPr="009D03BE">
        <w:rPr>
          <w:rFonts w:ascii="Book Antiqua" w:hAnsi="Book Antiqua"/>
          <w:lang w:val="en-GB"/>
        </w:rPr>
        <w:t xml:space="preserve"> B, </w:t>
      </w:r>
      <w:proofErr w:type="spellStart"/>
      <w:r w:rsidRPr="009D03BE">
        <w:rPr>
          <w:rFonts w:ascii="Book Antiqua" w:hAnsi="Book Antiqua"/>
          <w:lang w:val="en-GB"/>
        </w:rPr>
        <w:t>Niaudet</w:t>
      </w:r>
      <w:proofErr w:type="spellEnd"/>
      <w:r w:rsidRPr="009D03BE">
        <w:rPr>
          <w:rFonts w:ascii="Book Antiqua" w:hAnsi="Book Antiqua"/>
          <w:lang w:val="en-GB"/>
        </w:rPr>
        <w:t xml:space="preserve"> P, </w:t>
      </w:r>
      <w:proofErr w:type="spellStart"/>
      <w:r w:rsidRPr="009D03BE">
        <w:rPr>
          <w:rFonts w:ascii="Book Antiqua" w:hAnsi="Book Antiqua"/>
          <w:lang w:val="en-GB"/>
        </w:rPr>
        <w:t>Nivet</w:t>
      </w:r>
      <w:proofErr w:type="spellEnd"/>
      <w:r w:rsidRPr="009D03BE">
        <w:rPr>
          <w:rFonts w:ascii="Book Antiqua" w:hAnsi="Book Antiqua"/>
          <w:lang w:val="en-GB"/>
        </w:rPr>
        <w:t xml:space="preserve"> H, Raynaud N, </w:t>
      </w:r>
      <w:proofErr w:type="spellStart"/>
      <w:r w:rsidRPr="009D03BE">
        <w:rPr>
          <w:rFonts w:ascii="Book Antiqua" w:hAnsi="Book Antiqua"/>
          <w:lang w:val="en-GB"/>
        </w:rPr>
        <w:t>Taque</w:t>
      </w:r>
      <w:proofErr w:type="spellEnd"/>
      <w:r w:rsidRPr="009D03BE">
        <w:rPr>
          <w:rFonts w:ascii="Book Antiqua" w:hAnsi="Book Antiqua"/>
          <w:lang w:val="en-GB"/>
        </w:rPr>
        <w:t xml:space="preserve"> S, </w:t>
      </w:r>
      <w:proofErr w:type="spellStart"/>
      <w:r w:rsidRPr="009D03BE">
        <w:rPr>
          <w:rFonts w:ascii="Book Antiqua" w:hAnsi="Book Antiqua"/>
          <w:lang w:val="en-GB"/>
        </w:rPr>
        <w:t>Ronco</w:t>
      </w:r>
      <w:proofErr w:type="spellEnd"/>
      <w:r w:rsidRPr="009D03BE">
        <w:rPr>
          <w:rFonts w:ascii="Book Antiqua" w:hAnsi="Book Antiqua"/>
          <w:lang w:val="en-GB"/>
        </w:rPr>
        <w:t xml:space="preserve"> P, </w:t>
      </w:r>
      <w:proofErr w:type="spellStart"/>
      <w:r w:rsidRPr="009D03BE">
        <w:rPr>
          <w:rFonts w:ascii="Book Antiqua" w:hAnsi="Book Antiqua"/>
          <w:lang w:val="en-GB"/>
        </w:rPr>
        <w:t>Bouissou</w:t>
      </w:r>
      <w:proofErr w:type="spellEnd"/>
      <w:r w:rsidRPr="009D03BE">
        <w:rPr>
          <w:rFonts w:ascii="Book Antiqua" w:hAnsi="Book Antiqua"/>
          <w:lang w:val="en-GB"/>
        </w:rPr>
        <w:t xml:space="preserve"> F. Rituximab treatment for severe steroid- or cyclosporine-dependent nephrotic syndrome: a multicentric series of 22 cases. </w:t>
      </w:r>
      <w:proofErr w:type="spellStart"/>
      <w:r w:rsidRPr="009D03BE">
        <w:rPr>
          <w:rFonts w:ascii="Book Antiqua" w:hAnsi="Book Antiqua"/>
          <w:i/>
          <w:lang w:val="en-GB"/>
        </w:rPr>
        <w:t>Pediatr</w:t>
      </w:r>
      <w:proofErr w:type="spellEnd"/>
      <w:r w:rsidRPr="009D03BE">
        <w:rPr>
          <w:rFonts w:ascii="Book Antiqua" w:hAnsi="Book Antiqua"/>
          <w:i/>
          <w:lang w:val="en-GB"/>
        </w:rPr>
        <w:t xml:space="preserve"> </w:t>
      </w:r>
      <w:proofErr w:type="spellStart"/>
      <w:r w:rsidRPr="009D03BE">
        <w:rPr>
          <w:rFonts w:ascii="Book Antiqua" w:hAnsi="Book Antiqua"/>
          <w:i/>
          <w:lang w:val="en-GB"/>
        </w:rPr>
        <w:t>Nephrol</w:t>
      </w:r>
      <w:proofErr w:type="spellEnd"/>
      <w:r w:rsidRPr="009D03BE">
        <w:rPr>
          <w:rFonts w:ascii="Book Antiqua" w:hAnsi="Book Antiqua"/>
          <w:lang w:val="en-GB"/>
        </w:rPr>
        <w:t xml:space="preserve"> 2008; </w:t>
      </w:r>
      <w:r w:rsidRPr="009D03BE">
        <w:rPr>
          <w:rFonts w:ascii="Book Antiqua" w:hAnsi="Book Antiqua"/>
          <w:b/>
          <w:lang w:val="en-GB"/>
        </w:rPr>
        <w:t>23</w:t>
      </w:r>
      <w:r w:rsidRPr="009D03BE">
        <w:rPr>
          <w:rFonts w:ascii="Book Antiqua" w:hAnsi="Book Antiqua"/>
          <w:lang w:val="en-GB"/>
        </w:rPr>
        <w:t>: 1269-1279 [PMID: 18465150 DOI: 10.1007/s00467-008-0814-1]</w:t>
      </w:r>
    </w:p>
    <w:p w14:paraId="7626DC80"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lastRenderedPageBreak/>
        <w:t xml:space="preserve">8 </w:t>
      </w:r>
      <w:proofErr w:type="spellStart"/>
      <w:r w:rsidRPr="009D03BE">
        <w:rPr>
          <w:rFonts w:ascii="Book Antiqua" w:hAnsi="Book Antiqua"/>
          <w:b/>
          <w:lang w:val="en-GB"/>
        </w:rPr>
        <w:t>Stiehm</w:t>
      </w:r>
      <w:proofErr w:type="spellEnd"/>
      <w:r w:rsidRPr="009D03BE">
        <w:rPr>
          <w:rFonts w:ascii="Book Antiqua" w:hAnsi="Book Antiqua"/>
          <w:b/>
          <w:lang w:val="en-GB"/>
        </w:rPr>
        <w:t xml:space="preserve"> ER</w:t>
      </w:r>
      <w:r w:rsidRPr="009D03BE">
        <w:rPr>
          <w:rFonts w:ascii="Book Antiqua" w:hAnsi="Book Antiqua"/>
          <w:lang w:val="en-GB"/>
        </w:rPr>
        <w:t xml:space="preserve">, </w:t>
      </w:r>
      <w:proofErr w:type="spellStart"/>
      <w:r w:rsidRPr="009D03BE">
        <w:rPr>
          <w:rFonts w:ascii="Book Antiqua" w:hAnsi="Book Antiqua"/>
          <w:lang w:val="en-GB"/>
        </w:rPr>
        <w:t>Fudenberg</w:t>
      </w:r>
      <w:proofErr w:type="spellEnd"/>
      <w:r w:rsidRPr="009D03BE">
        <w:rPr>
          <w:rFonts w:ascii="Book Antiqua" w:hAnsi="Book Antiqua"/>
          <w:lang w:val="en-GB"/>
        </w:rPr>
        <w:t xml:space="preserve"> HH. Serum levels of immune globulins in health and disease: a survey. </w:t>
      </w:r>
      <w:proofErr w:type="spellStart"/>
      <w:r w:rsidRPr="009D03BE">
        <w:rPr>
          <w:rFonts w:ascii="Book Antiqua" w:hAnsi="Book Antiqua"/>
          <w:i/>
          <w:lang w:val="en-GB"/>
        </w:rPr>
        <w:t>Pediatrics</w:t>
      </w:r>
      <w:proofErr w:type="spellEnd"/>
      <w:r w:rsidRPr="009D03BE">
        <w:rPr>
          <w:rFonts w:ascii="Book Antiqua" w:hAnsi="Book Antiqua"/>
          <w:lang w:val="en-GB"/>
        </w:rPr>
        <w:t xml:space="preserve"> 1966; </w:t>
      </w:r>
      <w:r w:rsidRPr="009D03BE">
        <w:rPr>
          <w:rFonts w:ascii="Book Antiqua" w:hAnsi="Book Antiqua"/>
          <w:b/>
          <w:lang w:val="en-GB"/>
        </w:rPr>
        <w:t>37</w:t>
      </w:r>
      <w:r w:rsidRPr="009D03BE">
        <w:rPr>
          <w:rFonts w:ascii="Book Antiqua" w:hAnsi="Book Antiqua"/>
          <w:lang w:val="en-GB"/>
        </w:rPr>
        <w:t>: 715-727 [PMID: 4956666 DOI: 10.1016/S0002-7138(09)61966-X]</w:t>
      </w:r>
    </w:p>
    <w:p w14:paraId="4BE5FEFA" w14:textId="77777777" w:rsidR="00933356" w:rsidRPr="009D03BE" w:rsidRDefault="00933356" w:rsidP="00EC24C5">
      <w:pPr>
        <w:snapToGrid w:val="0"/>
        <w:spacing w:line="360" w:lineRule="auto"/>
        <w:jc w:val="both"/>
        <w:rPr>
          <w:rFonts w:ascii="Book Antiqua" w:hAnsi="Book Antiqua"/>
          <w:lang w:val="en-GB"/>
        </w:rPr>
      </w:pPr>
      <w:r w:rsidRPr="009D03BE">
        <w:rPr>
          <w:rFonts w:ascii="Book Antiqua" w:hAnsi="Book Antiqua"/>
          <w:lang w:val="en-GB"/>
        </w:rPr>
        <w:t xml:space="preserve">9 </w:t>
      </w:r>
      <w:r w:rsidRPr="009D03BE">
        <w:rPr>
          <w:rFonts w:ascii="Book Antiqua" w:hAnsi="Book Antiqua"/>
          <w:b/>
          <w:lang w:val="en-GB"/>
        </w:rPr>
        <w:t>Christou EAA</w:t>
      </w:r>
      <w:r w:rsidRPr="009D03BE">
        <w:rPr>
          <w:rFonts w:ascii="Book Antiqua" w:hAnsi="Book Antiqua"/>
          <w:lang w:val="en-GB"/>
        </w:rPr>
        <w:t xml:space="preserve">, </w:t>
      </w:r>
      <w:proofErr w:type="spellStart"/>
      <w:r w:rsidRPr="009D03BE">
        <w:rPr>
          <w:rFonts w:ascii="Book Antiqua" w:hAnsi="Book Antiqua"/>
          <w:lang w:val="en-GB"/>
        </w:rPr>
        <w:t>Giardino</w:t>
      </w:r>
      <w:proofErr w:type="spellEnd"/>
      <w:r w:rsidRPr="009D03BE">
        <w:rPr>
          <w:rFonts w:ascii="Book Antiqua" w:hAnsi="Book Antiqua"/>
          <w:lang w:val="en-GB"/>
        </w:rPr>
        <w:t xml:space="preserve"> G, Worth A, </w:t>
      </w:r>
      <w:proofErr w:type="spellStart"/>
      <w:r w:rsidRPr="009D03BE">
        <w:rPr>
          <w:rFonts w:ascii="Book Antiqua" w:hAnsi="Book Antiqua"/>
          <w:lang w:val="en-GB"/>
        </w:rPr>
        <w:t>Ladomenou</w:t>
      </w:r>
      <w:proofErr w:type="spellEnd"/>
      <w:r w:rsidRPr="009D03BE">
        <w:rPr>
          <w:rFonts w:ascii="Book Antiqua" w:hAnsi="Book Antiqua"/>
          <w:lang w:val="en-GB"/>
        </w:rPr>
        <w:t xml:space="preserve"> F. Risk factors predisposing to the development of hypogammaglobulinemia and infections post-Rituximab. </w:t>
      </w:r>
      <w:r w:rsidRPr="009D03BE">
        <w:rPr>
          <w:rFonts w:ascii="Book Antiqua" w:hAnsi="Book Antiqua"/>
          <w:i/>
          <w:lang w:val="en-GB"/>
        </w:rPr>
        <w:t>Int Rev Immunol</w:t>
      </w:r>
      <w:r w:rsidRPr="009D03BE">
        <w:rPr>
          <w:rFonts w:ascii="Book Antiqua" w:hAnsi="Book Antiqua"/>
          <w:lang w:val="en-GB"/>
        </w:rPr>
        <w:t xml:space="preserve"> 2017; </w:t>
      </w:r>
      <w:r w:rsidRPr="009D03BE">
        <w:rPr>
          <w:rFonts w:ascii="Book Antiqua" w:hAnsi="Book Antiqua"/>
          <w:b/>
          <w:lang w:val="en-GB"/>
        </w:rPr>
        <w:t>36</w:t>
      </w:r>
      <w:r w:rsidRPr="009D03BE">
        <w:rPr>
          <w:rFonts w:ascii="Book Antiqua" w:hAnsi="Book Antiqua"/>
          <w:lang w:val="en-GB"/>
        </w:rPr>
        <w:t>: 352-359 [PMID: 28800262 DOI: 10.1080/08830185.2017.1346092]</w:t>
      </w:r>
    </w:p>
    <w:p w14:paraId="5173ACFD" w14:textId="77777777" w:rsidR="000E3487" w:rsidRPr="009D03BE" w:rsidRDefault="000E3487" w:rsidP="00EC24C5">
      <w:pPr>
        <w:widowControl w:val="0"/>
        <w:autoSpaceDE w:val="0"/>
        <w:autoSpaceDN w:val="0"/>
        <w:adjustRightInd w:val="0"/>
        <w:snapToGrid w:val="0"/>
        <w:spacing w:line="360" w:lineRule="auto"/>
        <w:jc w:val="both"/>
        <w:rPr>
          <w:rFonts w:ascii="Book Antiqua" w:hAnsi="Book Antiqua"/>
          <w:b/>
          <w:lang w:val="en-GB"/>
        </w:rPr>
      </w:pPr>
    </w:p>
    <w:p w14:paraId="5DC03C87" w14:textId="2ADB7CAE" w:rsidR="000E61B3" w:rsidRPr="009D03BE" w:rsidRDefault="000E61B3" w:rsidP="00EC24C5">
      <w:pPr>
        <w:pStyle w:val="af1"/>
        <w:snapToGrid w:val="0"/>
        <w:spacing w:line="360" w:lineRule="auto"/>
        <w:jc w:val="right"/>
        <w:rPr>
          <w:rFonts w:ascii="Book Antiqua" w:hAnsi="Book Antiqua"/>
          <w:sz w:val="24"/>
          <w:szCs w:val="24"/>
          <w:lang w:val="en-GB"/>
        </w:rPr>
      </w:pPr>
      <w:r w:rsidRPr="009D03BE">
        <w:rPr>
          <w:rFonts w:ascii="Book Antiqua" w:hAnsi="Book Antiqua"/>
          <w:b/>
          <w:sz w:val="24"/>
          <w:szCs w:val="24"/>
          <w:lang w:val="en-GB"/>
        </w:rPr>
        <w:t xml:space="preserve">P-Reviewer: </w:t>
      </w:r>
      <w:r w:rsidR="002F50A5" w:rsidRPr="009D03BE">
        <w:rPr>
          <w:rFonts w:ascii="Book Antiqua" w:hAnsi="Book Antiqua"/>
          <w:color w:val="000000"/>
          <w:sz w:val="24"/>
          <w:szCs w:val="24"/>
          <w:lang w:val="en-GB"/>
        </w:rPr>
        <w:t xml:space="preserve">Pedersen EB, </w:t>
      </w:r>
      <w:proofErr w:type="spellStart"/>
      <w:r w:rsidR="002F50A5" w:rsidRPr="009D03BE">
        <w:rPr>
          <w:rFonts w:ascii="Book Antiqua" w:hAnsi="Book Antiqua"/>
          <w:color w:val="000000"/>
          <w:sz w:val="24"/>
          <w:szCs w:val="24"/>
          <w:lang w:val="en-GB"/>
        </w:rPr>
        <w:t>Stavroulopoulos</w:t>
      </w:r>
      <w:proofErr w:type="spellEnd"/>
      <w:r w:rsidR="002F50A5" w:rsidRPr="009D03BE">
        <w:rPr>
          <w:rFonts w:ascii="Book Antiqua" w:hAnsi="Book Antiqua"/>
          <w:color w:val="000000"/>
          <w:sz w:val="24"/>
          <w:szCs w:val="24"/>
          <w:lang w:val="en-GB"/>
        </w:rPr>
        <w:t xml:space="preserve"> A, Tanaka H </w:t>
      </w:r>
      <w:r w:rsidRPr="009D03BE">
        <w:rPr>
          <w:rFonts w:ascii="Book Antiqua" w:hAnsi="Book Antiqua"/>
          <w:b/>
          <w:sz w:val="24"/>
          <w:szCs w:val="24"/>
          <w:lang w:val="en-GB"/>
        </w:rPr>
        <w:t xml:space="preserve">S-Editor: </w:t>
      </w:r>
      <w:r w:rsidRPr="009D03BE">
        <w:rPr>
          <w:rFonts w:ascii="Book Antiqua" w:hAnsi="Book Antiqua"/>
          <w:sz w:val="24"/>
          <w:szCs w:val="24"/>
          <w:lang w:val="en-GB"/>
        </w:rPr>
        <w:t>Ji FF</w:t>
      </w:r>
      <w:r w:rsidRPr="009D03BE">
        <w:rPr>
          <w:rFonts w:ascii="Book Antiqua" w:hAnsi="Book Antiqua"/>
          <w:b/>
          <w:sz w:val="24"/>
          <w:szCs w:val="24"/>
          <w:lang w:val="en-GB"/>
        </w:rPr>
        <w:t xml:space="preserve"> L-Editor: </w:t>
      </w:r>
      <w:r w:rsidR="00C72C80" w:rsidRPr="009D03BE">
        <w:rPr>
          <w:rFonts w:ascii="Book Antiqua" w:hAnsi="Book Antiqua"/>
          <w:sz w:val="24"/>
          <w:szCs w:val="24"/>
          <w:lang w:val="en-GB"/>
        </w:rPr>
        <w:t xml:space="preserve">Filipodia </w:t>
      </w:r>
      <w:r w:rsidRPr="009D03BE">
        <w:rPr>
          <w:rFonts w:ascii="Book Antiqua" w:hAnsi="Book Antiqua"/>
          <w:b/>
          <w:sz w:val="24"/>
          <w:szCs w:val="24"/>
          <w:lang w:val="en-GB"/>
        </w:rPr>
        <w:t xml:space="preserve">E-Editor: </w:t>
      </w:r>
      <w:r w:rsidR="009D03BE">
        <w:rPr>
          <w:rFonts w:ascii="Book Antiqua" w:hAnsi="Book Antiqua"/>
          <w:sz w:val="24"/>
          <w:szCs w:val="24"/>
          <w:lang w:val="en-GB"/>
        </w:rPr>
        <w:t>Wu YXJ</w:t>
      </w:r>
      <w:bookmarkStart w:id="0" w:name="_GoBack"/>
      <w:bookmarkEnd w:id="0"/>
    </w:p>
    <w:p w14:paraId="32DEDFFC" w14:textId="77777777" w:rsidR="000E61B3" w:rsidRPr="009D03BE" w:rsidRDefault="000E61B3" w:rsidP="00EC24C5">
      <w:pPr>
        <w:pStyle w:val="af1"/>
        <w:snapToGrid w:val="0"/>
        <w:spacing w:line="360" w:lineRule="auto"/>
        <w:rPr>
          <w:rFonts w:ascii="Book Antiqua" w:hAnsi="Book Antiqua"/>
          <w:b/>
          <w:sz w:val="24"/>
          <w:szCs w:val="24"/>
          <w:lang w:val="en-GB"/>
        </w:rPr>
      </w:pPr>
      <w:r w:rsidRPr="009D03BE">
        <w:rPr>
          <w:rFonts w:ascii="Book Antiqua" w:hAnsi="Book Antiqua"/>
          <w:b/>
          <w:sz w:val="24"/>
          <w:szCs w:val="24"/>
          <w:lang w:val="en-GB"/>
        </w:rPr>
        <w:t xml:space="preserve"> </w:t>
      </w:r>
    </w:p>
    <w:p w14:paraId="2B439154" w14:textId="77777777" w:rsidR="000E61B3" w:rsidRPr="009D03BE" w:rsidRDefault="000E61B3" w:rsidP="00EC24C5">
      <w:pPr>
        <w:snapToGrid w:val="0"/>
        <w:spacing w:line="360" w:lineRule="auto"/>
        <w:jc w:val="both"/>
        <w:rPr>
          <w:rFonts w:ascii="Book Antiqua" w:hAnsi="Book Antiqua" w:cs="Helvetica"/>
          <w:b/>
          <w:lang w:val="en-GB"/>
        </w:rPr>
      </w:pPr>
      <w:r w:rsidRPr="009D03BE">
        <w:rPr>
          <w:rFonts w:ascii="Book Antiqua" w:hAnsi="Book Antiqua" w:cs="Helvetica"/>
          <w:b/>
          <w:lang w:val="en-GB"/>
        </w:rPr>
        <w:t xml:space="preserve">Specialty type: </w:t>
      </w:r>
      <w:r w:rsidR="002F50A5" w:rsidRPr="009D03BE">
        <w:rPr>
          <w:rFonts w:ascii="Book Antiqua" w:eastAsia="微软雅黑" w:hAnsi="Book Antiqua" w:cs="宋体"/>
          <w:lang w:val="en-GB"/>
        </w:rPr>
        <w:t>Medicine, research and experimental</w:t>
      </w:r>
    </w:p>
    <w:p w14:paraId="5A2B01A1" w14:textId="77777777" w:rsidR="000E61B3" w:rsidRPr="009D03BE" w:rsidRDefault="000E61B3" w:rsidP="00EC24C5">
      <w:pPr>
        <w:snapToGrid w:val="0"/>
        <w:spacing w:line="360" w:lineRule="auto"/>
        <w:jc w:val="both"/>
        <w:rPr>
          <w:rFonts w:ascii="Book Antiqua" w:hAnsi="Book Antiqua" w:cs="Helvetica"/>
          <w:b/>
          <w:lang w:val="en-GB"/>
        </w:rPr>
      </w:pPr>
      <w:r w:rsidRPr="009D03BE">
        <w:rPr>
          <w:rFonts w:ascii="Book Antiqua" w:hAnsi="Book Antiqua" w:cs="Helvetica"/>
          <w:b/>
          <w:lang w:val="en-GB"/>
        </w:rPr>
        <w:t xml:space="preserve">Country of origin: </w:t>
      </w:r>
      <w:r w:rsidR="002F50A5" w:rsidRPr="009D03BE">
        <w:rPr>
          <w:rFonts w:ascii="Book Antiqua" w:hAnsi="Book Antiqua"/>
          <w:lang w:val="en-GB"/>
        </w:rPr>
        <w:t>Italy</w:t>
      </w:r>
    </w:p>
    <w:p w14:paraId="3EEA6D95" w14:textId="77777777" w:rsidR="000E61B3" w:rsidRPr="009D03BE" w:rsidRDefault="000E61B3" w:rsidP="00EC24C5">
      <w:pPr>
        <w:snapToGrid w:val="0"/>
        <w:spacing w:line="360" w:lineRule="auto"/>
        <w:jc w:val="both"/>
        <w:rPr>
          <w:rFonts w:ascii="Book Antiqua" w:hAnsi="Book Antiqua" w:cs="Helvetica"/>
          <w:b/>
          <w:lang w:val="en-GB"/>
        </w:rPr>
      </w:pPr>
      <w:r w:rsidRPr="009D03BE">
        <w:rPr>
          <w:rFonts w:ascii="Book Antiqua" w:hAnsi="Book Antiqua" w:cs="Helvetica"/>
          <w:b/>
          <w:lang w:val="en-GB"/>
        </w:rPr>
        <w:t>Peer-review report classification</w:t>
      </w:r>
    </w:p>
    <w:p w14:paraId="427ABCC7" w14:textId="77777777" w:rsidR="000E61B3" w:rsidRPr="009D03BE" w:rsidRDefault="000E61B3" w:rsidP="00EC24C5">
      <w:pPr>
        <w:snapToGrid w:val="0"/>
        <w:spacing w:line="360" w:lineRule="auto"/>
        <w:jc w:val="both"/>
        <w:rPr>
          <w:rFonts w:ascii="Book Antiqua" w:hAnsi="Book Antiqua" w:cs="Helvetica"/>
          <w:lang w:val="en-GB" w:eastAsia="zh-CN"/>
        </w:rPr>
      </w:pPr>
      <w:r w:rsidRPr="009D03BE">
        <w:rPr>
          <w:rFonts w:ascii="Book Antiqua" w:hAnsi="Book Antiqua" w:cs="Helvetica"/>
          <w:lang w:val="en-GB"/>
        </w:rPr>
        <w:t xml:space="preserve">Grade A (Excellent): </w:t>
      </w:r>
      <w:r w:rsidR="002F50A5" w:rsidRPr="009D03BE">
        <w:rPr>
          <w:rFonts w:ascii="Book Antiqua" w:hAnsi="Book Antiqua" w:cs="Helvetica"/>
          <w:lang w:val="en-GB" w:eastAsia="zh-CN"/>
        </w:rPr>
        <w:t>0</w:t>
      </w:r>
    </w:p>
    <w:p w14:paraId="79A8FB5A" w14:textId="77777777" w:rsidR="000E61B3" w:rsidRPr="009D03BE" w:rsidRDefault="000E61B3" w:rsidP="00EC24C5">
      <w:pPr>
        <w:snapToGrid w:val="0"/>
        <w:spacing w:line="360" w:lineRule="auto"/>
        <w:jc w:val="both"/>
        <w:rPr>
          <w:rFonts w:ascii="Book Antiqua" w:hAnsi="Book Antiqua" w:cs="Helvetica"/>
          <w:lang w:val="en-GB" w:eastAsia="zh-CN"/>
        </w:rPr>
      </w:pPr>
      <w:r w:rsidRPr="009D03BE">
        <w:rPr>
          <w:rFonts w:ascii="Book Antiqua" w:hAnsi="Book Antiqua" w:cs="Helvetica"/>
          <w:lang w:val="en-GB"/>
        </w:rPr>
        <w:t>Grade B (Very good): B</w:t>
      </w:r>
      <w:r w:rsidR="002F50A5" w:rsidRPr="009D03BE">
        <w:rPr>
          <w:rFonts w:ascii="Book Antiqua" w:hAnsi="Book Antiqua" w:cs="Helvetica"/>
          <w:lang w:val="en-GB" w:eastAsia="zh-CN"/>
        </w:rPr>
        <w:t>, B</w:t>
      </w:r>
    </w:p>
    <w:p w14:paraId="62BF9C76" w14:textId="77777777" w:rsidR="000E61B3" w:rsidRPr="009D03BE" w:rsidRDefault="000E61B3" w:rsidP="00EC24C5">
      <w:pPr>
        <w:snapToGrid w:val="0"/>
        <w:spacing w:line="360" w:lineRule="auto"/>
        <w:jc w:val="both"/>
        <w:rPr>
          <w:rFonts w:ascii="Book Antiqua" w:hAnsi="Book Antiqua" w:cs="Helvetica"/>
          <w:lang w:val="en-GB"/>
        </w:rPr>
      </w:pPr>
      <w:r w:rsidRPr="009D03BE">
        <w:rPr>
          <w:rFonts w:ascii="Book Antiqua" w:hAnsi="Book Antiqua" w:cs="Helvetica"/>
          <w:lang w:val="en-GB"/>
        </w:rPr>
        <w:t>Grade C (Good): C</w:t>
      </w:r>
    </w:p>
    <w:p w14:paraId="6BE242F1" w14:textId="77777777" w:rsidR="000E61B3" w:rsidRPr="009D03BE" w:rsidRDefault="000E61B3" w:rsidP="00EC24C5">
      <w:pPr>
        <w:snapToGrid w:val="0"/>
        <w:spacing w:line="360" w:lineRule="auto"/>
        <w:jc w:val="both"/>
        <w:rPr>
          <w:rFonts w:ascii="Book Antiqua" w:hAnsi="Book Antiqua" w:cs="Helvetica"/>
          <w:lang w:val="en-GB"/>
        </w:rPr>
      </w:pPr>
      <w:r w:rsidRPr="009D03BE">
        <w:rPr>
          <w:rFonts w:ascii="Book Antiqua" w:hAnsi="Book Antiqua" w:cs="Helvetica"/>
          <w:lang w:val="en-GB"/>
        </w:rPr>
        <w:t xml:space="preserve">Grade D (Fair): 0 </w:t>
      </w:r>
    </w:p>
    <w:p w14:paraId="622EFCDA" w14:textId="77777777" w:rsidR="00A9298F" w:rsidRPr="009D03BE" w:rsidRDefault="000E61B3" w:rsidP="00EC24C5">
      <w:pPr>
        <w:widowControl w:val="0"/>
        <w:autoSpaceDE w:val="0"/>
        <w:autoSpaceDN w:val="0"/>
        <w:adjustRightInd w:val="0"/>
        <w:snapToGrid w:val="0"/>
        <w:spacing w:line="360" w:lineRule="auto"/>
        <w:jc w:val="both"/>
        <w:rPr>
          <w:rFonts w:ascii="Book Antiqua" w:hAnsi="Book Antiqua"/>
          <w:b/>
          <w:lang w:val="en-GB"/>
        </w:rPr>
      </w:pPr>
      <w:r w:rsidRPr="009D03BE">
        <w:rPr>
          <w:rFonts w:ascii="Book Antiqua" w:hAnsi="Book Antiqua" w:cs="Helvetica"/>
          <w:lang w:val="en-GB"/>
        </w:rPr>
        <w:t>Grade E (Poor): 0</w:t>
      </w:r>
    </w:p>
    <w:p w14:paraId="3FA72737" w14:textId="77777777" w:rsidR="00A9298F" w:rsidRPr="009D03BE" w:rsidRDefault="00A9298F" w:rsidP="00EC24C5">
      <w:pPr>
        <w:widowControl w:val="0"/>
        <w:autoSpaceDE w:val="0"/>
        <w:autoSpaceDN w:val="0"/>
        <w:adjustRightInd w:val="0"/>
        <w:snapToGrid w:val="0"/>
        <w:spacing w:line="360" w:lineRule="auto"/>
        <w:jc w:val="both"/>
        <w:rPr>
          <w:rFonts w:ascii="Book Antiqua" w:hAnsi="Book Antiqua"/>
          <w:b/>
          <w:lang w:val="en-GB" w:eastAsia="zh-CN"/>
        </w:rPr>
      </w:pPr>
    </w:p>
    <w:p w14:paraId="0A9831AA" w14:textId="77777777" w:rsidR="004354EE" w:rsidRPr="009D03BE" w:rsidRDefault="00506338" w:rsidP="00EC24C5">
      <w:pPr>
        <w:widowControl w:val="0"/>
        <w:autoSpaceDE w:val="0"/>
        <w:autoSpaceDN w:val="0"/>
        <w:adjustRightInd w:val="0"/>
        <w:snapToGrid w:val="0"/>
        <w:spacing w:line="360" w:lineRule="auto"/>
        <w:jc w:val="both"/>
        <w:rPr>
          <w:rFonts w:ascii="Book Antiqua" w:hAnsi="Book Antiqua"/>
          <w:b/>
          <w:lang w:val="en-GB" w:eastAsia="zh-CN"/>
        </w:rPr>
      </w:pPr>
      <w:r w:rsidRPr="009D03BE">
        <w:rPr>
          <w:rFonts w:ascii="Book Antiqua" w:hAnsi="Book Antiqua"/>
          <w:b/>
          <w:lang w:val="en-GB"/>
        </w:rPr>
        <w:br w:type="page"/>
      </w:r>
      <w:r w:rsidR="00504F6D" w:rsidRPr="009D03BE">
        <w:rPr>
          <w:rFonts w:ascii="Book Antiqua" w:hAnsi="Book Antiqua"/>
          <w:b/>
          <w:lang w:val="en-GB"/>
        </w:rPr>
        <w:lastRenderedPageBreak/>
        <w:t xml:space="preserve">Table </w:t>
      </w:r>
      <w:r w:rsidRPr="009D03BE">
        <w:rPr>
          <w:rFonts w:ascii="Book Antiqua" w:hAnsi="Book Antiqua"/>
          <w:b/>
          <w:lang w:val="en-GB"/>
        </w:rPr>
        <w:t>1</w:t>
      </w:r>
      <w:r w:rsidR="004354EE" w:rsidRPr="009D03BE">
        <w:rPr>
          <w:rFonts w:ascii="Book Antiqua" w:hAnsi="Book Antiqua"/>
          <w:b/>
          <w:lang w:val="en-GB"/>
        </w:rPr>
        <w:t xml:space="preserve"> Characteristics of the patients </w:t>
      </w:r>
      <w:r w:rsidR="006A7288" w:rsidRPr="009D03BE">
        <w:rPr>
          <w:rFonts w:ascii="Book Antiqua" w:hAnsi="Book Antiqua"/>
          <w:b/>
          <w:lang w:val="en-GB"/>
        </w:rPr>
        <w:t>p</w:t>
      </w:r>
      <w:r w:rsidR="004354EE" w:rsidRPr="009D03BE">
        <w:rPr>
          <w:rFonts w:ascii="Book Antiqua" w:hAnsi="Book Antiqua"/>
          <w:b/>
          <w:lang w:val="en-GB"/>
        </w:rPr>
        <w:t xml:space="preserve">resenting and not presenting </w:t>
      </w:r>
      <w:r w:rsidR="006A7288" w:rsidRPr="009D03BE">
        <w:rPr>
          <w:rFonts w:ascii="Book Antiqua" w:hAnsi="Book Antiqua"/>
          <w:b/>
          <w:lang w:val="en-GB"/>
        </w:rPr>
        <w:t>post-</w:t>
      </w:r>
      <w:r w:rsidRPr="009D03BE">
        <w:rPr>
          <w:rFonts w:ascii="Book Antiqua" w:hAnsi="Book Antiqua"/>
          <w:b/>
          <w:lang w:val="en-GB"/>
        </w:rPr>
        <w:t>rituximab</w:t>
      </w:r>
      <w:r w:rsidR="006A7288" w:rsidRPr="009D03BE">
        <w:rPr>
          <w:rFonts w:ascii="Book Antiqua" w:hAnsi="Book Antiqua"/>
          <w:b/>
          <w:lang w:val="en-GB"/>
        </w:rPr>
        <w:t xml:space="preserve"> IgG </w:t>
      </w:r>
      <w:r w:rsidR="004354EE" w:rsidRPr="009D03BE">
        <w:rPr>
          <w:rFonts w:ascii="Book Antiqua" w:hAnsi="Book Antiqua"/>
          <w:b/>
          <w:lang w:val="en-GB"/>
        </w:rPr>
        <w:t>hypogammaglobulinemia</w:t>
      </w:r>
    </w:p>
    <w:p w14:paraId="0BB60194" w14:textId="77777777" w:rsidR="00927F74" w:rsidRPr="009D03BE" w:rsidRDefault="00927F74" w:rsidP="00EC24C5">
      <w:pPr>
        <w:widowControl w:val="0"/>
        <w:autoSpaceDE w:val="0"/>
        <w:autoSpaceDN w:val="0"/>
        <w:adjustRightInd w:val="0"/>
        <w:snapToGrid w:val="0"/>
        <w:spacing w:line="360" w:lineRule="auto"/>
        <w:jc w:val="both"/>
        <w:rPr>
          <w:rFonts w:ascii="Book Antiqua" w:hAnsi="Book Antiqua"/>
          <w:b/>
          <w:lang w:val="en-GB" w:eastAsia="zh-CN"/>
        </w:rPr>
      </w:pPr>
    </w:p>
    <w:tbl>
      <w:tblPr>
        <w:tblW w:w="9714" w:type="dxa"/>
        <w:jc w:val="center"/>
        <w:tblBorders>
          <w:top w:val="single" w:sz="4" w:space="0" w:color="auto"/>
          <w:bottom w:val="single" w:sz="4" w:space="0" w:color="auto"/>
        </w:tblBorders>
        <w:tblLayout w:type="fixed"/>
        <w:tblLook w:val="04A0" w:firstRow="1" w:lastRow="0" w:firstColumn="1" w:lastColumn="0" w:noHBand="0" w:noVBand="1"/>
      </w:tblPr>
      <w:tblGrid>
        <w:gridCol w:w="3018"/>
        <w:gridCol w:w="2835"/>
        <w:gridCol w:w="2902"/>
        <w:gridCol w:w="959"/>
      </w:tblGrid>
      <w:tr w:rsidR="00927F74" w:rsidRPr="009D03BE" w14:paraId="608C0B1F" w14:textId="77777777" w:rsidTr="00927F74">
        <w:trPr>
          <w:jc w:val="center"/>
        </w:trPr>
        <w:tc>
          <w:tcPr>
            <w:tcW w:w="3018" w:type="dxa"/>
            <w:tcBorders>
              <w:top w:val="single" w:sz="4" w:space="0" w:color="auto"/>
              <w:bottom w:val="single" w:sz="4" w:space="0" w:color="auto"/>
            </w:tcBorders>
            <w:shd w:val="clear" w:color="auto" w:fill="auto"/>
          </w:tcPr>
          <w:p w14:paraId="606754CB" w14:textId="77777777" w:rsidR="003C1E2F" w:rsidRPr="009D03BE" w:rsidRDefault="003C1E2F" w:rsidP="00EC24C5">
            <w:pPr>
              <w:snapToGrid w:val="0"/>
              <w:spacing w:line="360" w:lineRule="auto"/>
              <w:jc w:val="both"/>
              <w:rPr>
                <w:rFonts w:ascii="Book Antiqua" w:hAnsi="Book Antiqua"/>
                <w:b/>
                <w:lang w:val="en-GB"/>
              </w:rPr>
            </w:pPr>
          </w:p>
        </w:tc>
        <w:tc>
          <w:tcPr>
            <w:tcW w:w="2835" w:type="dxa"/>
            <w:tcBorders>
              <w:top w:val="single" w:sz="4" w:space="0" w:color="auto"/>
              <w:bottom w:val="single" w:sz="4" w:space="0" w:color="auto"/>
            </w:tcBorders>
            <w:shd w:val="clear" w:color="auto" w:fill="auto"/>
          </w:tcPr>
          <w:p w14:paraId="772CDB44"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Presenting IgG hypogammaglobuline</w:t>
            </w:r>
            <w:r w:rsidR="00506338" w:rsidRPr="009D03BE">
              <w:rPr>
                <w:rFonts w:ascii="Book Antiqua" w:hAnsi="Book Antiqua"/>
                <w:b/>
                <w:lang w:val="en-GB"/>
              </w:rPr>
              <w:t>mia</w:t>
            </w:r>
            <w:r w:rsidR="00E94199" w:rsidRPr="009D03BE">
              <w:rPr>
                <w:rFonts w:ascii="Book Antiqua" w:hAnsi="Book Antiqua"/>
                <w:b/>
                <w:lang w:val="en-GB"/>
              </w:rPr>
              <w:t>,</w:t>
            </w:r>
            <w:r w:rsidR="00506338" w:rsidRPr="009D03BE">
              <w:rPr>
                <w:rFonts w:ascii="Book Antiqua" w:hAnsi="Book Antiqua"/>
                <w:b/>
                <w:lang w:val="en-GB" w:eastAsia="zh-CN"/>
              </w:rPr>
              <w:t xml:space="preserve"> </w:t>
            </w:r>
            <w:r w:rsidRPr="009D03BE">
              <w:rPr>
                <w:rFonts w:ascii="Book Antiqua" w:hAnsi="Book Antiqua"/>
                <w:b/>
                <w:i/>
                <w:lang w:val="en-GB"/>
              </w:rPr>
              <w:t>n</w:t>
            </w:r>
            <w:r w:rsidR="00506338" w:rsidRPr="009D03BE">
              <w:rPr>
                <w:rFonts w:ascii="Book Antiqua" w:hAnsi="Book Antiqua"/>
                <w:b/>
                <w:lang w:val="en-GB" w:eastAsia="zh-CN"/>
              </w:rPr>
              <w:t xml:space="preserve"> </w:t>
            </w:r>
            <w:r w:rsidRPr="009D03BE">
              <w:rPr>
                <w:rFonts w:ascii="Book Antiqua" w:hAnsi="Book Antiqua"/>
                <w:b/>
                <w:lang w:val="en-GB"/>
              </w:rPr>
              <w:t>=</w:t>
            </w:r>
            <w:r w:rsidR="00506338" w:rsidRPr="009D03BE">
              <w:rPr>
                <w:rFonts w:ascii="Book Antiqua" w:hAnsi="Book Antiqua"/>
                <w:b/>
                <w:lang w:val="en-GB" w:eastAsia="zh-CN"/>
              </w:rPr>
              <w:t xml:space="preserve"> </w:t>
            </w:r>
            <w:r w:rsidRPr="009D03BE">
              <w:rPr>
                <w:rFonts w:ascii="Book Antiqua" w:hAnsi="Book Antiqua"/>
                <w:b/>
                <w:lang w:val="en-GB"/>
              </w:rPr>
              <w:t>11</w:t>
            </w:r>
          </w:p>
        </w:tc>
        <w:tc>
          <w:tcPr>
            <w:tcW w:w="2902" w:type="dxa"/>
            <w:tcBorders>
              <w:top w:val="single" w:sz="4" w:space="0" w:color="auto"/>
              <w:bottom w:val="single" w:sz="4" w:space="0" w:color="auto"/>
            </w:tcBorders>
            <w:shd w:val="clear" w:color="auto" w:fill="auto"/>
          </w:tcPr>
          <w:p w14:paraId="0EE4B2A5"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Not prese</w:t>
            </w:r>
            <w:r w:rsidR="00506338" w:rsidRPr="009D03BE">
              <w:rPr>
                <w:rFonts w:ascii="Book Antiqua" w:hAnsi="Book Antiqua"/>
                <w:b/>
                <w:lang w:val="en-GB"/>
              </w:rPr>
              <w:t>nting IgG hypogammaglobulinemia</w:t>
            </w:r>
            <w:r w:rsidR="00E94199" w:rsidRPr="009D03BE">
              <w:rPr>
                <w:rFonts w:ascii="Book Antiqua" w:hAnsi="Book Antiqua"/>
                <w:b/>
                <w:lang w:val="en-GB"/>
              </w:rPr>
              <w:t>,</w:t>
            </w:r>
            <w:r w:rsidR="00506338" w:rsidRPr="009D03BE">
              <w:rPr>
                <w:rFonts w:ascii="Book Antiqua" w:hAnsi="Book Antiqua"/>
                <w:b/>
                <w:lang w:val="en-GB" w:eastAsia="zh-CN"/>
              </w:rPr>
              <w:t xml:space="preserve"> </w:t>
            </w:r>
            <w:r w:rsidR="00506338" w:rsidRPr="009D03BE">
              <w:rPr>
                <w:rFonts w:ascii="Book Antiqua" w:hAnsi="Book Antiqua"/>
                <w:b/>
                <w:i/>
                <w:lang w:val="en-GB"/>
              </w:rPr>
              <w:t>n</w:t>
            </w:r>
            <w:r w:rsidR="00506338" w:rsidRPr="009D03BE">
              <w:rPr>
                <w:rFonts w:ascii="Book Antiqua" w:hAnsi="Book Antiqua"/>
                <w:b/>
                <w:lang w:val="en-GB" w:eastAsia="zh-CN"/>
              </w:rPr>
              <w:t xml:space="preserve"> </w:t>
            </w:r>
            <w:r w:rsidR="00506338" w:rsidRPr="009D03BE">
              <w:rPr>
                <w:rFonts w:ascii="Book Antiqua" w:hAnsi="Book Antiqua"/>
                <w:b/>
                <w:lang w:val="en-GB"/>
              </w:rPr>
              <w:t>=</w:t>
            </w:r>
            <w:r w:rsidR="00506338" w:rsidRPr="009D03BE">
              <w:rPr>
                <w:rFonts w:ascii="Book Antiqua" w:hAnsi="Book Antiqua"/>
                <w:b/>
                <w:lang w:val="en-GB" w:eastAsia="zh-CN"/>
              </w:rPr>
              <w:t xml:space="preserve"> </w:t>
            </w:r>
            <w:r w:rsidRPr="009D03BE">
              <w:rPr>
                <w:rFonts w:ascii="Book Antiqua" w:hAnsi="Book Antiqua"/>
                <w:b/>
                <w:lang w:val="en-GB"/>
              </w:rPr>
              <w:t>9</w:t>
            </w:r>
          </w:p>
        </w:tc>
        <w:tc>
          <w:tcPr>
            <w:tcW w:w="959" w:type="dxa"/>
            <w:tcBorders>
              <w:top w:val="single" w:sz="4" w:space="0" w:color="auto"/>
              <w:bottom w:val="single" w:sz="4" w:space="0" w:color="auto"/>
            </w:tcBorders>
            <w:shd w:val="clear" w:color="auto" w:fill="auto"/>
          </w:tcPr>
          <w:p w14:paraId="76A62FFE" w14:textId="77777777" w:rsidR="003C1E2F" w:rsidRPr="009D03BE" w:rsidRDefault="00506338" w:rsidP="00EC24C5">
            <w:pPr>
              <w:snapToGrid w:val="0"/>
              <w:spacing w:line="360" w:lineRule="auto"/>
              <w:jc w:val="both"/>
              <w:rPr>
                <w:rFonts w:ascii="Book Antiqua" w:hAnsi="Book Antiqua"/>
                <w:b/>
                <w:i/>
                <w:lang w:val="en-GB" w:eastAsia="zh-CN"/>
              </w:rPr>
            </w:pPr>
            <w:r w:rsidRPr="009D03BE">
              <w:rPr>
                <w:rFonts w:ascii="Book Antiqua" w:hAnsi="Book Antiqua"/>
                <w:b/>
                <w:i/>
                <w:lang w:val="en-GB"/>
              </w:rPr>
              <w:t>P</w:t>
            </w:r>
            <w:r w:rsidRPr="009D03BE">
              <w:rPr>
                <w:rFonts w:ascii="Book Antiqua" w:hAnsi="Book Antiqua"/>
                <w:b/>
                <w:i/>
                <w:lang w:val="en-GB" w:eastAsia="zh-CN"/>
              </w:rPr>
              <w:t xml:space="preserve"> </w:t>
            </w:r>
            <w:r w:rsidRPr="009D03BE">
              <w:rPr>
                <w:rFonts w:ascii="Book Antiqua" w:hAnsi="Book Antiqua"/>
                <w:b/>
                <w:lang w:val="en-GB" w:eastAsia="zh-CN"/>
              </w:rPr>
              <w:t>value</w:t>
            </w:r>
          </w:p>
        </w:tc>
      </w:tr>
      <w:tr w:rsidR="00927F74" w:rsidRPr="009D03BE" w14:paraId="4010D6BF" w14:textId="77777777" w:rsidTr="00927F74">
        <w:trPr>
          <w:jc w:val="center"/>
        </w:trPr>
        <w:tc>
          <w:tcPr>
            <w:tcW w:w="3018" w:type="dxa"/>
            <w:tcBorders>
              <w:top w:val="single" w:sz="4" w:space="0" w:color="auto"/>
            </w:tcBorders>
            <w:shd w:val="clear" w:color="auto" w:fill="auto"/>
          </w:tcPr>
          <w:p w14:paraId="77939B2B"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 xml:space="preserve">Age at NS onset, </w:t>
            </w:r>
            <w:proofErr w:type="spellStart"/>
            <w:r w:rsidRPr="009D03BE">
              <w:rPr>
                <w:rFonts w:ascii="Book Antiqua" w:hAnsi="Book Antiqua"/>
                <w:b/>
                <w:lang w:val="en-GB"/>
              </w:rPr>
              <w:t>yr</w:t>
            </w:r>
            <w:proofErr w:type="spellEnd"/>
          </w:p>
        </w:tc>
        <w:tc>
          <w:tcPr>
            <w:tcW w:w="2835" w:type="dxa"/>
            <w:tcBorders>
              <w:top w:val="single" w:sz="4" w:space="0" w:color="auto"/>
            </w:tcBorders>
            <w:shd w:val="clear" w:color="auto" w:fill="auto"/>
          </w:tcPr>
          <w:p w14:paraId="74B4CAF0"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2.8 (1.1)</w:t>
            </w:r>
          </w:p>
        </w:tc>
        <w:tc>
          <w:tcPr>
            <w:tcW w:w="2902" w:type="dxa"/>
            <w:tcBorders>
              <w:top w:val="single" w:sz="4" w:space="0" w:color="auto"/>
            </w:tcBorders>
            <w:shd w:val="clear" w:color="auto" w:fill="auto"/>
          </w:tcPr>
          <w:p w14:paraId="56DA3F04"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5.2 (4.7)</w:t>
            </w:r>
          </w:p>
        </w:tc>
        <w:tc>
          <w:tcPr>
            <w:tcW w:w="959" w:type="dxa"/>
            <w:tcBorders>
              <w:top w:val="single" w:sz="4" w:space="0" w:color="auto"/>
            </w:tcBorders>
            <w:shd w:val="clear" w:color="auto" w:fill="auto"/>
          </w:tcPr>
          <w:p w14:paraId="0DB0509A"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0.07</w:t>
            </w:r>
          </w:p>
        </w:tc>
      </w:tr>
      <w:tr w:rsidR="00927F74" w:rsidRPr="009D03BE" w14:paraId="56F659D4" w14:textId="77777777" w:rsidTr="00927F74">
        <w:trPr>
          <w:jc w:val="center"/>
        </w:trPr>
        <w:tc>
          <w:tcPr>
            <w:tcW w:w="3018" w:type="dxa"/>
            <w:shd w:val="clear" w:color="auto" w:fill="auto"/>
          </w:tcPr>
          <w:p w14:paraId="610B3D12" w14:textId="77777777" w:rsidR="003C1E2F" w:rsidRPr="009D03BE" w:rsidRDefault="00927F74" w:rsidP="00EC24C5">
            <w:pPr>
              <w:snapToGrid w:val="0"/>
              <w:spacing w:line="360" w:lineRule="auto"/>
              <w:jc w:val="both"/>
              <w:rPr>
                <w:rFonts w:ascii="Book Antiqua" w:hAnsi="Book Antiqua"/>
                <w:b/>
                <w:lang w:val="en-GB"/>
              </w:rPr>
            </w:pPr>
            <w:r w:rsidRPr="009D03BE">
              <w:rPr>
                <w:rFonts w:ascii="Book Antiqua" w:hAnsi="Book Antiqua"/>
                <w:b/>
                <w:lang w:val="en-GB"/>
              </w:rPr>
              <w:t>Female sex</w:t>
            </w:r>
            <w:r w:rsidR="003C1E2F" w:rsidRPr="009D03BE">
              <w:rPr>
                <w:rFonts w:ascii="Book Antiqua" w:hAnsi="Book Antiqua"/>
                <w:b/>
                <w:lang w:val="en-GB"/>
              </w:rPr>
              <w:t xml:space="preserve"> </w:t>
            </w:r>
            <w:r w:rsidR="003C1E2F" w:rsidRPr="009D03BE">
              <w:rPr>
                <w:rFonts w:ascii="Book Antiqua" w:hAnsi="Book Antiqua"/>
                <w:b/>
                <w:i/>
                <w:lang w:val="en-GB"/>
              </w:rPr>
              <w:t>n</w:t>
            </w:r>
            <w:r w:rsidR="003C1E2F" w:rsidRPr="009D03BE">
              <w:rPr>
                <w:rFonts w:ascii="Book Antiqua" w:hAnsi="Book Antiqua"/>
                <w:b/>
                <w:lang w:val="en-GB"/>
              </w:rPr>
              <w:t xml:space="preserve"> (%)</w:t>
            </w:r>
          </w:p>
        </w:tc>
        <w:tc>
          <w:tcPr>
            <w:tcW w:w="2835" w:type="dxa"/>
            <w:shd w:val="clear" w:color="auto" w:fill="auto"/>
          </w:tcPr>
          <w:p w14:paraId="0732B3A9"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 (0)</w:t>
            </w:r>
          </w:p>
        </w:tc>
        <w:tc>
          <w:tcPr>
            <w:tcW w:w="2902" w:type="dxa"/>
            <w:shd w:val="clear" w:color="auto" w:fill="auto"/>
          </w:tcPr>
          <w:p w14:paraId="3F22FEE3"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3 (33.3)</w:t>
            </w:r>
          </w:p>
        </w:tc>
        <w:tc>
          <w:tcPr>
            <w:tcW w:w="959" w:type="dxa"/>
            <w:shd w:val="clear" w:color="auto" w:fill="auto"/>
          </w:tcPr>
          <w:p w14:paraId="3C990F8D"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0.1</w:t>
            </w:r>
          </w:p>
        </w:tc>
      </w:tr>
      <w:tr w:rsidR="00927F74" w:rsidRPr="009D03BE" w14:paraId="5B590914" w14:textId="77777777" w:rsidTr="00927F74">
        <w:trPr>
          <w:jc w:val="center"/>
        </w:trPr>
        <w:tc>
          <w:tcPr>
            <w:tcW w:w="3018" w:type="dxa"/>
            <w:shd w:val="clear" w:color="auto" w:fill="auto"/>
          </w:tcPr>
          <w:p w14:paraId="43E11067" w14:textId="77777777" w:rsidR="003C1E2F" w:rsidRPr="009D03BE" w:rsidRDefault="00927F74" w:rsidP="00EC24C5">
            <w:pPr>
              <w:snapToGrid w:val="0"/>
              <w:spacing w:line="360" w:lineRule="auto"/>
              <w:jc w:val="both"/>
              <w:rPr>
                <w:rFonts w:ascii="Book Antiqua" w:hAnsi="Book Antiqua"/>
                <w:b/>
                <w:lang w:val="en-GB"/>
              </w:rPr>
            </w:pPr>
            <w:r w:rsidRPr="009D03BE">
              <w:rPr>
                <w:rFonts w:ascii="Book Antiqua" w:hAnsi="Book Antiqua"/>
                <w:b/>
                <w:lang w:val="en-GB"/>
              </w:rPr>
              <w:t>Corticosteroids</w:t>
            </w:r>
            <w:r w:rsidR="003C1E2F" w:rsidRPr="009D03BE">
              <w:rPr>
                <w:rFonts w:ascii="Book Antiqua" w:hAnsi="Book Antiqua"/>
                <w:b/>
                <w:lang w:val="en-GB"/>
              </w:rPr>
              <w:t xml:space="preserve"> </w:t>
            </w:r>
            <w:r w:rsidR="003C1E2F" w:rsidRPr="009D03BE">
              <w:rPr>
                <w:rFonts w:ascii="Book Antiqua" w:hAnsi="Book Antiqua"/>
                <w:b/>
                <w:i/>
                <w:lang w:val="en-GB"/>
              </w:rPr>
              <w:t>n</w:t>
            </w:r>
            <w:r w:rsidR="003C1E2F" w:rsidRPr="009D03BE">
              <w:rPr>
                <w:rFonts w:ascii="Book Antiqua" w:hAnsi="Book Antiqua"/>
                <w:b/>
                <w:lang w:val="en-GB"/>
              </w:rPr>
              <w:t xml:space="preserve"> (%)</w:t>
            </w:r>
          </w:p>
        </w:tc>
        <w:tc>
          <w:tcPr>
            <w:tcW w:w="2835" w:type="dxa"/>
            <w:shd w:val="clear" w:color="auto" w:fill="auto"/>
          </w:tcPr>
          <w:p w14:paraId="2C3F18F5"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11 (100)</w:t>
            </w:r>
          </w:p>
        </w:tc>
        <w:tc>
          <w:tcPr>
            <w:tcW w:w="2902" w:type="dxa"/>
            <w:shd w:val="clear" w:color="auto" w:fill="auto"/>
          </w:tcPr>
          <w:p w14:paraId="0BAD4B2B"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9 (100)</w:t>
            </w:r>
          </w:p>
        </w:tc>
        <w:tc>
          <w:tcPr>
            <w:tcW w:w="959" w:type="dxa"/>
            <w:shd w:val="clear" w:color="auto" w:fill="auto"/>
          </w:tcPr>
          <w:p w14:paraId="12297422"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&gt;</w:t>
            </w:r>
            <w:r w:rsidR="00927F74" w:rsidRPr="009D03BE">
              <w:rPr>
                <w:rFonts w:ascii="Book Antiqua" w:hAnsi="Book Antiqua"/>
                <w:lang w:val="en-GB" w:eastAsia="zh-CN"/>
              </w:rPr>
              <w:t xml:space="preserve"> </w:t>
            </w:r>
            <w:r w:rsidRPr="009D03BE">
              <w:rPr>
                <w:rFonts w:ascii="Book Antiqua" w:hAnsi="Book Antiqua"/>
                <w:lang w:val="en-GB"/>
              </w:rPr>
              <w:t>0.99</w:t>
            </w:r>
          </w:p>
        </w:tc>
      </w:tr>
      <w:tr w:rsidR="00927F74" w:rsidRPr="009D03BE" w14:paraId="66FA3809" w14:textId="77777777" w:rsidTr="00927F74">
        <w:trPr>
          <w:jc w:val="center"/>
        </w:trPr>
        <w:tc>
          <w:tcPr>
            <w:tcW w:w="3018" w:type="dxa"/>
            <w:shd w:val="clear" w:color="auto" w:fill="auto"/>
          </w:tcPr>
          <w:p w14:paraId="01BE1E1C" w14:textId="77777777" w:rsidR="003C1E2F" w:rsidRPr="009D03BE" w:rsidRDefault="003C71EB" w:rsidP="00EC24C5">
            <w:pPr>
              <w:snapToGrid w:val="0"/>
              <w:spacing w:line="360" w:lineRule="auto"/>
              <w:jc w:val="both"/>
              <w:rPr>
                <w:rFonts w:ascii="Book Antiqua" w:hAnsi="Book Antiqua"/>
                <w:b/>
                <w:lang w:val="en-GB"/>
              </w:rPr>
            </w:pPr>
            <w:r w:rsidRPr="009D03BE">
              <w:rPr>
                <w:rFonts w:ascii="Book Antiqua" w:hAnsi="Book Antiqua"/>
                <w:b/>
                <w:lang w:val="en-GB"/>
              </w:rPr>
              <w:t>Corticosteroids</w:t>
            </w:r>
            <w:r w:rsidRPr="009D03BE">
              <w:rPr>
                <w:rFonts w:ascii="Book Antiqua" w:hAnsi="Book Antiqua"/>
                <w:b/>
                <w:lang w:val="en-GB" w:eastAsia="zh-CN"/>
              </w:rPr>
              <w:t xml:space="preserve"> </w:t>
            </w:r>
            <w:r w:rsidR="003C1E2F" w:rsidRPr="009D03BE">
              <w:rPr>
                <w:rFonts w:ascii="Book Antiqua" w:hAnsi="Book Antiqua"/>
                <w:b/>
                <w:lang w:val="en-GB"/>
              </w:rPr>
              <w:t>(</w:t>
            </w:r>
            <w:r w:rsidRPr="009D03BE">
              <w:rPr>
                <w:rFonts w:ascii="Book Antiqua" w:hAnsi="Book Antiqua"/>
                <w:b/>
                <w:lang w:val="en-GB" w:eastAsia="zh-CN"/>
              </w:rPr>
              <w:t xml:space="preserve">mean </w:t>
            </w:r>
            <w:r w:rsidRPr="009D03BE">
              <w:rPr>
                <w:rFonts w:ascii="Book Antiqua" w:hAnsi="Book Antiqua"/>
                <w:lang w:val="en-GB"/>
              </w:rPr>
              <w:t>±</w:t>
            </w:r>
            <w:r w:rsidRPr="009D03BE">
              <w:rPr>
                <w:rFonts w:ascii="Book Antiqua" w:hAnsi="Book Antiqua"/>
                <w:lang w:val="en-GB" w:eastAsia="zh-CN"/>
              </w:rPr>
              <w:t xml:space="preserve"> </w:t>
            </w:r>
            <w:r w:rsidRPr="009D03BE">
              <w:rPr>
                <w:rFonts w:ascii="Book Antiqua" w:hAnsi="Book Antiqua"/>
                <w:b/>
                <w:lang w:val="en-GB"/>
              </w:rPr>
              <w:t>SD</w:t>
            </w:r>
            <w:r w:rsidRPr="009D03BE">
              <w:rPr>
                <w:rFonts w:ascii="Book Antiqua" w:hAnsi="Book Antiqua"/>
                <w:b/>
                <w:lang w:val="en-GB" w:eastAsia="zh-CN"/>
              </w:rPr>
              <w:t xml:space="preserve">, </w:t>
            </w:r>
            <w:proofErr w:type="spellStart"/>
            <w:r w:rsidRPr="009D03BE">
              <w:rPr>
                <w:rFonts w:ascii="Book Antiqua" w:hAnsi="Book Antiqua"/>
                <w:b/>
                <w:lang w:val="en-GB" w:eastAsia="zh-CN"/>
              </w:rPr>
              <w:t>mo</w:t>
            </w:r>
            <w:proofErr w:type="spellEnd"/>
            <w:r w:rsidR="003C1E2F" w:rsidRPr="009D03BE">
              <w:rPr>
                <w:rFonts w:ascii="Book Antiqua" w:hAnsi="Book Antiqua"/>
                <w:b/>
                <w:lang w:val="en-GB"/>
              </w:rPr>
              <w:t>)</w:t>
            </w:r>
          </w:p>
        </w:tc>
        <w:tc>
          <w:tcPr>
            <w:tcW w:w="2835" w:type="dxa"/>
            <w:shd w:val="clear" w:color="auto" w:fill="auto"/>
          </w:tcPr>
          <w:p w14:paraId="7595C37A"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76.5 </w:t>
            </w:r>
            <w:r w:rsidR="003C71EB" w:rsidRPr="009D03BE">
              <w:rPr>
                <w:rFonts w:ascii="Book Antiqua" w:hAnsi="Book Antiqua"/>
                <w:lang w:val="en-GB"/>
              </w:rPr>
              <w:t>±</w:t>
            </w:r>
            <w:r w:rsidR="003C71EB" w:rsidRPr="009D03BE">
              <w:rPr>
                <w:rFonts w:ascii="Book Antiqua" w:hAnsi="Book Antiqua"/>
                <w:lang w:val="en-GB" w:eastAsia="zh-CN"/>
              </w:rPr>
              <w:t xml:space="preserve"> </w:t>
            </w:r>
            <w:r w:rsidR="003C71EB" w:rsidRPr="009D03BE">
              <w:rPr>
                <w:rFonts w:ascii="Book Antiqua" w:hAnsi="Book Antiqua"/>
                <w:lang w:val="en-GB"/>
              </w:rPr>
              <w:t>54.2</w:t>
            </w:r>
          </w:p>
        </w:tc>
        <w:tc>
          <w:tcPr>
            <w:tcW w:w="2902" w:type="dxa"/>
            <w:shd w:val="clear" w:color="auto" w:fill="auto"/>
          </w:tcPr>
          <w:p w14:paraId="0D791F14"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73.2 </w:t>
            </w:r>
            <w:r w:rsidR="003C71EB" w:rsidRPr="009D03BE">
              <w:rPr>
                <w:rFonts w:ascii="Book Antiqua" w:hAnsi="Book Antiqua"/>
                <w:lang w:val="en-GB"/>
              </w:rPr>
              <w:t>±</w:t>
            </w:r>
            <w:r w:rsidR="003C71EB" w:rsidRPr="009D03BE">
              <w:rPr>
                <w:rFonts w:ascii="Book Antiqua" w:hAnsi="Book Antiqua"/>
                <w:lang w:val="en-GB" w:eastAsia="zh-CN"/>
              </w:rPr>
              <w:t xml:space="preserve"> </w:t>
            </w:r>
            <w:r w:rsidR="003C71EB" w:rsidRPr="009D03BE">
              <w:rPr>
                <w:rFonts w:ascii="Book Antiqua" w:hAnsi="Book Antiqua"/>
                <w:lang w:val="en-GB"/>
              </w:rPr>
              <w:t>30.9</w:t>
            </w:r>
          </w:p>
        </w:tc>
        <w:tc>
          <w:tcPr>
            <w:tcW w:w="959" w:type="dxa"/>
            <w:shd w:val="clear" w:color="auto" w:fill="auto"/>
          </w:tcPr>
          <w:p w14:paraId="7AAA0121"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0.87</w:t>
            </w:r>
          </w:p>
        </w:tc>
      </w:tr>
      <w:tr w:rsidR="00927F74" w:rsidRPr="009D03BE" w14:paraId="73630DE2" w14:textId="77777777" w:rsidTr="00927F74">
        <w:trPr>
          <w:jc w:val="center"/>
        </w:trPr>
        <w:tc>
          <w:tcPr>
            <w:tcW w:w="3018" w:type="dxa"/>
            <w:shd w:val="clear" w:color="auto" w:fill="auto"/>
          </w:tcPr>
          <w:p w14:paraId="2844A496" w14:textId="77777777" w:rsidR="003C1E2F" w:rsidRPr="009D03BE" w:rsidRDefault="00927F74" w:rsidP="00EC24C5">
            <w:pPr>
              <w:snapToGrid w:val="0"/>
              <w:spacing w:line="360" w:lineRule="auto"/>
              <w:jc w:val="both"/>
              <w:rPr>
                <w:rFonts w:ascii="Book Antiqua" w:hAnsi="Book Antiqua"/>
                <w:b/>
                <w:lang w:val="en-GB"/>
              </w:rPr>
            </w:pPr>
            <w:r w:rsidRPr="009D03BE">
              <w:rPr>
                <w:rFonts w:ascii="Book Antiqua" w:hAnsi="Book Antiqua"/>
                <w:b/>
                <w:lang w:val="en-GB"/>
              </w:rPr>
              <w:t>Cyclosporine</w:t>
            </w:r>
            <w:r w:rsidR="003C1E2F" w:rsidRPr="009D03BE">
              <w:rPr>
                <w:rFonts w:ascii="Book Antiqua" w:hAnsi="Book Antiqua"/>
                <w:b/>
                <w:lang w:val="en-GB"/>
              </w:rPr>
              <w:t xml:space="preserve"> </w:t>
            </w:r>
            <w:r w:rsidR="003C1E2F" w:rsidRPr="009D03BE">
              <w:rPr>
                <w:rFonts w:ascii="Book Antiqua" w:hAnsi="Book Antiqua"/>
                <w:b/>
                <w:i/>
                <w:lang w:val="en-GB"/>
              </w:rPr>
              <w:t>n</w:t>
            </w:r>
            <w:r w:rsidR="003C1E2F" w:rsidRPr="009D03BE">
              <w:rPr>
                <w:rFonts w:ascii="Book Antiqua" w:hAnsi="Book Antiqua"/>
                <w:b/>
                <w:lang w:val="en-GB"/>
              </w:rPr>
              <w:t xml:space="preserve"> (%)</w:t>
            </w:r>
          </w:p>
        </w:tc>
        <w:tc>
          <w:tcPr>
            <w:tcW w:w="2835" w:type="dxa"/>
            <w:shd w:val="clear" w:color="auto" w:fill="auto"/>
          </w:tcPr>
          <w:p w14:paraId="6C6AD6DF"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11 (100)</w:t>
            </w:r>
          </w:p>
        </w:tc>
        <w:tc>
          <w:tcPr>
            <w:tcW w:w="2902" w:type="dxa"/>
            <w:shd w:val="clear" w:color="auto" w:fill="auto"/>
          </w:tcPr>
          <w:p w14:paraId="59C214AF"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9 (100)</w:t>
            </w:r>
          </w:p>
        </w:tc>
        <w:tc>
          <w:tcPr>
            <w:tcW w:w="959" w:type="dxa"/>
            <w:shd w:val="clear" w:color="auto" w:fill="auto"/>
          </w:tcPr>
          <w:p w14:paraId="05A0582B"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&gt;</w:t>
            </w:r>
            <w:r w:rsidR="00927F74" w:rsidRPr="009D03BE">
              <w:rPr>
                <w:rFonts w:ascii="Book Antiqua" w:hAnsi="Book Antiqua"/>
                <w:lang w:val="en-GB" w:eastAsia="zh-CN"/>
              </w:rPr>
              <w:t xml:space="preserve"> </w:t>
            </w:r>
            <w:r w:rsidRPr="009D03BE">
              <w:rPr>
                <w:rFonts w:ascii="Book Antiqua" w:hAnsi="Book Antiqua"/>
                <w:lang w:val="en-GB"/>
              </w:rPr>
              <w:t>0.99</w:t>
            </w:r>
          </w:p>
        </w:tc>
      </w:tr>
      <w:tr w:rsidR="00927F74" w:rsidRPr="009D03BE" w14:paraId="33AF8358" w14:textId="77777777" w:rsidTr="00927F74">
        <w:trPr>
          <w:jc w:val="center"/>
        </w:trPr>
        <w:tc>
          <w:tcPr>
            <w:tcW w:w="3018" w:type="dxa"/>
            <w:shd w:val="clear" w:color="auto" w:fill="auto"/>
          </w:tcPr>
          <w:p w14:paraId="3A189402" w14:textId="77777777" w:rsidR="003C1E2F" w:rsidRPr="009D03BE" w:rsidRDefault="003C1E2F" w:rsidP="00EC24C5">
            <w:pPr>
              <w:snapToGrid w:val="0"/>
              <w:spacing w:line="360" w:lineRule="auto"/>
              <w:jc w:val="both"/>
              <w:rPr>
                <w:rFonts w:ascii="Book Antiqua" w:hAnsi="Book Antiqua"/>
                <w:b/>
                <w:lang w:val="en-GB" w:eastAsia="zh-CN"/>
              </w:rPr>
            </w:pPr>
            <w:r w:rsidRPr="009D03BE">
              <w:rPr>
                <w:rFonts w:ascii="Book Antiqua" w:hAnsi="Book Antiqua"/>
                <w:b/>
                <w:lang w:val="en-GB"/>
              </w:rPr>
              <w:t>Cyclosporine</w:t>
            </w:r>
            <w:r w:rsidR="006E0783" w:rsidRPr="009D03BE">
              <w:rPr>
                <w:rFonts w:ascii="Book Antiqua" w:hAnsi="Book Antiqua"/>
                <w:b/>
                <w:lang w:val="en-GB" w:eastAsia="zh-CN"/>
              </w:rPr>
              <w:t xml:space="preserve"> </w:t>
            </w:r>
            <w:r w:rsidR="006E0783" w:rsidRPr="009D03BE">
              <w:rPr>
                <w:rFonts w:ascii="Book Antiqua" w:hAnsi="Book Antiqua"/>
                <w:b/>
                <w:lang w:val="en-GB"/>
              </w:rPr>
              <w:t>(</w:t>
            </w:r>
            <w:r w:rsidR="006E0783" w:rsidRPr="009D03BE">
              <w:rPr>
                <w:rFonts w:ascii="Book Antiqua" w:hAnsi="Book Antiqua"/>
                <w:b/>
                <w:lang w:val="en-GB" w:eastAsia="zh-CN"/>
              </w:rPr>
              <w:t xml:space="preserve">mean </w:t>
            </w:r>
            <w:r w:rsidR="006E0783" w:rsidRPr="009D03BE">
              <w:rPr>
                <w:rFonts w:ascii="Book Antiqua" w:hAnsi="Book Antiqua"/>
                <w:lang w:val="en-GB"/>
              </w:rPr>
              <w:t>±</w:t>
            </w:r>
            <w:r w:rsidR="006E0783" w:rsidRPr="009D03BE">
              <w:rPr>
                <w:rFonts w:ascii="Book Antiqua" w:hAnsi="Book Antiqua"/>
                <w:lang w:val="en-GB" w:eastAsia="zh-CN"/>
              </w:rPr>
              <w:t xml:space="preserve"> </w:t>
            </w:r>
            <w:r w:rsidR="006E0783" w:rsidRPr="009D03BE">
              <w:rPr>
                <w:rFonts w:ascii="Book Antiqua" w:hAnsi="Book Antiqua"/>
                <w:b/>
                <w:lang w:val="en-GB"/>
              </w:rPr>
              <w:t>SD</w:t>
            </w:r>
            <w:r w:rsidR="006E0783" w:rsidRPr="009D03BE">
              <w:rPr>
                <w:rFonts w:ascii="Book Antiqua" w:hAnsi="Book Antiqua"/>
                <w:b/>
                <w:lang w:val="en-GB" w:eastAsia="zh-CN"/>
              </w:rPr>
              <w:t xml:space="preserve">, </w:t>
            </w:r>
            <w:proofErr w:type="spellStart"/>
            <w:r w:rsidR="006E0783" w:rsidRPr="009D03BE">
              <w:rPr>
                <w:rFonts w:ascii="Book Antiqua" w:hAnsi="Book Antiqua"/>
                <w:b/>
                <w:lang w:val="en-GB" w:eastAsia="zh-CN"/>
              </w:rPr>
              <w:t>mo</w:t>
            </w:r>
            <w:proofErr w:type="spellEnd"/>
            <w:r w:rsidR="006E0783" w:rsidRPr="009D03BE">
              <w:rPr>
                <w:rFonts w:ascii="Book Antiqua" w:hAnsi="Book Antiqua"/>
                <w:b/>
                <w:lang w:val="en-GB"/>
              </w:rPr>
              <w:t>)</w:t>
            </w:r>
          </w:p>
        </w:tc>
        <w:tc>
          <w:tcPr>
            <w:tcW w:w="2835" w:type="dxa"/>
            <w:shd w:val="clear" w:color="auto" w:fill="auto"/>
          </w:tcPr>
          <w:p w14:paraId="5BF2E2C6"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56.1 </w:t>
            </w:r>
            <w:r w:rsidR="00E13593" w:rsidRPr="009D03BE">
              <w:rPr>
                <w:rFonts w:ascii="Book Antiqua" w:hAnsi="Book Antiqua"/>
                <w:lang w:val="en-GB"/>
              </w:rPr>
              <w:t>±</w:t>
            </w:r>
            <w:r w:rsidR="00E13593" w:rsidRPr="009D03BE">
              <w:rPr>
                <w:rFonts w:ascii="Book Antiqua" w:hAnsi="Book Antiqua"/>
                <w:lang w:val="en-GB" w:eastAsia="zh-CN"/>
              </w:rPr>
              <w:t xml:space="preserve"> </w:t>
            </w:r>
            <w:r w:rsidR="00E13593" w:rsidRPr="009D03BE">
              <w:rPr>
                <w:rFonts w:ascii="Book Antiqua" w:hAnsi="Book Antiqua"/>
                <w:lang w:val="en-GB"/>
              </w:rPr>
              <w:t>23.1</w:t>
            </w:r>
          </w:p>
        </w:tc>
        <w:tc>
          <w:tcPr>
            <w:tcW w:w="2902" w:type="dxa"/>
            <w:shd w:val="clear" w:color="auto" w:fill="auto"/>
          </w:tcPr>
          <w:p w14:paraId="0FF29BCD"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66.4 </w:t>
            </w:r>
            <w:r w:rsidR="00E13593" w:rsidRPr="009D03BE">
              <w:rPr>
                <w:rFonts w:ascii="Book Antiqua" w:hAnsi="Book Antiqua"/>
                <w:lang w:val="en-GB"/>
              </w:rPr>
              <w:t>±</w:t>
            </w:r>
            <w:r w:rsidR="00E13593" w:rsidRPr="009D03BE">
              <w:rPr>
                <w:rFonts w:ascii="Book Antiqua" w:hAnsi="Book Antiqua"/>
                <w:lang w:val="en-GB" w:eastAsia="zh-CN"/>
              </w:rPr>
              <w:t xml:space="preserve"> </w:t>
            </w:r>
            <w:r w:rsidR="00E13593" w:rsidRPr="009D03BE">
              <w:rPr>
                <w:rFonts w:ascii="Book Antiqua" w:hAnsi="Book Antiqua"/>
                <w:lang w:val="en-GB"/>
              </w:rPr>
              <w:t>40.0</w:t>
            </w:r>
          </w:p>
        </w:tc>
        <w:tc>
          <w:tcPr>
            <w:tcW w:w="959" w:type="dxa"/>
            <w:shd w:val="clear" w:color="auto" w:fill="auto"/>
          </w:tcPr>
          <w:p w14:paraId="694FC117"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0.48</w:t>
            </w:r>
          </w:p>
        </w:tc>
      </w:tr>
      <w:tr w:rsidR="00927F74" w:rsidRPr="009D03BE" w14:paraId="49F31A93" w14:textId="77777777" w:rsidTr="00927F74">
        <w:trPr>
          <w:jc w:val="center"/>
        </w:trPr>
        <w:tc>
          <w:tcPr>
            <w:tcW w:w="3018" w:type="dxa"/>
            <w:shd w:val="clear" w:color="auto" w:fill="auto"/>
          </w:tcPr>
          <w:p w14:paraId="6F4EA7B3" w14:textId="77777777" w:rsidR="003C1E2F" w:rsidRPr="009D03BE" w:rsidRDefault="00927F74" w:rsidP="00EC24C5">
            <w:pPr>
              <w:snapToGrid w:val="0"/>
              <w:spacing w:line="360" w:lineRule="auto"/>
              <w:jc w:val="both"/>
              <w:rPr>
                <w:rFonts w:ascii="Book Antiqua" w:hAnsi="Book Antiqua"/>
                <w:b/>
                <w:lang w:val="en-GB"/>
              </w:rPr>
            </w:pPr>
            <w:r w:rsidRPr="009D03BE">
              <w:rPr>
                <w:rFonts w:ascii="Book Antiqua" w:hAnsi="Book Antiqua"/>
                <w:b/>
                <w:lang w:val="en-GB"/>
              </w:rPr>
              <w:t>Cyclophosphamide</w:t>
            </w:r>
            <w:r w:rsidR="003C1E2F" w:rsidRPr="009D03BE">
              <w:rPr>
                <w:rFonts w:ascii="Book Antiqua" w:hAnsi="Book Antiqua"/>
                <w:b/>
                <w:lang w:val="en-GB"/>
              </w:rPr>
              <w:t xml:space="preserve"> </w:t>
            </w:r>
            <w:r w:rsidR="003C1E2F" w:rsidRPr="009D03BE">
              <w:rPr>
                <w:rFonts w:ascii="Book Antiqua" w:hAnsi="Book Antiqua"/>
                <w:b/>
                <w:i/>
                <w:lang w:val="en-GB"/>
              </w:rPr>
              <w:t>n</w:t>
            </w:r>
            <w:r w:rsidR="003C1E2F" w:rsidRPr="009D03BE">
              <w:rPr>
                <w:rFonts w:ascii="Book Antiqua" w:hAnsi="Book Antiqua"/>
                <w:b/>
                <w:lang w:val="en-GB"/>
              </w:rPr>
              <w:t xml:space="preserve"> (%)</w:t>
            </w:r>
          </w:p>
        </w:tc>
        <w:tc>
          <w:tcPr>
            <w:tcW w:w="2835" w:type="dxa"/>
            <w:shd w:val="clear" w:color="auto" w:fill="auto"/>
          </w:tcPr>
          <w:p w14:paraId="37846AF9"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8 (72.3)</w:t>
            </w:r>
          </w:p>
        </w:tc>
        <w:tc>
          <w:tcPr>
            <w:tcW w:w="2902" w:type="dxa"/>
            <w:shd w:val="clear" w:color="auto" w:fill="auto"/>
          </w:tcPr>
          <w:p w14:paraId="6E08B07D"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6 (66.7)</w:t>
            </w:r>
          </w:p>
        </w:tc>
        <w:tc>
          <w:tcPr>
            <w:tcW w:w="959" w:type="dxa"/>
            <w:shd w:val="clear" w:color="auto" w:fill="auto"/>
          </w:tcPr>
          <w:p w14:paraId="5E67AA0A"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0.9</w:t>
            </w:r>
          </w:p>
        </w:tc>
      </w:tr>
      <w:tr w:rsidR="00927F74" w:rsidRPr="009D03BE" w14:paraId="5C0C1D25" w14:textId="77777777" w:rsidTr="00927F74">
        <w:trPr>
          <w:jc w:val="center"/>
        </w:trPr>
        <w:tc>
          <w:tcPr>
            <w:tcW w:w="3018" w:type="dxa"/>
            <w:shd w:val="clear" w:color="auto" w:fill="auto"/>
          </w:tcPr>
          <w:p w14:paraId="0E4F442F"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Cyclophosphamide</w:t>
            </w:r>
            <w:r w:rsidR="003C0200" w:rsidRPr="009D03BE">
              <w:rPr>
                <w:rFonts w:ascii="Book Antiqua" w:hAnsi="Book Antiqua"/>
                <w:b/>
                <w:lang w:val="en-GB" w:eastAsia="zh-CN"/>
              </w:rPr>
              <w:t xml:space="preserve"> </w:t>
            </w:r>
            <w:r w:rsidR="003C0200" w:rsidRPr="009D03BE">
              <w:rPr>
                <w:rFonts w:ascii="Book Antiqua" w:hAnsi="Book Antiqua"/>
                <w:b/>
                <w:lang w:val="en-GB"/>
              </w:rPr>
              <w:t>(</w:t>
            </w:r>
            <w:r w:rsidR="003C0200" w:rsidRPr="009D03BE">
              <w:rPr>
                <w:rFonts w:ascii="Book Antiqua" w:hAnsi="Book Antiqua"/>
                <w:b/>
                <w:lang w:val="en-GB" w:eastAsia="zh-CN"/>
              </w:rPr>
              <w:t xml:space="preserve">mean </w:t>
            </w:r>
            <w:r w:rsidR="003C0200" w:rsidRPr="009D03BE">
              <w:rPr>
                <w:rFonts w:ascii="Book Antiqua" w:hAnsi="Book Antiqua"/>
                <w:lang w:val="en-GB"/>
              </w:rPr>
              <w:t>±</w:t>
            </w:r>
            <w:r w:rsidR="003C0200" w:rsidRPr="009D03BE">
              <w:rPr>
                <w:rFonts w:ascii="Book Antiqua" w:hAnsi="Book Antiqua"/>
                <w:lang w:val="en-GB" w:eastAsia="zh-CN"/>
              </w:rPr>
              <w:t xml:space="preserve"> </w:t>
            </w:r>
            <w:r w:rsidR="003C0200" w:rsidRPr="009D03BE">
              <w:rPr>
                <w:rFonts w:ascii="Book Antiqua" w:hAnsi="Book Antiqua"/>
                <w:b/>
                <w:lang w:val="en-GB"/>
              </w:rPr>
              <w:t>SD</w:t>
            </w:r>
            <w:r w:rsidR="003C0200" w:rsidRPr="009D03BE">
              <w:rPr>
                <w:rFonts w:ascii="Book Antiqua" w:hAnsi="Book Antiqua"/>
                <w:b/>
                <w:lang w:val="en-GB" w:eastAsia="zh-CN"/>
              </w:rPr>
              <w:t xml:space="preserve">, </w:t>
            </w:r>
            <w:proofErr w:type="spellStart"/>
            <w:r w:rsidR="003C0200" w:rsidRPr="009D03BE">
              <w:rPr>
                <w:rFonts w:ascii="Book Antiqua" w:hAnsi="Book Antiqua"/>
                <w:b/>
                <w:lang w:val="en-GB" w:eastAsia="zh-CN"/>
              </w:rPr>
              <w:t>mo</w:t>
            </w:r>
            <w:proofErr w:type="spellEnd"/>
            <w:r w:rsidR="003C0200" w:rsidRPr="009D03BE">
              <w:rPr>
                <w:rFonts w:ascii="Book Antiqua" w:hAnsi="Book Antiqua"/>
                <w:b/>
                <w:lang w:val="en-GB"/>
              </w:rPr>
              <w:t>)</w:t>
            </w:r>
          </w:p>
        </w:tc>
        <w:tc>
          <w:tcPr>
            <w:tcW w:w="2835" w:type="dxa"/>
            <w:shd w:val="clear" w:color="auto" w:fill="auto"/>
          </w:tcPr>
          <w:p w14:paraId="11F77D31"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3 </w:t>
            </w:r>
            <w:r w:rsidR="007F68F7" w:rsidRPr="009D03BE">
              <w:rPr>
                <w:rFonts w:ascii="Book Antiqua" w:hAnsi="Book Antiqua"/>
                <w:lang w:val="en-GB"/>
              </w:rPr>
              <w:t>±</w:t>
            </w:r>
            <w:r w:rsidR="007F68F7" w:rsidRPr="009D03BE">
              <w:rPr>
                <w:rFonts w:ascii="Book Antiqua" w:hAnsi="Book Antiqua"/>
                <w:lang w:val="en-GB" w:eastAsia="zh-CN"/>
              </w:rPr>
              <w:t xml:space="preserve"> </w:t>
            </w:r>
            <w:r w:rsidR="007F68F7" w:rsidRPr="009D03BE">
              <w:rPr>
                <w:rFonts w:ascii="Book Antiqua" w:hAnsi="Book Antiqua"/>
                <w:lang w:val="en-GB"/>
              </w:rPr>
              <w:t>0.27</w:t>
            </w:r>
          </w:p>
        </w:tc>
        <w:tc>
          <w:tcPr>
            <w:tcW w:w="2902" w:type="dxa"/>
            <w:shd w:val="clear" w:color="auto" w:fill="auto"/>
          </w:tcPr>
          <w:p w14:paraId="5E8A8A87"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3 </w:t>
            </w:r>
            <w:r w:rsidR="007F68F7" w:rsidRPr="009D03BE">
              <w:rPr>
                <w:rFonts w:ascii="Book Antiqua" w:hAnsi="Book Antiqua"/>
                <w:lang w:val="en-GB"/>
              </w:rPr>
              <w:t>±</w:t>
            </w:r>
            <w:r w:rsidR="007F68F7" w:rsidRPr="009D03BE">
              <w:rPr>
                <w:rFonts w:ascii="Book Antiqua" w:hAnsi="Book Antiqua"/>
                <w:lang w:val="en-GB" w:eastAsia="zh-CN"/>
              </w:rPr>
              <w:t xml:space="preserve"> </w:t>
            </w:r>
            <w:r w:rsidR="007F68F7" w:rsidRPr="009D03BE">
              <w:rPr>
                <w:rFonts w:ascii="Book Antiqua" w:hAnsi="Book Antiqua"/>
                <w:lang w:val="en-GB"/>
              </w:rPr>
              <w:t>0.33</w:t>
            </w:r>
          </w:p>
        </w:tc>
        <w:tc>
          <w:tcPr>
            <w:tcW w:w="959" w:type="dxa"/>
            <w:shd w:val="clear" w:color="auto" w:fill="auto"/>
          </w:tcPr>
          <w:p w14:paraId="03F1530F"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0.9</w:t>
            </w:r>
          </w:p>
        </w:tc>
      </w:tr>
      <w:tr w:rsidR="00927F74" w:rsidRPr="009D03BE" w14:paraId="6CDD3E64" w14:textId="77777777" w:rsidTr="00927F74">
        <w:trPr>
          <w:jc w:val="center"/>
        </w:trPr>
        <w:tc>
          <w:tcPr>
            <w:tcW w:w="3018" w:type="dxa"/>
            <w:shd w:val="clear" w:color="auto" w:fill="auto"/>
          </w:tcPr>
          <w:p w14:paraId="57C70535" w14:textId="77777777" w:rsidR="003C1E2F" w:rsidRPr="009D03BE" w:rsidRDefault="003C1E2F" w:rsidP="00EC24C5">
            <w:pPr>
              <w:snapToGrid w:val="0"/>
              <w:spacing w:line="360" w:lineRule="auto"/>
              <w:jc w:val="both"/>
              <w:rPr>
                <w:rFonts w:ascii="Book Antiqua" w:hAnsi="Book Antiqua"/>
                <w:b/>
                <w:lang w:val="en-GB"/>
              </w:rPr>
            </w:pPr>
            <w:proofErr w:type="gramStart"/>
            <w:r w:rsidRPr="009D03BE">
              <w:rPr>
                <w:rFonts w:ascii="Book Antiqua" w:hAnsi="Book Antiqua"/>
                <w:b/>
                <w:lang w:val="en-GB"/>
              </w:rPr>
              <w:t>Other</w:t>
            </w:r>
            <w:proofErr w:type="gramEnd"/>
            <w:r w:rsidRPr="009D03BE">
              <w:rPr>
                <w:rFonts w:ascii="Book Antiqua" w:hAnsi="Book Antiqua"/>
                <w:b/>
                <w:lang w:val="en-GB"/>
              </w:rPr>
              <w:t xml:space="preserve"> immunosuppres</w:t>
            </w:r>
            <w:r w:rsidR="00927F74" w:rsidRPr="009D03BE">
              <w:rPr>
                <w:rFonts w:ascii="Book Antiqua" w:hAnsi="Book Antiqua"/>
                <w:b/>
                <w:lang w:val="en-GB"/>
              </w:rPr>
              <w:t>sive agents</w:t>
            </w:r>
            <w:r w:rsidRPr="009D03BE">
              <w:rPr>
                <w:rFonts w:ascii="Book Antiqua" w:hAnsi="Book Antiqua"/>
                <w:b/>
                <w:lang w:val="en-GB"/>
              </w:rPr>
              <w:t xml:space="preserve"> </w:t>
            </w:r>
            <w:r w:rsidRPr="009D03BE">
              <w:rPr>
                <w:rFonts w:ascii="Book Antiqua" w:hAnsi="Book Antiqua"/>
                <w:b/>
                <w:i/>
                <w:lang w:val="en-GB"/>
              </w:rPr>
              <w:t>n</w:t>
            </w:r>
            <w:r w:rsidRPr="009D03BE">
              <w:rPr>
                <w:rFonts w:ascii="Book Antiqua" w:hAnsi="Book Antiqua"/>
                <w:b/>
                <w:lang w:val="en-GB"/>
              </w:rPr>
              <w:t xml:space="preserve"> (%)</w:t>
            </w:r>
          </w:p>
        </w:tc>
        <w:tc>
          <w:tcPr>
            <w:tcW w:w="2835" w:type="dxa"/>
            <w:shd w:val="clear" w:color="auto" w:fill="auto"/>
          </w:tcPr>
          <w:p w14:paraId="091FAA42"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2</w:t>
            </w:r>
            <w:r w:rsidR="005034EC" w:rsidRPr="009D03BE">
              <w:rPr>
                <w:rFonts w:ascii="Book Antiqua" w:hAnsi="Book Antiqua"/>
                <w:lang w:val="en-GB"/>
              </w:rPr>
              <w:t xml:space="preserve"> </w:t>
            </w:r>
            <w:r w:rsidRPr="009D03BE">
              <w:rPr>
                <w:rFonts w:ascii="Book Antiqua" w:hAnsi="Book Antiqua"/>
                <w:lang w:val="en-GB"/>
              </w:rPr>
              <w:t>(0.2)</w:t>
            </w:r>
          </w:p>
        </w:tc>
        <w:tc>
          <w:tcPr>
            <w:tcW w:w="2902" w:type="dxa"/>
            <w:shd w:val="clear" w:color="auto" w:fill="auto"/>
          </w:tcPr>
          <w:p w14:paraId="1ED35DF3"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3 (0.33)</w:t>
            </w:r>
          </w:p>
        </w:tc>
        <w:tc>
          <w:tcPr>
            <w:tcW w:w="959" w:type="dxa"/>
            <w:shd w:val="clear" w:color="auto" w:fill="auto"/>
          </w:tcPr>
          <w:p w14:paraId="2DC8010E"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0.43</w:t>
            </w:r>
          </w:p>
        </w:tc>
      </w:tr>
      <w:tr w:rsidR="00927F74" w:rsidRPr="009D03BE" w14:paraId="6DD44132" w14:textId="77777777" w:rsidTr="00927F74">
        <w:trPr>
          <w:jc w:val="center"/>
        </w:trPr>
        <w:tc>
          <w:tcPr>
            <w:tcW w:w="3018" w:type="dxa"/>
            <w:shd w:val="clear" w:color="auto" w:fill="auto"/>
          </w:tcPr>
          <w:p w14:paraId="7EAF6707"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&gt;</w:t>
            </w:r>
            <w:r w:rsidR="00927F74" w:rsidRPr="009D03BE">
              <w:rPr>
                <w:rFonts w:ascii="Book Antiqua" w:hAnsi="Book Antiqua"/>
                <w:b/>
                <w:lang w:val="en-GB" w:eastAsia="zh-CN"/>
              </w:rPr>
              <w:t xml:space="preserve"> </w:t>
            </w:r>
            <w:r w:rsidR="00927F74" w:rsidRPr="009D03BE">
              <w:rPr>
                <w:rFonts w:ascii="Book Antiqua" w:hAnsi="Book Antiqua"/>
                <w:b/>
                <w:lang w:val="en-GB"/>
              </w:rPr>
              <w:t>1 immunosuppressive agents</w:t>
            </w:r>
            <w:r w:rsidRPr="009D03BE">
              <w:rPr>
                <w:rFonts w:ascii="Book Antiqua" w:hAnsi="Book Antiqua"/>
                <w:b/>
                <w:lang w:val="en-GB"/>
              </w:rPr>
              <w:t xml:space="preserve"> </w:t>
            </w:r>
            <w:r w:rsidRPr="009D03BE">
              <w:rPr>
                <w:rFonts w:ascii="Book Antiqua" w:hAnsi="Book Antiqua"/>
                <w:b/>
                <w:i/>
                <w:lang w:val="en-GB"/>
              </w:rPr>
              <w:t>n</w:t>
            </w:r>
            <w:r w:rsidRPr="009D03BE">
              <w:rPr>
                <w:rFonts w:ascii="Book Antiqua" w:hAnsi="Book Antiqua"/>
                <w:b/>
                <w:lang w:val="en-GB"/>
              </w:rPr>
              <w:t xml:space="preserve"> (%)</w:t>
            </w:r>
          </w:p>
        </w:tc>
        <w:tc>
          <w:tcPr>
            <w:tcW w:w="2835" w:type="dxa"/>
            <w:shd w:val="clear" w:color="auto" w:fill="auto"/>
          </w:tcPr>
          <w:p w14:paraId="2A107C8B"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8 (72.3)</w:t>
            </w:r>
          </w:p>
        </w:tc>
        <w:tc>
          <w:tcPr>
            <w:tcW w:w="2902" w:type="dxa"/>
            <w:shd w:val="clear" w:color="auto" w:fill="auto"/>
          </w:tcPr>
          <w:p w14:paraId="5586A3DB"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7 (77.8)</w:t>
            </w:r>
          </w:p>
        </w:tc>
        <w:tc>
          <w:tcPr>
            <w:tcW w:w="959" w:type="dxa"/>
            <w:shd w:val="clear" w:color="auto" w:fill="auto"/>
          </w:tcPr>
          <w:p w14:paraId="2948EDB7"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0.43</w:t>
            </w:r>
          </w:p>
        </w:tc>
      </w:tr>
      <w:tr w:rsidR="00927F74" w:rsidRPr="009D03BE" w14:paraId="6F91D3D3" w14:textId="77777777" w:rsidTr="00927F74">
        <w:trPr>
          <w:jc w:val="center"/>
        </w:trPr>
        <w:tc>
          <w:tcPr>
            <w:tcW w:w="3018" w:type="dxa"/>
            <w:shd w:val="clear" w:color="auto" w:fill="auto"/>
          </w:tcPr>
          <w:p w14:paraId="02D61274" w14:textId="77777777" w:rsidR="003C1E2F" w:rsidRPr="009D03BE" w:rsidRDefault="00E71521" w:rsidP="00EC24C5">
            <w:pPr>
              <w:snapToGrid w:val="0"/>
              <w:spacing w:line="360" w:lineRule="auto"/>
              <w:jc w:val="both"/>
              <w:rPr>
                <w:rFonts w:ascii="Book Antiqua" w:hAnsi="Book Antiqua"/>
                <w:b/>
                <w:lang w:val="en-GB" w:eastAsia="zh-CN"/>
              </w:rPr>
            </w:pPr>
            <w:r w:rsidRPr="009D03BE">
              <w:rPr>
                <w:rFonts w:ascii="Book Antiqua" w:hAnsi="Book Antiqua"/>
                <w:b/>
                <w:lang w:val="en-GB"/>
              </w:rPr>
              <w:t>Relapses</w:t>
            </w:r>
            <w:r w:rsidR="003C1E2F" w:rsidRPr="009D03BE">
              <w:rPr>
                <w:rFonts w:ascii="Book Antiqua" w:hAnsi="Book Antiqua"/>
                <w:b/>
                <w:lang w:val="en-GB"/>
              </w:rPr>
              <w:t xml:space="preserve"> </w:t>
            </w:r>
            <w:r w:rsidR="00492F1A" w:rsidRPr="009D03BE">
              <w:rPr>
                <w:rFonts w:ascii="Book Antiqua" w:hAnsi="Book Antiqua"/>
                <w:b/>
                <w:lang w:val="en-GB" w:eastAsia="zh-CN"/>
              </w:rPr>
              <w:t xml:space="preserve">(mean </w:t>
            </w:r>
            <w:r w:rsidR="00492F1A" w:rsidRPr="009D03BE">
              <w:rPr>
                <w:rFonts w:ascii="Book Antiqua" w:hAnsi="Book Antiqua"/>
                <w:lang w:val="en-GB"/>
              </w:rPr>
              <w:t>±</w:t>
            </w:r>
            <w:r w:rsidR="00492F1A" w:rsidRPr="009D03BE">
              <w:rPr>
                <w:rFonts w:ascii="Book Antiqua" w:hAnsi="Book Antiqua"/>
                <w:lang w:val="en-GB" w:eastAsia="zh-CN"/>
              </w:rPr>
              <w:t xml:space="preserve"> </w:t>
            </w:r>
            <w:r w:rsidR="00492F1A" w:rsidRPr="009D03BE">
              <w:rPr>
                <w:rFonts w:ascii="Book Antiqua" w:hAnsi="Book Antiqua"/>
                <w:b/>
                <w:lang w:val="en-GB"/>
              </w:rPr>
              <w:t>SD</w:t>
            </w:r>
            <w:r w:rsidR="00492F1A" w:rsidRPr="009D03BE">
              <w:rPr>
                <w:rFonts w:ascii="Book Antiqua" w:hAnsi="Book Antiqua"/>
                <w:b/>
                <w:lang w:val="en-GB" w:eastAsia="zh-CN"/>
              </w:rPr>
              <w:t>)</w:t>
            </w:r>
          </w:p>
        </w:tc>
        <w:tc>
          <w:tcPr>
            <w:tcW w:w="2835" w:type="dxa"/>
            <w:shd w:val="clear" w:color="auto" w:fill="auto"/>
          </w:tcPr>
          <w:p w14:paraId="698EA635"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11.5 </w:t>
            </w:r>
            <w:r w:rsidR="009313CD" w:rsidRPr="009D03BE">
              <w:rPr>
                <w:rFonts w:ascii="Book Antiqua" w:hAnsi="Book Antiqua"/>
                <w:lang w:val="en-GB"/>
              </w:rPr>
              <w:t>±</w:t>
            </w:r>
            <w:r w:rsidR="009313CD" w:rsidRPr="009D03BE">
              <w:rPr>
                <w:rFonts w:ascii="Book Antiqua" w:hAnsi="Book Antiqua"/>
                <w:lang w:val="en-GB" w:eastAsia="zh-CN"/>
              </w:rPr>
              <w:t xml:space="preserve"> </w:t>
            </w:r>
            <w:r w:rsidR="009313CD" w:rsidRPr="009D03BE">
              <w:rPr>
                <w:rFonts w:ascii="Book Antiqua" w:hAnsi="Book Antiqua"/>
                <w:lang w:val="en-GB"/>
              </w:rPr>
              <w:t>4.6</w:t>
            </w:r>
          </w:p>
        </w:tc>
        <w:tc>
          <w:tcPr>
            <w:tcW w:w="2902" w:type="dxa"/>
            <w:shd w:val="clear" w:color="auto" w:fill="auto"/>
          </w:tcPr>
          <w:p w14:paraId="208B36B2"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16.5 </w:t>
            </w:r>
            <w:r w:rsidR="009313CD" w:rsidRPr="009D03BE">
              <w:rPr>
                <w:rFonts w:ascii="Book Antiqua" w:hAnsi="Book Antiqua"/>
                <w:lang w:val="en-GB"/>
              </w:rPr>
              <w:t>±</w:t>
            </w:r>
            <w:r w:rsidR="009313CD" w:rsidRPr="009D03BE">
              <w:rPr>
                <w:rFonts w:ascii="Book Antiqua" w:hAnsi="Book Antiqua"/>
                <w:lang w:val="en-GB" w:eastAsia="zh-CN"/>
              </w:rPr>
              <w:t xml:space="preserve"> </w:t>
            </w:r>
            <w:r w:rsidR="009313CD" w:rsidRPr="009D03BE">
              <w:rPr>
                <w:rFonts w:ascii="Book Antiqua" w:hAnsi="Book Antiqua"/>
                <w:lang w:val="en-GB"/>
              </w:rPr>
              <w:t>9.7</w:t>
            </w:r>
          </w:p>
        </w:tc>
        <w:tc>
          <w:tcPr>
            <w:tcW w:w="959" w:type="dxa"/>
            <w:shd w:val="clear" w:color="auto" w:fill="auto"/>
          </w:tcPr>
          <w:p w14:paraId="17BE0350"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0.15</w:t>
            </w:r>
          </w:p>
        </w:tc>
      </w:tr>
      <w:tr w:rsidR="00927F74" w:rsidRPr="009D03BE" w14:paraId="47C284E6" w14:textId="77777777" w:rsidTr="00927F74">
        <w:trPr>
          <w:jc w:val="center"/>
        </w:trPr>
        <w:tc>
          <w:tcPr>
            <w:tcW w:w="3018" w:type="dxa"/>
            <w:shd w:val="clear" w:color="auto" w:fill="auto"/>
          </w:tcPr>
          <w:p w14:paraId="48783598"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Relapses after first R</w:t>
            </w:r>
            <w:r w:rsidR="009C465D" w:rsidRPr="009D03BE">
              <w:rPr>
                <w:rFonts w:ascii="Book Antiqua" w:hAnsi="Book Antiqua"/>
                <w:b/>
                <w:lang w:val="en-GB"/>
              </w:rPr>
              <w:t>TX</w:t>
            </w:r>
            <w:r w:rsidRPr="009D03BE">
              <w:rPr>
                <w:rFonts w:ascii="Book Antiqua" w:hAnsi="Book Antiqua"/>
                <w:b/>
                <w:lang w:val="en-GB"/>
              </w:rPr>
              <w:t xml:space="preserve"> infusion</w:t>
            </w:r>
            <w:r w:rsidR="00F272A0" w:rsidRPr="009D03BE">
              <w:rPr>
                <w:rFonts w:ascii="Book Antiqua" w:hAnsi="Book Antiqua"/>
                <w:b/>
                <w:lang w:val="en-GB" w:eastAsia="zh-CN"/>
              </w:rPr>
              <w:t xml:space="preserve"> (mean </w:t>
            </w:r>
            <w:r w:rsidR="00F272A0" w:rsidRPr="009D03BE">
              <w:rPr>
                <w:rFonts w:ascii="Book Antiqua" w:hAnsi="Book Antiqua"/>
                <w:lang w:val="en-GB"/>
              </w:rPr>
              <w:t>±</w:t>
            </w:r>
            <w:r w:rsidR="00F272A0" w:rsidRPr="009D03BE">
              <w:rPr>
                <w:rFonts w:ascii="Book Antiqua" w:hAnsi="Book Antiqua"/>
                <w:lang w:val="en-GB" w:eastAsia="zh-CN"/>
              </w:rPr>
              <w:t xml:space="preserve"> </w:t>
            </w:r>
            <w:r w:rsidR="00F272A0" w:rsidRPr="009D03BE">
              <w:rPr>
                <w:rFonts w:ascii="Book Antiqua" w:hAnsi="Book Antiqua"/>
                <w:b/>
                <w:lang w:val="en-GB"/>
              </w:rPr>
              <w:t>SD</w:t>
            </w:r>
            <w:r w:rsidR="00F272A0" w:rsidRPr="009D03BE">
              <w:rPr>
                <w:rFonts w:ascii="Book Antiqua" w:hAnsi="Book Antiqua"/>
                <w:b/>
                <w:lang w:val="en-GB" w:eastAsia="zh-CN"/>
              </w:rPr>
              <w:t>)</w:t>
            </w:r>
          </w:p>
        </w:tc>
        <w:tc>
          <w:tcPr>
            <w:tcW w:w="2835" w:type="dxa"/>
            <w:shd w:val="clear" w:color="auto" w:fill="auto"/>
          </w:tcPr>
          <w:p w14:paraId="46ACF072"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1.6 </w:t>
            </w:r>
            <w:r w:rsidR="00346094" w:rsidRPr="009D03BE">
              <w:rPr>
                <w:rFonts w:ascii="Book Antiqua" w:hAnsi="Book Antiqua"/>
                <w:lang w:val="en-GB"/>
              </w:rPr>
              <w:t>±</w:t>
            </w:r>
            <w:r w:rsidR="00346094" w:rsidRPr="009D03BE">
              <w:rPr>
                <w:rFonts w:ascii="Book Antiqua" w:hAnsi="Book Antiqua"/>
                <w:lang w:val="en-GB" w:eastAsia="zh-CN"/>
              </w:rPr>
              <w:t xml:space="preserve"> </w:t>
            </w:r>
            <w:r w:rsidR="00346094" w:rsidRPr="009D03BE">
              <w:rPr>
                <w:rFonts w:ascii="Book Antiqua" w:hAnsi="Book Antiqua"/>
                <w:lang w:val="en-GB"/>
              </w:rPr>
              <w:t>1.5</w:t>
            </w:r>
          </w:p>
        </w:tc>
        <w:tc>
          <w:tcPr>
            <w:tcW w:w="2902" w:type="dxa"/>
            <w:shd w:val="clear" w:color="auto" w:fill="auto"/>
          </w:tcPr>
          <w:p w14:paraId="7391124A"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3.9 </w:t>
            </w:r>
            <w:r w:rsidR="00346094" w:rsidRPr="009D03BE">
              <w:rPr>
                <w:rFonts w:ascii="Book Antiqua" w:hAnsi="Book Antiqua"/>
                <w:lang w:val="en-GB"/>
              </w:rPr>
              <w:t>±</w:t>
            </w:r>
            <w:r w:rsidR="00346094" w:rsidRPr="009D03BE">
              <w:rPr>
                <w:rFonts w:ascii="Book Antiqua" w:hAnsi="Book Antiqua"/>
                <w:lang w:val="en-GB" w:eastAsia="zh-CN"/>
              </w:rPr>
              <w:t xml:space="preserve"> </w:t>
            </w:r>
            <w:r w:rsidR="00346094" w:rsidRPr="009D03BE">
              <w:rPr>
                <w:rFonts w:ascii="Book Antiqua" w:hAnsi="Book Antiqua"/>
                <w:lang w:val="en-GB"/>
              </w:rPr>
              <w:t>4.6</w:t>
            </w:r>
          </w:p>
        </w:tc>
        <w:tc>
          <w:tcPr>
            <w:tcW w:w="959" w:type="dxa"/>
            <w:shd w:val="clear" w:color="auto" w:fill="auto"/>
          </w:tcPr>
          <w:p w14:paraId="1F7788A9"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0.15</w:t>
            </w:r>
          </w:p>
        </w:tc>
      </w:tr>
      <w:tr w:rsidR="00927F74" w:rsidRPr="009D03BE" w14:paraId="35D0F3B1" w14:textId="77777777" w:rsidTr="00927F74">
        <w:trPr>
          <w:jc w:val="center"/>
        </w:trPr>
        <w:tc>
          <w:tcPr>
            <w:tcW w:w="3018" w:type="dxa"/>
            <w:shd w:val="clear" w:color="auto" w:fill="auto"/>
          </w:tcPr>
          <w:p w14:paraId="0C714CAA"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R</w:t>
            </w:r>
            <w:r w:rsidR="009C465D" w:rsidRPr="009D03BE">
              <w:rPr>
                <w:rFonts w:ascii="Book Antiqua" w:hAnsi="Book Antiqua"/>
                <w:b/>
                <w:lang w:val="en-GB"/>
              </w:rPr>
              <w:t>TX</w:t>
            </w:r>
            <w:r w:rsidRPr="009D03BE">
              <w:rPr>
                <w:rFonts w:ascii="Book Antiqua" w:hAnsi="Book Antiqua"/>
                <w:b/>
                <w:lang w:val="en-GB"/>
              </w:rPr>
              <w:t xml:space="preserve"> infusions</w:t>
            </w:r>
            <w:r w:rsidR="00F272A0" w:rsidRPr="009D03BE">
              <w:rPr>
                <w:rFonts w:ascii="Book Antiqua" w:hAnsi="Book Antiqua"/>
                <w:b/>
                <w:lang w:val="en-GB" w:eastAsia="zh-CN"/>
              </w:rPr>
              <w:t xml:space="preserve"> (mean </w:t>
            </w:r>
            <w:r w:rsidR="00F272A0" w:rsidRPr="009D03BE">
              <w:rPr>
                <w:rFonts w:ascii="Book Antiqua" w:hAnsi="Book Antiqua"/>
                <w:lang w:val="en-GB"/>
              </w:rPr>
              <w:t>±</w:t>
            </w:r>
            <w:r w:rsidR="00F272A0" w:rsidRPr="009D03BE">
              <w:rPr>
                <w:rFonts w:ascii="Book Antiqua" w:hAnsi="Book Antiqua"/>
                <w:lang w:val="en-GB" w:eastAsia="zh-CN"/>
              </w:rPr>
              <w:t xml:space="preserve"> </w:t>
            </w:r>
            <w:r w:rsidR="00F272A0" w:rsidRPr="009D03BE">
              <w:rPr>
                <w:rFonts w:ascii="Book Antiqua" w:hAnsi="Book Antiqua"/>
                <w:b/>
                <w:lang w:val="en-GB"/>
              </w:rPr>
              <w:t>SD</w:t>
            </w:r>
            <w:r w:rsidR="00F272A0" w:rsidRPr="009D03BE">
              <w:rPr>
                <w:rFonts w:ascii="Book Antiqua" w:hAnsi="Book Antiqua"/>
                <w:b/>
                <w:lang w:val="en-GB" w:eastAsia="zh-CN"/>
              </w:rPr>
              <w:t>)</w:t>
            </w:r>
          </w:p>
        </w:tc>
        <w:tc>
          <w:tcPr>
            <w:tcW w:w="2835" w:type="dxa"/>
            <w:shd w:val="clear" w:color="auto" w:fill="auto"/>
          </w:tcPr>
          <w:p w14:paraId="7196D8D1"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3.3 </w:t>
            </w:r>
            <w:r w:rsidR="00346094" w:rsidRPr="009D03BE">
              <w:rPr>
                <w:rFonts w:ascii="Book Antiqua" w:hAnsi="Book Antiqua"/>
                <w:lang w:val="en-GB"/>
              </w:rPr>
              <w:t>±</w:t>
            </w:r>
            <w:r w:rsidR="00346094" w:rsidRPr="009D03BE">
              <w:rPr>
                <w:rFonts w:ascii="Book Antiqua" w:hAnsi="Book Antiqua"/>
                <w:lang w:val="en-GB" w:eastAsia="zh-CN"/>
              </w:rPr>
              <w:t xml:space="preserve"> </w:t>
            </w:r>
            <w:r w:rsidR="00346094" w:rsidRPr="009D03BE">
              <w:rPr>
                <w:rFonts w:ascii="Book Antiqua" w:hAnsi="Book Antiqua"/>
                <w:lang w:val="en-GB"/>
              </w:rPr>
              <w:t>1.8</w:t>
            </w:r>
          </w:p>
        </w:tc>
        <w:tc>
          <w:tcPr>
            <w:tcW w:w="2902" w:type="dxa"/>
            <w:shd w:val="clear" w:color="auto" w:fill="auto"/>
          </w:tcPr>
          <w:p w14:paraId="4308B992"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5.0 </w:t>
            </w:r>
            <w:r w:rsidR="00346094" w:rsidRPr="009D03BE">
              <w:rPr>
                <w:rFonts w:ascii="Book Antiqua" w:hAnsi="Book Antiqua"/>
                <w:lang w:val="en-GB"/>
              </w:rPr>
              <w:t>±</w:t>
            </w:r>
            <w:r w:rsidR="00346094" w:rsidRPr="009D03BE">
              <w:rPr>
                <w:rFonts w:ascii="Book Antiqua" w:hAnsi="Book Antiqua"/>
                <w:lang w:val="en-GB" w:eastAsia="zh-CN"/>
              </w:rPr>
              <w:t xml:space="preserve"> </w:t>
            </w:r>
            <w:r w:rsidR="00346094" w:rsidRPr="009D03BE">
              <w:rPr>
                <w:rFonts w:ascii="Book Antiqua" w:hAnsi="Book Antiqua"/>
                <w:lang w:val="en-GB"/>
              </w:rPr>
              <w:t>2.7</w:t>
            </w:r>
          </w:p>
        </w:tc>
        <w:tc>
          <w:tcPr>
            <w:tcW w:w="959" w:type="dxa"/>
            <w:shd w:val="clear" w:color="auto" w:fill="auto"/>
          </w:tcPr>
          <w:p w14:paraId="40C3E264"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0.11</w:t>
            </w:r>
          </w:p>
        </w:tc>
      </w:tr>
      <w:tr w:rsidR="00927F74" w:rsidRPr="009D03BE" w14:paraId="132A296B" w14:textId="77777777" w:rsidTr="00927F74">
        <w:trPr>
          <w:jc w:val="center"/>
        </w:trPr>
        <w:tc>
          <w:tcPr>
            <w:tcW w:w="3018" w:type="dxa"/>
            <w:shd w:val="clear" w:color="auto" w:fill="auto"/>
          </w:tcPr>
          <w:p w14:paraId="2C218D37"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 xml:space="preserve">Age at first </w:t>
            </w:r>
            <w:r w:rsidR="009C465D" w:rsidRPr="009D03BE">
              <w:rPr>
                <w:rFonts w:ascii="Book Antiqua" w:hAnsi="Book Antiqua"/>
                <w:b/>
                <w:lang w:val="en-GB"/>
              </w:rPr>
              <w:t xml:space="preserve">RTX </w:t>
            </w:r>
            <w:r w:rsidRPr="009D03BE">
              <w:rPr>
                <w:rFonts w:ascii="Book Antiqua" w:hAnsi="Book Antiqua"/>
                <w:b/>
                <w:lang w:val="en-GB"/>
              </w:rPr>
              <w:t xml:space="preserve">infusion, </w:t>
            </w:r>
            <w:r w:rsidR="00F272A0" w:rsidRPr="009D03BE">
              <w:rPr>
                <w:rFonts w:ascii="Book Antiqua" w:hAnsi="Book Antiqua"/>
                <w:b/>
                <w:lang w:val="en-GB" w:eastAsia="zh-CN"/>
              </w:rPr>
              <w:t xml:space="preserve">(mean </w:t>
            </w:r>
            <w:r w:rsidR="00F272A0" w:rsidRPr="009D03BE">
              <w:rPr>
                <w:rFonts w:ascii="Book Antiqua" w:hAnsi="Book Antiqua"/>
                <w:lang w:val="en-GB"/>
              </w:rPr>
              <w:t>±</w:t>
            </w:r>
            <w:r w:rsidR="00F272A0" w:rsidRPr="009D03BE">
              <w:rPr>
                <w:rFonts w:ascii="Book Antiqua" w:hAnsi="Book Antiqua"/>
                <w:lang w:val="en-GB" w:eastAsia="zh-CN"/>
              </w:rPr>
              <w:t xml:space="preserve"> </w:t>
            </w:r>
            <w:r w:rsidR="00F272A0" w:rsidRPr="009D03BE">
              <w:rPr>
                <w:rFonts w:ascii="Book Antiqua" w:hAnsi="Book Antiqua"/>
                <w:b/>
                <w:lang w:val="en-GB"/>
              </w:rPr>
              <w:t>SD</w:t>
            </w:r>
            <w:r w:rsidR="00F272A0" w:rsidRPr="009D03BE">
              <w:rPr>
                <w:rFonts w:ascii="Book Antiqua" w:hAnsi="Book Antiqua"/>
                <w:b/>
                <w:lang w:val="en-GB" w:eastAsia="zh-CN"/>
              </w:rPr>
              <w:t xml:space="preserve">, </w:t>
            </w:r>
            <w:proofErr w:type="spellStart"/>
            <w:r w:rsidR="00F272A0" w:rsidRPr="009D03BE">
              <w:rPr>
                <w:rFonts w:ascii="Book Antiqua" w:hAnsi="Book Antiqua"/>
                <w:b/>
                <w:lang w:val="en-GB" w:eastAsia="zh-CN"/>
              </w:rPr>
              <w:t>yr</w:t>
            </w:r>
            <w:proofErr w:type="spellEnd"/>
            <w:r w:rsidR="00F272A0" w:rsidRPr="009D03BE">
              <w:rPr>
                <w:rFonts w:ascii="Book Antiqua" w:hAnsi="Book Antiqua"/>
                <w:b/>
                <w:lang w:val="en-GB" w:eastAsia="zh-CN"/>
              </w:rPr>
              <w:t>)</w:t>
            </w:r>
          </w:p>
        </w:tc>
        <w:tc>
          <w:tcPr>
            <w:tcW w:w="2835" w:type="dxa"/>
            <w:shd w:val="clear" w:color="auto" w:fill="auto"/>
          </w:tcPr>
          <w:p w14:paraId="1E334E80"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9.2 </w:t>
            </w:r>
            <w:r w:rsidR="00111797" w:rsidRPr="009D03BE">
              <w:rPr>
                <w:rFonts w:ascii="Book Antiqua" w:hAnsi="Book Antiqua"/>
                <w:lang w:val="en-GB"/>
              </w:rPr>
              <w:t>±</w:t>
            </w:r>
            <w:r w:rsidR="00111797" w:rsidRPr="009D03BE">
              <w:rPr>
                <w:rFonts w:ascii="Book Antiqua" w:hAnsi="Book Antiqua"/>
                <w:lang w:val="en-GB" w:eastAsia="zh-CN"/>
              </w:rPr>
              <w:t xml:space="preserve"> </w:t>
            </w:r>
            <w:r w:rsidR="00111797" w:rsidRPr="009D03BE">
              <w:rPr>
                <w:rFonts w:ascii="Book Antiqua" w:hAnsi="Book Antiqua"/>
                <w:lang w:val="en-GB"/>
              </w:rPr>
              <w:t>1.8</w:t>
            </w:r>
          </w:p>
        </w:tc>
        <w:tc>
          <w:tcPr>
            <w:tcW w:w="2902" w:type="dxa"/>
            <w:shd w:val="clear" w:color="auto" w:fill="auto"/>
          </w:tcPr>
          <w:p w14:paraId="31573DF9"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11.8 </w:t>
            </w:r>
            <w:r w:rsidR="00111797" w:rsidRPr="009D03BE">
              <w:rPr>
                <w:rFonts w:ascii="Book Antiqua" w:hAnsi="Book Antiqua"/>
                <w:lang w:val="en-GB"/>
              </w:rPr>
              <w:t>±</w:t>
            </w:r>
            <w:r w:rsidR="00111797" w:rsidRPr="009D03BE">
              <w:rPr>
                <w:rFonts w:ascii="Book Antiqua" w:hAnsi="Book Antiqua"/>
                <w:lang w:val="en-GB" w:eastAsia="zh-CN"/>
              </w:rPr>
              <w:t xml:space="preserve"> </w:t>
            </w:r>
            <w:r w:rsidR="00111797" w:rsidRPr="009D03BE">
              <w:rPr>
                <w:rFonts w:ascii="Book Antiqua" w:hAnsi="Book Antiqua"/>
                <w:lang w:val="en-GB"/>
              </w:rPr>
              <w:t>4.5</w:t>
            </w:r>
          </w:p>
        </w:tc>
        <w:tc>
          <w:tcPr>
            <w:tcW w:w="959" w:type="dxa"/>
            <w:shd w:val="clear" w:color="auto" w:fill="auto"/>
          </w:tcPr>
          <w:p w14:paraId="7AF13925"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0.09</w:t>
            </w:r>
          </w:p>
        </w:tc>
      </w:tr>
      <w:tr w:rsidR="00927F74" w:rsidRPr="009D03BE" w14:paraId="52E7AC00" w14:textId="77777777" w:rsidTr="00927F74">
        <w:trPr>
          <w:jc w:val="center"/>
        </w:trPr>
        <w:tc>
          <w:tcPr>
            <w:tcW w:w="3018" w:type="dxa"/>
            <w:shd w:val="clear" w:color="auto" w:fill="auto"/>
          </w:tcPr>
          <w:p w14:paraId="5383B3C7"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t xml:space="preserve">Months of CD19-positive cells depletion </w:t>
            </w:r>
            <w:r w:rsidR="00934B62" w:rsidRPr="009D03BE">
              <w:rPr>
                <w:rFonts w:ascii="Book Antiqua" w:hAnsi="Book Antiqua"/>
                <w:b/>
                <w:lang w:val="en-GB" w:eastAsia="zh-CN"/>
              </w:rPr>
              <w:t xml:space="preserve">(mean </w:t>
            </w:r>
            <w:r w:rsidR="00934B62" w:rsidRPr="009D03BE">
              <w:rPr>
                <w:rFonts w:ascii="Book Antiqua" w:hAnsi="Book Antiqua"/>
                <w:lang w:val="en-GB"/>
              </w:rPr>
              <w:t>±</w:t>
            </w:r>
            <w:r w:rsidR="00934B62" w:rsidRPr="009D03BE">
              <w:rPr>
                <w:rFonts w:ascii="Book Antiqua" w:hAnsi="Book Antiqua"/>
                <w:lang w:val="en-GB" w:eastAsia="zh-CN"/>
              </w:rPr>
              <w:t xml:space="preserve"> </w:t>
            </w:r>
            <w:r w:rsidR="00934B62" w:rsidRPr="009D03BE">
              <w:rPr>
                <w:rFonts w:ascii="Book Antiqua" w:hAnsi="Book Antiqua"/>
                <w:b/>
                <w:lang w:val="en-GB"/>
              </w:rPr>
              <w:t>SD</w:t>
            </w:r>
            <w:r w:rsidR="00934B62" w:rsidRPr="009D03BE">
              <w:rPr>
                <w:rFonts w:ascii="Book Antiqua" w:hAnsi="Book Antiqua"/>
                <w:b/>
                <w:lang w:val="en-GB" w:eastAsia="zh-CN"/>
              </w:rPr>
              <w:t>)</w:t>
            </w:r>
          </w:p>
        </w:tc>
        <w:tc>
          <w:tcPr>
            <w:tcW w:w="2835" w:type="dxa"/>
            <w:shd w:val="clear" w:color="auto" w:fill="auto"/>
          </w:tcPr>
          <w:p w14:paraId="7E94C530"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6.4 </w:t>
            </w:r>
            <w:r w:rsidR="00111797" w:rsidRPr="009D03BE">
              <w:rPr>
                <w:rFonts w:ascii="Book Antiqua" w:hAnsi="Book Antiqua"/>
                <w:lang w:val="en-GB"/>
              </w:rPr>
              <w:t>±</w:t>
            </w:r>
            <w:r w:rsidR="00111797" w:rsidRPr="009D03BE">
              <w:rPr>
                <w:rFonts w:ascii="Book Antiqua" w:hAnsi="Book Antiqua"/>
                <w:lang w:val="en-GB" w:eastAsia="zh-CN"/>
              </w:rPr>
              <w:t xml:space="preserve"> </w:t>
            </w:r>
            <w:r w:rsidR="00111797" w:rsidRPr="009D03BE">
              <w:rPr>
                <w:rFonts w:ascii="Book Antiqua" w:hAnsi="Book Antiqua"/>
                <w:lang w:val="en-GB"/>
              </w:rPr>
              <w:t>3</w:t>
            </w:r>
          </w:p>
        </w:tc>
        <w:tc>
          <w:tcPr>
            <w:tcW w:w="2902" w:type="dxa"/>
            <w:shd w:val="clear" w:color="auto" w:fill="auto"/>
          </w:tcPr>
          <w:p w14:paraId="2C5DB1DB"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6.2 </w:t>
            </w:r>
            <w:r w:rsidR="00111797" w:rsidRPr="009D03BE">
              <w:rPr>
                <w:rFonts w:ascii="Book Antiqua" w:hAnsi="Book Antiqua"/>
                <w:lang w:val="en-GB"/>
              </w:rPr>
              <w:t>±</w:t>
            </w:r>
            <w:r w:rsidR="00111797" w:rsidRPr="009D03BE">
              <w:rPr>
                <w:rFonts w:ascii="Book Antiqua" w:hAnsi="Book Antiqua"/>
                <w:lang w:val="en-GB" w:eastAsia="zh-CN"/>
              </w:rPr>
              <w:t xml:space="preserve"> </w:t>
            </w:r>
            <w:r w:rsidR="00111797" w:rsidRPr="009D03BE">
              <w:rPr>
                <w:rFonts w:ascii="Book Antiqua" w:hAnsi="Book Antiqua"/>
                <w:lang w:val="en-GB"/>
              </w:rPr>
              <w:t>2.6</w:t>
            </w:r>
          </w:p>
        </w:tc>
        <w:tc>
          <w:tcPr>
            <w:tcW w:w="959" w:type="dxa"/>
            <w:shd w:val="clear" w:color="auto" w:fill="auto"/>
          </w:tcPr>
          <w:p w14:paraId="217CFC4C"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0.9</w:t>
            </w:r>
          </w:p>
        </w:tc>
      </w:tr>
      <w:tr w:rsidR="00927F74" w:rsidRPr="009D03BE" w14:paraId="500F323D" w14:textId="77777777" w:rsidTr="00927F74">
        <w:trPr>
          <w:jc w:val="center"/>
        </w:trPr>
        <w:tc>
          <w:tcPr>
            <w:tcW w:w="3018" w:type="dxa"/>
            <w:shd w:val="clear" w:color="auto" w:fill="auto"/>
          </w:tcPr>
          <w:p w14:paraId="1CBE6547" w14:textId="77777777" w:rsidR="003C1E2F" w:rsidRPr="009D03BE" w:rsidRDefault="003C1E2F" w:rsidP="00EC24C5">
            <w:pPr>
              <w:snapToGrid w:val="0"/>
              <w:spacing w:line="360" w:lineRule="auto"/>
              <w:jc w:val="both"/>
              <w:rPr>
                <w:rFonts w:ascii="Book Antiqua" w:hAnsi="Book Antiqua"/>
                <w:b/>
                <w:lang w:val="en-GB"/>
              </w:rPr>
            </w:pPr>
            <w:r w:rsidRPr="009D03BE">
              <w:rPr>
                <w:rFonts w:ascii="Book Antiqua" w:hAnsi="Book Antiqua"/>
                <w:b/>
                <w:lang w:val="en-GB"/>
              </w:rPr>
              <w:lastRenderedPageBreak/>
              <w:t xml:space="preserve">Months of follow-up after the last RTX infusion </w:t>
            </w:r>
            <w:r w:rsidR="00934B62" w:rsidRPr="009D03BE">
              <w:rPr>
                <w:rFonts w:ascii="Book Antiqua" w:hAnsi="Book Antiqua"/>
                <w:b/>
                <w:lang w:val="en-GB" w:eastAsia="zh-CN"/>
              </w:rPr>
              <w:t xml:space="preserve">(mean </w:t>
            </w:r>
            <w:r w:rsidR="00934B62" w:rsidRPr="009D03BE">
              <w:rPr>
                <w:rFonts w:ascii="Book Antiqua" w:hAnsi="Book Antiqua"/>
                <w:lang w:val="en-GB"/>
              </w:rPr>
              <w:t>±</w:t>
            </w:r>
            <w:r w:rsidR="00934B62" w:rsidRPr="009D03BE">
              <w:rPr>
                <w:rFonts w:ascii="Book Antiqua" w:hAnsi="Book Antiqua"/>
                <w:lang w:val="en-GB" w:eastAsia="zh-CN"/>
              </w:rPr>
              <w:t xml:space="preserve"> </w:t>
            </w:r>
            <w:r w:rsidR="00934B62" w:rsidRPr="009D03BE">
              <w:rPr>
                <w:rFonts w:ascii="Book Antiqua" w:hAnsi="Book Antiqua"/>
                <w:b/>
                <w:lang w:val="en-GB"/>
              </w:rPr>
              <w:t>SD</w:t>
            </w:r>
            <w:r w:rsidR="00934B62" w:rsidRPr="009D03BE">
              <w:rPr>
                <w:rFonts w:ascii="Book Antiqua" w:hAnsi="Book Antiqua"/>
                <w:b/>
                <w:lang w:val="en-GB" w:eastAsia="zh-CN"/>
              </w:rPr>
              <w:t>)</w:t>
            </w:r>
          </w:p>
        </w:tc>
        <w:tc>
          <w:tcPr>
            <w:tcW w:w="2835" w:type="dxa"/>
            <w:shd w:val="clear" w:color="auto" w:fill="auto"/>
          </w:tcPr>
          <w:p w14:paraId="4F401023"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31.1 </w:t>
            </w:r>
            <w:r w:rsidR="0065137B" w:rsidRPr="009D03BE">
              <w:rPr>
                <w:rFonts w:ascii="Book Antiqua" w:hAnsi="Book Antiqua"/>
                <w:lang w:val="en-GB"/>
              </w:rPr>
              <w:t>±</w:t>
            </w:r>
            <w:r w:rsidR="0065137B" w:rsidRPr="009D03BE">
              <w:rPr>
                <w:rFonts w:ascii="Book Antiqua" w:hAnsi="Book Antiqua"/>
                <w:lang w:val="en-GB" w:eastAsia="zh-CN"/>
              </w:rPr>
              <w:t xml:space="preserve"> </w:t>
            </w:r>
            <w:r w:rsidR="0065137B" w:rsidRPr="009D03BE">
              <w:rPr>
                <w:rFonts w:ascii="Book Antiqua" w:hAnsi="Book Antiqua"/>
                <w:lang w:val="en-GB"/>
              </w:rPr>
              <w:t>14.9</w:t>
            </w:r>
          </w:p>
        </w:tc>
        <w:tc>
          <w:tcPr>
            <w:tcW w:w="2902" w:type="dxa"/>
            <w:shd w:val="clear" w:color="auto" w:fill="auto"/>
          </w:tcPr>
          <w:p w14:paraId="67B7E328" w14:textId="77777777" w:rsidR="003C1E2F" w:rsidRPr="009D03BE" w:rsidRDefault="003C1E2F" w:rsidP="00EC24C5">
            <w:pPr>
              <w:snapToGrid w:val="0"/>
              <w:spacing w:line="360" w:lineRule="auto"/>
              <w:jc w:val="both"/>
              <w:rPr>
                <w:rFonts w:ascii="Book Antiqua" w:hAnsi="Book Antiqua"/>
                <w:lang w:val="en-GB" w:eastAsia="zh-CN"/>
              </w:rPr>
            </w:pPr>
            <w:r w:rsidRPr="009D03BE">
              <w:rPr>
                <w:rFonts w:ascii="Book Antiqua" w:hAnsi="Book Antiqua"/>
                <w:lang w:val="en-GB"/>
              </w:rPr>
              <w:t xml:space="preserve">27.4 </w:t>
            </w:r>
            <w:r w:rsidR="0065137B" w:rsidRPr="009D03BE">
              <w:rPr>
                <w:rFonts w:ascii="Book Antiqua" w:hAnsi="Book Antiqua"/>
                <w:lang w:val="en-GB"/>
              </w:rPr>
              <w:t>±</w:t>
            </w:r>
            <w:r w:rsidR="0065137B" w:rsidRPr="009D03BE">
              <w:rPr>
                <w:rFonts w:ascii="Book Antiqua" w:hAnsi="Book Antiqua"/>
                <w:lang w:val="en-GB" w:eastAsia="zh-CN"/>
              </w:rPr>
              <w:t xml:space="preserve"> </w:t>
            </w:r>
            <w:r w:rsidR="0065137B" w:rsidRPr="009D03BE">
              <w:rPr>
                <w:rFonts w:ascii="Book Antiqua" w:hAnsi="Book Antiqua"/>
                <w:lang w:val="en-GB"/>
              </w:rPr>
              <w:t>20.7</w:t>
            </w:r>
          </w:p>
        </w:tc>
        <w:tc>
          <w:tcPr>
            <w:tcW w:w="959" w:type="dxa"/>
            <w:shd w:val="clear" w:color="auto" w:fill="auto"/>
          </w:tcPr>
          <w:p w14:paraId="14926A92" w14:textId="77777777" w:rsidR="003C1E2F" w:rsidRPr="009D03BE" w:rsidRDefault="003C1E2F" w:rsidP="00EC24C5">
            <w:pPr>
              <w:snapToGrid w:val="0"/>
              <w:spacing w:line="360" w:lineRule="auto"/>
              <w:jc w:val="both"/>
              <w:rPr>
                <w:rFonts w:ascii="Book Antiqua" w:hAnsi="Book Antiqua"/>
                <w:lang w:val="en-GB"/>
              </w:rPr>
            </w:pPr>
            <w:r w:rsidRPr="009D03BE">
              <w:rPr>
                <w:rFonts w:ascii="Book Antiqua" w:hAnsi="Book Antiqua"/>
                <w:lang w:val="en-GB"/>
              </w:rPr>
              <w:t>0.59</w:t>
            </w:r>
          </w:p>
        </w:tc>
      </w:tr>
    </w:tbl>
    <w:p w14:paraId="720727C6" w14:textId="77777777" w:rsidR="001542E5" w:rsidRPr="009D03BE" w:rsidRDefault="001542E5" w:rsidP="00EC24C5">
      <w:pPr>
        <w:widowControl w:val="0"/>
        <w:autoSpaceDE w:val="0"/>
        <w:autoSpaceDN w:val="0"/>
        <w:adjustRightInd w:val="0"/>
        <w:snapToGrid w:val="0"/>
        <w:spacing w:line="360" w:lineRule="auto"/>
        <w:jc w:val="both"/>
        <w:rPr>
          <w:rFonts w:ascii="Book Antiqua" w:hAnsi="Book Antiqua"/>
          <w:lang w:val="en-GB" w:eastAsia="zh-CN"/>
        </w:rPr>
      </w:pPr>
      <w:r w:rsidRPr="009D03BE">
        <w:rPr>
          <w:rFonts w:ascii="Book Antiqua" w:hAnsi="Book Antiqua"/>
          <w:lang w:val="en-GB"/>
        </w:rPr>
        <w:t>RTX</w:t>
      </w:r>
      <w:r w:rsidRPr="009D03BE">
        <w:rPr>
          <w:rFonts w:ascii="Book Antiqua" w:hAnsi="Book Antiqua"/>
          <w:lang w:val="en-GB" w:eastAsia="zh-CN"/>
        </w:rPr>
        <w:t>:</w:t>
      </w:r>
      <w:r w:rsidRPr="009D03BE">
        <w:rPr>
          <w:rFonts w:ascii="Book Antiqua" w:hAnsi="Book Antiqua"/>
          <w:lang w:val="en-GB"/>
        </w:rPr>
        <w:t xml:space="preserve"> Rituximab</w:t>
      </w:r>
      <w:r w:rsidRPr="009D03BE">
        <w:rPr>
          <w:rFonts w:ascii="Book Antiqua" w:hAnsi="Book Antiqua"/>
          <w:lang w:val="en-GB" w:eastAsia="zh-CN"/>
        </w:rPr>
        <w:t>;</w:t>
      </w:r>
      <w:r w:rsidRPr="009D03BE">
        <w:rPr>
          <w:rFonts w:ascii="Book Antiqua" w:hAnsi="Book Antiqua"/>
          <w:lang w:val="en-GB"/>
        </w:rPr>
        <w:t xml:space="preserve"> </w:t>
      </w:r>
      <w:r w:rsidR="009C465D" w:rsidRPr="009D03BE">
        <w:rPr>
          <w:rFonts w:ascii="Book Antiqua" w:hAnsi="Book Antiqua"/>
          <w:lang w:val="en-GB"/>
        </w:rPr>
        <w:t xml:space="preserve">IgG: Immunoglobulin G; </w:t>
      </w:r>
      <w:r w:rsidRPr="009D03BE">
        <w:rPr>
          <w:rFonts w:ascii="Book Antiqua" w:hAnsi="Book Antiqua"/>
          <w:lang w:val="en-GB"/>
        </w:rPr>
        <w:t>NS</w:t>
      </w:r>
      <w:r w:rsidRPr="009D03BE">
        <w:rPr>
          <w:rFonts w:ascii="Book Antiqua" w:hAnsi="Book Antiqua"/>
          <w:lang w:val="en-GB" w:eastAsia="zh-CN"/>
        </w:rPr>
        <w:t>:</w:t>
      </w:r>
      <w:r w:rsidRPr="009D03BE">
        <w:rPr>
          <w:rFonts w:ascii="Book Antiqua" w:hAnsi="Book Antiqua"/>
          <w:lang w:val="en-GB"/>
        </w:rPr>
        <w:t xml:space="preserve"> Nephrotic syndrome</w:t>
      </w:r>
      <w:r w:rsidR="001A6623" w:rsidRPr="009D03BE">
        <w:rPr>
          <w:rFonts w:ascii="Book Antiqua" w:hAnsi="Book Antiqua"/>
          <w:lang w:val="en-GB"/>
        </w:rPr>
        <w:t>; SD: Standard deviation</w:t>
      </w:r>
      <w:r w:rsidRPr="009D03BE">
        <w:rPr>
          <w:rFonts w:ascii="Book Antiqua" w:hAnsi="Book Antiqua"/>
          <w:lang w:val="en-GB" w:eastAsia="zh-CN"/>
        </w:rPr>
        <w:t>.</w:t>
      </w:r>
    </w:p>
    <w:p w14:paraId="178DBA10" w14:textId="77777777" w:rsidR="004354EE" w:rsidRPr="009D03BE" w:rsidRDefault="001542E5" w:rsidP="00EC24C5">
      <w:pPr>
        <w:widowControl w:val="0"/>
        <w:autoSpaceDE w:val="0"/>
        <w:autoSpaceDN w:val="0"/>
        <w:adjustRightInd w:val="0"/>
        <w:snapToGrid w:val="0"/>
        <w:spacing w:line="360" w:lineRule="auto"/>
        <w:jc w:val="both"/>
        <w:rPr>
          <w:rFonts w:ascii="Book Antiqua" w:hAnsi="Book Antiqua"/>
          <w:b/>
          <w:lang w:val="en-GB" w:eastAsia="zh-CN"/>
        </w:rPr>
      </w:pPr>
      <w:r w:rsidRPr="009D03BE">
        <w:rPr>
          <w:rFonts w:ascii="Book Antiqua" w:hAnsi="Book Antiqua"/>
          <w:lang w:val="en-GB" w:eastAsia="zh-CN"/>
        </w:rPr>
        <w:br w:type="page"/>
      </w:r>
    </w:p>
    <w:p w14:paraId="3327B747" w14:textId="77777777" w:rsidR="003C1E2F" w:rsidRPr="009D03BE" w:rsidRDefault="00417E62" w:rsidP="00EC24C5">
      <w:pPr>
        <w:widowControl w:val="0"/>
        <w:autoSpaceDE w:val="0"/>
        <w:autoSpaceDN w:val="0"/>
        <w:adjustRightInd w:val="0"/>
        <w:snapToGrid w:val="0"/>
        <w:spacing w:line="360" w:lineRule="auto"/>
        <w:jc w:val="both"/>
        <w:rPr>
          <w:rFonts w:ascii="Book Antiqua" w:hAnsi="Book Antiqua"/>
          <w:b/>
          <w:lang w:val="en-GB"/>
        </w:rPr>
      </w:pPr>
      <w:r w:rsidRPr="009D03BE">
        <w:rPr>
          <w:rFonts w:ascii="Book Antiqua" w:hAnsi="Book Antiqua"/>
          <w:noProof/>
        </w:rPr>
        <w:lastRenderedPageBreak/>
        <w:drawing>
          <wp:anchor distT="0" distB="0" distL="114300" distR="114300" simplePos="0" relativeHeight="251657728" behindDoc="0" locked="0" layoutInCell="1" allowOverlap="1" wp14:anchorId="635ECDC1" wp14:editId="47085F65">
            <wp:simplePos x="0" y="0"/>
            <wp:positionH relativeFrom="column">
              <wp:posOffset>720090</wp:posOffset>
            </wp:positionH>
            <wp:positionV relativeFrom="paragraph">
              <wp:posOffset>-502285</wp:posOffset>
            </wp:positionV>
            <wp:extent cx="4432300" cy="8077200"/>
            <wp:effectExtent l="0" t="0" r="0" b="0"/>
            <wp:wrapSquare wrapText="bothSides"/>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4432300" cy="807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EF2DE"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73A7DA7B"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eastAsia="zh-CN"/>
        </w:rPr>
      </w:pPr>
    </w:p>
    <w:p w14:paraId="0975847E"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7C688726"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5115B18B"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4848FB56"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32DEE3EA"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2BDA6166"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73D75447"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26C919E9"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0BF3CBB3" w14:textId="77777777" w:rsidR="003C1E2F" w:rsidRPr="009D03BE" w:rsidRDefault="003C1E2F" w:rsidP="00EC24C5">
      <w:pPr>
        <w:widowControl w:val="0"/>
        <w:autoSpaceDE w:val="0"/>
        <w:autoSpaceDN w:val="0"/>
        <w:adjustRightInd w:val="0"/>
        <w:snapToGrid w:val="0"/>
        <w:spacing w:line="360" w:lineRule="auto"/>
        <w:jc w:val="both"/>
        <w:rPr>
          <w:rFonts w:ascii="Book Antiqua" w:hAnsi="Book Antiqua"/>
          <w:b/>
          <w:lang w:val="en-GB"/>
        </w:rPr>
      </w:pPr>
    </w:p>
    <w:p w14:paraId="22DA5384"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2CC2BF5A"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4633B5B7"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48CEF509"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469B4604"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4DD9E8EF"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3BC9FEBA"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4F3E009C"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18AA2EC0"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53D03991"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763D43E4"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27628854"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0A14B3CB"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57422BD7"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2098C0AF"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1F24AA6E"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5CAB01EB" w14:textId="77777777" w:rsidR="007E5192" w:rsidRPr="009D03BE" w:rsidRDefault="007E5192" w:rsidP="00EC24C5">
      <w:pPr>
        <w:widowControl w:val="0"/>
        <w:autoSpaceDE w:val="0"/>
        <w:autoSpaceDN w:val="0"/>
        <w:adjustRightInd w:val="0"/>
        <w:snapToGrid w:val="0"/>
        <w:spacing w:line="360" w:lineRule="auto"/>
        <w:jc w:val="both"/>
        <w:rPr>
          <w:rFonts w:ascii="Book Antiqua" w:hAnsi="Book Antiqua"/>
          <w:b/>
          <w:lang w:val="en-GB"/>
        </w:rPr>
      </w:pPr>
    </w:p>
    <w:p w14:paraId="27758AE9" w14:textId="77777777" w:rsidR="00542E9B" w:rsidRPr="00230AF7" w:rsidRDefault="000A7990" w:rsidP="00EC24C5">
      <w:pPr>
        <w:widowControl w:val="0"/>
        <w:autoSpaceDE w:val="0"/>
        <w:autoSpaceDN w:val="0"/>
        <w:adjustRightInd w:val="0"/>
        <w:snapToGrid w:val="0"/>
        <w:spacing w:line="360" w:lineRule="auto"/>
        <w:jc w:val="both"/>
        <w:rPr>
          <w:rFonts w:ascii="Book Antiqua" w:hAnsi="Book Antiqua"/>
          <w:b/>
          <w:lang w:val="en-GB" w:eastAsia="zh-CN"/>
        </w:rPr>
      </w:pPr>
      <w:r w:rsidRPr="009D03BE">
        <w:rPr>
          <w:rFonts w:ascii="Book Antiqua" w:hAnsi="Book Antiqua"/>
          <w:b/>
          <w:lang w:val="en-GB"/>
        </w:rPr>
        <w:t>Fig</w:t>
      </w:r>
      <w:r w:rsidR="003C1E2F" w:rsidRPr="009D03BE">
        <w:rPr>
          <w:rFonts w:ascii="Book Antiqua" w:hAnsi="Book Antiqua"/>
          <w:b/>
          <w:lang w:val="en-GB"/>
        </w:rPr>
        <w:t>ure</w:t>
      </w:r>
      <w:r w:rsidRPr="009D03BE">
        <w:rPr>
          <w:rFonts w:ascii="Book Antiqua" w:hAnsi="Book Antiqua"/>
          <w:b/>
          <w:lang w:val="en-GB"/>
        </w:rPr>
        <w:t xml:space="preserve"> </w:t>
      </w:r>
      <w:r w:rsidR="001542E5" w:rsidRPr="009D03BE">
        <w:rPr>
          <w:rFonts w:ascii="Book Antiqua" w:hAnsi="Book Antiqua"/>
          <w:b/>
          <w:lang w:val="en-GB"/>
        </w:rPr>
        <w:t>1</w:t>
      </w:r>
      <w:r w:rsidR="005034EC" w:rsidRPr="009D03BE">
        <w:rPr>
          <w:rFonts w:ascii="Book Antiqua" w:hAnsi="Book Antiqua"/>
          <w:b/>
          <w:lang w:val="en-GB"/>
        </w:rPr>
        <w:t xml:space="preserve"> </w:t>
      </w:r>
      <w:r w:rsidR="00A7635D" w:rsidRPr="009D03BE">
        <w:rPr>
          <w:rFonts w:ascii="Book Antiqua" w:hAnsi="Book Antiqua"/>
          <w:b/>
          <w:lang w:val="en-GB"/>
        </w:rPr>
        <w:t>Trend of the IgG values among patients presenting IgG hypogammaglobulinemia and survival from IgG hypogammaglobulinemia</w:t>
      </w:r>
      <w:r w:rsidR="001542E5" w:rsidRPr="009D03BE">
        <w:rPr>
          <w:rFonts w:ascii="Book Antiqua" w:hAnsi="Book Antiqua"/>
          <w:b/>
          <w:lang w:val="en-GB" w:eastAsia="zh-CN"/>
        </w:rPr>
        <w:t xml:space="preserve">. </w:t>
      </w:r>
      <w:r w:rsidR="004354EE" w:rsidRPr="009D03BE">
        <w:rPr>
          <w:rFonts w:ascii="Book Antiqua" w:hAnsi="Book Antiqua"/>
          <w:lang w:val="en-GB"/>
        </w:rPr>
        <w:t>A</w:t>
      </w:r>
      <w:r w:rsidR="001542E5" w:rsidRPr="009D03BE">
        <w:rPr>
          <w:rFonts w:ascii="Book Antiqua" w:hAnsi="Book Antiqua"/>
          <w:lang w:val="en-GB" w:eastAsia="zh-CN"/>
        </w:rPr>
        <w:t>:</w:t>
      </w:r>
      <w:r w:rsidR="004354EE" w:rsidRPr="009D03BE">
        <w:rPr>
          <w:rFonts w:ascii="Book Antiqua" w:hAnsi="Book Antiqua"/>
          <w:lang w:val="en-GB"/>
        </w:rPr>
        <w:t xml:space="preserve"> </w:t>
      </w:r>
      <w:r w:rsidR="007D53CF" w:rsidRPr="009D03BE">
        <w:rPr>
          <w:rFonts w:ascii="Book Antiqua" w:hAnsi="Book Antiqua"/>
          <w:lang w:val="en-GB"/>
        </w:rPr>
        <w:t>Trend of the IgG values among patients presenting</w:t>
      </w:r>
      <w:r w:rsidR="009C465D" w:rsidRPr="009D03BE">
        <w:rPr>
          <w:rFonts w:ascii="Book Antiqua" w:hAnsi="Book Antiqua"/>
          <w:lang w:val="en-GB"/>
        </w:rPr>
        <w:t xml:space="preserve"> with</w:t>
      </w:r>
      <w:r w:rsidR="007D53CF" w:rsidRPr="009D03BE">
        <w:rPr>
          <w:rFonts w:ascii="Book Antiqua" w:hAnsi="Book Antiqua"/>
          <w:lang w:val="en-GB"/>
        </w:rPr>
        <w:t xml:space="preserve"> </w:t>
      </w:r>
      <w:r w:rsidR="007D53CF" w:rsidRPr="009D03BE">
        <w:rPr>
          <w:rFonts w:ascii="Book Antiqua" w:hAnsi="Book Antiqua"/>
          <w:lang w:val="en-GB"/>
        </w:rPr>
        <w:lastRenderedPageBreak/>
        <w:t xml:space="preserve">IgG </w:t>
      </w:r>
      <w:r w:rsidR="00916BA8" w:rsidRPr="009D03BE">
        <w:rPr>
          <w:rFonts w:ascii="Book Antiqua" w:hAnsi="Book Antiqua"/>
          <w:lang w:val="en-GB"/>
        </w:rPr>
        <w:t>hypogammaglobulinemia</w:t>
      </w:r>
      <w:r w:rsidR="001542E5" w:rsidRPr="009D03BE">
        <w:rPr>
          <w:rFonts w:ascii="Book Antiqua" w:hAnsi="Book Antiqua"/>
          <w:lang w:val="en-GB" w:eastAsia="zh-CN"/>
        </w:rPr>
        <w:t xml:space="preserve">. </w:t>
      </w:r>
      <w:r w:rsidR="004C65A6" w:rsidRPr="009D03BE">
        <w:rPr>
          <w:rFonts w:ascii="Book Antiqua" w:hAnsi="Book Antiqua"/>
          <w:lang w:val="en-GB"/>
        </w:rPr>
        <w:t xml:space="preserve">Eight patients </w:t>
      </w:r>
      <w:r w:rsidR="00111801" w:rsidRPr="009D03BE">
        <w:rPr>
          <w:rFonts w:ascii="Book Antiqua" w:hAnsi="Book Antiqua"/>
          <w:lang w:val="en-GB"/>
        </w:rPr>
        <w:t xml:space="preserve">(dark coloured) </w:t>
      </w:r>
      <w:r w:rsidR="004C65A6" w:rsidRPr="009D03BE">
        <w:rPr>
          <w:rFonts w:ascii="Book Antiqua" w:hAnsi="Book Antiqua"/>
          <w:lang w:val="en-GB"/>
        </w:rPr>
        <w:t>developed IgG hypogammaglobulinemia after the “starting doses” (</w:t>
      </w:r>
      <w:r w:rsidR="001A610B" w:rsidRPr="009D03BE">
        <w:rPr>
          <w:rFonts w:ascii="Book Antiqua" w:hAnsi="Book Antiqua"/>
          <w:lang w:val="en-GB"/>
        </w:rPr>
        <w:t xml:space="preserve">7 out of </w:t>
      </w:r>
      <w:r w:rsidR="009B4C19" w:rsidRPr="009D03BE">
        <w:rPr>
          <w:rFonts w:ascii="Book Antiqua" w:hAnsi="Book Antiqua"/>
          <w:lang w:val="en-GB"/>
        </w:rPr>
        <w:t xml:space="preserve">8 </w:t>
      </w:r>
      <w:r w:rsidR="001A610B" w:rsidRPr="009D03BE">
        <w:rPr>
          <w:rFonts w:ascii="Book Antiqua" w:hAnsi="Book Antiqua"/>
          <w:lang w:val="en-GB"/>
        </w:rPr>
        <w:t xml:space="preserve">patients showed IgG hypogammaglobulinemia at the scheduled follow-up </w:t>
      </w:r>
      <w:r w:rsidR="009C465D" w:rsidRPr="009D03BE">
        <w:rPr>
          <w:rFonts w:ascii="Book Antiqua" w:hAnsi="Book Antiqua"/>
          <w:lang w:val="en-GB"/>
        </w:rPr>
        <w:t>3</w:t>
      </w:r>
      <w:r w:rsidR="001A610B" w:rsidRPr="009D03BE">
        <w:rPr>
          <w:rFonts w:ascii="Book Antiqua" w:hAnsi="Book Antiqua"/>
          <w:lang w:val="en-GB"/>
        </w:rPr>
        <w:t xml:space="preserve"> </w:t>
      </w:r>
      <w:proofErr w:type="spellStart"/>
      <w:r w:rsidR="001A610B" w:rsidRPr="009D03BE">
        <w:rPr>
          <w:rFonts w:ascii="Book Antiqua" w:hAnsi="Book Antiqua"/>
          <w:lang w:val="en-GB"/>
        </w:rPr>
        <w:t>mo</w:t>
      </w:r>
      <w:proofErr w:type="spellEnd"/>
      <w:r w:rsidR="001A610B" w:rsidRPr="009D03BE">
        <w:rPr>
          <w:rFonts w:ascii="Book Antiqua" w:hAnsi="Book Antiqua"/>
          <w:lang w:val="en-GB"/>
        </w:rPr>
        <w:t xml:space="preserve"> after the RTX “starting doses”</w:t>
      </w:r>
      <w:r w:rsidR="009C465D" w:rsidRPr="009D03BE">
        <w:rPr>
          <w:rFonts w:ascii="Book Antiqua" w:hAnsi="Book Antiqua"/>
          <w:lang w:val="en-GB"/>
        </w:rPr>
        <w:t>,</w:t>
      </w:r>
      <w:r w:rsidR="001A610B" w:rsidRPr="009D03BE">
        <w:rPr>
          <w:rFonts w:ascii="Book Antiqua" w:hAnsi="Book Antiqua"/>
          <w:lang w:val="en-GB"/>
        </w:rPr>
        <w:t xml:space="preserve"> and one patients developed IgG hypogammaglobulinemia 24 </w:t>
      </w:r>
      <w:proofErr w:type="spellStart"/>
      <w:r w:rsidR="001A610B" w:rsidRPr="009D03BE">
        <w:rPr>
          <w:rFonts w:ascii="Book Antiqua" w:hAnsi="Book Antiqua"/>
          <w:lang w:val="en-GB"/>
        </w:rPr>
        <w:t>mo</w:t>
      </w:r>
      <w:proofErr w:type="spellEnd"/>
      <w:r w:rsidR="001A610B" w:rsidRPr="009D03BE">
        <w:rPr>
          <w:rFonts w:ascii="Book Antiqua" w:hAnsi="Book Antiqua"/>
          <w:lang w:val="en-GB"/>
        </w:rPr>
        <w:t xml:space="preserve"> after the RTX infusion),</w:t>
      </w:r>
      <w:r w:rsidR="004C65A6" w:rsidRPr="009D03BE">
        <w:rPr>
          <w:rFonts w:ascii="Book Antiqua" w:hAnsi="Book Antiqua"/>
          <w:lang w:val="en-GB"/>
        </w:rPr>
        <w:t xml:space="preserve"> one</w:t>
      </w:r>
      <w:r w:rsidR="00A8790F" w:rsidRPr="009D03BE">
        <w:rPr>
          <w:rFonts w:ascii="Book Antiqua" w:hAnsi="Book Antiqua"/>
          <w:lang w:val="en-GB"/>
        </w:rPr>
        <w:t xml:space="preserve"> (green coloured)</w:t>
      </w:r>
      <w:r w:rsidR="004C65A6" w:rsidRPr="009D03BE">
        <w:rPr>
          <w:rFonts w:ascii="Book Antiqua" w:hAnsi="Book Antiqua"/>
          <w:lang w:val="en-GB"/>
        </w:rPr>
        <w:t xml:space="preserve"> patient after the third dose</w:t>
      </w:r>
      <w:r w:rsidR="00D91D5F" w:rsidRPr="009D03BE">
        <w:rPr>
          <w:rFonts w:ascii="Book Antiqua" w:hAnsi="Book Antiqua"/>
          <w:lang w:val="en-GB"/>
        </w:rPr>
        <w:t xml:space="preserve"> (this patient showed IgG hypogammaglobulinemia 3 </w:t>
      </w:r>
      <w:proofErr w:type="spellStart"/>
      <w:r w:rsidR="00D91D5F" w:rsidRPr="009D03BE">
        <w:rPr>
          <w:rFonts w:ascii="Book Antiqua" w:hAnsi="Book Antiqua"/>
          <w:lang w:val="en-GB"/>
        </w:rPr>
        <w:t>mo</w:t>
      </w:r>
      <w:proofErr w:type="spellEnd"/>
      <w:r w:rsidR="00D91D5F" w:rsidRPr="009D03BE">
        <w:rPr>
          <w:rFonts w:ascii="Book Antiqua" w:hAnsi="Book Antiqua"/>
          <w:lang w:val="en-GB"/>
        </w:rPr>
        <w:t xml:space="preserve"> after the third dose)</w:t>
      </w:r>
      <w:r w:rsidR="004C65A6" w:rsidRPr="009D03BE">
        <w:rPr>
          <w:rFonts w:ascii="Book Antiqua" w:hAnsi="Book Antiqua"/>
          <w:lang w:val="en-GB"/>
        </w:rPr>
        <w:t xml:space="preserve">, one </w:t>
      </w:r>
      <w:r w:rsidR="007570D5" w:rsidRPr="009D03BE">
        <w:rPr>
          <w:rFonts w:ascii="Book Antiqua" w:hAnsi="Book Antiqua"/>
          <w:lang w:val="en-GB"/>
        </w:rPr>
        <w:t xml:space="preserve">(blue coloured) </w:t>
      </w:r>
      <w:r w:rsidR="004C65A6" w:rsidRPr="009D03BE">
        <w:rPr>
          <w:rFonts w:ascii="Book Antiqua" w:hAnsi="Book Antiqua"/>
          <w:lang w:val="en-GB"/>
        </w:rPr>
        <w:t xml:space="preserve">after the fourth </w:t>
      </w:r>
      <w:r w:rsidR="00DE0EA4" w:rsidRPr="009D03BE">
        <w:rPr>
          <w:rFonts w:ascii="Book Antiqua" w:hAnsi="Book Antiqua"/>
          <w:lang w:val="en-GB"/>
        </w:rPr>
        <w:t xml:space="preserve">(this patient showed IgG hypogammaglobulinemia 3 </w:t>
      </w:r>
      <w:proofErr w:type="spellStart"/>
      <w:r w:rsidR="00DE0EA4" w:rsidRPr="009D03BE">
        <w:rPr>
          <w:rFonts w:ascii="Book Antiqua" w:hAnsi="Book Antiqua"/>
          <w:lang w:val="en-GB"/>
        </w:rPr>
        <w:t>mo</w:t>
      </w:r>
      <w:proofErr w:type="spellEnd"/>
      <w:r w:rsidR="00DE0EA4" w:rsidRPr="009D03BE">
        <w:rPr>
          <w:rFonts w:ascii="Book Antiqua" w:hAnsi="Book Antiqua"/>
          <w:lang w:val="en-GB"/>
        </w:rPr>
        <w:t xml:space="preserve"> after the fourth dose)</w:t>
      </w:r>
      <w:r w:rsidR="009C465D" w:rsidRPr="009D03BE">
        <w:rPr>
          <w:rFonts w:ascii="Book Antiqua" w:hAnsi="Book Antiqua"/>
          <w:lang w:val="en-GB"/>
        </w:rPr>
        <w:t>,</w:t>
      </w:r>
      <w:r w:rsidR="00DE0EA4" w:rsidRPr="009D03BE">
        <w:rPr>
          <w:rFonts w:ascii="Book Antiqua" w:hAnsi="Book Antiqua"/>
          <w:lang w:val="en-GB"/>
        </w:rPr>
        <w:t xml:space="preserve"> </w:t>
      </w:r>
      <w:r w:rsidR="004C65A6" w:rsidRPr="009D03BE">
        <w:rPr>
          <w:rFonts w:ascii="Book Antiqua" w:hAnsi="Book Antiqua"/>
          <w:lang w:val="en-GB"/>
        </w:rPr>
        <w:t xml:space="preserve">and one </w:t>
      </w:r>
      <w:r w:rsidR="002453A0" w:rsidRPr="009D03BE">
        <w:rPr>
          <w:rFonts w:ascii="Book Antiqua" w:hAnsi="Book Antiqua"/>
          <w:lang w:val="en-GB"/>
        </w:rPr>
        <w:t xml:space="preserve">(red coloured) </w:t>
      </w:r>
      <w:r w:rsidR="004C65A6" w:rsidRPr="009D03BE">
        <w:rPr>
          <w:rFonts w:ascii="Book Antiqua" w:hAnsi="Book Antiqua"/>
          <w:lang w:val="en-GB"/>
        </w:rPr>
        <w:t>after the fifth dose</w:t>
      </w:r>
      <w:r w:rsidR="00DE0EA4" w:rsidRPr="009D03BE">
        <w:rPr>
          <w:rFonts w:ascii="Book Antiqua" w:hAnsi="Book Antiqua"/>
          <w:lang w:val="en-GB"/>
        </w:rPr>
        <w:t xml:space="preserve"> (this patient showed IgG hypogammaglobulinemia 13 </w:t>
      </w:r>
      <w:proofErr w:type="spellStart"/>
      <w:r w:rsidR="00DE0EA4" w:rsidRPr="009D03BE">
        <w:rPr>
          <w:rFonts w:ascii="Book Antiqua" w:hAnsi="Book Antiqua"/>
          <w:lang w:val="en-GB"/>
        </w:rPr>
        <w:t>mo</w:t>
      </w:r>
      <w:proofErr w:type="spellEnd"/>
      <w:r w:rsidR="00DE0EA4" w:rsidRPr="009D03BE">
        <w:rPr>
          <w:rFonts w:ascii="Book Antiqua" w:hAnsi="Book Antiqua"/>
          <w:lang w:val="en-GB"/>
        </w:rPr>
        <w:t xml:space="preserve"> after the fifth dose)</w:t>
      </w:r>
      <w:r w:rsidR="001542E5" w:rsidRPr="009D03BE">
        <w:rPr>
          <w:rFonts w:ascii="Book Antiqua" w:hAnsi="Book Antiqua"/>
          <w:lang w:val="en-GB" w:eastAsia="zh-CN"/>
        </w:rPr>
        <w:t xml:space="preserve">; </w:t>
      </w:r>
      <w:r w:rsidR="004354EE" w:rsidRPr="009D03BE">
        <w:rPr>
          <w:rFonts w:ascii="Book Antiqua" w:hAnsi="Book Antiqua"/>
          <w:lang w:val="en-GB"/>
        </w:rPr>
        <w:t>B</w:t>
      </w:r>
      <w:r w:rsidR="001542E5" w:rsidRPr="009D03BE">
        <w:rPr>
          <w:rFonts w:ascii="Book Antiqua" w:hAnsi="Book Antiqua"/>
          <w:lang w:val="en-GB" w:eastAsia="zh-CN"/>
        </w:rPr>
        <w:t>:</w:t>
      </w:r>
      <w:r w:rsidR="00542E9B" w:rsidRPr="009D03BE">
        <w:rPr>
          <w:rFonts w:ascii="Book Antiqua" w:hAnsi="Book Antiqua"/>
          <w:lang w:val="en-GB"/>
        </w:rPr>
        <w:t xml:space="preserve"> </w:t>
      </w:r>
      <w:r w:rsidR="00A02CAA" w:rsidRPr="009D03BE">
        <w:rPr>
          <w:rFonts w:ascii="Book Antiqua" w:hAnsi="Book Antiqua"/>
          <w:lang w:val="en-GB"/>
        </w:rPr>
        <w:t xml:space="preserve">Survival from </w:t>
      </w:r>
      <w:r w:rsidR="004354EE" w:rsidRPr="009D03BE">
        <w:rPr>
          <w:rFonts w:ascii="Book Antiqua" w:hAnsi="Book Antiqua"/>
          <w:lang w:val="en-GB"/>
        </w:rPr>
        <w:t>IgG hypogammaglobulinemia</w:t>
      </w:r>
      <w:r w:rsidR="001542E5" w:rsidRPr="009D03BE">
        <w:rPr>
          <w:rFonts w:ascii="Book Antiqua" w:hAnsi="Book Antiqua"/>
          <w:lang w:val="en-GB" w:eastAsia="zh-CN"/>
        </w:rPr>
        <w:t xml:space="preserve">. </w:t>
      </w:r>
      <w:r w:rsidR="00542E9B" w:rsidRPr="009D03BE">
        <w:rPr>
          <w:rFonts w:ascii="Book Antiqua" w:hAnsi="Book Antiqua"/>
          <w:lang w:val="en-GB"/>
        </w:rPr>
        <w:t>The cumulative proportion of patients free of IgG hypogammaglobulinemia was 57.8% after the first dose of RTX, 51.5% after the third dose, 44.1% after the fourth dose</w:t>
      </w:r>
      <w:r w:rsidR="009C465D" w:rsidRPr="009D03BE">
        <w:rPr>
          <w:rFonts w:ascii="Book Antiqua" w:hAnsi="Book Antiqua"/>
          <w:lang w:val="en-GB"/>
        </w:rPr>
        <w:t>,</w:t>
      </w:r>
      <w:r w:rsidR="00542E9B" w:rsidRPr="009D03BE">
        <w:rPr>
          <w:rFonts w:ascii="Book Antiqua" w:hAnsi="Book Antiqua"/>
          <w:lang w:val="en-GB"/>
        </w:rPr>
        <w:t xml:space="preserve"> and 35.5% after the fifth dose</w:t>
      </w:r>
      <w:r w:rsidR="000A3B29" w:rsidRPr="009D03BE">
        <w:rPr>
          <w:rFonts w:ascii="Book Antiqua" w:hAnsi="Book Antiqua"/>
          <w:lang w:val="en-GB"/>
        </w:rPr>
        <w:t>.</w:t>
      </w:r>
      <w:r w:rsidR="00485169" w:rsidRPr="009D03BE">
        <w:rPr>
          <w:rFonts w:ascii="Book Antiqua" w:hAnsi="Book Antiqua"/>
          <w:lang w:val="en-GB"/>
        </w:rPr>
        <w:t xml:space="preserve"> </w:t>
      </w:r>
      <w:r w:rsidR="00D926B7" w:rsidRPr="009D03BE">
        <w:rPr>
          <w:rFonts w:ascii="Book Antiqua" w:hAnsi="Book Antiqua"/>
          <w:lang w:val="en-GB"/>
        </w:rPr>
        <w:t>The time</w:t>
      </w:r>
      <w:r w:rsidR="00485169" w:rsidRPr="009D03BE">
        <w:rPr>
          <w:rFonts w:ascii="Book Antiqua" w:hAnsi="Book Antiqua"/>
          <w:lang w:val="en-GB"/>
        </w:rPr>
        <w:t xml:space="preserve"> between the RTX infusion and IgG hypogammaglobulinemia onset is spe</w:t>
      </w:r>
      <w:r w:rsidR="00C62E16" w:rsidRPr="009D03BE">
        <w:rPr>
          <w:rFonts w:ascii="Book Antiqua" w:hAnsi="Book Antiqua"/>
          <w:lang w:val="en-GB"/>
        </w:rPr>
        <w:t xml:space="preserve">cified in the legend of </w:t>
      </w:r>
      <w:r w:rsidR="001542E5" w:rsidRPr="009D03BE">
        <w:rPr>
          <w:rFonts w:ascii="Book Antiqua" w:hAnsi="Book Antiqua"/>
          <w:lang w:val="en-GB" w:eastAsia="zh-CN"/>
        </w:rPr>
        <w:t>Figure 1</w:t>
      </w:r>
      <w:r w:rsidR="00C62E16" w:rsidRPr="009D03BE">
        <w:rPr>
          <w:rFonts w:ascii="Book Antiqua" w:hAnsi="Book Antiqua"/>
          <w:lang w:val="en-GB"/>
        </w:rPr>
        <w:t>A</w:t>
      </w:r>
      <w:r w:rsidR="00485169" w:rsidRPr="009D03BE">
        <w:rPr>
          <w:rFonts w:ascii="Book Antiqua" w:hAnsi="Book Antiqua"/>
          <w:lang w:val="en-GB"/>
        </w:rPr>
        <w:t>.</w:t>
      </w:r>
      <w:r w:rsidR="001542E5" w:rsidRPr="009D03BE">
        <w:rPr>
          <w:rFonts w:ascii="Book Antiqua" w:hAnsi="Book Antiqua"/>
          <w:lang w:val="en-GB"/>
        </w:rPr>
        <w:t xml:space="preserve"> RTX</w:t>
      </w:r>
      <w:r w:rsidR="001542E5" w:rsidRPr="009D03BE">
        <w:rPr>
          <w:rFonts w:ascii="Book Antiqua" w:hAnsi="Book Antiqua"/>
          <w:lang w:val="en-GB" w:eastAsia="zh-CN"/>
        </w:rPr>
        <w:t>:</w:t>
      </w:r>
      <w:r w:rsidR="001542E5" w:rsidRPr="009D03BE">
        <w:rPr>
          <w:rFonts w:ascii="Book Antiqua" w:hAnsi="Book Antiqua"/>
          <w:lang w:val="en-GB"/>
        </w:rPr>
        <w:t xml:space="preserve"> Rituximab</w:t>
      </w:r>
      <w:r w:rsidR="009C465D" w:rsidRPr="009D03BE">
        <w:rPr>
          <w:rFonts w:ascii="Book Antiqua" w:hAnsi="Book Antiqua"/>
          <w:lang w:val="en-GB" w:eastAsia="zh-CN"/>
        </w:rPr>
        <w:t>; IgG: Immunoglobulin G.</w:t>
      </w:r>
    </w:p>
    <w:sectPr w:rsidR="00542E9B" w:rsidRPr="00230AF7" w:rsidSect="000F4E21">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38B45" w14:textId="77777777" w:rsidR="00E72A88" w:rsidRDefault="00E72A88">
      <w:r>
        <w:separator/>
      </w:r>
    </w:p>
  </w:endnote>
  <w:endnote w:type="continuationSeparator" w:id="0">
    <w:p w14:paraId="0E05E1A5" w14:textId="77777777" w:rsidR="00E72A88" w:rsidRDefault="00E7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4E33" w14:textId="77777777" w:rsidR="006F1A12" w:rsidRDefault="006F1A12" w:rsidP="00FE2BE4">
    <w:pPr>
      <w:pStyle w:val="ab"/>
      <w:framePr w:wrap="none"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48FD8EF" w14:textId="77777777" w:rsidR="006F1A12" w:rsidRDefault="006F1A12" w:rsidP="002B43A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EC16" w14:textId="77777777" w:rsidR="006F1A12" w:rsidRPr="0084548A" w:rsidRDefault="006F1A12" w:rsidP="00FE2BE4">
    <w:pPr>
      <w:pStyle w:val="ab"/>
      <w:framePr w:wrap="none" w:vAnchor="text" w:hAnchor="margin" w:xAlign="center" w:y="1"/>
      <w:rPr>
        <w:rStyle w:val="a3"/>
        <w:rFonts w:ascii="Book Antiqua" w:hAnsi="Book Antiqua"/>
      </w:rPr>
    </w:pPr>
    <w:r w:rsidRPr="0084548A">
      <w:rPr>
        <w:rStyle w:val="a3"/>
        <w:rFonts w:ascii="Book Antiqua" w:hAnsi="Book Antiqua"/>
      </w:rPr>
      <w:fldChar w:fldCharType="begin"/>
    </w:r>
    <w:r w:rsidRPr="0084548A">
      <w:rPr>
        <w:rStyle w:val="a3"/>
        <w:rFonts w:ascii="Book Antiqua" w:hAnsi="Book Antiqua"/>
      </w:rPr>
      <w:instrText xml:space="preserve">PAGE  </w:instrText>
    </w:r>
    <w:r w:rsidRPr="0084548A">
      <w:rPr>
        <w:rStyle w:val="a3"/>
        <w:rFonts w:ascii="Book Antiqua" w:hAnsi="Book Antiqua"/>
      </w:rPr>
      <w:fldChar w:fldCharType="separate"/>
    </w:r>
    <w:r w:rsidR="001A6623">
      <w:rPr>
        <w:rStyle w:val="a3"/>
        <w:rFonts w:ascii="Book Antiqua" w:hAnsi="Book Antiqua"/>
        <w:noProof/>
      </w:rPr>
      <w:t>1</w:t>
    </w:r>
    <w:r w:rsidR="001A6623">
      <w:rPr>
        <w:rStyle w:val="a3"/>
        <w:rFonts w:ascii="Book Antiqua" w:hAnsi="Book Antiqua"/>
        <w:noProof/>
      </w:rPr>
      <w:t>7</w:t>
    </w:r>
    <w:r w:rsidRPr="0084548A">
      <w:rPr>
        <w:rStyle w:val="a3"/>
        <w:rFonts w:ascii="Book Antiqua" w:hAnsi="Book Antiqua"/>
      </w:rPr>
      <w:fldChar w:fldCharType="end"/>
    </w:r>
  </w:p>
  <w:p w14:paraId="3591CDAD" w14:textId="77777777" w:rsidR="006F1A12" w:rsidRDefault="006F1A12" w:rsidP="00E17E68">
    <w:pPr>
      <w:pStyle w:val="ab"/>
      <w:ind w:right="360"/>
      <w:jc w:val="right"/>
    </w:pPr>
  </w:p>
  <w:p w14:paraId="358C3CD7" w14:textId="77777777" w:rsidR="006F1A12" w:rsidRDefault="006F1A12">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255E" w14:textId="77777777" w:rsidR="0065159E" w:rsidRDefault="006515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0CFF" w14:textId="77777777" w:rsidR="00E72A88" w:rsidRDefault="00E72A88">
      <w:r>
        <w:separator/>
      </w:r>
    </w:p>
  </w:footnote>
  <w:footnote w:type="continuationSeparator" w:id="0">
    <w:p w14:paraId="05D5EC5A" w14:textId="77777777" w:rsidR="00E72A88" w:rsidRDefault="00E7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0E93" w14:textId="77777777" w:rsidR="0065159E" w:rsidRDefault="006515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3FFE" w14:textId="77777777" w:rsidR="0065159E" w:rsidRDefault="006515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C638" w14:textId="77777777" w:rsidR="0065159E" w:rsidRDefault="0065159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DA6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lang w:val="en-GB"/>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5446DC"/>
    <w:multiLevelType w:val="multilevel"/>
    <w:tmpl w:val="5A2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C6FB6"/>
    <w:multiLevelType w:val="hybridMultilevel"/>
    <w:tmpl w:val="75B29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4B02ED"/>
    <w:multiLevelType w:val="hybridMultilevel"/>
    <w:tmpl w:val="40BCCC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E84549"/>
    <w:multiLevelType w:val="multilevel"/>
    <w:tmpl w:val="9CE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B475F"/>
    <w:multiLevelType w:val="hybridMultilevel"/>
    <w:tmpl w:val="40BCCC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EC"/>
    <w:rsid w:val="00000786"/>
    <w:rsid w:val="00000816"/>
    <w:rsid w:val="000010E5"/>
    <w:rsid w:val="00001CE4"/>
    <w:rsid w:val="000035D2"/>
    <w:rsid w:val="00003B83"/>
    <w:rsid w:val="000060DC"/>
    <w:rsid w:val="00013A1B"/>
    <w:rsid w:val="000173A0"/>
    <w:rsid w:val="000178E5"/>
    <w:rsid w:val="00021FAC"/>
    <w:rsid w:val="000221B7"/>
    <w:rsid w:val="00023AA6"/>
    <w:rsid w:val="00024D9B"/>
    <w:rsid w:val="000278A4"/>
    <w:rsid w:val="00030904"/>
    <w:rsid w:val="00030B61"/>
    <w:rsid w:val="00033F9F"/>
    <w:rsid w:val="000349B2"/>
    <w:rsid w:val="00037920"/>
    <w:rsid w:val="000414EB"/>
    <w:rsid w:val="000425FC"/>
    <w:rsid w:val="000433C1"/>
    <w:rsid w:val="0004341E"/>
    <w:rsid w:val="00046989"/>
    <w:rsid w:val="00047562"/>
    <w:rsid w:val="00050542"/>
    <w:rsid w:val="000520DF"/>
    <w:rsid w:val="00055FD6"/>
    <w:rsid w:val="00056F52"/>
    <w:rsid w:val="00065847"/>
    <w:rsid w:val="00067813"/>
    <w:rsid w:val="00067905"/>
    <w:rsid w:val="0007130D"/>
    <w:rsid w:val="00071379"/>
    <w:rsid w:val="00072D6F"/>
    <w:rsid w:val="00072D72"/>
    <w:rsid w:val="0007309A"/>
    <w:rsid w:val="000749C9"/>
    <w:rsid w:val="00074CAA"/>
    <w:rsid w:val="00074EC1"/>
    <w:rsid w:val="00081844"/>
    <w:rsid w:val="0008272D"/>
    <w:rsid w:val="00082921"/>
    <w:rsid w:val="00082B32"/>
    <w:rsid w:val="00085082"/>
    <w:rsid w:val="000860DF"/>
    <w:rsid w:val="000866AE"/>
    <w:rsid w:val="00087C1A"/>
    <w:rsid w:val="00093754"/>
    <w:rsid w:val="00094E4D"/>
    <w:rsid w:val="00095525"/>
    <w:rsid w:val="000973A7"/>
    <w:rsid w:val="000A39C1"/>
    <w:rsid w:val="000A3B29"/>
    <w:rsid w:val="000A6104"/>
    <w:rsid w:val="000A7990"/>
    <w:rsid w:val="000A7C2E"/>
    <w:rsid w:val="000B15F0"/>
    <w:rsid w:val="000B33B1"/>
    <w:rsid w:val="000B4C93"/>
    <w:rsid w:val="000B5320"/>
    <w:rsid w:val="000B5B85"/>
    <w:rsid w:val="000C0539"/>
    <w:rsid w:val="000C1DCA"/>
    <w:rsid w:val="000C2013"/>
    <w:rsid w:val="000C5130"/>
    <w:rsid w:val="000C7956"/>
    <w:rsid w:val="000C7BE3"/>
    <w:rsid w:val="000D009B"/>
    <w:rsid w:val="000D2F64"/>
    <w:rsid w:val="000D4D65"/>
    <w:rsid w:val="000D5AB9"/>
    <w:rsid w:val="000D790D"/>
    <w:rsid w:val="000E07F6"/>
    <w:rsid w:val="000E3487"/>
    <w:rsid w:val="000E3DA0"/>
    <w:rsid w:val="000E4BD5"/>
    <w:rsid w:val="000E61B3"/>
    <w:rsid w:val="000E6AA3"/>
    <w:rsid w:val="000F15DC"/>
    <w:rsid w:val="000F4432"/>
    <w:rsid w:val="000F4E21"/>
    <w:rsid w:val="000F619C"/>
    <w:rsid w:val="000F74B9"/>
    <w:rsid w:val="00105013"/>
    <w:rsid w:val="001055AE"/>
    <w:rsid w:val="001061BE"/>
    <w:rsid w:val="00106868"/>
    <w:rsid w:val="0010733F"/>
    <w:rsid w:val="00111797"/>
    <w:rsid w:val="00111801"/>
    <w:rsid w:val="00111D2C"/>
    <w:rsid w:val="00113D22"/>
    <w:rsid w:val="001161F4"/>
    <w:rsid w:val="001179EC"/>
    <w:rsid w:val="00120888"/>
    <w:rsid w:val="00120B47"/>
    <w:rsid w:val="00120E8B"/>
    <w:rsid w:val="001219E6"/>
    <w:rsid w:val="00122259"/>
    <w:rsid w:val="00123B48"/>
    <w:rsid w:val="00124F68"/>
    <w:rsid w:val="00127228"/>
    <w:rsid w:val="00127EC6"/>
    <w:rsid w:val="00130F1C"/>
    <w:rsid w:val="001325B4"/>
    <w:rsid w:val="00135248"/>
    <w:rsid w:val="0013637F"/>
    <w:rsid w:val="00136583"/>
    <w:rsid w:val="001373E6"/>
    <w:rsid w:val="0013792B"/>
    <w:rsid w:val="00140ACD"/>
    <w:rsid w:val="00141CA6"/>
    <w:rsid w:val="0014223D"/>
    <w:rsid w:val="0014248C"/>
    <w:rsid w:val="00143DC3"/>
    <w:rsid w:val="0014783A"/>
    <w:rsid w:val="001505DA"/>
    <w:rsid w:val="001542E5"/>
    <w:rsid w:val="00155399"/>
    <w:rsid w:val="00161EAD"/>
    <w:rsid w:val="00164643"/>
    <w:rsid w:val="0016550E"/>
    <w:rsid w:val="00165951"/>
    <w:rsid w:val="001674C4"/>
    <w:rsid w:val="00172F6E"/>
    <w:rsid w:val="001758D6"/>
    <w:rsid w:val="00180CF7"/>
    <w:rsid w:val="00181B64"/>
    <w:rsid w:val="00185B33"/>
    <w:rsid w:val="00195664"/>
    <w:rsid w:val="001A1383"/>
    <w:rsid w:val="001A33AF"/>
    <w:rsid w:val="001A37F2"/>
    <w:rsid w:val="001A4338"/>
    <w:rsid w:val="001A4767"/>
    <w:rsid w:val="001A56C8"/>
    <w:rsid w:val="001A610B"/>
    <w:rsid w:val="001A6623"/>
    <w:rsid w:val="001A6A6C"/>
    <w:rsid w:val="001A6FE3"/>
    <w:rsid w:val="001A718C"/>
    <w:rsid w:val="001A7729"/>
    <w:rsid w:val="001B010B"/>
    <w:rsid w:val="001B0D81"/>
    <w:rsid w:val="001B0E29"/>
    <w:rsid w:val="001B1CB6"/>
    <w:rsid w:val="001B3D05"/>
    <w:rsid w:val="001B4952"/>
    <w:rsid w:val="001B696D"/>
    <w:rsid w:val="001C15A7"/>
    <w:rsid w:val="001C17F7"/>
    <w:rsid w:val="001C1925"/>
    <w:rsid w:val="001C228B"/>
    <w:rsid w:val="001C5BBB"/>
    <w:rsid w:val="001C79A9"/>
    <w:rsid w:val="001D0DA1"/>
    <w:rsid w:val="001D14D2"/>
    <w:rsid w:val="001D340C"/>
    <w:rsid w:val="001D3728"/>
    <w:rsid w:val="001D42F9"/>
    <w:rsid w:val="001D5919"/>
    <w:rsid w:val="001E1437"/>
    <w:rsid w:val="001E19DF"/>
    <w:rsid w:val="001E3261"/>
    <w:rsid w:val="001E365B"/>
    <w:rsid w:val="001E50DA"/>
    <w:rsid w:val="001E74BC"/>
    <w:rsid w:val="002070CB"/>
    <w:rsid w:val="00211663"/>
    <w:rsid w:val="00212DCC"/>
    <w:rsid w:val="0021624D"/>
    <w:rsid w:val="002168B3"/>
    <w:rsid w:val="0022007A"/>
    <w:rsid w:val="00221337"/>
    <w:rsid w:val="00226888"/>
    <w:rsid w:val="00230AF7"/>
    <w:rsid w:val="0023126A"/>
    <w:rsid w:val="002349FA"/>
    <w:rsid w:val="002368C3"/>
    <w:rsid w:val="00240C99"/>
    <w:rsid w:val="002417FF"/>
    <w:rsid w:val="00245195"/>
    <w:rsid w:val="002453A0"/>
    <w:rsid w:val="002479BB"/>
    <w:rsid w:val="00252901"/>
    <w:rsid w:val="00253491"/>
    <w:rsid w:val="00253EA4"/>
    <w:rsid w:val="002550C8"/>
    <w:rsid w:val="00256407"/>
    <w:rsid w:val="0026128C"/>
    <w:rsid w:val="00262A2E"/>
    <w:rsid w:val="00265251"/>
    <w:rsid w:val="00267253"/>
    <w:rsid w:val="00267ADE"/>
    <w:rsid w:val="00273D47"/>
    <w:rsid w:val="00273E3A"/>
    <w:rsid w:val="00277044"/>
    <w:rsid w:val="0028157F"/>
    <w:rsid w:val="0028315F"/>
    <w:rsid w:val="0028499F"/>
    <w:rsid w:val="00285419"/>
    <w:rsid w:val="00285917"/>
    <w:rsid w:val="00287A5C"/>
    <w:rsid w:val="00293D60"/>
    <w:rsid w:val="002942FB"/>
    <w:rsid w:val="002A1491"/>
    <w:rsid w:val="002A30C4"/>
    <w:rsid w:val="002A3A40"/>
    <w:rsid w:val="002A4A38"/>
    <w:rsid w:val="002A779E"/>
    <w:rsid w:val="002A78E9"/>
    <w:rsid w:val="002A7E3B"/>
    <w:rsid w:val="002B1391"/>
    <w:rsid w:val="002B1C5A"/>
    <w:rsid w:val="002B2EE7"/>
    <w:rsid w:val="002B43A2"/>
    <w:rsid w:val="002B6111"/>
    <w:rsid w:val="002B6B65"/>
    <w:rsid w:val="002C03CE"/>
    <w:rsid w:val="002C0C4B"/>
    <w:rsid w:val="002C1038"/>
    <w:rsid w:val="002C439E"/>
    <w:rsid w:val="002D1F5C"/>
    <w:rsid w:val="002D3439"/>
    <w:rsid w:val="002D4DDE"/>
    <w:rsid w:val="002D58A0"/>
    <w:rsid w:val="002D603E"/>
    <w:rsid w:val="002E1F52"/>
    <w:rsid w:val="002E25D8"/>
    <w:rsid w:val="002E39C3"/>
    <w:rsid w:val="002E4181"/>
    <w:rsid w:val="002E491D"/>
    <w:rsid w:val="002E75D4"/>
    <w:rsid w:val="002F50A5"/>
    <w:rsid w:val="002F663C"/>
    <w:rsid w:val="00300B1E"/>
    <w:rsid w:val="0030163D"/>
    <w:rsid w:val="003016EC"/>
    <w:rsid w:val="00302AFE"/>
    <w:rsid w:val="00304D05"/>
    <w:rsid w:val="00307EDC"/>
    <w:rsid w:val="0031082C"/>
    <w:rsid w:val="00311F11"/>
    <w:rsid w:val="00313CEB"/>
    <w:rsid w:val="003154D1"/>
    <w:rsid w:val="00315AF5"/>
    <w:rsid w:val="00315AFF"/>
    <w:rsid w:val="003166C0"/>
    <w:rsid w:val="003167DF"/>
    <w:rsid w:val="003169C1"/>
    <w:rsid w:val="00316CF6"/>
    <w:rsid w:val="003171C6"/>
    <w:rsid w:val="00317D64"/>
    <w:rsid w:val="00317D85"/>
    <w:rsid w:val="00317E8F"/>
    <w:rsid w:val="00317FD2"/>
    <w:rsid w:val="00320FA9"/>
    <w:rsid w:val="003222F8"/>
    <w:rsid w:val="00323522"/>
    <w:rsid w:val="0032388A"/>
    <w:rsid w:val="00323944"/>
    <w:rsid w:val="003239A6"/>
    <w:rsid w:val="00324796"/>
    <w:rsid w:val="003269F7"/>
    <w:rsid w:val="00326F4D"/>
    <w:rsid w:val="00331A9B"/>
    <w:rsid w:val="00332350"/>
    <w:rsid w:val="00332953"/>
    <w:rsid w:val="00333FA5"/>
    <w:rsid w:val="00337CAA"/>
    <w:rsid w:val="00346094"/>
    <w:rsid w:val="003531C9"/>
    <w:rsid w:val="00354EE2"/>
    <w:rsid w:val="00356FE9"/>
    <w:rsid w:val="00360598"/>
    <w:rsid w:val="003658DB"/>
    <w:rsid w:val="00366019"/>
    <w:rsid w:val="00366A4F"/>
    <w:rsid w:val="003677A1"/>
    <w:rsid w:val="003725B1"/>
    <w:rsid w:val="00375F33"/>
    <w:rsid w:val="0037611A"/>
    <w:rsid w:val="0037615A"/>
    <w:rsid w:val="0037682C"/>
    <w:rsid w:val="00381549"/>
    <w:rsid w:val="003822A6"/>
    <w:rsid w:val="003835E8"/>
    <w:rsid w:val="003874E8"/>
    <w:rsid w:val="00393D12"/>
    <w:rsid w:val="00396E9E"/>
    <w:rsid w:val="00397803"/>
    <w:rsid w:val="0039796D"/>
    <w:rsid w:val="00397A7E"/>
    <w:rsid w:val="003A002D"/>
    <w:rsid w:val="003A1CEC"/>
    <w:rsid w:val="003A2033"/>
    <w:rsid w:val="003A3CFE"/>
    <w:rsid w:val="003A42ED"/>
    <w:rsid w:val="003A4C8F"/>
    <w:rsid w:val="003A52EF"/>
    <w:rsid w:val="003A5D1B"/>
    <w:rsid w:val="003A7198"/>
    <w:rsid w:val="003B0302"/>
    <w:rsid w:val="003B3C47"/>
    <w:rsid w:val="003B451A"/>
    <w:rsid w:val="003B46E0"/>
    <w:rsid w:val="003B6DE8"/>
    <w:rsid w:val="003B7166"/>
    <w:rsid w:val="003C0001"/>
    <w:rsid w:val="003C0200"/>
    <w:rsid w:val="003C1E2F"/>
    <w:rsid w:val="003C3634"/>
    <w:rsid w:val="003C436C"/>
    <w:rsid w:val="003C5D37"/>
    <w:rsid w:val="003C6111"/>
    <w:rsid w:val="003C71EB"/>
    <w:rsid w:val="003D00FC"/>
    <w:rsid w:val="003D53EB"/>
    <w:rsid w:val="003D6279"/>
    <w:rsid w:val="003E33E3"/>
    <w:rsid w:val="003E5923"/>
    <w:rsid w:val="003E7ABE"/>
    <w:rsid w:val="003F0BA6"/>
    <w:rsid w:val="003F1078"/>
    <w:rsid w:val="003F324E"/>
    <w:rsid w:val="003F3F0F"/>
    <w:rsid w:val="003F4B22"/>
    <w:rsid w:val="003F536B"/>
    <w:rsid w:val="003F5FB8"/>
    <w:rsid w:val="003F6EA8"/>
    <w:rsid w:val="003F758C"/>
    <w:rsid w:val="003F7FB6"/>
    <w:rsid w:val="00400199"/>
    <w:rsid w:val="00400BD8"/>
    <w:rsid w:val="00400D97"/>
    <w:rsid w:val="004025A8"/>
    <w:rsid w:val="0040292D"/>
    <w:rsid w:val="00404A39"/>
    <w:rsid w:val="004072F5"/>
    <w:rsid w:val="004156A4"/>
    <w:rsid w:val="00416660"/>
    <w:rsid w:val="00417E62"/>
    <w:rsid w:val="00423427"/>
    <w:rsid w:val="00423EFF"/>
    <w:rsid w:val="00424A51"/>
    <w:rsid w:val="00425385"/>
    <w:rsid w:val="00425F9D"/>
    <w:rsid w:val="004261B5"/>
    <w:rsid w:val="004262D5"/>
    <w:rsid w:val="004354EE"/>
    <w:rsid w:val="00436A6B"/>
    <w:rsid w:val="00440F9D"/>
    <w:rsid w:val="00441F9B"/>
    <w:rsid w:val="004428BA"/>
    <w:rsid w:val="004435E2"/>
    <w:rsid w:val="00444EC2"/>
    <w:rsid w:val="00445049"/>
    <w:rsid w:val="0045080D"/>
    <w:rsid w:val="00450C2B"/>
    <w:rsid w:val="004519C2"/>
    <w:rsid w:val="00451FB1"/>
    <w:rsid w:val="00452B77"/>
    <w:rsid w:val="0045326D"/>
    <w:rsid w:val="00453584"/>
    <w:rsid w:val="00455C6C"/>
    <w:rsid w:val="004560CB"/>
    <w:rsid w:val="004627DD"/>
    <w:rsid w:val="00462DC5"/>
    <w:rsid w:val="0046490C"/>
    <w:rsid w:val="00466BAA"/>
    <w:rsid w:val="0047136A"/>
    <w:rsid w:val="00472317"/>
    <w:rsid w:val="00473C69"/>
    <w:rsid w:val="00473DEC"/>
    <w:rsid w:val="00476FF3"/>
    <w:rsid w:val="0048027D"/>
    <w:rsid w:val="00483986"/>
    <w:rsid w:val="00485169"/>
    <w:rsid w:val="00485300"/>
    <w:rsid w:val="004864B6"/>
    <w:rsid w:val="00487297"/>
    <w:rsid w:val="00487F94"/>
    <w:rsid w:val="004906BC"/>
    <w:rsid w:val="004911C5"/>
    <w:rsid w:val="00492F1A"/>
    <w:rsid w:val="00494C51"/>
    <w:rsid w:val="00495E22"/>
    <w:rsid w:val="004A0C1D"/>
    <w:rsid w:val="004A25CB"/>
    <w:rsid w:val="004A303A"/>
    <w:rsid w:val="004A319F"/>
    <w:rsid w:val="004A3372"/>
    <w:rsid w:val="004A406F"/>
    <w:rsid w:val="004A4497"/>
    <w:rsid w:val="004A6A95"/>
    <w:rsid w:val="004B04D1"/>
    <w:rsid w:val="004B2107"/>
    <w:rsid w:val="004B5CCD"/>
    <w:rsid w:val="004C169F"/>
    <w:rsid w:val="004C3890"/>
    <w:rsid w:val="004C3F0E"/>
    <w:rsid w:val="004C52E3"/>
    <w:rsid w:val="004C6053"/>
    <w:rsid w:val="004C65A6"/>
    <w:rsid w:val="004C6CFE"/>
    <w:rsid w:val="004C7B28"/>
    <w:rsid w:val="004D0717"/>
    <w:rsid w:val="004D4E0F"/>
    <w:rsid w:val="004D62C0"/>
    <w:rsid w:val="004D6A63"/>
    <w:rsid w:val="004D6A8C"/>
    <w:rsid w:val="004D7FAA"/>
    <w:rsid w:val="004E294F"/>
    <w:rsid w:val="004E3C4D"/>
    <w:rsid w:val="004E4976"/>
    <w:rsid w:val="004E53F8"/>
    <w:rsid w:val="004F0A41"/>
    <w:rsid w:val="004F1601"/>
    <w:rsid w:val="004F18CB"/>
    <w:rsid w:val="004F19E6"/>
    <w:rsid w:val="004F24D6"/>
    <w:rsid w:val="004F2EB8"/>
    <w:rsid w:val="004F3060"/>
    <w:rsid w:val="004F7AF9"/>
    <w:rsid w:val="005034EC"/>
    <w:rsid w:val="00504F6D"/>
    <w:rsid w:val="005054B8"/>
    <w:rsid w:val="00505F1B"/>
    <w:rsid w:val="00506338"/>
    <w:rsid w:val="00507691"/>
    <w:rsid w:val="00510B90"/>
    <w:rsid w:val="00511837"/>
    <w:rsid w:val="00511CE3"/>
    <w:rsid w:val="00512470"/>
    <w:rsid w:val="0051370D"/>
    <w:rsid w:val="0051455B"/>
    <w:rsid w:val="00515AF6"/>
    <w:rsid w:val="00523AEB"/>
    <w:rsid w:val="005257BE"/>
    <w:rsid w:val="00530B1E"/>
    <w:rsid w:val="00530F87"/>
    <w:rsid w:val="005320FE"/>
    <w:rsid w:val="0053578B"/>
    <w:rsid w:val="00542E9B"/>
    <w:rsid w:val="005442FC"/>
    <w:rsid w:val="00544B9A"/>
    <w:rsid w:val="00547E5D"/>
    <w:rsid w:val="00557F71"/>
    <w:rsid w:val="005600CB"/>
    <w:rsid w:val="00562A12"/>
    <w:rsid w:val="00564EB1"/>
    <w:rsid w:val="00566920"/>
    <w:rsid w:val="00572477"/>
    <w:rsid w:val="00573486"/>
    <w:rsid w:val="00573F70"/>
    <w:rsid w:val="0057459A"/>
    <w:rsid w:val="00574A01"/>
    <w:rsid w:val="00580C10"/>
    <w:rsid w:val="005848FA"/>
    <w:rsid w:val="005854A2"/>
    <w:rsid w:val="00585E3A"/>
    <w:rsid w:val="00586B95"/>
    <w:rsid w:val="005939E7"/>
    <w:rsid w:val="00593AF4"/>
    <w:rsid w:val="0059511E"/>
    <w:rsid w:val="00595374"/>
    <w:rsid w:val="0059737B"/>
    <w:rsid w:val="005A1F0D"/>
    <w:rsid w:val="005A36EC"/>
    <w:rsid w:val="005B04D9"/>
    <w:rsid w:val="005B1B48"/>
    <w:rsid w:val="005B2AE1"/>
    <w:rsid w:val="005B2D15"/>
    <w:rsid w:val="005B2F82"/>
    <w:rsid w:val="005B51F8"/>
    <w:rsid w:val="005C28D5"/>
    <w:rsid w:val="005C3B85"/>
    <w:rsid w:val="005C6CA3"/>
    <w:rsid w:val="005D0D89"/>
    <w:rsid w:val="005D269C"/>
    <w:rsid w:val="005D2E5C"/>
    <w:rsid w:val="005D75A1"/>
    <w:rsid w:val="005D77BD"/>
    <w:rsid w:val="005E0980"/>
    <w:rsid w:val="005E2774"/>
    <w:rsid w:val="005E2D43"/>
    <w:rsid w:val="005E3C6D"/>
    <w:rsid w:val="005E6A3B"/>
    <w:rsid w:val="005F05CF"/>
    <w:rsid w:val="005F0BD8"/>
    <w:rsid w:val="005F4F7F"/>
    <w:rsid w:val="005F65C1"/>
    <w:rsid w:val="005F77D8"/>
    <w:rsid w:val="00601896"/>
    <w:rsid w:val="0060365D"/>
    <w:rsid w:val="006075B7"/>
    <w:rsid w:val="00607E6B"/>
    <w:rsid w:val="00616689"/>
    <w:rsid w:val="00620627"/>
    <w:rsid w:val="00621F3D"/>
    <w:rsid w:val="00624178"/>
    <w:rsid w:val="00626942"/>
    <w:rsid w:val="00637423"/>
    <w:rsid w:val="00641DE2"/>
    <w:rsid w:val="0064329E"/>
    <w:rsid w:val="0064494E"/>
    <w:rsid w:val="00644B30"/>
    <w:rsid w:val="00644DC2"/>
    <w:rsid w:val="00645732"/>
    <w:rsid w:val="00650AF1"/>
    <w:rsid w:val="00650B8B"/>
    <w:rsid w:val="0065137B"/>
    <w:rsid w:val="0065159E"/>
    <w:rsid w:val="00651879"/>
    <w:rsid w:val="00652E36"/>
    <w:rsid w:val="00653CCE"/>
    <w:rsid w:val="0065467B"/>
    <w:rsid w:val="00660E5C"/>
    <w:rsid w:val="00662E73"/>
    <w:rsid w:val="0066499B"/>
    <w:rsid w:val="006654B7"/>
    <w:rsid w:val="00665AF2"/>
    <w:rsid w:val="00666E94"/>
    <w:rsid w:val="006700AD"/>
    <w:rsid w:val="00670C24"/>
    <w:rsid w:val="00671A49"/>
    <w:rsid w:val="00674B9C"/>
    <w:rsid w:val="006771C5"/>
    <w:rsid w:val="00677487"/>
    <w:rsid w:val="00681302"/>
    <w:rsid w:val="00683A59"/>
    <w:rsid w:val="00683BAF"/>
    <w:rsid w:val="00684618"/>
    <w:rsid w:val="0068473A"/>
    <w:rsid w:val="00684E6B"/>
    <w:rsid w:val="00684FE6"/>
    <w:rsid w:val="00686892"/>
    <w:rsid w:val="0068738B"/>
    <w:rsid w:val="006912A6"/>
    <w:rsid w:val="00697E69"/>
    <w:rsid w:val="006A15FA"/>
    <w:rsid w:val="006A1AF7"/>
    <w:rsid w:val="006A54AC"/>
    <w:rsid w:val="006A7288"/>
    <w:rsid w:val="006A7DB4"/>
    <w:rsid w:val="006B2F43"/>
    <w:rsid w:val="006B43FC"/>
    <w:rsid w:val="006B5F41"/>
    <w:rsid w:val="006B6DFE"/>
    <w:rsid w:val="006C0AE5"/>
    <w:rsid w:val="006C39CB"/>
    <w:rsid w:val="006C7542"/>
    <w:rsid w:val="006D0C92"/>
    <w:rsid w:val="006D20B4"/>
    <w:rsid w:val="006E0783"/>
    <w:rsid w:val="006E11AA"/>
    <w:rsid w:val="006E1ABD"/>
    <w:rsid w:val="006E1B3F"/>
    <w:rsid w:val="006E29D4"/>
    <w:rsid w:val="006E4659"/>
    <w:rsid w:val="006E48AF"/>
    <w:rsid w:val="006E70BE"/>
    <w:rsid w:val="006E7D3C"/>
    <w:rsid w:val="006F0C95"/>
    <w:rsid w:val="006F1423"/>
    <w:rsid w:val="006F1A12"/>
    <w:rsid w:val="006F3446"/>
    <w:rsid w:val="006F43A6"/>
    <w:rsid w:val="006F4B3E"/>
    <w:rsid w:val="006F7875"/>
    <w:rsid w:val="0070053B"/>
    <w:rsid w:val="00703246"/>
    <w:rsid w:val="007064D5"/>
    <w:rsid w:val="00710E6A"/>
    <w:rsid w:val="0071658B"/>
    <w:rsid w:val="00721FF6"/>
    <w:rsid w:val="0072353C"/>
    <w:rsid w:val="00724B62"/>
    <w:rsid w:val="0072522C"/>
    <w:rsid w:val="00726602"/>
    <w:rsid w:val="00726F21"/>
    <w:rsid w:val="00733D1D"/>
    <w:rsid w:val="00735920"/>
    <w:rsid w:val="00735BBE"/>
    <w:rsid w:val="00735F1B"/>
    <w:rsid w:val="00740341"/>
    <w:rsid w:val="00744629"/>
    <w:rsid w:val="0074537C"/>
    <w:rsid w:val="0074648C"/>
    <w:rsid w:val="007471F0"/>
    <w:rsid w:val="007504A2"/>
    <w:rsid w:val="00750887"/>
    <w:rsid w:val="007515D6"/>
    <w:rsid w:val="007522AE"/>
    <w:rsid w:val="00753259"/>
    <w:rsid w:val="00754B66"/>
    <w:rsid w:val="00755518"/>
    <w:rsid w:val="007570D5"/>
    <w:rsid w:val="007613A4"/>
    <w:rsid w:val="007640A6"/>
    <w:rsid w:val="00764506"/>
    <w:rsid w:val="007714F7"/>
    <w:rsid w:val="0077206E"/>
    <w:rsid w:val="00777238"/>
    <w:rsid w:val="00780626"/>
    <w:rsid w:val="007815BF"/>
    <w:rsid w:val="007920CC"/>
    <w:rsid w:val="00793007"/>
    <w:rsid w:val="007943AB"/>
    <w:rsid w:val="00797892"/>
    <w:rsid w:val="007A12ED"/>
    <w:rsid w:val="007A2E5E"/>
    <w:rsid w:val="007A577F"/>
    <w:rsid w:val="007A5EE6"/>
    <w:rsid w:val="007A5FD6"/>
    <w:rsid w:val="007A6F0A"/>
    <w:rsid w:val="007B2F47"/>
    <w:rsid w:val="007B46A0"/>
    <w:rsid w:val="007B66F3"/>
    <w:rsid w:val="007C03E5"/>
    <w:rsid w:val="007C0CAF"/>
    <w:rsid w:val="007C10A1"/>
    <w:rsid w:val="007C20D6"/>
    <w:rsid w:val="007C2C21"/>
    <w:rsid w:val="007C30FD"/>
    <w:rsid w:val="007C3132"/>
    <w:rsid w:val="007C3A18"/>
    <w:rsid w:val="007C53A1"/>
    <w:rsid w:val="007C5AF8"/>
    <w:rsid w:val="007C78F3"/>
    <w:rsid w:val="007C7DBE"/>
    <w:rsid w:val="007D0233"/>
    <w:rsid w:val="007D111B"/>
    <w:rsid w:val="007D2E29"/>
    <w:rsid w:val="007D3004"/>
    <w:rsid w:val="007D414C"/>
    <w:rsid w:val="007D53CF"/>
    <w:rsid w:val="007D784D"/>
    <w:rsid w:val="007D7EAA"/>
    <w:rsid w:val="007E1451"/>
    <w:rsid w:val="007E37B5"/>
    <w:rsid w:val="007E5192"/>
    <w:rsid w:val="007E69ED"/>
    <w:rsid w:val="007E7263"/>
    <w:rsid w:val="007F0F65"/>
    <w:rsid w:val="007F2638"/>
    <w:rsid w:val="007F3D7B"/>
    <w:rsid w:val="007F4E28"/>
    <w:rsid w:val="007F68AE"/>
    <w:rsid w:val="007F68F7"/>
    <w:rsid w:val="00800580"/>
    <w:rsid w:val="00800FB4"/>
    <w:rsid w:val="00803DA3"/>
    <w:rsid w:val="0080528E"/>
    <w:rsid w:val="008056E4"/>
    <w:rsid w:val="00806488"/>
    <w:rsid w:val="00806C47"/>
    <w:rsid w:val="008144EC"/>
    <w:rsid w:val="008167EC"/>
    <w:rsid w:val="00816DFF"/>
    <w:rsid w:val="00822655"/>
    <w:rsid w:val="00824098"/>
    <w:rsid w:val="00825080"/>
    <w:rsid w:val="008267B5"/>
    <w:rsid w:val="00826DF0"/>
    <w:rsid w:val="00826FDF"/>
    <w:rsid w:val="00827989"/>
    <w:rsid w:val="008339E8"/>
    <w:rsid w:val="00841405"/>
    <w:rsid w:val="00842CCC"/>
    <w:rsid w:val="00844AD9"/>
    <w:rsid w:val="0084548A"/>
    <w:rsid w:val="00845A0D"/>
    <w:rsid w:val="0085377F"/>
    <w:rsid w:val="0085540F"/>
    <w:rsid w:val="00856211"/>
    <w:rsid w:val="008570C3"/>
    <w:rsid w:val="0085753C"/>
    <w:rsid w:val="00861837"/>
    <w:rsid w:val="008634CD"/>
    <w:rsid w:val="008654D7"/>
    <w:rsid w:val="00865B3F"/>
    <w:rsid w:val="00871F35"/>
    <w:rsid w:val="008722FC"/>
    <w:rsid w:val="0087429B"/>
    <w:rsid w:val="0087731B"/>
    <w:rsid w:val="00881C91"/>
    <w:rsid w:val="00887954"/>
    <w:rsid w:val="00887AA2"/>
    <w:rsid w:val="008902BE"/>
    <w:rsid w:val="00891C0E"/>
    <w:rsid w:val="0089401B"/>
    <w:rsid w:val="008944E1"/>
    <w:rsid w:val="008953C1"/>
    <w:rsid w:val="0089588E"/>
    <w:rsid w:val="00896D66"/>
    <w:rsid w:val="0089729C"/>
    <w:rsid w:val="0089765A"/>
    <w:rsid w:val="008A06AA"/>
    <w:rsid w:val="008A3B43"/>
    <w:rsid w:val="008A4957"/>
    <w:rsid w:val="008A587B"/>
    <w:rsid w:val="008A66C3"/>
    <w:rsid w:val="008A6F82"/>
    <w:rsid w:val="008B399A"/>
    <w:rsid w:val="008B6BD1"/>
    <w:rsid w:val="008B6C8A"/>
    <w:rsid w:val="008C0753"/>
    <w:rsid w:val="008C53C9"/>
    <w:rsid w:val="008C6019"/>
    <w:rsid w:val="008C6085"/>
    <w:rsid w:val="008D0755"/>
    <w:rsid w:val="008D5B9F"/>
    <w:rsid w:val="008D6B86"/>
    <w:rsid w:val="008D7B43"/>
    <w:rsid w:val="008E066A"/>
    <w:rsid w:val="008E34E8"/>
    <w:rsid w:val="008E48D6"/>
    <w:rsid w:val="008E4C73"/>
    <w:rsid w:val="008F09C2"/>
    <w:rsid w:val="008F1D04"/>
    <w:rsid w:val="008F2DBB"/>
    <w:rsid w:val="008F5D18"/>
    <w:rsid w:val="008F6F7D"/>
    <w:rsid w:val="0090376E"/>
    <w:rsid w:val="00903CFF"/>
    <w:rsid w:val="00906563"/>
    <w:rsid w:val="00906DB7"/>
    <w:rsid w:val="0090777F"/>
    <w:rsid w:val="00911ECA"/>
    <w:rsid w:val="009151FB"/>
    <w:rsid w:val="00915FDB"/>
    <w:rsid w:val="00916BA8"/>
    <w:rsid w:val="00917C89"/>
    <w:rsid w:val="00922098"/>
    <w:rsid w:val="00924935"/>
    <w:rsid w:val="00927060"/>
    <w:rsid w:val="00927F74"/>
    <w:rsid w:val="009313CD"/>
    <w:rsid w:val="00931D4B"/>
    <w:rsid w:val="0093310E"/>
    <w:rsid w:val="00933356"/>
    <w:rsid w:val="00933898"/>
    <w:rsid w:val="0093426F"/>
    <w:rsid w:val="009343BB"/>
    <w:rsid w:val="009347AC"/>
    <w:rsid w:val="00934B62"/>
    <w:rsid w:val="00934BD3"/>
    <w:rsid w:val="0093596C"/>
    <w:rsid w:val="00935AAC"/>
    <w:rsid w:val="00937313"/>
    <w:rsid w:val="009404F0"/>
    <w:rsid w:val="00940502"/>
    <w:rsid w:val="0094515A"/>
    <w:rsid w:val="00946929"/>
    <w:rsid w:val="009503CC"/>
    <w:rsid w:val="00950FE5"/>
    <w:rsid w:val="00951302"/>
    <w:rsid w:val="00951D71"/>
    <w:rsid w:val="00952DEF"/>
    <w:rsid w:val="00953FB1"/>
    <w:rsid w:val="00954037"/>
    <w:rsid w:val="00956DA6"/>
    <w:rsid w:val="0096042B"/>
    <w:rsid w:val="009617C2"/>
    <w:rsid w:val="00961D19"/>
    <w:rsid w:val="00963CA7"/>
    <w:rsid w:val="00964AF6"/>
    <w:rsid w:val="00964D38"/>
    <w:rsid w:val="00965CA0"/>
    <w:rsid w:val="00966303"/>
    <w:rsid w:val="00966454"/>
    <w:rsid w:val="0096655A"/>
    <w:rsid w:val="009665A5"/>
    <w:rsid w:val="009707D7"/>
    <w:rsid w:val="00970F8B"/>
    <w:rsid w:val="00976DB1"/>
    <w:rsid w:val="00976E02"/>
    <w:rsid w:val="009776CE"/>
    <w:rsid w:val="00981290"/>
    <w:rsid w:val="0098181D"/>
    <w:rsid w:val="0098292E"/>
    <w:rsid w:val="0098298C"/>
    <w:rsid w:val="0098614B"/>
    <w:rsid w:val="00987AC6"/>
    <w:rsid w:val="00992DA0"/>
    <w:rsid w:val="009944ED"/>
    <w:rsid w:val="009945DD"/>
    <w:rsid w:val="009961C1"/>
    <w:rsid w:val="00997C36"/>
    <w:rsid w:val="00997F62"/>
    <w:rsid w:val="009A0EC4"/>
    <w:rsid w:val="009A23EC"/>
    <w:rsid w:val="009A24A0"/>
    <w:rsid w:val="009A2EB1"/>
    <w:rsid w:val="009A3230"/>
    <w:rsid w:val="009A47AF"/>
    <w:rsid w:val="009A6190"/>
    <w:rsid w:val="009B3C73"/>
    <w:rsid w:val="009B4AE2"/>
    <w:rsid w:val="009B4BE5"/>
    <w:rsid w:val="009B4C19"/>
    <w:rsid w:val="009B6686"/>
    <w:rsid w:val="009B6954"/>
    <w:rsid w:val="009C1D93"/>
    <w:rsid w:val="009C358B"/>
    <w:rsid w:val="009C3666"/>
    <w:rsid w:val="009C39DB"/>
    <w:rsid w:val="009C3C04"/>
    <w:rsid w:val="009C465D"/>
    <w:rsid w:val="009C64E3"/>
    <w:rsid w:val="009D03BE"/>
    <w:rsid w:val="009D3115"/>
    <w:rsid w:val="009D482A"/>
    <w:rsid w:val="009D7650"/>
    <w:rsid w:val="009E1662"/>
    <w:rsid w:val="009E1F35"/>
    <w:rsid w:val="009E4B9F"/>
    <w:rsid w:val="009E5057"/>
    <w:rsid w:val="009E50A8"/>
    <w:rsid w:val="009F073C"/>
    <w:rsid w:val="009F1E2A"/>
    <w:rsid w:val="009F2691"/>
    <w:rsid w:val="009F2D34"/>
    <w:rsid w:val="009F375B"/>
    <w:rsid w:val="00A002AC"/>
    <w:rsid w:val="00A0050D"/>
    <w:rsid w:val="00A007E4"/>
    <w:rsid w:val="00A02ABD"/>
    <w:rsid w:val="00A02CAA"/>
    <w:rsid w:val="00A03FDB"/>
    <w:rsid w:val="00A04C01"/>
    <w:rsid w:val="00A051A7"/>
    <w:rsid w:val="00A06966"/>
    <w:rsid w:val="00A118D7"/>
    <w:rsid w:val="00A11E08"/>
    <w:rsid w:val="00A1265F"/>
    <w:rsid w:val="00A12DEA"/>
    <w:rsid w:val="00A14308"/>
    <w:rsid w:val="00A20CD2"/>
    <w:rsid w:val="00A21244"/>
    <w:rsid w:val="00A24198"/>
    <w:rsid w:val="00A24CCA"/>
    <w:rsid w:val="00A25F8F"/>
    <w:rsid w:val="00A311DD"/>
    <w:rsid w:val="00A31488"/>
    <w:rsid w:val="00A34125"/>
    <w:rsid w:val="00A34B74"/>
    <w:rsid w:val="00A34D5B"/>
    <w:rsid w:val="00A355F7"/>
    <w:rsid w:val="00A371EC"/>
    <w:rsid w:val="00A43238"/>
    <w:rsid w:val="00A43386"/>
    <w:rsid w:val="00A4656B"/>
    <w:rsid w:val="00A4669B"/>
    <w:rsid w:val="00A46ADE"/>
    <w:rsid w:val="00A476A6"/>
    <w:rsid w:val="00A52303"/>
    <w:rsid w:val="00A553F3"/>
    <w:rsid w:val="00A56286"/>
    <w:rsid w:val="00A57BAA"/>
    <w:rsid w:val="00A6146B"/>
    <w:rsid w:val="00A62C19"/>
    <w:rsid w:val="00A668F4"/>
    <w:rsid w:val="00A6725E"/>
    <w:rsid w:val="00A67854"/>
    <w:rsid w:val="00A678F1"/>
    <w:rsid w:val="00A70892"/>
    <w:rsid w:val="00A71FA7"/>
    <w:rsid w:val="00A73BD2"/>
    <w:rsid w:val="00A748EF"/>
    <w:rsid w:val="00A7635D"/>
    <w:rsid w:val="00A76FC3"/>
    <w:rsid w:val="00A80B43"/>
    <w:rsid w:val="00A83CE4"/>
    <w:rsid w:val="00A86F35"/>
    <w:rsid w:val="00A8790F"/>
    <w:rsid w:val="00A92335"/>
    <w:rsid w:val="00A92433"/>
    <w:rsid w:val="00A9282D"/>
    <w:rsid w:val="00A9298F"/>
    <w:rsid w:val="00A9518A"/>
    <w:rsid w:val="00A95C32"/>
    <w:rsid w:val="00AA0B7B"/>
    <w:rsid w:val="00AA54DF"/>
    <w:rsid w:val="00AA68D6"/>
    <w:rsid w:val="00AA6EA3"/>
    <w:rsid w:val="00AB04DE"/>
    <w:rsid w:val="00AB35E5"/>
    <w:rsid w:val="00AB3887"/>
    <w:rsid w:val="00AB3B7E"/>
    <w:rsid w:val="00AB56BE"/>
    <w:rsid w:val="00AB6F68"/>
    <w:rsid w:val="00AB7601"/>
    <w:rsid w:val="00AC0738"/>
    <w:rsid w:val="00AC5D4D"/>
    <w:rsid w:val="00AC776D"/>
    <w:rsid w:val="00AD0799"/>
    <w:rsid w:val="00AD2C6E"/>
    <w:rsid w:val="00AD4F36"/>
    <w:rsid w:val="00AD5AF5"/>
    <w:rsid w:val="00AD62EF"/>
    <w:rsid w:val="00AD7724"/>
    <w:rsid w:val="00AD7ECA"/>
    <w:rsid w:val="00AE1644"/>
    <w:rsid w:val="00AF04E7"/>
    <w:rsid w:val="00AF2A55"/>
    <w:rsid w:val="00AF3299"/>
    <w:rsid w:val="00AF33E4"/>
    <w:rsid w:val="00AF3464"/>
    <w:rsid w:val="00AF5D9C"/>
    <w:rsid w:val="00AF75B5"/>
    <w:rsid w:val="00B0160F"/>
    <w:rsid w:val="00B01936"/>
    <w:rsid w:val="00B02027"/>
    <w:rsid w:val="00B03464"/>
    <w:rsid w:val="00B034CB"/>
    <w:rsid w:val="00B03550"/>
    <w:rsid w:val="00B058DE"/>
    <w:rsid w:val="00B11B08"/>
    <w:rsid w:val="00B12F2A"/>
    <w:rsid w:val="00B13D9D"/>
    <w:rsid w:val="00B156B1"/>
    <w:rsid w:val="00B15F6E"/>
    <w:rsid w:val="00B162A5"/>
    <w:rsid w:val="00B16308"/>
    <w:rsid w:val="00B2254D"/>
    <w:rsid w:val="00B22B55"/>
    <w:rsid w:val="00B245F7"/>
    <w:rsid w:val="00B25059"/>
    <w:rsid w:val="00B26013"/>
    <w:rsid w:val="00B27D94"/>
    <w:rsid w:val="00B3126F"/>
    <w:rsid w:val="00B3247D"/>
    <w:rsid w:val="00B33290"/>
    <w:rsid w:val="00B37013"/>
    <w:rsid w:val="00B41DDE"/>
    <w:rsid w:val="00B45B59"/>
    <w:rsid w:val="00B4646C"/>
    <w:rsid w:val="00B465FB"/>
    <w:rsid w:val="00B4796A"/>
    <w:rsid w:val="00B47F46"/>
    <w:rsid w:val="00B5006C"/>
    <w:rsid w:val="00B5151E"/>
    <w:rsid w:val="00B532D3"/>
    <w:rsid w:val="00B54899"/>
    <w:rsid w:val="00B54BC0"/>
    <w:rsid w:val="00B559F7"/>
    <w:rsid w:val="00B57017"/>
    <w:rsid w:val="00B61081"/>
    <w:rsid w:val="00B61825"/>
    <w:rsid w:val="00B63A6F"/>
    <w:rsid w:val="00B64E6C"/>
    <w:rsid w:val="00B65704"/>
    <w:rsid w:val="00B66153"/>
    <w:rsid w:val="00B7261B"/>
    <w:rsid w:val="00B733BB"/>
    <w:rsid w:val="00B7368E"/>
    <w:rsid w:val="00B75681"/>
    <w:rsid w:val="00B76CBB"/>
    <w:rsid w:val="00B80702"/>
    <w:rsid w:val="00B809D8"/>
    <w:rsid w:val="00B8497B"/>
    <w:rsid w:val="00B84C58"/>
    <w:rsid w:val="00B901B1"/>
    <w:rsid w:val="00B9271B"/>
    <w:rsid w:val="00B937A1"/>
    <w:rsid w:val="00B943E8"/>
    <w:rsid w:val="00B970AC"/>
    <w:rsid w:val="00B97526"/>
    <w:rsid w:val="00BA269E"/>
    <w:rsid w:val="00BA2E67"/>
    <w:rsid w:val="00BA310E"/>
    <w:rsid w:val="00BA5810"/>
    <w:rsid w:val="00BA6BB5"/>
    <w:rsid w:val="00BA6E6D"/>
    <w:rsid w:val="00BA7F32"/>
    <w:rsid w:val="00BB0F5B"/>
    <w:rsid w:val="00BB1E93"/>
    <w:rsid w:val="00BB221E"/>
    <w:rsid w:val="00BB5FB4"/>
    <w:rsid w:val="00BB7623"/>
    <w:rsid w:val="00BC0CF4"/>
    <w:rsid w:val="00BC0EE4"/>
    <w:rsid w:val="00BC38C1"/>
    <w:rsid w:val="00BC4820"/>
    <w:rsid w:val="00BC526B"/>
    <w:rsid w:val="00BC65CA"/>
    <w:rsid w:val="00BC7D0C"/>
    <w:rsid w:val="00BD1CC1"/>
    <w:rsid w:val="00BD31C0"/>
    <w:rsid w:val="00BD35F5"/>
    <w:rsid w:val="00BD47D9"/>
    <w:rsid w:val="00BD7D2F"/>
    <w:rsid w:val="00BE49A3"/>
    <w:rsid w:val="00BE57C8"/>
    <w:rsid w:val="00BE6663"/>
    <w:rsid w:val="00BE6F44"/>
    <w:rsid w:val="00BF03B4"/>
    <w:rsid w:val="00C004B2"/>
    <w:rsid w:val="00C0142B"/>
    <w:rsid w:val="00C0237D"/>
    <w:rsid w:val="00C038C5"/>
    <w:rsid w:val="00C03916"/>
    <w:rsid w:val="00C046B0"/>
    <w:rsid w:val="00C0578A"/>
    <w:rsid w:val="00C06D1D"/>
    <w:rsid w:val="00C11662"/>
    <w:rsid w:val="00C121B4"/>
    <w:rsid w:val="00C1376D"/>
    <w:rsid w:val="00C1551D"/>
    <w:rsid w:val="00C15C56"/>
    <w:rsid w:val="00C15F3D"/>
    <w:rsid w:val="00C2161A"/>
    <w:rsid w:val="00C24803"/>
    <w:rsid w:val="00C2621A"/>
    <w:rsid w:val="00C26999"/>
    <w:rsid w:val="00C26A66"/>
    <w:rsid w:val="00C270A6"/>
    <w:rsid w:val="00C30983"/>
    <w:rsid w:val="00C31AFF"/>
    <w:rsid w:val="00C31CBB"/>
    <w:rsid w:val="00C345D5"/>
    <w:rsid w:val="00C3612B"/>
    <w:rsid w:val="00C366FE"/>
    <w:rsid w:val="00C36E33"/>
    <w:rsid w:val="00C37C81"/>
    <w:rsid w:val="00C405BF"/>
    <w:rsid w:val="00C40BFE"/>
    <w:rsid w:val="00C44EEB"/>
    <w:rsid w:val="00C47621"/>
    <w:rsid w:val="00C51805"/>
    <w:rsid w:val="00C523B7"/>
    <w:rsid w:val="00C527D2"/>
    <w:rsid w:val="00C53D14"/>
    <w:rsid w:val="00C554A0"/>
    <w:rsid w:val="00C6184B"/>
    <w:rsid w:val="00C61B15"/>
    <w:rsid w:val="00C62E16"/>
    <w:rsid w:val="00C632F0"/>
    <w:rsid w:val="00C63D0F"/>
    <w:rsid w:val="00C656BA"/>
    <w:rsid w:val="00C71561"/>
    <w:rsid w:val="00C72C80"/>
    <w:rsid w:val="00C73ECB"/>
    <w:rsid w:val="00C73F5E"/>
    <w:rsid w:val="00C74723"/>
    <w:rsid w:val="00C74936"/>
    <w:rsid w:val="00C77475"/>
    <w:rsid w:val="00C81107"/>
    <w:rsid w:val="00C825FA"/>
    <w:rsid w:val="00C82BC6"/>
    <w:rsid w:val="00C84216"/>
    <w:rsid w:val="00C8562B"/>
    <w:rsid w:val="00C85D81"/>
    <w:rsid w:val="00C86EEC"/>
    <w:rsid w:val="00C919C1"/>
    <w:rsid w:val="00C91F35"/>
    <w:rsid w:val="00C92A75"/>
    <w:rsid w:val="00C95A04"/>
    <w:rsid w:val="00C965B3"/>
    <w:rsid w:val="00C970E8"/>
    <w:rsid w:val="00C977D9"/>
    <w:rsid w:val="00C97814"/>
    <w:rsid w:val="00CA45B8"/>
    <w:rsid w:val="00CA6145"/>
    <w:rsid w:val="00CB1589"/>
    <w:rsid w:val="00CB37D7"/>
    <w:rsid w:val="00CB3CAE"/>
    <w:rsid w:val="00CB423F"/>
    <w:rsid w:val="00CB45ED"/>
    <w:rsid w:val="00CB603A"/>
    <w:rsid w:val="00CB670E"/>
    <w:rsid w:val="00CB73DD"/>
    <w:rsid w:val="00CC10B1"/>
    <w:rsid w:val="00CC1ED5"/>
    <w:rsid w:val="00CC2BC8"/>
    <w:rsid w:val="00CC3E93"/>
    <w:rsid w:val="00CC4255"/>
    <w:rsid w:val="00CC5D1D"/>
    <w:rsid w:val="00CC607D"/>
    <w:rsid w:val="00CD0574"/>
    <w:rsid w:val="00CD0609"/>
    <w:rsid w:val="00CD069B"/>
    <w:rsid w:val="00CD0FD5"/>
    <w:rsid w:val="00CD2E05"/>
    <w:rsid w:val="00CD31D7"/>
    <w:rsid w:val="00CD333F"/>
    <w:rsid w:val="00CD3481"/>
    <w:rsid w:val="00CD3893"/>
    <w:rsid w:val="00CD3E49"/>
    <w:rsid w:val="00CF1A1A"/>
    <w:rsid w:val="00CF3D73"/>
    <w:rsid w:val="00CF5672"/>
    <w:rsid w:val="00CF67FF"/>
    <w:rsid w:val="00CF6EBE"/>
    <w:rsid w:val="00D0131F"/>
    <w:rsid w:val="00D050AD"/>
    <w:rsid w:val="00D06C7F"/>
    <w:rsid w:val="00D10D4F"/>
    <w:rsid w:val="00D12905"/>
    <w:rsid w:val="00D13629"/>
    <w:rsid w:val="00D16C14"/>
    <w:rsid w:val="00D2187D"/>
    <w:rsid w:val="00D224AF"/>
    <w:rsid w:val="00D22661"/>
    <w:rsid w:val="00D23FB1"/>
    <w:rsid w:val="00D2406B"/>
    <w:rsid w:val="00D24D35"/>
    <w:rsid w:val="00D25142"/>
    <w:rsid w:val="00D26DE5"/>
    <w:rsid w:val="00D30957"/>
    <w:rsid w:val="00D312CE"/>
    <w:rsid w:val="00D36894"/>
    <w:rsid w:val="00D41441"/>
    <w:rsid w:val="00D41E3A"/>
    <w:rsid w:val="00D43702"/>
    <w:rsid w:val="00D45F5E"/>
    <w:rsid w:val="00D46A22"/>
    <w:rsid w:val="00D47CD0"/>
    <w:rsid w:val="00D47CF4"/>
    <w:rsid w:val="00D50354"/>
    <w:rsid w:val="00D50E15"/>
    <w:rsid w:val="00D511DE"/>
    <w:rsid w:val="00D5365A"/>
    <w:rsid w:val="00D54486"/>
    <w:rsid w:val="00D55CFF"/>
    <w:rsid w:val="00D61519"/>
    <w:rsid w:val="00D6249A"/>
    <w:rsid w:val="00D62727"/>
    <w:rsid w:val="00D636FD"/>
    <w:rsid w:val="00D661C3"/>
    <w:rsid w:val="00D6768B"/>
    <w:rsid w:val="00D67B33"/>
    <w:rsid w:val="00D71D55"/>
    <w:rsid w:val="00D73ED3"/>
    <w:rsid w:val="00D77489"/>
    <w:rsid w:val="00D77617"/>
    <w:rsid w:val="00D77627"/>
    <w:rsid w:val="00D8515D"/>
    <w:rsid w:val="00D87113"/>
    <w:rsid w:val="00D91D5F"/>
    <w:rsid w:val="00D926B7"/>
    <w:rsid w:val="00D92D06"/>
    <w:rsid w:val="00D96303"/>
    <w:rsid w:val="00D97C79"/>
    <w:rsid w:val="00DA061B"/>
    <w:rsid w:val="00DA1C6D"/>
    <w:rsid w:val="00DA3771"/>
    <w:rsid w:val="00DA4DB6"/>
    <w:rsid w:val="00DA617E"/>
    <w:rsid w:val="00DA7E35"/>
    <w:rsid w:val="00DB3E35"/>
    <w:rsid w:val="00DB5358"/>
    <w:rsid w:val="00DB7C8A"/>
    <w:rsid w:val="00DB7E4B"/>
    <w:rsid w:val="00DC350B"/>
    <w:rsid w:val="00DC415F"/>
    <w:rsid w:val="00DC71D5"/>
    <w:rsid w:val="00DD1554"/>
    <w:rsid w:val="00DD1B35"/>
    <w:rsid w:val="00DD5129"/>
    <w:rsid w:val="00DD5F33"/>
    <w:rsid w:val="00DD6225"/>
    <w:rsid w:val="00DD6749"/>
    <w:rsid w:val="00DD6B15"/>
    <w:rsid w:val="00DD6E87"/>
    <w:rsid w:val="00DD713F"/>
    <w:rsid w:val="00DE0459"/>
    <w:rsid w:val="00DE0B05"/>
    <w:rsid w:val="00DE0EA4"/>
    <w:rsid w:val="00DE16C4"/>
    <w:rsid w:val="00DE1C22"/>
    <w:rsid w:val="00DE258D"/>
    <w:rsid w:val="00DE2E3A"/>
    <w:rsid w:val="00DE2F0A"/>
    <w:rsid w:val="00DE4A9A"/>
    <w:rsid w:val="00DE5604"/>
    <w:rsid w:val="00DE5839"/>
    <w:rsid w:val="00DF339E"/>
    <w:rsid w:val="00DF5533"/>
    <w:rsid w:val="00E000CD"/>
    <w:rsid w:val="00E0338E"/>
    <w:rsid w:val="00E03F33"/>
    <w:rsid w:val="00E042ED"/>
    <w:rsid w:val="00E101BA"/>
    <w:rsid w:val="00E10CF2"/>
    <w:rsid w:val="00E10F99"/>
    <w:rsid w:val="00E11073"/>
    <w:rsid w:val="00E127B9"/>
    <w:rsid w:val="00E13593"/>
    <w:rsid w:val="00E143BE"/>
    <w:rsid w:val="00E14A18"/>
    <w:rsid w:val="00E14AF8"/>
    <w:rsid w:val="00E14D96"/>
    <w:rsid w:val="00E17324"/>
    <w:rsid w:val="00E17E68"/>
    <w:rsid w:val="00E2135E"/>
    <w:rsid w:val="00E2464F"/>
    <w:rsid w:val="00E27971"/>
    <w:rsid w:val="00E305F9"/>
    <w:rsid w:val="00E3233E"/>
    <w:rsid w:val="00E325E8"/>
    <w:rsid w:val="00E32633"/>
    <w:rsid w:val="00E35228"/>
    <w:rsid w:val="00E375B3"/>
    <w:rsid w:val="00E44087"/>
    <w:rsid w:val="00E45123"/>
    <w:rsid w:val="00E4584E"/>
    <w:rsid w:val="00E468F2"/>
    <w:rsid w:val="00E47DEC"/>
    <w:rsid w:val="00E53B8B"/>
    <w:rsid w:val="00E55EB0"/>
    <w:rsid w:val="00E56DD7"/>
    <w:rsid w:val="00E60970"/>
    <w:rsid w:val="00E60D10"/>
    <w:rsid w:val="00E62FB0"/>
    <w:rsid w:val="00E6471A"/>
    <w:rsid w:val="00E64D88"/>
    <w:rsid w:val="00E6607C"/>
    <w:rsid w:val="00E66A9E"/>
    <w:rsid w:val="00E71521"/>
    <w:rsid w:val="00E72A88"/>
    <w:rsid w:val="00E74460"/>
    <w:rsid w:val="00E807A3"/>
    <w:rsid w:val="00E80D29"/>
    <w:rsid w:val="00E819A4"/>
    <w:rsid w:val="00E8481B"/>
    <w:rsid w:val="00E853A6"/>
    <w:rsid w:val="00E85A05"/>
    <w:rsid w:val="00E92AAC"/>
    <w:rsid w:val="00E93C45"/>
    <w:rsid w:val="00E94199"/>
    <w:rsid w:val="00E94296"/>
    <w:rsid w:val="00EA0211"/>
    <w:rsid w:val="00EA2199"/>
    <w:rsid w:val="00EA33D0"/>
    <w:rsid w:val="00EA6852"/>
    <w:rsid w:val="00EB48EA"/>
    <w:rsid w:val="00EB7C1C"/>
    <w:rsid w:val="00EB7E9D"/>
    <w:rsid w:val="00EC053D"/>
    <w:rsid w:val="00EC1F45"/>
    <w:rsid w:val="00EC24C5"/>
    <w:rsid w:val="00EC3B4E"/>
    <w:rsid w:val="00EC57C3"/>
    <w:rsid w:val="00EC5D8D"/>
    <w:rsid w:val="00ED020B"/>
    <w:rsid w:val="00ED1888"/>
    <w:rsid w:val="00ED31D2"/>
    <w:rsid w:val="00ED57E4"/>
    <w:rsid w:val="00ED5BED"/>
    <w:rsid w:val="00ED78D9"/>
    <w:rsid w:val="00EE02E8"/>
    <w:rsid w:val="00EE1B17"/>
    <w:rsid w:val="00EE3832"/>
    <w:rsid w:val="00EE47B9"/>
    <w:rsid w:val="00EE504B"/>
    <w:rsid w:val="00EF0FB1"/>
    <w:rsid w:val="00EF1297"/>
    <w:rsid w:val="00EF64ED"/>
    <w:rsid w:val="00EF6848"/>
    <w:rsid w:val="00EF7CA5"/>
    <w:rsid w:val="00F00320"/>
    <w:rsid w:val="00F00E91"/>
    <w:rsid w:val="00F01142"/>
    <w:rsid w:val="00F02FCE"/>
    <w:rsid w:val="00F0341B"/>
    <w:rsid w:val="00F03A17"/>
    <w:rsid w:val="00F06574"/>
    <w:rsid w:val="00F07276"/>
    <w:rsid w:val="00F100F9"/>
    <w:rsid w:val="00F106A6"/>
    <w:rsid w:val="00F13250"/>
    <w:rsid w:val="00F14CAD"/>
    <w:rsid w:val="00F1595A"/>
    <w:rsid w:val="00F20283"/>
    <w:rsid w:val="00F22D4C"/>
    <w:rsid w:val="00F26516"/>
    <w:rsid w:val="00F272A0"/>
    <w:rsid w:val="00F27F3F"/>
    <w:rsid w:val="00F313A5"/>
    <w:rsid w:val="00F36F27"/>
    <w:rsid w:val="00F377FD"/>
    <w:rsid w:val="00F40B2D"/>
    <w:rsid w:val="00F41319"/>
    <w:rsid w:val="00F428AF"/>
    <w:rsid w:val="00F46016"/>
    <w:rsid w:val="00F46AB5"/>
    <w:rsid w:val="00F46EA6"/>
    <w:rsid w:val="00F47F1D"/>
    <w:rsid w:val="00F5034E"/>
    <w:rsid w:val="00F50780"/>
    <w:rsid w:val="00F51648"/>
    <w:rsid w:val="00F52A93"/>
    <w:rsid w:val="00F536FD"/>
    <w:rsid w:val="00F56672"/>
    <w:rsid w:val="00F6255F"/>
    <w:rsid w:val="00F62DA4"/>
    <w:rsid w:val="00F671C6"/>
    <w:rsid w:val="00F70115"/>
    <w:rsid w:val="00F705B4"/>
    <w:rsid w:val="00F7075F"/>
    <w:rsid w:val="00F73295"/>
    <w:rsid w:val="00F807F2"/>
    <w:rsid w:val="00F8133E"/>
    <w:rsid w:val="00F828BA"/>
    <w:rsid w:val="00F837DF"/>
    <w:rsid w:val="00F840C4"/>
    <w:rsid w:val="00F843CE"/>
    <w:rsid w:val="00F8527A"/>
    <w:rsid w:val="00F869C5"/>
    <w:rsid w:val="00F94489"/>
    <w:rsid w:val="00FA1187"/>
    <w:rsid w:val="00FA309F"/>
    <w:rsid w:val="00FA39C3"/>
    <w:rsid w:val="00FA424F"/>
    <w:rsid w:val="00FA78C9"/>
    <w:rsid w:val="00FB16D2"/>
    <w:rsid w:val="00FB3F08"/>
    <w:rsid w:val="00FB6C33"/>
    <w:rsid w:val="00FB772B"/>
    <w:rsid w:val="00FC0D4E"/>
    <w:rsid w:val="00FC3979"/>
    <w:rsid w:val="00FC41F7"/>
    <w:rsid w:val="00FC6F39"/>
    <w:rsid w:val="00FD006E"/>
    <w:rsid w:val="00FD33B6"/>
    <w:rsid w:val="00FD3698"/>
    <w:rsid w:val="00FD3B1B"/>
    <w:rsid w:val="00FD7414"/>
    <w:rsid w:val="00FE12CB"/>
    <w:rsid w:val="00FE1853"/>
    <w:rsid w:val="00FE2808"/>
    <w:rsid w:val="00FE2BE4"/>
    <w:rsid w:val="00FE332F"/>
    <w:rsid w:val="00FE4FEB"/>
    <w:rsid w:val="00FE595C"/>
    <w:rsid w:val="00FE6276"/>
    <w:rsid w:val="00FE6691"/>
    <w:rsid w:val="00FE74BE"/>
    <w:rsid w:val="00FE7CD6"/>
    <w:rsid w:val="00FF5325"/>
    <w:rsid w:val="00FF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E5641E"/>
  <w14:defaultImageDpi w14:val="300"/>
  <w15:chartTrackingRefBased/>
  <w15:docId w15:val="{5F75CB70-922D-4A1B-A61C-FA35BCE4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D18"/>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1A171C"/>
      <w:lang w:val="en-G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Carpredefinitoparagrafo1">
    <w:name w:val="Car. predefinito paragrafo1"/>
  </w:style>
  <w:style w:type="character" w:customStyle="1" w:styleId="PreformattatoHTMLCarattere">
    <w:name w:val="Preformattato HTML Carattere"/>
    <w:rPr>
      <w:rFonts w:ascii="Courier New" w:eastAsia="Times New Roman" w:hAnsi="Courier New" w:cs="Courier New"/>
    </w:rPr>
  </w:style>
  <w:style w:type="character" w:customStyle="1" w:styleId="TestofumettoCarattere">
    <w:name w:val="Testo fumetto Carattere"/>
    <w:rPr>
      <w:rFonts w:ascii="Lucida Grande" w:hAnsi="Lucida Grande" w:cs="Lucida Grande"/>
      <w:sz w:val="18"/>
      <w:szCs w:val="18"/>
    </w:rPr>
  </w:style>
  <w:style w:type="character" w:customStyle="1" w:styleId="Rimandocommento1">
    <w:name w:val="Rimando commento1"/>
    <w:rPr>
      <w:sz w:val="18"/>
      <w:szCs w:val="18"/>
    </w:rPr>
  </w:style>
  <w:style w:type="character" w:customStyle="1" w:styleId="TestocommentoCarattere">
    <w:name w:val="Testo commento Carattere"/>
    <w:rPr>
      <w:sz w:val="24"/>
      <w:szCs w:val="24"/>
    </w:rPr>
  </w:style>
  <w:style w:type="character" w:customStyle="1" w:styleId="SoggettocommentoCarattere">
    <w:name w:val="Soggetto commento Carattere"/>
    <w:rPr>
      <w:b/>
      <w:bCs/>
      <w:sz w:val="24"/>
      <w:szCs w:val="24"/>
    </w:rPr>
  </w:style>
  <w:style w:type="character" w:customStyle="1" w:styleId="Corpodeltesto2Carattere">
    <w:name w:val="Corpo del testo 2 Carattere"/>
    <w:rPr>
      <w:rFonts w:eastAsia="Times New Roman"/>
      <w:sz w:val="24"/>
      <w:szCs w:val="24"/>
      <w:lang w:val="en-US"/>
    </w:rPr>
  </w:style>
  <w:style w:type="character" w:customStyle="1" w:styleId="PidipaginaCarattere">
    <w:name w:val="Piè di pagina Carattere"/>
    <w:uiPriority w:val="99"/>
    <w:rPr>
      <w:sz w:val="24"/>
      <w:szCs w:val="24"/>
    </w:rPr>
  </w:style>
  <w:style w:type="character" w:styleId="a3">
    <w:name w:val="page number"/>
  </w:style>
  <w:style w:type="character" w:styleId="a4">
    <w:name w:val="Hyperlink"/>
    <w:uiPriority w:val="99"/>
    <w:rPr>
      <w:color w:val="0000FF"/>
      <w:u w:val="single"/>
    </w:rPr>
  </w:style>
  <w:style w:type="character" w:styleId="a5">
    <w:name w:val="FollowedHyperlink"/>
    <w:rPr>
      <w:color w:val="800080"/>
      <w:u w:val="single"/>
    </w:rPr>
  </w:style>
  <w:style w:type="character" w:customStyle="1" w:styleId="IntestazioneCarattere">
    <w:name w:val="Intestazione Carattere"/>
    <w:rPr>
      <w:sz w:val="24"/>
      <w:szCs w:val="24"/>
    </w:rPr>
  </w:style>
  <w:style w:type="character" w:styleId="a6">
    <w:name w:val="line number"/>
  </w:style>
  <w:style w:type="paragraph" w:customStyle="1" w:styleId="Intestazione1">
    <w:name w:val="Intestazione1"/>
    <w:basedOn w:val="a"/>
    <w:next w:val="a7"/>
    <w:pPr>
      <w:keepNext/>
      <w:spacing w:before="240" w:after="120"/>
    </w:pPr>
    <w:rPr>
      <w:rFonts w:ascii="Arial" w:eastAsia="微软雅黑" w:hAnsi="Arial" w:cs="Arial"/>
      <w:sz w:val="28"/>
      <w:szCs w:val="28"/>
    </w:rPr>
  </w:style>
  <w:style w:type="paragraph" w:styleId="a7">
    <w:name w:val="Body Text"/>
    <w:basedOn w:val="a"/>
    <w:pPr>
      <w:spacing w:after="120"/>
    </w:pPr>
  </w:style>
  <w:style w:type="paragraph" w:styleId="a8">
    <w:name w:val="List"/>
    <w:basedOn w:val="a7"/>
    <w:rPr>
      <w:rFonts w:cs="Arial"/>
    </w:rPr>
  </w:style>
  <w:style w:type="paragraph" w:customStyle="1" w:styleId="Didascalia1">
    <w:name w:val="Didascalia1"/>
    <w:basedOn w:val="a"/>
    <w:pPr>
      <w:suppressLineNumbers/>
      <w:spacing w:before="120" w:after="120"/>
    </w:pPr>
    <w:rPr>
      <w:rFonts w:cs="Arial"/>
      <w:i/>
      <w:iCs/>
    </w:rPr>
  </w:style>
  <w:style w:type="paragraph" w:customStyle="1" w:styleId="Indice">
    <w:name w:val="Indice"/>
    <w:basedOn w:val="a"/>
    <w:pPr>
      <w:suppressLineNumbers/>
    </w:pPr>
    <w:rPr>
      <w:rFonts w:cs="Ari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rPr>
  </w:style>
  <w:style w:type="paragraph" w:styleId="a9">
    <w:name w:val="Balloon Text"/>
    <w:basedOn w:val="a"/>
    <w:rPr>
      <w:rFonts w:ascii="Lucida Grande" w:hAnsi="Lucida Grande" w:cs="Lucida Grande"/>
      <w:sz w:val="18"/>
      <w:szCs w:val="18"/>
      <w:lang w:val="x-none"/>
    </w:rPr>
  </w:style>
  <w:style w:type="paragraph" w:customStyle="1" w:styleId="Testocommento1">
    <w:name w:val="Testo commento1"/>
    <w:basedOn w:val="a"/>
    <w:rPr>
      <w:lang w:val="x-none"/>
    </w:rPr>
  </w:style>
  <w:style w:type="paragraph" w:styleId="aa">
    <w:name w:val="annotation subject"/>
    <w:basedOn w:val="Testocommento1"/>
    <w:next w:val="Testocommento1"/>
    <w:rPr>
      <w:b/>
      <w:bCs/>
    </w:rPr>
  </w:style>
  <w:style w:type="paragraph" w:customStyle="1" w:styleId="Corpodeltesto21">
    <w:name w:val="Corpo del testo 21"/>
    <w:basedOn w:val="a"/>
    <w:pPr>
      <w:spacing w:line="480" w:lineRule="auto"/>
      <w:jc w:val="both"/>
    </w:pPr>
    <w:rPr>
      <w:rFonts w:eastAsia="Times New Roman"/>
      <w:lang w:val="en-US"/>
    </w:rPr>
  </w:style>
  <w:style w:type="paragraph" w:styleId="ab">
    <w:name w:val="footer"/>
    <w:basedOn w:val="a"/>
    <w:uiPriority w:val="99"/>
    <w:pPr>
      <w:tabs>
        <w:tab w:val="center" w:pos="4819"/>
        <w:tab w:val="right" w:pos="9638"/>
      </w:tabs>
    </w:pPr>
    <w:rPr>
      <w:lang w:val="x-none"/>
    </w:rPr>
  </w:style>
  <w:style w:type="paragraph" w:customStyle="1" w:styleId="Elencoscuro-Colore31">
    <w:name w:val="Elenco scuro - Colore 31"/>
    <w:pPr>
      <w:suppressAutoHyphens/>
    </w:pPr>
    <w:rPr>
      <w:rFonts w:eastAsia="MS Mincho"/>
      <w:sz w:val="24"/>
      <w:szCs w:val="24"/>
      <w:lang w:val="it-IT" w:eastAsia="ar-SA"/>
    </w:rPr>
  </w:style>
  <w:style w:type="paragraph" w:styleId="ac">
    <w:name w:val="header"/>
    <w:basedOn w:val="a"/>
    <w:pPr>
      <w:tabs>
        <w:tab w:val="center" w:pos="4819"/>
        <w:tab w:val="right" w:pos="9638"/>
      </w:tabs>
    </w:pPr>
    <w:rPr>
      <w:lang w:val="x-none"/>
    </w:rPr>
  </w:style>
  <w:style w:type="paragraph" w:customStyle="1" w:styleId="Contenutocornice">
    <w:name w:val="Contenuto cornice"/>
    <w:basedOn w:val="a7"/>
  </w:style>
  <w:style w:type="character" w:customStyle="1" w:styleId="highlight">
    <w:name w:val="highlight"/>
    <w:basedOn w:val="a0"/>
    <w:rsid w:val="003C0001"/>
  </w:style>
  <w:style w:type="character" w:customStyle="1" w:styleId="apple-converted-space">
    <w:name w:val="apple-converted-space"/>
    <w:rsid w:val="0089588E"/>
  </w:style>
  <w:style w:type="paragraph" w:styleId="2">
    <w:name w:val="Body Text 2"/>
    <w:basedOn w:val="a"/>
    <w:link w:val="20"/>
    <w:uiPriority w:val="99"/>
    <w:unhideWhenUsed/>
    <w:rsid w:val="001325B4"/>
    <w:pPr>
      <w:spacing w:after="120" w:line="480" w:lineRule="auto"/>
    </w:pPr>
    <w:rPr>
      <w:rFonts w:eastAsia="Times New Roman"/>
      <w:sz w:val="20"/>
      <w:szCs w:val="20"/>
    </w:rPr>
  </w:style>
  <w:style w:type="character" w:customStyle="1" w:styleId="20">
    <w:name w:val="正文文本 2 字符"/>
    <w:basedOn w:val="a0"/>
    <w:link w:val="2"/>
    <w:uiPriority w:val="99"/>
    <w:rsid w:val="001325B4"/>
  </w:style>
  <w:style w:type="paragraph" w:styleId="ad">
    <w:name w:val="Normal (Web)"/>
    <w:basedOn w:val="a"/>
    <w:uiPriority w:val="99"/>
    <w:semiHidden/>
    <w:unhideWhenUsed/>
    <w:rsid w:val="00CC5D1D"/>
    <w:pPr>
      <w:spacing w:before="100" w:beforeAutospacing="1" w:after="100" w:afterAutospacing="1"/>
    </w:pPr>
    <w:rPr>
      <w:rFonts w:eastAsia="Times New Roman"/>
      <w:sz w:val="20"/>
      <w:szCs w:val="20"/>
    </w:rPr>
  </w:style>
  <w:style w:type="character" w:customStyle="1" w:styleId="orcid-id-https">
    <w:name w:val="orcid-id-https"/>
    <w:rsid w:val="00842CCC"/>
  </w:style>
  <w:style w:type="character" w:styleId="ae">
    <w:name w:val="annotation reference"/>
    <w:uiPriority w:val="99"/>
    <w:semiHidden/>
    <w:unhideWhenUsed/>
    <w:rsid w:val="0057459A"/>
    <w:rPr>
      <w:sz w:val="21"/>
      <w:szCs w:val="21"/>
    </w:rPr>
  </w:style>
  <w:style w:type="paragraph" w:styleId="af">
    <w:name w:val="annotation text"/>
    <w:basedOn w:val="a"/>
    <w:link w:val="af0"/>
    <w:uiPriority w:val="99"/>
    <w:unhideWhenUsed/>
    <w:rsid w:val="0057459A"/>
    <w:pPr>
      <w:spacing w:after="200" w:line="276" w:lineRule="auto"/>
    </w:pPr>
    <w:rPr>
      <w:rFonts w:ascii="Calibri" w:hAnsi="Calibri"/>
      <w:sz w:val="22"/>
      <w:szCs w:val="22"/>
      <w:lang w:val="en-US" w:eastAsia="zh-CN"/>
    </w:rPr>
  </w:style>
  <w:style w:type="character" w:customStyle="1" w:styleId="af0">
    <w:name w:val="批注文字 字符"/>
    <w:link w:val="af"/>
    <w:uiPriority w:val="99"/>
    <w:rsid w:val="0057459A"/>
    <w:rPr>
      <w:rFonts w:ascii="Calibri" w:hAnsi="Calibri"/>
      <w:sz w:val="22"/>
      <w:szCs w:val="22"/>
    </w:rPr>
  </w:style>
  <w:style w:type="paragraph" w:styleId="af1">
    <w:name w:val="Plain Text"/>
    <w:basedOn w:val="a"/>
    <w:link w:val="af2"/>
    <w:rsid w:val="000E61B3"/>
    <w:pPr>
      <w:widowControl w:val="0"/>
      <w:jc w:val="both"/>
    </w:pPr>
    <w:rPr>
      <w:rFonts w:ascii="宋体" w:hAnsi="Courier New" w:cs="Courier New"/>
      <w:kern w:val="2"/>
      <w:sz w:val="21"/>
      <w:szCs w:val="21"/>
      <w:lang w:val="en-US" w:eastAsia="zh-CN"/>
    </w:rPr>
  </w:style>
  <w:style w:type="character" w:customStyle="1" w:styleId="af2">
    <w:name w:val="纯文本 字符"/>
    <w:link w:val="af1"/>
    <w:rsid w:val="000E61B3"/>
    <w:rPr>
      <w:rFonts w:ascii="宋体" w:hAnsi="Courier New" w:cs="Courier New"/>
      <w:kern w:val="2"/>
      <w:sz w:val="21"/>
      <w:szCs w:val="21"/>
    </w:rPr>
  </w:style>
  <w:style w:type="paragraph" w:styleId="af3">
    <w:name w:val="Revision"/>
    <w:hidden/>
    <w:uiPriority w:val="99"/>
    <w:semiHidden/>
    <w:rsid w:val="00841405"/>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5302">
      <w:bodyDiv w:val="1"/>
      <w:marLeft w:val="0"/>
      <w:marRight w:val="0"/>
      <w:marTop w:val="0"/>
      <w:marBottom w:val="0"/>
      <w:divBdr>
        <w:top w:val="none" w:sz="0" w:space="0" w:color="auto"/>
        <w:left w:val="none" w:sz="0" w:space="0" w:color="auto"/>
        <w:bottom w:val="none" w:sz="0" w:space="0" w:color="auto"/>
        <w:right w:val="none" w:sz="0" w:space="0" w:color="auto"/>
      </w:divBdr>
    </w:div>
    <w:div w:id="52392234">
      <w:bodyDiv w:val="1"/>
      <w:marLeft w:val="0"/>
      <w:marRight w:val="0"/>
      <w:marTop w:val="0"/>
      <w:marBottom w:val="0"/>
      <w:divBdr>
        <w:top w:val="none" w:sz="0" w:space="0" w:color="auto"/>
        <w:left w:val="none" w:sz="0" w:space="0" w:color="auto"/>
        <w:bottom w:val="none" w:sz="0" w:space="0" w:color="auto"/>
        <w:right w:val="none" w:sz="0" w:space="0" w:color="auto"/>
      </w:divBdr>
    </w:div>
    <w:div w:id="152181126">
      <w:bodyDiv w:val="1"/>
      <w:marLeft w:val="0"/>
      <w:marRight w:val="0"/>
      <w:marTop w:val="0"/>
      <w:marBottom w:val="0"/>
      <w:divBdr>
        <w:top w:val="none" w:sz="0" w:space="0" w:color="auto"/>
        <w:left w:val="none" w:sz="0" w:space="0" w:color="auto"/>
        <w:bottom w:val="none" w:sz="0" w:space="0" w:color="auto"/>
        <w:right w:val="none" w:sz="0" w:space="0" w:color="auto"/>
      </w:divBdr>
      <w:divsChild>
        <w:div w:id="1556502574">
          <w:marLeft w:val="0"/>
          <w:marRight w:val="0"/>
          <w:marTop w:val="0"/>
          <w:marBottom w:val="0"/>
          <w:divBdr>
            <w:top w:val="none" w:sz="0" w:space="0" w:color="auto"/>
            <w:left w:val="none" w:sz="0" w:space="0" w:color="auto"/>
            <w:bottom w:val="none" w:sz="0" w:space="0" w:color="auto"/>
            <w:right w:val="none" w:sz="0" w:space="0" w:color="auto"/>
          </w:divBdr>
          <w:divsChild>
            <w:div w:id="530072149">
              <w:marLeft w:val="0"/>
              <w:marRight w:val="0"/>
              <w:marTop w:val="0"/>
              <w:marBottom w:val="0"/>
              <w:divBdr>
                <w:top w:val="none" w:sz="0" w:space="0" w:color="auto"/>
                <w:left w:val="none" w:sz="0" w:space="0" w:color="auto"/>
                <w:bottom w:val="none" w:sz="0" w:space="0" w:color="auto"/>
                <w:right w:val="none" w:sz="0" w:space="0" w:color="auto"/>
              </w:divBdr>
              <w:divsChild>
                <w:div w:id="998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09591">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86936700">
      <w:bodyDiv w:val="1"/>
      <w:marLeft w:val="0"/>
      <w:marRight w:val="0"/>
      <w:marTop w:val="0"/>
      <w:marBottom w:val="0"/>
      <w:divBdr>
        <w:top w:val="none" w:sz="0" w:space="0" w:color="auto"/>
        <w:left w:val="none" w:sz="0" w:space="0" w:color="auto"/>
        <w:bottom w:val="none" w:sz="0" w:space="0" w:color="auto"/>
        <w:right w:val="none" w:sz="0" w:space="0" w:color="auto"/>
      </w:divBdr>
    </w:div>
    <w:div w:id="389157633">
      <w:bodyDiv w:val="1"/>
      <w:marLeft w:val="0"/>
      <w:marRight w:val="0"/>
      <w:marTop w:val="0"/>
      <w:marBottom w:val="0"/>
      <w:divBdr>
        <w:top w:val="none" w:sz="0" w:space="0" w:color="auto"/>
        <w:left w:val="none" w:sz="0" w:space="0" w:color="auto"/>
        <w:bottom w:val="none" w:sz="0" w:space="0" w:color="auto"/>
        <w:right w:val="none" w:sz="0" w:space="0" w:color="auto"/>
      </w:divBdr>
    </w:div>
    <w:div w:id="645938606">
      <w:bodyDiv w:val="1"/>
      <w:marLeft w:val="0"/>
      <w:marRight w:val="0"/>
      <w:marTop w:val="0"/>
      <w:marBottom w:val="0"/>
      <w:divBdr>
        <w:top w:val="none" w:sz="0" w:space="0" w:color="auto"/>
        <w:left w:val="none" w:sz="0" w:space="0" w:color="auto"/>
        <w:bottom w:val="none" w:sz="0" w:space="0" w:color="auto"/>
        <w:right w:val="none" w:sz="0" w:space="0" w:color="auto"/>
      </w:divBdr>
    </w:div>
    <w:div w:id="695157292">
      <w:bodyDiv w:val="1"/>
      <w:marLeft w:val="0"/>
      <w:marRight w:val="0"/>
      <w:marTop w:val="0"/>
      <w:marBottom w:val="0"/>
      <w:divBdr>
        <w:top w:val="none" w:sz="0" w:space="0" w:color="auto"/>
        <w:left w:val="none" w:sz="0" w:space="0" w:color="auto"/>
        <w:bottom w:val="none" w:sz="0" w:space="0" w:color="auto"/>
        <w:right w:val="none" w:sz="0" w:space="0" w:color="auto"/>
      </w:divBdr>
    </w:div>
    <w:div w:id="703290724">
      <w:bodyDiv w:val="1"/>
      <w:marLeft w:val="0"/>
      <w:marRight w:val="0"/>
      <w:marTop w:val="0"/>
      <w:marBottom w:val="0"/>
      <w:divBdr>
        <w:top w:val="none" w:sz="0" w:space="0" w:color="auto"/>
        <w:left w:val="none" w:sz="0" w:space="0" w:color="auto"/>
        <w:bottom w:val="none" w:sz="0" w:space="0" w:color="auto"/>
        <w:right w:val="none" w:sz="0" w:space="0" w:color="auto"/>
      </w:divBdr>
    </w:div>
    <w:div w:id="752433588">
      <w:bodyDiv w:val="1"/>
      <w:marLeft w:val="0"/>
      <w:marRight w:val="0"/>
      <w:marTop w:val="0"/>
      <w:marBottom w:val="0"/>
      <w:divBdr>
        <w:top w:val="none" w:sz="0" w:space="0" w:color="auto"/>
        <w:left w:val="none" w:sz="0" w:space="0" w:color="auto"/>
        <w:bottom w:val="none" w:sz="0" w:space="0" w:color="auto"/>
        <w:right w:val="none" w:sz="0" w:space="0" w:color="auto"/>
      </w:divBdr>
    </w:div>
    <w:div w:id="761415786">
      <w:bodyDiv w:val="1"/>
      <w:marLeft w:val="0"/>
      <w:marRight w:val="0"/>
      <w:marTop w:val="0"/>
      <w:marBottom w:val="0"/>
      <w:divBdr>
        <w:top w:val="none" w:sz="0" w:space="0" w:color="auto"/>
        <w:left w:val="none" w:sz="0" w:space="0" w:color="auto"/>
        <w:bottom w:val="none" w:sz="0" w:space="0" w:color="auto"/>
        <w:right w:val="none" w:sz="0" w:space="0" w:color="auto"/>
      </w:divBdr>
    </w:div>
    <w:div w:id="1281453896">
      <w:bodyDiv w:val="1"/>
      <w:marLeft w:val="0"/>
      <w:marRight w:val="0"/>
      <w:marTop w:val="0"/>
      <w:marBottom w:val="0"/>
      <w:divBdr>
        <w:top w:val="none" w:sz="0" w:space="0" w:color="auto"/>
        <w:left w:val="none" w:sz="0" w:space="0" w:color="auto"/>
        <w:bottom w:val="none" w:sz="0" w:space="0" w:color="auto"/>
        <w:right w:val="none" w:sz="0" w:space="0" w:color="auto"/>
      </w:divBdr>
    </w:div>
    <w:div w:id="1327899180">
      <w:bodyDiv w:val="1"/>
      <w:marLeft w:val="0"/>
      <w:marRight w:val="0"/>
      <w:marTop w:val="0"/>
      <w:marBottom w:val="0"/>
      <w:divBdr>
        <w:top w:val="none" w:sz="0" w:space="0" w:color="auto"/>
        <w:left w:val="none" w:sz="0" w:space="0" w:color="auto"/>
        <w:bottom w:val="none" w:sz="0" w:space="0" w:color="auto"/>
        <w:right w:val="none" w:sz="0" w:space="0" w:color="auto"/>
      </w:divBdr>
    </w:div>
    <w:div w:id="1348095321">
      <w:bodyDiv w:val="1"/>
      <w:marLeft w:val="0"/>
      <w:marRight w:val="0"/>
      <w:marTop w:val="0"/>
      <w:marBottom w:val="0"/>
      <w:divBdr>
        <w:top w:val="none" w:sz="0" w:space="0" w:color="auto"/>
        <w:left w:val="none" w:sz="0" w:space="0" w:color="auto"/>
        <w:bottom w:val="none" w:sz="0" w:space="0" w:color="auto"/>
        <w:right w:val="none" w:sz="0" w:space="0" w:color="auto"/>
      </w:divBdr>
    </w:div>
    <w:div w:id="1501503621">
      <w:bodyDiv w:val="1"/>
      <w:marLeft w:val="0"/>
      <w:marRight w:val="0"/>
      <w:marTop w:val="0"/>
      <w:marBottom w:val="0"/>
      <w:divBdr>
        <w:top w:val="none" w:sz="0" w:space="0" w:color="auto"/>
        <w:left w:val="none" w:sz="0" w:space="0" w:color="auto"/>
        <w:bottom w:val="none" w:sz="0" w:space="0" w:color="auto"/>
        <w:right w:val="none" w:sz="0" w:space="0" w:color="auto"/>
      </w:divBdr>
    </w:div>
    <w:div w:id="16138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682-0170" TargetMode="External"/><Relationship Id="rId13" Type="http://schemas.openxmlformats.org/officeDocument/2006/relationships/hyperlink" Target="https://orcid.org/0000-0002-1492-076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rcid.org/0000-0002-3612-738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279-764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orcid.org/0000-0002-5877-37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2-8215-3988" TargetMode="External"/><Relationship Id="rId14" Type="http://schemas.openxmlformats.org/officeDocument/2006/relationships/hyperlink" Target="http://creativecommons.org/licenses/by-nc/4.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24B39-B102-409A-B30D-492A2305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14939</Words>
  <Characters>85154</Characters>
  <Application>Microsoft Office Word</Application>
  <DocSecurity>0</DocSecurity>
  <Lines>709</Lines>
  <Paragraphs>199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99894</CharactersWithSpaces>
  <SharedDoc>false</SharedDoc>
  <HLinks>
    <vt:vector size="42" baseType="variant">
      <vt:variant>
        <vt:i4>2555949</vt:i4>
      </vt:variant>
      <vt:variant>
        <vt:i4>18</vt:i4>
      </vt:variant>
      <vt:variant>
        <vt:i4>0</vt:i4>
      </vt:variant>
      <vt:variant>
        <vt:i4>5</vt:i4>
      </vt:variant>
      <vt:variant>
        <vt:lpwstr>http://creativecommons.org/licenses/by-nc/4.0/</vt:lpwstr>
      </vt:variant>
      <vt:variant>
        <vt:lpwstr/>
      </vt:variant>
      <vt:variant>
        <vt:i4>5505053</vt:i4>
      </vt:variant>
      <vt:variant>
        <vt:i4>15</vt:i4>
      </vt:variant>
      <vt:variant>
        <vt:i4>0</vt:i4>
      </vt:variant>
      <vt:variant>
        <vt:i4>5</vt:i4>
      </vt:variant>
      <vt:variant>
        <vt:lpwstr>https://orcid.org/0000-0002-1492-076X</vt:lpwstr>
      </vt:variant>
      <vt:variant>
        <vt:lpwstr/>
      </vt:variant>
      <vt:variant>
        <vt:i4>6225939</vt:i4>
      </vt:variant>
      <vt:variant>
        <vt:i4>12</vt:i4>
      </vt:variant>
      <vt:variant>
        <vt:i4>0</vt:i4>
      </vt:variant>
      <vt:variant>
        <vt:i4>5</vt:i4>
      </vt:variant>
      <vt:variant>
        <vt:lpwstr>https://orcid.org/0000-0002-3612-7383</vt:lpwstr>
      </vt:variant>
      <vt:variant>
        <vt:lpwstr/>
      </vt:variant>
      <vt:variant>
        <vt:i4>6029329</vt:i4>
      </vt:variant>
      <vt:variant>
        <vt:i4>9</vt:i4>
      </vt:variant>
      <vt:variant>
        <vt:i4>0</vt:i4>
      </vt:variant>
      <vt:variant>
        <vt:i4>5</vt:i4>
      </vt:variant>
      <vt:variant>
        <vt:lpwstr>https://orcid.org/0000-0003-3279-7643</vt:lpwstr>
      </vt:variant>
      <vt:variant>
        <vt:lpwstr/>
      </vt:variant>
      <vt:variant>
        <vt:i4>6094871</vt:i4>
      </vt:variant>
      <vt:variant>
        <vt:i4>6</vt:i4>
      </vt:variant>
      <vt:variant>
        <vt:i4>0</vt:i4>
      </vt:variant>
      <vt:variant>
        <vt:i4>5</vt:i4>
      </vt:variant>
      <vt:variant>
        <vt:lpwstr>https://orcid.org/0000-0002-5877-3757</vt:lpwstr>
      </vt:variant>
      <vt:variant>
        <vt:lpwstr/>
      </vt:variant>
      <vt:variant>
        <vt:i4>5767186</vt:i4>
      </vt:variant>
      <vt:variant>
        <vt:i4>3</vt:i4>
      </vt:variant>
      <vt:variant>
        <vt:i4>0</vt:i4>
      </vt:variant>
      <vt:variant>
        <vt:i4>5</vt:i4>
      </vt:variant>
      <vt:variant>
        <vt:lpwstr>https://orcid.org/0000-0002-8215-3988</vt:lpwstr>
      </vt:variant>
      <vt:variant>
        <vt:lpwstr/>
      </vt:variant>
      <vt:variant>
        <vt:i4>5701662</vt:i4>
      </vt:variant>
      <vt:variant>
        <vt:i4>0</vt:i4>
      </vt:variant>
      <vt:variant>
        <vt:i4>0</vt:i4>
      </vt:variant>
      <vt:variant>
        <vt:i4>5</vt:i4>
      </vt:variant>
      <vt:variant>
        <vt:lpwstr>https://orcid.org/0000-0003-4682-0170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吴 云晓健</cp:lastModifiedBy>
  <cp:revision>8</cp:revision>
  <cp:lastPrinted>2019-03-19T07:49:00Z</cp:lastPrinted>
  <dcterms:created xsi:type="dcterms:W3CDTF">2019-05-06T04:21:00Z</dcterms:created>
  <dcterms:modified xsi:type="dcterms:W3CDTF">2019-05-06T08:18:00Z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d3672ee0-a66f-3856-93cc-6f9adb5b46fc</vt:lpwstr>
  </property>
  <property fmtid="{D5CDD505-2E9C-101B-9397-08002B2CF9AE}" pid="4" name="Mendeley Recent Style Id 0_1">
    <vt:lpwstr>http://www.zotero.org/styles/archives-of-disease-in-childhood</vt:lpwstr>
  </property>
  <property fmtid="{D5CDD505-2E9C-101B-9397-08002B2CF9AE}" pid="5" name="Mendeley Recent Style Name 0_1">
    <vt:lpwstr>Archives of Disease in Childhood</vt:lpwstr>
  </property>
  <property fmtid="{D5CDD505-2E9C-101B-9397-08002B2CF9AE}" pid="6" name="Mendeley Recent Style Id 1_1">
    <vt:lpwstr>http://www.zotero.org/styles/bmj</vt:lpwstr>
  </property>
  <property fmtid="{D5CDD505-2E9C-101B-9397-08002B2CF9AE}" pid="7" name="Mendeley Recent Style Name 1_1">
    <vt:lpwstr>BMJ</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http://www.zotero.org/styles/european-urology</vt:lpwstr>
  </property>
  <property fmtid="{D5CDD505-2E9C-101B-9397-08002B2CF9AE}" pid="11" name="Mendeley Recent Style Name 3_1">
    <vt:lpwstr>European Urology</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http://www.zotero.org/styles/pediatric-allergy-and-immunology</vt:lpwstr>
  </property>
  <property fmtid="{D5CDD505-2E9C-101B-9397-08002B2CF9AE}" pid="17" name="Mendeley Recent Style Name 6_1">
    <vt:lpwstr>Pediatric Allergy and Immunology</vt:lpwstr>
  </property>
  <property fmtid="{D5CDD505-2E9C-101B-9397-08002B2CF9AE}" pid="18" name="Mendeley Recent Style Id 7_1">
    <vt:lpwstr>http://www.zotero.org/styles/pediatric-infectious-disease</vt:lpwstr>
  </property>
  <property fmtid="{D5CDD505-2E9C-101B-9397-08002B2CF9AE}" pid="19" name="Mendeley Recent Style Name 7_1">
    <vt:lpwstr>Pediatric Infectious Disease</vt:lpwstr>
  </property>
  <property fmtid="{D5CDD505-2E9C-101B-9397-08002B2CF9AE}" pid="20" name="Mendeley Recent Style Id 8_1">
    <vt:lpwstr>http://www.zotero.org/styles/pediatric-nephrology</vt:lpwstr>
  </property>
  <property fmtid="{D5CDD505-2E9C-101B-9397-08002B2CF9AE}" pid="21" name="Mendeley Recent Style Name 8_1">
    <vt:lpwstr>Pediatric Nephrology</vt:lpwstr>
  </property>
  <property fmtid="{D5CDD505-2E9C-101B-9397-08002B2CF9AE}" pid="22" name="Mendeley Recent Style Id 9_1">
    <vt:lpwstr>http://www.zotero.org/styles/the-journal-of-urology</vt:lpwstr>
  </property>
  <property fmtid="{D5CDD505-2E9C-101B-9397-08002B2CF9AE}" pid="23" name="Mendeley Recent Style Name 9_1">
    <vt:lpwstr>The Journal of Urology</vt:lpwstr>
  </property>
  <property fmtid="{D5CDD505-2E9C-101B-9397-08002B2CF9AE}" pid="24" name="Mendeley Citation Style_1">
    <vt:lpwstr>http://www.zotero.org/styles/world-journal-of-gastroenterology</vt:lpwstr>
  </property>
</Properties>
</file>