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793B9E" w14:textId="77777777" w:rsidR="00977E81" w:rsidRPr="005D68FE" w:rsidRDefault="00977E81" w:rsidP="005D68FE">
      <w:pPr>
        <w:snapToGrid w:val="0"/>
        <w:spacing w:line="360" w:lineRule="auto"/>
        <w:ind w:right="187"/>
        <w:jc w:val="both"/>
        <w:rPr>
          <w:rFonts w:ascii="Book Antiqua" w:hAnsi="Book Antiqua"/>
          <w:color w:val="000000" w:themeColor="text1"/>
          <w:sz w:val="24"/>
          <w:szCs w:val="24"/>
        </w:rPr>
      </w:pPr>
      <w:bookmarkStart w:id="0" w:name="0Title"/>
      <w:r w:rsidRPr="005D68FE">
        <w:rPr>
          <w:rFonts w:ascii="Book Antiqua" w:hAnsi="Book Antiqua"/>
          <w:b/>
          <w:color w:val="000000" w:themeColor="text1"/>
          <w:sz w:val="24"/>
          <w:szCs w:val="24"/>
        </w:rPr>
        <w:t>Name of Journal</w:t>
      </w:r>
      <w:r w:rsidRPr="005D68FE">
        <w:rPr>
          <w:rFonts w:ascii="Book Antiqua" w:hAnsi="Book Antiqua"/>
          <w:color w:val="000000" w:themeColor="text1"/>
          <w:sz w:val="24"/>
          <w:szCs w:val="24"/>
        </w:rPr>
        <w:t xml:space="preserve">: </w:t>
      </w:r>
      <w:r w:rsidRPr="005D68FE">
        <w:rPr>
          <w:rFonts w:ascii="Book Antiqua" w:hAnsi="Book Antiqua"/>
          <w:i/>
          <w:color w:val="000000" w:themeColor="text1"/>
          <w:sz w:val="24"/>
          <w:szCs w:val="24"/>
        </w:rPr>
        <w:t>World Journal of Stem Cells</w:t>
      </w:r>
    </w:p>
    <w:p w14:paraId="71516CCA" w14:textId="1610A9A1" w:rsidR="00E0228B" w:rsidRPr="005D68FE" w:rsidRDefault="00E0228B" w:rsidP="005D68FE">
      <w:pPr>
        <w:snapToGrid w:val="0"/>
        <w:spacing w:line="360" w:lineRule="auto"/>
        <w:ind w:rightChars="65" w:right="130"/>
        <w:jc w:val="both"/>
        <w:rPr>
          <w:rFonts w:ascii="Book Antiqua" w:hAnsi="Book Antiqua"/>
          <w:color w:val="000000" w:themeColor="text1"/>
          <w:sz w:val="24"/>
          <w:szCs w:val="24"/>
        </w:rPr>
      </w:pPr>
      <w:r w:rsidRPr="005D68FE">
        <w:rPr>
          <w:rFonts w:ascii="Book Antiqua" w:eastAsia="Book Antiqua" w:hAnsi="Book Antiqua"/>
          <w:b/>
          <w:color w:val="000000" w:themeColor="text1"/>
          <w:sz w:val="24"/>
          <w:szCs w:val="24"/>
        </w:rPr>
        <w:t xml:space="preserve">Manuscript NO: </w:t>
      </w:r>
      <w:r w:rsidRPr="005D68FE">
        <w:rPr>
          <w:rFonts w:ascii="Book Antiqua" w:hAnsi="Book Antiqua"/>
          <w:color w:val="000000" w:themeColor="text1"/>
          <w:sz w:val="24"/>
          <w:szCs w:val="24"/>
        </w:rPr>
        <w:t>46865</w:t>
      </w:r>
    </w:p>
    <w:p w14:paraId="3361F37F" w14:textId="77777777" w:rsidR="000C6A9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color w:val="000000" w:themeColor="text1"/>
          <w:sz w:val="24"/>
          <w:szCs w:val="24"/>
        </w:rPr>
        <w:t>Manuscript Type</w:t>
      </w:r>
      <w:r w:rsidRPr="005D68FE">
        <w:rPr>
          <w:rFonts w:ascii="Book Antiqua" w:hAnsi="Book Antiqua"/>
          <w:color w:val="000000" w:themeColor="text1"/>
          <w:sz w:val="24"/>
          <w:szCs w:val="24"/>
        </w:rPr>
        <w:t xml:space="preserve">: </w:t>
      </w:r>
      <w:r w:rsidR="000C6A91" w:rsidRPr="005D68FE">
        <w:rPr>
          <w:rFonts w:ascii="Book Antiqua" w:hAnsi="Book Antiqua"/>
          <w:color w:val="000000" w:themeColor="text1"/>
          <w:sz w:val="24"/>
          <w:szCs w:val="24"/>
        </w:rPr>
        <w:t>ORIGINAL ARTICLE</w:t>
      </w:r>
    </w:p>
    <w:p w14:paraId="254AC23A" w14:textId="77777777" w:rsidR="000C6A91" w:rsidRPr="005D68FE" w:rsidRDefault="000C6A91" w:rsidP="005D68FE">
      <w:pPr>
        <w:snapToGrid w:val="0"/>
        <w:spacing w:line="360" w:lineRule="auto"/>
        <w:ind w:right="187"/>
        <w:jc w:val="both"/>
        <w:rPr>
          <w:rFonts w:ascii="Book Antiqua" w:hAnsi="Book Antiqua"/>
          <w:color w:val="000000" w:themeColor="text1"/>
          <w:sz w:val="24"/>
          <w:szCs w:val="24"/>
        </w:rPr>
      </w:pPr>
    </w:p>
    <w:p w14:paraId="3B8A9E39" w14:textId="77777777" w:rsidR="005E7A99" w:rsidRPr="005D68FE" w:rsidRDefault="000C6A91" w:rsidP="005D68FE">
      <w:pPr>
        <w:snapToGrid w:val="0"/>
        <w:spacing w:line="360" w:lineRule="auto"/>
        <w:ind w:right="187"/>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Basic Study</w:t>
      </w:r>
      <w:bookmarkStart w:id="1" w:name="_Hlk535265467"/>
    </w:p>
    <w:p w14:paraId="3C414090" w14:textId="518A23C2" w:rsidR="00977E81" w:rsidRPr="005D68FE" w:rsidRDefault="00977E81" w:rsidP="005D68FE">
      <w:pPr>
        <w:snapToGrid w:val="0"/>
        <w:spacing w:line="360" w:lineRule="auto"/>
        <w:ind w:right="187"/>
        <w:jc w:val="both"/>
        <w:rPr>
          <w:rFonts w:ascii="Book Antiqua" w:hAnsi="Book Antiqua"/>
          <w:b/>
          <w:color w:val="000000" w:themeColor="text1"/>
          <w:sz w:val="24"/>
          <w:szCs w:val="24"/>
        </w:rPr>
      </w:pPr>
      <w:bookmarkStart w:id="2" w:name="OLE_LINK4"/>
      <w:r w:rsidRPr="005D68FE">
        <w:rPr>
          <w:rFonts w:ascii="Book Antiqua" w:hAnsi="Book Antiqua"/>
          <w:b/>
          <w:color w:val="000000" w:themeColor="text1"/>
          <w:sz w:val="24"/>
          <w:szCs w:val="24"/>
        </w:rPr>
        <w:t>Enhanced hepatic differentiation in the subpopulation of human amniotic stem cells under 3D multicellular microenvironment</w:t>
      </w:r>
    </w:p>
    <w:bookmarkEnd w:id="1"/>
    <w:bookmarkEnd w:id="2"/>
    <w:p w14:paraId="2E56A071" w14:textId="77777777" w:rsidR="00977E81" w:rsidRPr="005D68FE" w:rsidRDefault="00977E81" w:rsidP="005D68FE">
      <w:pPr>
        <w:snapToGrid w:val="0"/>
        <w:spacing w:line="360" w:lineRule="auto"/>
        <w:ind w:right="187"/>
        <w:jc w:val="both"/>
        <w:rPr>
          <w:rFonts w:ascii="Book Antiqua" w:hAnsi="Book Antiqua"/>
          <w:color w:val="000000" w:themeColor="text1"/>
          <w:sz w:val="24"/>
          <w:szCs w:val="24"/>
        </w:rPr>
      </w:pPr>
    </w:p>
    <w:p w14:paraId="4C55D782" w14:textId="77777777" w:rsidR="00977E81" w:rsidRPr="005D68FE" w:rsidRDefault="00977E81" w:rsidP="005D68FE">
      <w:pPr>
        <w:snapToGrid w:val="0"/>
        <w:spacing w:line="360" w:lineRule="auto"/>
        <w:ind w:right="187"/>
        <w:jc w:val="both"/>
        <w:rPr>
          <w:rFonts w:ascii="Book Antiqua" w:hAnsi="Book Antiqua"/>
          <w:bCs/>
          <w:color w:val="000000" w:themeColor="text1"/>
          <w:sz w:val="24"/>
          <w:szCs w:val="24"/>
        </w:rPr>
      </w:pPr>
      <w:r w:rsidRPr="005D68FE">
        <w:rPr>
          <w:rFonts w:ascii="Book Antiqua" w:hAnsi="Book Antiqua"/>
          <w:bCs/>
          <w:color w:val="000000" w:themeColor="text1"/>
          <w:sz w:val="24"/>
          <w:szCs w:val="24"/>
        </w:rPr>
        <w:t xml:space="preserve">Furuya K </w:t>
      </w:r>
      <w:r w:rsidRPr="005D68FE">
        <w:rPr>
          <w:rFonts w:ascii="Book Antiqua" w:hAnsi="Book Antiqua"/>
          <w:bCs/>
          <w:i/>
          <w:color w:val="000000" w:themeColor="text1"/>
          <w:sz w:val="24"/>
          <w:szCs w:val="24"/>
        </w:rPr>
        <w:t>et al</w:t>
      </w:r>
      <w:r w:rsidRPr="005D68FE">
        <w:rPr>
          <w:rFonts w:ascii="Book Antiqua" w:hAnsi="Book Antiqua"/>
          <w:bCs/>
          <w:color w:val="000000" w:themeColor="text1"/>
          <w:sz w:val="24"/>
          <w:szCs w:val="24"/>
        </w:rPr>
        <w:t xml:space="preserve">. </w:t>
      </w:r>
      <w:bookmarkStart w:id="3" w:name="OLE_LINK3"/>
      <w:r w:rsidRPr="005D68FE">
        <w:rPr>
          <w:rFonts w:ascii="Book Antiqua" w:hAnsi="Book Antiqua"/>
          <w:bCs/>
          <w:color w:val="000000" w:themeColor="text1"/>
          <w:sz w:val="24"/>
          <w:szCs w:val="24"/>
        </w:rPr>
        <w:t>Hepatic differentiation from amniotic stem cells</w:t>
      </w:r>
    </w:p>
    <w:bookmarkEnd w:id="3"/>
    <w:p w14:paraId="14396282" w14:textId="77777777" w:rsidR="00977E81" w:rsidRPr="005D68FE" w:rsidRDefault="00977E81" w:rsidP="005D68FE">
      <w:pPr>
        <w:snapToGrid w:val="0"/>
        <w:spacing w:line="360" w:lineRule="auto"/>
        <w:ind w:right="187"/>
        <w:jc w:val="both"/>
        <w:rPr>
          <w:rFonts w:ascii="Book Antiqua" w:hAnsi="Book Antiqua"/>
          <w:color w:val="000000" w:themeColor="text1"/>
          <w:sz w:val="24"/>
          <w:szCs w:val="24"/>
        </w:rPr>
      </w:pPr>
    </w:p>
    <w:p w14:paraId="18903904" w14:textId="56622F34" w:rsidR="00977E81" w:rsidRPr="005D68FE" w:rsidRDefault="00977E81" w:rsidP="005D68FE">
      <w:pPr>
        <w:snapToGrid w:val="0"/>
        <w:spacing w:line="360" w:lineRule="auto"/>
        <w:ind w:right="187"/>
        <w:jc w:val="both"/>
        <w:rPr>
          <w:rFonts w:ascii="Book Antiqua" w:hAnsi="Book Antiqua"/>
          <w:bCs/>
          <w:color w:val="000000" w:themeColor="text1"/>
          <w:sz w:val="24"/>
          <w:szCs w:val="24"/>
        </w:rPr>
      </w:pPr>
      <w:r w:rsidRPr="005D68FE">
        <w:rPr>
          <w:rFonts w:ascii="Book Antiqua" w:hAnsi="Book Antiqua"/>
          <w:bCs/>
          <w:color w:val="000000" w:themeColor="text1"/>
          <w:sz w:val="24"/>
          <w:szCs w:val="24"/>
        </w:rPr>
        <w:t>Kinji Furuya, Yun-Wen Zheng, Daisuke Sako, Kenichi Iwasaki, Dong-Xu Zheng, Jian-Yun Ge, Li-Ping Liu, Tomoaki Furuta, Kazunori Akimoto, Hiroya Yagi, Hiromi Hamada, Hiroko Isoda, Tatsuya Oda, Nobuhiro Ohkohchi</w:t>
      </w:r>
    </w:p>
    <w:p w14:paraId="1115E2D5" w14:textId="322091CE" w:rsidR="00977E81" w:rsidRPr="005D68FE" w:rsidRDefault="00977E81" w:rsidP="005D68FE">
      <w:pPr>
        <w:snapToGrid w:val="0"/>
        <w:spacing w:line="360" w:lineRule="auto"/>
        <w:ind w:right="187"/>
        <w:jc w:val="both"/>
        <w:rPr>
          <w:rFonts w:ascii="Book Antiqua" w:hAnsi="Book Antiqua"/>
          <w:b/>
          <w:color w:val="000000" w:themeColor="text1"/>
          <w:sz w:val="24"/>
          <w:szCs w:val="24"/>
        </w:rPr>
      </w:pPr>
    </w:p>
    <w:p w14:paraId="0FABADB2" w14:textId="7AA0388F"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color w:val="000000" w:themeColor="text1"/>
          <w:sz w:val="24"/>
          <w:szCs w:val="24"/>
        </w:rPr>
        <w:t>Kinji Furuya, Yun-Wen Zheng,</w:t>
      </w:r>
      <w:r w:rsidRPr="005D68FE">
        <w:rPr>
          <w:rFonts w:ascii="Book Antiqua" w:hAnsi="Book Antiqua"/>
          <w:color w:val="000000" w:themeColor="text1"/>
          <w:sz w:val="24"/>
          <w:szCs w:val="24"/>
        </w:rPr>
        <w:t xml:space="preserve"> </w:t>
      </w:r>
      <w:r w:rsidRPr="005D68FE">
        <w:rPr>
          <w:rFonts w:ascii="Book Antiqua" w:hAnsi="Book Antiqua"/>
          <w:b/>
          <w:color w:val="000000" w:themeColor="text1"/>
          <w:sz w:val="24"/>
          <w:szCs w:val="24"/>
        </w:rPr>
        <w:t xml:space="preserve">Daisuke Sako, Kenichi Iwasaki, Dong-Xu Zheng, Jian-Yun Ge, Li-Ping Liu, Tomoaki Furuta, Tatsuya Oda, Nobuhiro Ohkohchi, </w:t>
      </w:r>
      <w:r w:rsidRPr="005D68FE">
        <w:rPr>
          <w:rFonts w:ascii="Book Antiqua" w:hAnsi="Book Antiqua"/>
          <w:color w:val="000000" w:themeColor="text1"/>
          <w:sz w:val="24"/>
          <w:szCs w:val="24"/>
        </w:rPr>
        <w:t>Department of Gastrointestinal and Hepato-Biliary-Pancreatic Surgery, Faculty of Medicine, University of Tsukuba, Tsukuba, Ibaraki</w:t>
      </w:r>
      <w:r w:rsidR="00890BDE"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3058575, Japan</w:t>
      </w:r>
    </w:p>
    <w:p w14:paraId="4C290E0F" w14:textId="77777777" w:rsidR="000C6A91" w:rsidRPr="005D68FE" w:rsidRDefault="000C6A91" w:rsidP="005D68FE">
      <w:pPr>
        <w:snapToGrid w:val="0"/>
        <w:spacing w:line="360" w:lineRule="auto"/>
        <w:ind w:right="187"/>
        <w:jc w:val="both"/>
        <w:rPr>
          <w:rFonts w:ascii="Book Antiqua" w:hAnsi="Book Antiqua"/>
          <w:color w:val="000000" w:themeColor="text1"/>
          <w:sz w:val="24"/>
          <w:szCs w:val="24"/>
        </w:rPr>
      </w:pPr>
    </w:p>
    <w:p w14:paraId="48332E80" w14:textId="0CCF02E7"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color w:val="000000" w:themeColor="text1"/>
          <w:sz w:val="24"/>
          <w:szCs w:val="24"/>
        </w:rPr>
        <w:t>Yun-Wen Zheng,</w:t>
      </w:r>
      <w:r w:rsidRPr="005D68FE">
        <w:rPr>
          <w:rFonts w:ascii="Book Antiqua" w:hAnsi="Book Antiqua"/>
          <w:color w:val="000000" w:themeColor="text1"/>
          <w:sz w:val="24"/>
          <w:szCs w:val="24"/>
        </w:rPr>
        <w:t xml:space="preserve"> </w:t>
      </w:r>
      <w:r w:rsidRPr="005D68FE">
        <w:rPr>
          <w:rFonts w:ascii="Book Antiqua" w:hAnsi="Book Antiqua"/>
          <w:b/>
          <w:color w:val="000000" w:themeColor="text1"/>
          <w:sz w:val="24"/>
          <w:szCs w:val="24"/>
        </w:rPr>
        <w:t xml:space="preserve">Li-Ping Liu, </w:t>
      </w:r>
      <w:r w:rsidRPr="005D68FE">
        <w:rPr>
          <w:rFonts w:ascii="Book Antiqua" w:hAnsi="Book Antiqua"/>
          <w:color w:val="000000" w:themeColor="text1"/>
          <w:sz w:val="24"/>
          <w:szCs w:val="24"/>
        </w:rPr>
        <w:t xml:space="preserve">Institute of Regenerative Medicine </w:t>
      </w:r>
      <w:r w:rsidR="000C6A91" w:rsidRPr="005D68FE">
        <w:rPr>
          <w:rFonts w:ascii="Book Antiqua" w:hAnsi="Book Antiqua"/>
          <w:color w:val="000000" w:themeColor="text1"/>
          <w:sz w:val="24"/>
          <w:szCs w:val="24"/>
        </w:rPr>
        <w:t xml:space="preserve">and </w:t>
      </w:r>
      <w:r w:rsidRPr="005D68FE">
        <w:rPr>
          <w:rFonts w:ascii="Book Antiqua" w:hAnsi="Book Antiqua"/>
          <w:color w:val="000000" w:themeColor="text1"/>
          <w:sz w:val="24"/>
          <w:szCs w:val="24"/>
        </w:rPr>
        <w:t>Affiliated Hospital, Jiangsu University, Zhenjiang</w:t>
      </w:r>
      <w:r w:rsidR="00890BDE" w:rsidRPr="005D68FE">
        <w:rPr>
          <w:rFonts w:ascii="Book Antiqua" w:hAnsi="Book Antiqua"/>
          <w:color w:val="000000" w:themeColor="text1"/>
          <w:sz w:val="24"/>
          <w:szCs w:val="24"/>
        </w:rPr>
        <w:t xml:space="preserve"> </w:t>
      </w:r>
      <w:r w:rsidR="00D27BCA" w:rsidRPr="005D68FE">
        <w:rPr>
          <w:rFonts w:ascii="Book Antiqua" w:eastAsia="DengXian" w:hAnsi="Book Antiqua"/>
          <w:color w:val="000000" w:themeColor="text1"/>
          <w:sz w:val="24"/>
          <w:szCs w:val="24"/>
          <w:lang w:eastAsia="zh-CN"/>
        </w:rPr>
        <w:t>212001</w:t>
      </w:r>
      <w:r w:rsidRPr="005D68FE">
        <w:rPr>
          <w:rFonts w:ascii="Book Antiqua" w:hAnsi="Book Antiqua"/>
          <w:color w:val="000000" w:themeColor="text1"/>
          <w:sz w:val="24"/>
          <w:szCs w:val="24"/>
        </w:rPr>
        <w:t>,</w:t>
      </w:r>
      <w:r w:rsidR="000C6A91" w:rsidRPr="005D68FE">
        <w:rPr>
          <w:rFonts w:ascii="Book Antiqua" w:hAnsi="Book Antiqua"/>
          <w:color w:val="000000" w:themeColor="text1"/>
          <w:sz w:val="24"/>
          <w:szCs w:val="24"/>
        </w:rPr>
        <w:t xml:space="preserve"> Jiangsu Province,</w:t>
      </w:r>
      <w:r w:rsidRPr="005D68FE">
        <w:rPr>
          <w:rFonts w:ascii="Book Antiqua" w:hAnsi="Book Antiqua"/>
          <w:color w:val="000000" w:themeColor="text1"/>
          <w:sz w:val="24"/>
          <w:szCs w:val="24"/>
        </w:rPr>
        <w:t xml:space="preserve"> China</w:t>
      </w:r>
    </w:p>
    <w:p w14:paraId="38B9D421" w14:textId="77777777" w:rsidR="000C6A91" w:rsidRPr="005D68FE" w:rsidRDefault="000C6A91" w:rsidP="005D68FE">
      <w:pPr>
        <w:snapToGrid w:val="0"/>
        <w:spacing w:line="360" w:lineRule="auto"/>
        <w:ind w:right="187"/>
        <w:jc w:val="both"/>
        <w:rPr>
          <w:rFonts w:ascii="Book Antiqua" w:hAnsi="Book Antiqua"/>
          <w:color w:val="000000" w:themeColor="text1"/>
          <w:sz w:val="24"/>
          <w:szCs w:val="24"/>
        </w:rPr>
      </w:pPr>
    </w:p>
    <w:p w14:paraId="6E8BBE1D" w14:textId="3606ADBA"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color w:val="000000" w:themeColor="text1"/>
          <w:sz w:val="24"/>
          <w:szCs w:val="24"/>
        </w:rPr>
        <w:t xml:space="preserve">Yun-Wen Zheng, </w:t>
      </w:r>
      <w:r w:rsidRPr="005D68FE">
        <w:rPr>
          <w:rFonts w:ascii="Book Antiqua" w:hAnsi="Book Antiqua"/>
          <w:color w:val="000000" w:themeColor="text1"/>
          <w:sz w:val="24"/>
          <w:szCs w:val="24"/>
        </w:rPr>
        <w:t>Department of Regenerative Medicine, School of Medicine, Yokohama City University, Yokohama</w:t>
      </w:r>
      <w:r w:rsidR="00890BDE" w:rsidRPr="005D68FE">
        <w:rPr>
          <w:rFonts w:ascii="Book Antiqua" w:hAnsi="Book Antiqua" w:cs="Arial"/>
          <w:color w:val="000000" w:themeColor="text1"/>
          <w:sz w:val="24"/>
          <w:szCs w:val="24"/>
          <w:shd w:val="clear" w:color="auto" w:fill="FFFFFF"/>
        </w:rPr>
        <w:t xml:space="preserve"> </w:t>
      </w:r>
      <w:r w:rsidR="00C62A86" w:rsidRPr="005D68FE">
        <w:rPr>
          <w:rFonts w:ascii="Book Antiqua" w:hAnsi="Book Antiqua" w:cs="Arial"/>
          <w:color w:val="000000" w:themeColor="text1"/>
          <w:sz w:val="24"/>
          <w:szCs w:val="24"/>
          <w:shd w:val="clear" w:color="auto" w:fill="FFFFFF"/>
        </w:rPr>
        <w:t>2</w:t>
      </w:r>
      <w:r w:rsidR="00444920" w:rsidRPr="005D68FE">
        <w:rPr>
          <w:rFonts w:ascii="Book Antiqua" w:hAnsi="Book Antiqua" w:cs="Arial"/>
          <w:color w:val="000000" w:themeColor="text1"/>
          <w:sz w:val="24"/>
          <w:szCs w:val="24"/>
          <w:shd w:val="clear" w:color="auto" w:fill="FFFFFF"/>
        </w:rPr>
        <w:t>360004</w:t>
      </w:r>
      <w:r w:rsidRPr="005D68FE">
        <w:rPr>
          <w:rFonts w:ascii="Book Antiqua" w:hAnsi="Book Antiqua"/>
          <w:color w:val="000000" w:themeColor="text1"/>
          <w:sz w:val="24"/>
          <w:szCs w:val="24"/>
        </w:rPr>
        <w:t>, Japan</w:t>
      </w:r>
    </w:p>
    <w:p w14:paraId="4C9FB89E" w14:textId="77777777" w:rsidR="000C6A91" w:rsidRPr="005D68FE" w:rsidRDefault="000C6A91" w:rsidP="005D68FE">
      <w:pPr>
        <w:snapToGrid w:val="0"/>
        <w:spacing w:line="360" w:lineRule="auto"/>
        <w:ind w:right="187"/>
        <w:jc w:val="both"/>
        <w:rPr>
          <w:rFonts w:ascii="Book Antiqua" w:hAnsi="Book Antiqua"/>
          <w:color w:val="000000" w:themeColor="text1"/>
          <w:sz w:val="24"/>
          <w:szCs w:val="24"/>
        </w:rPr>
      </w:pPr>
    </w:p>
    <w:p w14:paraId="020941AB" w14:textId="1DEF23BA"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color w:val="000000" w:themeColor="text1"/>
          <w:sz w:val="24"/>
          <w:szCs w:val="24"/>
        </w:rPr>
        <w:t xml:space="preserve">Daisuke Sako, Kazunori Akimoto, </w:t>
      </w:r>
      <w:r w:rsidRPr="005D68FE">
        <w:rPr>
          <w:rFonts w:ascii="Book Antiqua" w:hAnsi="Book Antiqua"/>
          <w:color w:val="000000" w:themeColor="text1"/>
          <w:sz w:val="24"/>
          <w:szCs w:val="24"/>
        </w:rPr>
        <w:t xml:space="preserve">Department of Medicinal and Life Sciences, Faculty of Pharmaceutical Sciences, Tokyo University of Science, </w:t>
      </w:r>
      <w:r w:rsidR="00244801" w:rsidRPr="005D68FE">
        <w:rPr>
          <w:rFonts w:ascii="Book Antiqua" w:hAnsi="Book Antiqua"/>
          <w:color w:val="000000" w:themeColor="text1"/>
          <w:sz w:val="24"/>
          <w:szCs w:val="24"/>
        </w:rPr>
        <w:t>Noda</w:t>
      </w:r>
      <w:r w:rsidR="00890BDE" w:rsidRPr="005D68FE">
        <w:rPr>
          <w:rFonts w:ascii="Book Antiqua" w:hAnsi="Book Antiqua"/>
          <w:color w:val="000000" w:themeColor="text1"/>
          <w:sz w:val="24"/>
          <w:szCs w:val="24"/>
        </w:rPr>
        <w:t xml:space="preserve"> </w:t>
      </w:r>
      <w:r w:rsidR="00890BDE" w:rsidRPr="005D68FE">
        <w:rPr>
          <w:rFonts w:ascii="Book Antiqua" w:hAnsi="Book Antiqua" w:cs="Arial"/>
          <w:color w:val="000000" w:themeColor="text1"/>
          <w:sz w:val="24"/>
          <w:szCs w:val="24"/>
          <w:shd w:val="clear" w:color="auto" w:fill="FFFFFF"/>
        </w:rPr>
        <w:t>27885</w:t>
      </w:r>
      <w:r w:rsidR="00444920" w:rsidRPr="005D68FE">
        <w:rPr>
          <w:rFonts w:ascii="Book Antiqua" w:hAnsi="Book Antiqua" w:cs="Arial"/>
          <w:color w:val="000000" w:themeColor="text1"/>
          <w:sz w:val="24"/>
          <w:szCs w:val="24"/>
          <w:shd w:val="clear" w:color="auto" w:fill="FFFFFF"/>
        </w:rPr>
        <w:t>1</w:t>
      </w:r>
      <w:r w:rsidR="00890BDE" w:rsidRPr="005D68FE">
        <w:rPr>
          <w:rFonts w:ascii="Book Antiqua" w:hAnsi="Book Antiqua" w:cs="Arial"/>
          <w:color w:val="000000" w:themeColor="text1"/>
          <w:sz w:val="24"/>
          <w:szCs w:val="24"/>
          <w:shd w:val="clear" w:color="auto" w:fill="FFFFFF"/>
        </w:rPr>
        <w:t>0</w:t>
      </w:r>
      <w:r w:rsidRPr="005D68FE">
        <w:rPr>
          <w:rFonts w:ascii="Book Antiqua" w:hAnsi="Book Antiqua"/>
          <w:color w:val="000000" w:themeColor="text1"/>
          <w:sz w:val="24"/>
          <w:szCs w:val="24"/>
        </w:rPr>
        <w:t>, Japan</w:t>
      </w:r>
    </w:p>
    <w:p w14:paraId="41DD9F3A" w14:textId="77777777" w:rsidR="000C6A91" w:rsidRPr="005D68FE" w:rsidRDefault="000C6A91" w:rsidP="005D68FE">
      <w:pPr>
        <w:snapToGrid w:val="0"/>
        <w:spacing w:line="360" w:lineRule="auto"/>
        <w:ind w:right="187"/>
        <w:jc w:val="both"/>
        <w:rPr>
          <w:rFonts w:ascii="Book Antiqua" w:hAnsi="Book Antiqua"/>
          <w:color w:val="000000" w:themeColor="text1"/>
          <w:sz w:val="24"/>
          <w:szCs w:val="24"/>
        </w:rPr>
      </w:pPr>
    </w:p>
    <w:p w14:paraId="3828FC96" w14:textId="5FB15052"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color w:val="000000" w:themeColor="text1"/>
          <w:sz w:val="24"/>
          <w:szCs w:val="24"/>
        </w:rPr>
        <w:t>Hiroya Yagi, Hiromi Hamada,</w:t>
      </w:r>
      <w:r w:rsidRPr="005D68FE">
        <w:rPr>
          <w:rFonts w:ascii="Book Antiqua" w:hAnsi="Book Antiqua"/>
          <w:color w:val="000000" w:themeColor="text1"/>
          <w:sz w:val="24"/>
          <w:szCs w:val="24"/>
        </w:rPr>
        <w:t xml:space="preserve"> Department of Obstetrics and Gynecology, Faculty of Medicine, University of Tsukuba, Tsukuba</w:t>
      </w:r>
      <w:r w:rsidR="00890BDE" w:rsidRPr="005D68FE">
        <w:rPr>
          <w:rFonts w:ascii="Book Antiqua" w:hAnsi="Book Antiqua" w:cs="Arial"/>
          <w:color w:val="000000" w:themeColor="text1"/>
          <w:sz w:val="24"/>
          <w:szCs w:val="24"/>
          <w:shd w:val="clear" w:color="auto" w:fill="FFFFFF"/>
        </w:rPr>
        <w:t xml:space="preserve"> 305</w:t>
      </w:r>
      <w:r w:rsidR="00444920" w:rsidRPr="005D68FE">
        <w:rPr>
          <w:rFonts w:ascii="Book Antiqua" w:hAnsi="Book Antiqua" w:cs="Arial"/>
          <w:color w:val="000000" w:themeColor="text1"/>
          <w:sz w:val="24"/>
          <w:szCs w:val="24"/>
          <w:shd w:val="clear" w:color="auto" w:fill="FFFFFF"/>
        </w:rPr>
        <w:t>8575</w:t>
      </w:r>
      <w:r w:rsidRPr="005D68FE">
        <w:rPr>
          <w:rFonts w:ascii="Book Antiqua" w:hAnsi="Book Antiqua"/>
          <w:color w:val="000000" w:themeColor="text1"/>
          <w:sz w:val="24"/>
          <w:szCs w:val="24"/>
        </w:rPr>
        <w:t>, Japan</w:t>
      </w:r>
    </w:p>
    <w:p w14:paraId="1945C7F1" w14:textId="77777777" w:rsidR="000C6A91" w:rsidRPr="005D68FE" w:rsidRDefault="000C6A91" w:rsidP="005D68FE">
      <w:pPr>
        <w:snapToGrid w:val="0"/>
        <w:spacing w:line="360" w:lineRule="auto"/>
        <w:ind w:right="187"/>
        <w:jc w:val="both"/>
        <w:rPr>
          <w:rFonts w:ascii="Book Antiqua" w:hAnsi="Book Antiqua"/>
          <w:color w:val="000000" w:themeColor="text1"/>
          <w:sz w:val="24"/>
          <w:szCs w:val="24"/>
        </w:rPr>
      </w:pPr>
    </w:p>
    <w:p w14:paraId="176EDA91" w14:textId="41449221"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color w:val="000000" w:themeColor="text1"/>
          <w:sz w:val="24"/>
          <w:szCs w:val="24"/>
        </w:rPr>
        <w:t xml:space="preserve">Hiroko Isoda, </w:t>
      </w:r>
      <w:r w:rsidRPr="005D68FE">
        <w:rPr>
          <w:rFonts w:ascii="Book Antiqua" w:hAnsi="Book Antiqua"/>
          <w:color w:val="000000" w:themeColor="text1"/>
          <w:sz w:val="24"/>
          <w:szCs w:val="24"/>
        </w:rPr>
        <w:t>Faculty of Life and Environmental Sciences, University of Tsukuba, Tsukuba</w:t>
      </w:r>
      <w:r w:rsidR="00890BDE" w:rsidRPr="005D68FE">
        <w:rPr>
          <w:rFonts w:ascii="Book Antiqua" w:hAnsi="Book Antiqua"/>
          <w:color w:val="000000" w:themeColor="text1"/>
          <w:sz w:val="24"/>
          <w:szCs w:val="24"/>
        </w:rPr>
        <w:t xml:space="preserve"> </w:t>
      </w:r>
      <w:r w:rsidR="00444920" w:rsidRPr="005D68FE">
        <w:rPr>
          <w:rFonts w:ascii="Book Antiqua" w:hAnsi="Book Antiqua" w:cs="Arial"/>
          <w:color w:val="000000" w:themeColor="text1"/>
          <w:sz w:val="24"/>
          <w:szCs w:val="24"/>
          <w:shd w:val="clear" w:color="auto" w:fill="FFFFFF"/>
        </w:rPr>
        <w:t>3058575</w:t>
      </w:r>
      <w:r w:rsidRPr="005D68FE">
        <w:rPr>
          <w:rFonts w:ascii="Book Antiqua" w:hAnsi="Book Antiqua"/>
          <w:color w:val="000000" w:themeColor="text1"/>
          <w:sz w:val="24"/>
          <w:szCs w:val="24"/>
        </w:rPr>
        <w:t>, Japan</w:t>
      </w:r>
    </w:p>
    <w:p w14:paraId="12C3AF84" w14:textId="77777777" w:rsidR="00977E81" w:rsidRPr="005D68FE" w:rsidRDefault="00977E81" w:rsidP="005D68FE">
      <w:pPr>
        <w:snapToGrid w:val="0"/>
        <w:spacing w:line="360" w:lineRule="auto"/>
        <w:ind w:right="187"/>
        <w:jc w:val="both"/>
        <w:rPr>
          <w:rFonts w:ascii="Book Antiqua" w:hAnsi="Book Antiqua"/>
          <w:color w:val="000000" w:themeColor="text1"/>
          <w:sz w:val="24"/>
          <w:szCs w:val="24"/>
        </w:rPr>
      </w:pPr>
    </w:p>
    <w:p w14:paraId="78310F53" w14:textId="0A3DC3E0" w:rsidR="00977E81" w:rsidRPr="005D68FE" w:rsidRDefault="00977E81" w:rsidP="005D68FE">
      <w:pPr>
        <w:snapToGrid w:val="0"/>
        <w:spacing w:line="360" w:lineRule="auto"/>
        <w:ind w:right="187"/>
        <w:jc w:val="both"/>
        <w:rPr>
          <w:rFonts w:ascii="Book Antiqua" w:hAnsi="Book Antiqua"/>
          <w:b/>
          <w:color w:val="000000" w:themeColor="text1"/>
          <w:sz w:val="24"/>
          <w:szCs w:val="24"/>
        </w:rPr>
      </w:pPr>
      <w:r w:rsidRPr="005D68FE">
        <w:rPr>
          <w:rFonts w:ascii="Book Antiqua" w:hAnsi="Book Antiqua"/>
          <w:b/>
          <w:color w:val="000000" w:themeColor="text1"/>
          <w:sz w:val="24"/>
          <w:szCs w:val="24"/>
        </w:rPr>
        <w:t xml:space="preserve">ORCID number: </w:t>
      </w:r>
      <w:r w:rsidRPr="005D68FE">
        <w:rPr>
          <w:rFonts w:ascii="Book Antiqua" w:hAnsi="Book Antiqua"/>
          <w:color w:val="000000" w:themeColor="text1"/>
          <w:sz w:val="24"/>
          <w:szCs w:val="24"/>
        </w:rPr>
        <w:t xml:space="preserve">Kinji Furuya (0000-0002-2630-3072); Yun-Wen Zheng (0000-0001-9002-3190); Daisuke </w:t>
      </w:r>
      <w:bookmarkStart w:id="4" w:name="OLE_LINK1"/>
      <w:r w:rsidRPr="005D68FE">
        <w:rPr>
          <w:rFonts w:ascii="Book Antiqua" w:hAnsi="Book Antiqua"/>
          <w:color w:val="000000" w:themeColor="text1"/>
          <w:sz w:val="24"/>
          <w:szCs w:val="24"/>
        </w:rPr>
        <w:t xml:space="preserve">Sako </w:t>
      </w:r>
      <w:bookmarkEnd w:id="4"/>
      <w:r w:rsidRPr="005D68FE">
        <w:rPr>
          <w:rFonts w:ascii="Book Antiqua" w:hAnsi="Book Antiqua"/>
          <w:color w:val="000000" w:themeColor="text1"/>
          <w:sz w:val="24"/>
          <w:szCs w:val="24"/>
        </w:rPr>
        <w:t>(0000-0002-3124-7343); Kenichi Iwasaki (0000-0002-8141-9983); Dong-Xu Zheng (0</w:t>
      </w:r>
      <w:r w:rsidR="005A3D98" w:rsidRPr="005D68FE">
        <w:rPr>
          <w:rFonts w:ascii="Book Antiqua" w:hAnsi="Book Antiqua"/>
          <w:color w:val="000000" w:themeColor="text1"/>
          <w:sz w:val="24"/>
          <w:szCs w:val="24"/>
        </w:rPr>
        <w:t>0</w:t>
      </w:r>
      <w:r w:rsidRPr="005D68FE">
        <w:rPr>
          <w:rFonts w:ascii="Book Antiqua" w:hAnsi="Book Antiqua"/>
          <w:color w:val="000000" w:themeColor="text1"/>
          <w:sz w:val="24"/>
          <w:szCs w:val="24"/>
        </w:rPr>
        <w:t>00-0001-6558-5589); Jian-Yun Ge (0000-0002-4890-0628); Li-Ping Liu (0000-0003-4445-8403); Tomoaki Furuta (0000-0001-8843-9605); Kazunori Akimoto (0000-0003-0618-1765); Hiroya Yagi (0000-0002-2231-3310); Hiromi Hamada (0000-0002-0560-7034); Hiroko Isoda (0000-0002-1399-9541); Tatsuya Oda (0000-0001-6115-0158); Nobuhiro Ohkohchi (0000-0003-2779-1247)</w:t>
      </w:r>
      <w:r w:rsidR="000C6A91" w:rsidRPr="005D68FE">
        <w:rPr>
          <w:rFonts w:ascii="Book Antiqua" w:hAnsi="Book Antiqua"/>
          <w:color w:val="000000" w:themeColor="text1"/>
          <w:sz w:val="24"/>
          <w:szCs w:val="24"/>
        </w:rPr>
        <w:t>.</w:t>
      </w:r>
    </w:p>
    <w:p w14:paraId="0D25E216" w14:textId="77777777" w:rsidR="00977E81" w:rsidRPr="005D68FE" w:rsidRDefault="00977E81" w:rsidP="005D68FE">
      <w:pPr>
        <w:snapToGrid w:val="0"/>
        <w:spacing w:line="360" w:lineRule="auto"/>
        <w:ind w:right="187"/>
        <w:jc w:val="both"/>
        <w:rPr>
          <w:rFonts w:ascii="Book Antiqua" w:hAnsi="Book Antiqua"/>
          <w:b/>
          <w:color w:val="000000" w:themeColor="text1"/>
          <w:sz w:val="24"/>
          <w:szCs w:val="24"/>
        </w:rPr>
      </w:pPr>
    </w:p>
    <w:p w14:paraId="015F0E15" w14:textId="36291360"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color w:val="000000" w:themeColor="text1"/>
          <w:sz w:val="24"/>
          <w:szCs w:val="24"/>
        </w:rPr>
        <w:t>Author contributions</w:t>
      </w:r>
      <w:r w:rsidRPr="005D68FE">
        <w:rPr>
          <w:rFonts w:ascii="Book Antiqua" w:hAnsi="Book Antiqua"/>
          <w:color w:val="000000" w:themeColor="text1"/>
          <w:sz w:val="24"/>
          <w:szCs w:val="24"/>
        </w:rPr>
        <w:t xml:space="preserve">: </w:t>
      </w:r>
      <w:r w:rsidR="000C6A91" w:rsidRPr="005D68FE">
        <w:rPr>
          <w:rFonts w:ascii="Book Antiqua" w:hAnsi="Book Antiqua"/>
          <w:color w:val="000000" w:themeColor="text1"/>
          <w:sz w:val="24"/>
          <w:szCs w:val="24"/>
        </w:rPr>
        <w:t xml:space="preserve">Furuya </w:t>
      </w:r>
      <w:r w:rsidRPr="005D68FE">
        <w:rPr>
          <w:rFonts w:ascii="Book Antiqua" w:hAnsi="Book Antiqua"/>
          <w:color w:val="000000" w:themeColor="text1"/>
          <w:sz w:val="24"/>
          <w:szCs w:val="24"/>
        </w:rPr>
        <w:t xml:space="preserve">K, </w:t>
      </w:r>
      <w:r w:rsidR="000C6A91" w:rsidRPr="005D68FE">
        <w:rPr>
          <w:rFonts w:ascii="Book Antiqua" w:hAnsi="Book Antiqua"/>
          <w:color w:val="000000" w:themeColor="text1"/>
          <w:sz w:val="24"/>
          <w:szCs w:val="24"/>
        </w:rPr>
        <w:t xml:space="preserve">Sako </w:t>
      </w:r>
      <w:r w:rsidRPr="005D68FE">
        <w:rPr>
          <w:rFonts w:ascii="Book Antiqua" w:hAnsi="Book Antiqua"/>
          <w:color w:val="000000" w:themeColor="text1"/>
          <w:sz w:val="24"/>
          <w:szCs w:val="24"/>
        </w:rPr>
        <w:t xml:space="preserve">D, </w:t>
      </w:r>
      <w:r w:rsidR="000C6A91" w:rsidRPr="005D68FE">
        <w:rPr>
          <w:rFonts w:ascii="Book Antiqua" w:hAnsi="Book Antiqua"/>
          <w:color w:val="000000" w:themeColor="text1"/>
          <w:sz w:val="24"/>
          <w:szCs w:val="24"/>
        </w:rPr>
        <w:t xml:space="preserve">Iwasaki </w:t>
      </w:r>
      <w:r w:rsidRPr="005D68FE">
        <w:rPr>
          <w:rFonts w:ascii="Book Antiqua" w:hAnsi="Book Antiqua"/>
          <w:color w:val="000000" w:themeColor="text1"/>
          <w:sz w:val="24"/>
          <w:szCs w:val="24"/>
        </w:rPr>
        <w:t xml:space="preserve">K, </w:t>
      </w:r>
      <w:r w:rsidR="000C6A91" w:rsidRPr="005D68FE">
        <w:rPr>
          <w:rFonts w:ascii="Book Antiqua" w:hAnsi="Book Antiqua"/>
          <w:color w:val="000000" w:themeColor="text1"/>
          <w:sz w:val="24"/>
          <w:szCs w:val="24"/>
        </w:rPr>
        <w:t xml:space="preserve">Ge </w:t>
      </w:r>
      <w:r w:rsidRPr="005D68FE">
        <w:rPr>
          <w:rFonts w:ascii="Book Antiqua" w:hAnsi="Book Antiqua"/>
          <w:color w:val="000000" w:themeColor="text1"/>
          <w:sz w:val="24"/>
          <w:szCs w:val="24"/>
        </w:rPr>
        <w:t xml:space="preserve">JY, </w:t>
      </w:r>
      <w:r w:rsidR="000C6A91" w:rsidRPr="005D68FE">
        <w:rPr>
          <w:rFonts w:ascii="Book Antiqua" w:hAnsi="Book Antiqua"/>
          <w:color w:val="000000" w:themeColor="text1"/>
          <w:sz w:val="24"/>
          <w:szCs w:val="24"/>
        </w:rPr>
        <w:t xml:space="preserve">Liu </w:t>
      </w:r>
      <w:r w:rsidRPr="005D68FE">
        <w:rPr>
          <w:rFonts w:ascii="Book Antiqua" w:hAnsi="Book Antiqua"/>
          <w:color w:val="000000" w:themeColor="text1"/>
          <w:sz w:val="24"/>
          <w:szCs w:val="24"/>
        </w:rPr>
        <w:t xml:space="preserve">LP and </w:t>
      </w:r>
      <w:r w:rsidR="000C6A91" w:rsidRPr="005D68FE">
        <w:rPr>
          <w:rFonts w:ascii="Book Antiqua" w:hAnsi="Book Antiqua"/>
          <w:color w:val="000000" w:themeColor="text1"/>
          <w:sz w:val="24"/>
          <w:szCs w:val="24"/>
        </w:rPr>
        <w:t xml:space="preserve">Furuta </w:t>
      </w:r>
      <w:r w:rsidRPr="005D68FE">
        <w:rPr>
          <w:rFonts w:ascii="Book Antiqua" w:hAnsi="Book Antiqua"/>
          <w:color w:val="000000" w:themeColor="text1"/>
          <w:sz w:val="24"/>
          <w:szCs w:val="24"/>
        </w:rPr>
        <w:t xml:space="preserve">T performed the experiments; </w:t>
      </w:r>
      <w:r w:rsidR="000C6A91" w:rsidRPr="005D68FE">
        <w:rPr>
          <w:rFonts w:ascii="Book Antiqua" w:hAnsi="Book Antiqua"/>
          <w:color w:val="000000" w:themeColor="text1"/>
          <w:sz w:val="24"/>
          <w:szCs w:val="24"/>
        </w:rPr>
        <w:t xml:space="preserve">Furuya </w:t>
      </w:r>
      <w:r w:rsidRPr="005D68FE">
        <w:rPr>
          <w:rFonts w:ascii="Book Antiqua" w:hAnsi="Book Antiqua"/>
          <w:color w:val="000000" w:themeColor="text1"/>
          <w:sz w:val="24"/>
          <w:szCs w:val="24"/>
        </w:rPr>
        <w:t xml:space="preserve">K, </w:t>
      </w:r>
      <w:r w:rsidR="000C6A91" w:rsidRPr="005D68FE">
        <w:rPr>
          <w:rFonts w:ascii="Book Antiqua" w:hAnsi="Book Antiqua"/>
          <w:color w:val="000000" w:themeColor="text1"/>
          <w:sz w:val="24"/>
          <w:szCs w:val="24"/>
        </w:rPr>
        <w:t xml:space="preserve">Sako </w:t>
      </w:r>
      <w:r w:rsidRPr="005D68FE">
        <w:rPr>
          <w:rFonts w:ascii="Book Antiqua" w:hAnsi="Book Antiqua"/>
          <w:color w:val="000000" w:themeColor="text1"/>
          <w:sz w:val="24"/>
          <w:szCs w:val="24"/>
        </w:rPr>
        <w:t xml:space="preserve">D and </w:t>
      </w:r>
      <w:r w:rsidR="000C6A91" w:rsidRPr="005D68FE">
        <w:rPr>
          <w:rFonts w:ascii="Book Antiqua" w:hAnsi="Book Antiqua"/>
          <w:color w:val="000000" w:themeColor="text1"/>
          <w:sz w:val="24"/>
          <w:szCs w:val="24"/>
        </w:rPr>
        <w:t xml:space="preserve">Iwasaki </w:t>
      </w:r>
      <w:r w:rsidRPr="005D68FE">
        <w:rPr>
          <w:rFonts w:ascii="Book Antiqua" w:hAnsi="Book Antiqua"/>
          <w:color w:val="000000" w:themeColor="text1"/>
          <w:sz w:val="24"/>
          <w:szCs w:val="24"/>
        </w:rPr>
        <w:t xml:space="preserve">K analyzed the data; </w:t>
      </w:r>
      <w:r w:rsidR="000C6A91" w:rsidRPr="005D68FE">
        <w:rPr>
          <w:rFonts w:ascii="Book Antiqua" w:hAnsi="Book Antiqua"/>
          <w:color w:val="000000" w:themeColor="text1"/>
          <w:sz w:val="24"/>
          <w:szCs w:val="24"/>
        </w:rPr>
        <w:t xml:space="preserve">Zheng </w:t>
      </w:r>
      <w:r w:rsidRPr="005D68FE">
        <w:rPr>
          <w:rFonts w:ascii="Book Antiqua" w:hAnsi="Book Antiqua"/>
          <w:color w:val="000000" w:themeColor="text1"/>
          <w:sz w:val="24"/>
          <w:szCs w:val="24"/>
        </w:rPr>
        <w:t xml:space="preserve">DX performed bioinformatics; </w:t>
      </w:r>
      <w:r w:rsidR="000C6A91" w:rsidRPr="005D68FE">
        <w:rPr>
          <w:rFonts w:ascii="Book Antiqua" w:hAnsi="Book Antiqua"/>
          <w:color w:val="000000" w:themeColor="text1"/>
          <w:sz w:val="24"/>
          <w:szCs w:val="24"/>
        </w:rPr>
        <w:t xml:space="preserve">Akimoto </w:t>
      </w:r>
      <w:r w:rsidRPr="005D68FE">
        <w:rPr>
          <w:rFonts w:ascii="Book Antiqua" w:hAnsi="Book Antiqua"/>
          <w:color w:val="000000" w:themeColor="text1"/>
          <w:sz w:val="24"/>
          <w:szCs w:val="24"/>
        </w:rPr>
        <w:t xml:space="preserve">K, </w:t>
      </w:r>
      <w:r w:rsidR="000C6A91" w:rsidRPr="005D68FE">
        <w:rPr>
          <w:rFonts w:ascii="Book Antiqua" w:hAnsi="Book Antiqua"/>
          <w:color w:val="000000" w:themeColor="text1"/>
          <w:sz w:val="24"/>
          <w:szCs w:val="24"/>
        </w:rPr>
        <w:t xml:space="preserve">Yagi </w:t>
      </w:r>
      <w:r w:rsidRPr="005D68FE">
        <w:rPr>
          <w:rFonts w:ascii="Book Antiqua" w:hAnsi="Book Antiqua"/>
          <w:color w:val="000000" w:themeColor="text1"/>
          <w:sz w:val="24"/>
          <w:szCs w:val="24"/>
        </w:rPr>
        <w:t xml:space="preserve">H, </w:t>
      </w:r>
      <w:r w:rsidR="000C6A91" w:rsidRPr="005D68FE">
        <w:rPr>
          <w:rFonts w:ascii="Book Antiqua" w:hAnsi="Book Antiqua"/>
          <w:color w:val="000000" w:themeColor="text1"/>
          <w:sz w:val="24"/>
          <w:szCs w:val="24"/>
        </w:rPr>
        <w:t xml:space="preserve">Hamada </w:t>
      </w:r>
      <w:r w:rsidRPr="005D68FE">
        <w:rPr>
          <w:rFonts w:ascii="Book Antiqua" w:hAnsi="Book Antiqua"/>
          <w:color w:val="000000" w:themeColor="text1"/>
          <w:sz w:val="24"/>
          <w:szCs w:val="24"/>
        </w:rPr>
        <w:t xml:space="preserve">H, </w:t>
      </w:r>
      <w:r w:rsidR="000C6A91" w:rsidRPr="005D68FE">
        <w:rPr>
          <w:rFonts w:ascii="Book Antiqua" w:hAnsi="Book Antiqua"/>
          <w:color w:val="000000" w:themeColor="text1"/>
          <w:sz w:val="24"/>
          <w:szCs w:val="24"/>
        </w:rPr>
        <w:t xml:space="preserve">Isoda </w:t>
      </w:r>
      <w:r w:rsidRPr="005D68FE">
        <w:rPr>
          <w:rFonts w:ascii="Book Antiqua" w:hAnsi="Book Antiqua"/>
          <w:color w:val="000000" w:themeColor="text1"/>
          <w:sz w:val="24"/>
          <w:szCs w:val="24"/>
        </w:rPr>
        <w:t xml:space="preserve">H supplied experimental materials and resources; </w:t>
      </w:r>
      <w:r w:rsidR="000C6A91" w:rsidRPr="005D68FE">
        <w:rPr>
          <w:rFonts w:ascii="Book Antiqua" w:hAnsi="Book Antiqua"/>
          <w:color w:val="000000" w:themeColor="text1"/>
          <w:sz w:val="24"/>
          <w:szCs w:val="24"/>
        </w:rPr>
        <w:t xml:space="preserve">Ohkohchi </w:t>
      </w:r>
      <w:r w:rsidRPr="005D68FE">
        <w:rPr>
          <w:rFonts w:ascii="Book Antiqua" w:hAnsi="Book Antiqua"/>
          <w:color w:val="000000" w:themeColor="text1"/>
          <w:sz w:val="24"/>
          <w:szCs w:val="24"/>
        </w:rPr>
        <w:t xml:space="preserve">N and </w:t>
      </w:r>
      <w:r w:rsidR="000C6A91" w:rsidRPr="005D68FE">
        <w:rPr>
          <w:rFonts w:ascii="Book Antiqua" w:hAnsi="Book Antiqua"/>
          <w:color w:val="000000" w:themeColor="text1"/>
          <w:sz w:val="24"/>
          <w:szCs w:val="24"/>
        </w:rPr>
        <w:t xml:space="preserve">Zheng </w:t>
      </w:r>
      <w:r w:rsidRPr="005D68FE">
        <w:rPr>
          <w:rFonts w:ascii="Book Antiqua" w:hAnsi="Book Antiqua"/>
          <w:color w:val="000000" w:themeColor="text1"/>
          <w:sz w:val="24"/>
          <w:szCs w:val="24"/>
        </w:rPr>
        <w:t xml:space="preserve">YW conceived the study; </w:t>
      </w:r>
      <w:r w:rsidR="000C6A91" w:rsidRPr="005D68FE">
        <w:rPr>
          <w:rFonts w:ascii="Book Antiqua" w:hAnsi="Book Antiqua"/>
          <w:color w:val="000000" w:themeColor="text1"/>
          <w:sz w:val="24"/>
          <w:szCs w:val="24"/>
        </w:rPr>
        <w:t xml:space="preserve">Furuya </w:t>
      </w:r>
      <w:r w:rsidRPr="005D68FE">
        <w:rPr>
          <w:rFonts w:ascii="Book Antiqua" w:hAnsi="Book Antiqua"/>
          <w:color w:val="000000" w:themeColor="text1"/>
          <w:sz w:val="24"/>
          <w:szCs w:val="24"/>
        </w:rPr>
        <w:t xml:space="preserve">K drafted the manuscript; </w:t>
      </w:r>
      <w:r w:rsidR="000C6A91" w:rsidRPr="005D68FE">
        <w:rPr>
          <w:rFonts w:ascii="Book Antiqua" w:hAnsi="Book Antiqua"/>
          <w:color w:val="000000" w:themeColor="text1"/>
          <w:sz w:val="24"/>
          <w:szCs w:val="24"/>
        </w:rPr>
        <w:t xml:space="preserve">Zheng </w:t>
      </w:r>
      <w:r w:rsidRPr="005D68FE">
        <w:rPr>
          <w:rFonts w:ascii="Book Antiqua" w:hAnsi="Book Antiqua"/>
          <w:color w:val="000000" w:themeColor="text1"/>
          <w:sz w:val="24"/>
          <w:szCs w:val="24"/>
        </w:rPr>
        <w:t xml:space="preserve">YW and </w:t>
      </w:r>
      <w:r w:rsidR="000C6A91" w:rsidRPr="005D68FE">
        <w:rPr>
          <w:rFonts w:ascii="Book Antiqua" w:hAnsi="Book Antiqua"/>
          <w:color w:val="000000" w:themeColor="text1"/>
          <w:sz w:val="24"/>
          <w:szCs w:val="24"/>
        </w:rPr>
        <w:t xml:space="preserve">Oda </w:t>
      </w:r>
      <w:r w:rsidRPr="005D68FE">
        <w:rPr>
          <w:rFonts w:ascii="Book Antiqua" w:hAnsi="Book Antiqua"/>
          <w:color w:val="000000" w:themeColor="text1"/>
          <w:sz w:val="24"/>
          <w:szCs w:val="24"/>
        </w:rPr>
        <w:t xml:space="preserve">T contributed to discuss and review the final manuscript; all the authors approved the final manuscript; </w:t>
      </w:r>
      <w:r w:rsidR="000C6A91" w:rsidRPr="005D68FE">
        <w:rPr>
          <w:rFonts w:ascii="Book Antiqua" w:hAnsi="Book Antiqua"/>
          <w:color w:val="000000" w:themeColor="text1"/>
          <w:sz w:val="24"/>
          <w:szCs w:val="24"/>
        </w:rPr>
        <w:t xml:space="preserve">Furuya </w:t>
      </w:r>
      <w:r w:rsidRPr="005D68FE">
        <w:rPr>
          <w:rFonts w:ascii="Book Antiqua" w:hAnsi="Book Antiqua"/>
          <w:color w:val="000000" w:themeColor="text1"/>
          <w:sz w:val="24"/>
          <w:szCs w:val="24"/>
        </w:rPr>
        <w:t xml:space="preserve">K, </w:t>
      </w:r>
      <w:r w:rsidR="000C6A91" w:rsidRPr="005D68FE">
        <w:rPr>
          <w:rFonts w:ascii="Book Antiqua" w:hAnsi="Book Antiqua"/>
          <w:color w:val="000000" w:themeColor="text1"/>
          <w:sz w:val="24"/>
          <w:szCs w:val="24"/>
        </w:rPr>
        <w:t xml:space="preserve">Zheng </w:t>
      </w:r>
      <w:r w:rsidRPr="005D68FE">
        <w:rPr>
          <w:rFonts w:ascii="Book Antiqua" w:hAnsi="Book Antiqua"/>
          <w:color w:val="000000" w:themeColor="text1"/>
          <w:sz w:val="24"/>
          <w:szCs w:val="24"/>
        </w:rPr>
        <w:t xml:space="preserve">YW and </w:t>
      </w:r>
      <w:r w:rsidR="000C6A91" w:rsidRPr="005D68FE">
        <w:rPr>
          <w:rFonts w:ascii="Book Antiqua" w:hAnsi="Book Antiqua"/>
          <w:color w:val="000000" w:themeColor="text1"/>
          <w:sz w:val="24"/>
          <w:szCs w:val="24"/>
        </w:rPr>
        <w:t xml:space="preserve">Sako </w:t>
      </w:r>
      <w:r w:rsidRPr="005D68FE">
        <w:rPr>
          <w:rFonts w:ascii="Book Antiqua" w:hAnsi="Book Antiqua"/>
          <w:color w:val="000000" w:themeColor="text1"/>
          <w:sz w:val="24"/>
          <w:szCs w:val="24"/>
        </w:rPr>
        <w:t>D contributed equally to this work.</w:t>
      </w:r>
    </w:p>
    <w:p w14:paraId="36ABF5ED" w14:textId="77777777" w:rsidR="00977E81" w:rsidRPr="005D68FE" w:rsidRDefault="00977E81" w:rsidP="005D68FE">
      <w:pPr>
        <w:snapToGrid w:val="0"/>
        <w:spacing w:line="360" w:lineRule="auto"/>
        <w:ind w:right="187"/>
        <w:jc w:val="both"/>
        <w:rPr>
          <w:rFonts w:ascii="Book Antiqua" w:hAnsi="Book Antiqua"/>
          <w:color w:val="000000" w:themeColor="text1"/>
          <w:sz w:val="24"/>
          <w:szCs w:val="24"/>
        </w:rPr>
      </w:pPr>
    </w:p>
    <w:p w14:paraId="7E0644B6" w14:textId="03C925D7" w:rsidR="00977E81" w:rsidRPr="005D68FE" w:rsidRDefault="00890BDE" w:rsidP="005D68FE">
      <w:pPr>
        <w:snapToGrid w:val="0"/>
        <w:spacing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t xml:space="preserve">Supported by </w:t>
      </w:r>
      <w:r w:rsidR="00977E81" w:rsidRPr="005D68FE">
        <w:rPr>
          <w:rFonts w:ascii="Book Antiqua" w:hAnsi="Book Antiqua"/>
          <w:color w:val="000000" w:themeColor="text1"/>
          <w:sz w:val="24"/>
          <w:szCs w:val="24"/>
        </w:rPr>
        <w:t>National Natural Science Foundation of China</w:t>
      </w:r>
      <w:r w:rsidRPr="005D68FE">
        <w:rPr>
          <w:rFonts w:ascii="Book Antiqua" w:eastAsia="DengXian" w:hAnsi="Book Antiqua"/>
          <w:color w:val="000000" w:themeColor="text1"/>
          <w:sz w:val="24"/>
          <w:szCs w:val="24"/>
          <w:lang w:eastAsia="zh-CN"/>
        </w:rPr>
        <w:t>,</w:t>
      </w:r>
      <w:r w:rsidR="00E41AA9" w:rsidRPr="005D68FE">
        <w:rPr>
          <w:rFonts w:ascii="Book Antiqua" w:eastAsia="DengXian" w:hAnsi="Book Antiqua"/>
          <w:color w:val="000000" w:themeColor="text1"/>
          <w:sz w:val="24"/>
          <w:szCs w:val="24"/>
          <w:lang w:eastAsia="zh-CN"/>
        </w:rPr>
        <w:t xml:space="preserve"> </w:t>
      </w:r>
      <w:r w:rsidR="00977E81" w:rsidRPr="005D68FE">
        <w:rPr>
          <w:rFonts w:ascii="Book Antiqua" w:hAnsi="Book Antiqua"/>
          <w:color w:val="000000" w:themeColor="text1"/>
          <w:sz w:val="24"/>
          <w:szCs w:val="24"/>
        </w:rPr>
        <w:t>No. 81770621; Ministry of Education, Culture, Sports, Science, and Technology of Japan, KAKENHI</w:t>
      </w:r>
      <w:r w:rsidR="00E41AA9" w:rsidRPr="005D68FE">
        <w:rPr>
          <w:rFonts w:ascii="Book Antiqua" w:hAnsi="Book Antiqua"/>
          <w:color w:val="000000" w:themeColor="text1"/>
          <w:sz w:val="24"/>
          <w:szCs w:val="24"/>
        </w:rPr>
        <w:t xml:space="preserve">, </w:t>
      </w:r>
      <w:r w:rsidR="00977E81" w:rsidRPr="005D68FE">
        <w:rPr>
          <w:rFonts w:ascii="Book Antiqua" w:hAnsi="Book Antiqua"/>
          <w:color w:val="000000" w:themeColor="text1"/>
          <w:sz w:val="24"/>
          <w:szCs w:val="24"/>
        </w:rPr>
        <w:t>No. 16K15604</w:t>
      </w:r>
      <w:r w:rsidR="000C6A91" w:rsidRPr="005D68FE">
        <w:rPr>
          <w:rFonts w:ascii="Book Antiqua" w:hAnsi="Book Antiqua"/>
          <w:color w:val="000000" w:themeColor="text1"/>
          <w:sz w:val="24"/>
          <w:szCs w:val="24"/>
        </w:rPr>
        <w:t>,</w:t>
      </w:r>
      <w:r w:rsidR="00977E81" w:rsidRPr="005D68FE">
        <w:rPr>
          <w:rFonts w:ascii="Book Antiqua" w:hAnsi="Book Antiqua"/>
          <w:color w:val="000000" w:themeColor="text1"/>
          <w:sz w:val="24"/>
          <w:szCs w:val="24"/>
        </w:rPr>
        <w:t xml:space="preserve"> No. 18H02866; Japan Science and Technology Agency-Japan International Cooperation Agency's (JST-JICA) Science and </w:t>
      </w:r>
      <w:r w:rsidR="00977E81" w:rsidRPr="005D68FE">
        <w:rPr>
          <w:rFonts w:ascii="Book Antiqua" w:hAnsi="Book Antiqua"/>
          <w:color w:val="000000" w:themeColor="text1"/>
          <w:sz w:val="24"/>
          <w:szCs w:val="24"/>
        </w:rPr>
        <w:lastRenderedPageBreak/>
        <w:t>Technology Research Partnership for Sustainable Development (SATREPS) Project.</w:t>
      </w:r>
    </w:p>
    <w:p w14:paraId="5186E796" w14:textId="1D8DFA61" w:rsidR="00977E81" w:rsidRPr="005D68FE" w:rsidRDefault="00977E81" w:rsidP="005D68FE">
      <w:pPr>
        <w:snapToGrid w:val="0"/>
        <w:spacing w:line="360" w:lineRule="auto"/>
        <w:ind w:right="187"/>
        <w:jc w:val="both"/>
        <w:rPr>
          <w:rFonts w:ascii="Book Antiqua" w:hAnsi="Book Antiqua"/>
          <w:color w:val="000000" w:themeColor="text1"/>
          <w:sz w:val="24"/>
          <w:szCs w:val="24"/>
        </w:rPr>
      </w:pPr>
    </w:p>
    <w:p w14:paraId="31692136" w14:textId="77777777" w:rsidR="00872F92" w:rsidRPr="005D68FE" w:rsidRDefault="00872F92" w:rsidP="005D68FE">
      <w:pPr>
        <w:snapToGrid w:val="0"/>
        <w:spacing w:line="360" w:lineRule="auto"/>
        <w:ind w:right="187"/>
        <w:jc w:val="both"/>
        <w:rPr>
          <w:rFonts w:ascii="Book Antiqua" w:hAnsi="Book Antiqua"/>
          <w:b/>
          <w:color w:val="000000" w:themeColor="text1"/>
          <w:sz w:val="24"/>
          <w:szCs w:val="24"/>
        </w:rPr>
      </w:pPr>
      <w:r w:rsidRPr="005D68FE">
        <w:rPr>
          <w:rFonts w:ascii="Book Antiqua" w:hAnsi="Book Antiqua"/>
          <w:b/>
          <w:color w:val="000000" w:themeColor="text1"/>
          <w:sz w:val="24"/>
          <w:szCs w:val="24"/>
        </w:rPr>
        <w:t xml:space="preserve">Institutional review board statement: </w:t>
      </w:r>
      <w:r w:rsidRPr="005D68FE">
        <w:rPr>
          <w:rFonts w:ascii="Book Antiqua" w:hAnsi="Book Antiqua"/>
          <w:color w:val="000000" w:themeColor="text1"/>
          <w:sz w:val="24"/>
          <w:szCs w:val="24"/>
        </w:rPr>
        <w:t>All specimens and cells from the patients were obtained after their informed consent and ethical permission was obtained for participation in the study.</w:t>
      </w:r>
    </w:p>
    <w:p w14:paraId="1DC87882" w14:textId="77777777" w:rsidR="00E0228B" w:rsidRPr="005D68FE" w:rsidRDefault="00E0228B" w:rsidP="005D68FE">
      <w:pPr>
        <w:snapToGrid w:val="0"/>
        <w:spacing w:line="360" w:lineRule="auto"/>
        <w:ind w:right="187"/>
        <w:jc w:val="both"/>
        <w:rPr>
          <w:rFonts w:ascii="Book Antiqua" w:hAnsi="Book Antiqua"/>
          <w:color w:val="000000" w:themeColor="text1"/>
          <w:sz w:val="24"/>
          <w:szCs w:val="24"/>
        </w:rPr>
      </w:pPr>
    </w:p>
    <w:p w14:paraId="3F6F4DDE" w14:textId="77777777"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bCs/>
          <w:color w:val="000000" w:themeColor="text1"/>
          <w:sz w:val="24"/>
          <w:szCs w:val="24"/>
        </w:rPr>
        <w:t xml:space="preserve">Conflict-of-interest statement: </w:t>
      </w:r>
      <w:r w:rsidRPr="005D68FE">
        <w:rPr>
          <w:rFonts w:ascii="Book Antiqua" w:hAnsi="Book Antiqua"/>
          <w:color w:val="000000" w:themeColor="text1"/>
          <w:sz w:val="24"/>
          <w:szCs w:val="24"/>
        </w:rPr>
        <w:t>The authors report no relevant conflicts of interest.</w:t>
      </w:r>
    </w:p>
    <w:p w14:paraId="43F655D2" w14:textId="0650BD1D" w:rsidR="00E0228B" w:rsidRPr="005D68FE" w:rsidRDefault="00E0228B" w:rsidP="005D68FE">
      <w:pPr>
        <w:snapToGrid w:val="0"/>
        <w:spacing w:line="360" w:lineRule="auto"/>
        <w:ind w:right="187"/>
        <w:jc w:val="both"/>
        <w:rPr>
          <w:rFonts w:ascii="Book Antiqua" w:hAnsi="Book Antiqua"/>
          <w:color w:val="000000" w:themeColor="text1"/>
          <w:sz w:val="24"/>
          <w:szCs w:val="24"/>
        </w:rPr>
      </w:pPr>
    </w:p>
    <w:p w14:paraId="15B68B4B" w14:textId="4FC49C65" w:rsidR="00F11399" w:rsidRPr="005D68FE" w:rsidRDefault="00E41AA9" w:rsidP="005D68FE">
      <w:pPr>
        <w:snapToGrid w:val="0"/>
        <w:spacing w:line="360" w:lineRule="auto"/>
        <w:jc w:val="both"/>
        <w:rPr>
          <w:rFonts w:ascii="Book Antiqua" w:hAnsi="Book Antiqua"/>
          <w:color w:val="000000" w:themeColor="text1"/>
          <w:sz w:val="24"/>
          <w:szCs w:val="24"/>
        </w:rPr>
      </w:pPr>
      <w:r w:rsidRPr="005D68FE">
        <w:rPr>
          <w:rFonts w:ascii="Book Antiqua" w:hAnsi="Book Antiqua"/>
          <w:b/>
          <w:color w:val="000000" w:themeColor="text1"/>
          <w:sz w:val="24"/>
          <w:szCs w:val="24"/>
        </w:rPr>
        <w:t xml:space="preserve">Data sharing statement: </w:t>
      </w:r>
      <w:r w:rsidR="00F6061E" w:rsidRPr="005D68FE">
        <w:rPr>
          <w:rFonts w:ascii="Book Antiqua" w:hAnsi="Book Antiqua"/>
          <w:color w:val="000000" w:themeColor="text1"/>
          <w:sz w:val="24"/>
          <w:szCs w:val="24"/>
        </w:rPr>
        <w:t>Transcriptome dataset</w:t>
      </w:r>
      <w:r w:rsidR="00595F1E" w:rsidRPr="005D68FE">
        <w:rPr>
          <w:rFonts w:ascii="Book Antiqua" w:hAnsi="Book Antiqua"/>
          <w:color w:val="000000" w:themeColor="text1"/>
          <w:sz w:val="24"/>
          <w:szCs w:val="24"/>
        </w:rPr>
        <w:t>s</w:t>
      </w:r>
      <w:r w:rsidR="00F6061E" w:rsidRPr="005D68FE">
        <w:rPr>
          <w:rFonts w:ascii="Book Antiqua" w:hAnsi="Book Antiqua"/>
          <w:color w:val="000000" w:themeColor="text1"/>
          <w:sz w:val="24"/>
          <w:szCs w:val="24"/>
        </w:rPr>
        <w:t xml:space="preserve"> of primary amniotic </w:t>
      </w:r>
      <w:r w:rsidR="00724DE8" w:rsidRPr="005D68FE">
        <w:rPr>
          <w:rFonts w:ascii="Book Antiqua" w:hAnsi="Book Antiqua"/>
          <w:color w:val="000000" w:themeColor="text1"/>
          <w:sz w:val="24"/>
          <w:szCs w:val="24"/>
        </w:rPr>
        <w:t xml:space="preserve">epithelial </w:t>
      </w:r>
      <w:r w:rsidR="00F6061E" w:rsidRPr="005D68FE">
        <w:rPr>
          <w:rFonts w:ascii="Book Antiqua" w:hAnsi="Book Antiqua"/>
          <w:color w:val="000000" w:themeColor="text1"/>
          <w:sz w:val="24"/>
          <w:szCs w:val="24"/>
        </w:rPr>
        <w:t xml:space="preserve">cells from </w:t>
      </w:r>
      <w:r w:rsidR="00595F1E" w:rsidRPr="005D68FE">
        <w:rPr>
          <w:rFonts w:ascii="Book Antiqua" w:hAnsi="Book Antiqua"/>
          <w:color w:val="000000" w:themeColor="text1"/>
          <w:sz w:val="24"/>
          <w:szCs w:val="24"/>
        </w:rPr>
        <w:t xml:space="preserve">the </w:t>
      </w:r>
      <w:r w:rsidR="000D375C" w:rsidRPr="005D68FE">
        <w:rPr>
          <w:rFonts w:ascii="Book Antiqua" w:hAnsi="Book Antiqua"/>
          <w:color w:val="000000" w:themeColor="text1"/>
          <w:sz w:val="24"/>
          <w:szCs w:val="24"/>
        </w:rPr>
        <w:t>Sequence Read Archive</w:t>
      </w:r>
      <w:r w:rsidR="00881EC2" w:rsidRPr="005D68FE">
        <w:rPr>
          <w:rFonts w:ascii="Book Antiqua" w:hAnsi="Book Antiqua"/>
          <w:color w:val="000000" w:themeColor="text1"/>
          <w:sz w:val="24"/>
          <w:szCs w:val="24"/>
        </w:rPr>
        <w:t xml:space="preserve"> (SRA) </w:t>
      </w:r>
      <w:r w:rsidR="00595F1E" w:rsidRPr="005D68FE">
        <w:rPr>
          <w:rFonts w:ascii="Book Antiqua" w:hAnsi="Book Antiqua"/>
          <w:color w:val="000000" w:themeColor="text1"/>
          <w:sz w:val="24"/>
          <w:szCs w:val="24"/>
        </w:rPr>
        <w:t xml:space="preserve">of </w:t>
      </w:r>
      <w:r w:rsidR="00881EC2" w:rsidRPr="005D68FE">
        <w:rPr>
          <w:rFonts w:ascii="Book Antiqua" w:hAnsi="Book Antiqua"/>
          <w:color w:val="000000" w:themeColor="text1"/>
          <w:sz w:val="24"/>
          <w:szCs w:val="24"/>
        </w:rPr>
        <w:t xml:space="preserve">the NCBI </w:t>
      </w:r>
      <w:r w:rsidR="00595F1E" w:rsidRPr="005D68FE">
        <w:rPr>
          <w:rFonts w:ascii="Book Antiqua" w:hAnsi="Book Antiqua"/>
          <w:color w:val="000000" w:themeColor="text1"/>
          <w:sz w:val="24"/>
          <w:szCs w:val="24"/>
        </w:rPr>
        <w:t xml:space="preserve">are available in the </w:t>
      </w:r>
      <w:r w:rsidR="00881EC2" w:rsidRPr="005D68FE">
        <w:rPr>
          <w:rFonts w:ascii="Book Antiqua" w:hAnsi="Book Antiqua"/>
          <w:color w:val="000000" w:themeColor="text1"/>
          <w:sz w:val="24"/>
          <w:szCs w:val="24"/>
        </w:rPr>
        <w:t>web</w:t>
      </w:r>
      <w:r w:rsidR="00F11399" w:rsidRPr="005D68FE">
        <w:rPr>
          <w:rFonts w:ascii="Book Antiqua" w:hAnsi="Book Antiqua"/>
          <w:color w:val="000000" w:themeColor="text1"/>
          <w:sz w:val="24"/>
          <w:szCs w:val="24"/>
        </w:rPr>
        <w:t>site</w:t>
      </w:r>
      <w:r w:rsidR="00547EF6" w:rsidRPr="005D68FE">
        <w:rPr>
          <w:rFonts w:ascii="Book Antiqua" w:hAnsi="Book Antiqua"/>
          <w:color w:val="000000" w:themeColor="text1"/>
          <w:sz w:val="24"/>
          <w:szCs w:val="24"/>
        </w:rPr>
        <w:t>.</w:t>
      </w:r>
      <w:r w:rsidR="00F11399" w:rsidRPr="005D68FE">
        <w:rPr>
          <w:rFonts w:ascii="Book Antiqua" w:hAnsi="Book Antiqua"/>
          <w:color w:val="000000" w:themeColor="text1"/>
          <w:sz w:val="24"/>
          <w:szCs w:val="24"/>
        </w:rPr>
        <w:t xml:space="preserve"> SRA number is listed in </w:t>
      </w:r>
      <w:r w:rsidR="005E7A99" w:rsidRPr="005D68FE">
        <w:rPr>
          <w:rFonts w:ascii="Book Antiqua" w:hAnsi="Book Antiqua"/>
          <w:color w:val="000000" w:themeColor="text1"/>
          <w:sz w:val="24"/>
          <w:szCs w:val="24"/>
        </w:rPr>
        <w:t xml:space="preserve">Table </w:t>
      </w:r>
      <w:r w:rsidR="00F11399" w:rsidRPr="005D68FE">
        <w:rPr>
          <w:rFonts w:ascii="Book Antiqua" w:hAnsi="Book Antiqua"/>
          <w:color w:val="000000" w:themeColor="text1"/>
          <w:sz w:val="24"/>
          <w:szCs w:val="24"/>
        </w:rPr>
        <w:t>2. Participants gave informed consent for publication.</w:t>
      </w:r>
    </w:p>
    <w:p w14:paraId="72551E8F" w14:textId="77777777" w:rsidR="00F6061E" w:rsidRPr="005D68FE" w:rsidRDefault="00F6061E" w:rsidP="005D68FE">
      <w:pPr>
        <w:snapToGrid w:val="0"/>
        <w:spacing w:line="360" w:lineRule="auto"/>
        <w:ind w:right="187"/>
        <w:jc w:val="both"/>
        <w:rPr>
          <w:rFonts w:ascii="Book Antiqua" w:hAnsi="Book Antiqua"/>
          <w:color w:val="000000" w:themeColor="text1"/>
          <w:sz w:val="24"/>
          <w:szCs w:val="24"/>
        </w:rPr>
      </w:pPr>
    </w:p>
    <w:p w14:paraId="26213CB5" w14:textId="77777777" w:rsidR="00E41AA9" w:rsidRPr="005D68FE" w:rsidRDefault="00E41AA9" w:rsidP="005D68FE">
      <w:pPr>
        <w:snapToGrid w:val="0"/>
        <w:spacing w:line="360" w:lineRule="auto"/>
        <w:jc w:val="both"/>
        <w:rPr>
          <w:rFonts w:ascii="Book Antiqua" w:hAnsi="Book Antiqua"/>
          <w:color w:val="000000" w:themeColor="text1"/>
          <w:sz w:val="24"/>
          <w:szCs w:val="24"/>
        </w:rPr>
      </w:pPr>
      <w:r w:rsidRPr="005D68FE">
        <w:rPr>
          <w:rFonts w:ascii="Book Antiqua" w:hAnsi="Book Antiqua"/>
          <w:b/>
          <w:color w:val="000000" w:themeColor="text1"/>
          <w:sz w:val="24"/>
          <w:szCs w:val="24"/>
        </w:rPr>
        <w:t>Open-Access:</w:t>
      </w:r>
      <w:r w:rsidRPr="005D68FE">
        <w:rPr>
          <w:rFonts w:ascii="Book Antiqua" w:hAnsi="Book Antiqua"/>
          <w:color w:val="000000" w:themeColor="text1"/>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0DAD11B" w14:textId="77777777" w:rsidR="00F8075E" w:rsidRPr="005D68FE" w:rsidRDefault="00F8075E" w:rsidP="005D68FE">
      <w:pPr>
        <w:pStyle w:val="10"/>
        <w:adjustRightInd w:val="0"/>
        <w:snapToGrid w:val="0"/>
        <w:spacing w:line="360" w:lineRule="auto"/>
        <w:jc w:val="both"/>
        <w:rPr>
          <w:rFonts w:ascii="Book Antiqua" w:hAnsi="Book Antiqua" w:cs="Times New Roman"/>
          <w:b/>
          <w:bCs/>
          <w:color w:val="000000" w:themeColor="text1"/>
          <w:sz w:val="24"/>
          <w:szCs w:val="24"/>
          <w:lang w:val="en-US"/>
        </w:rPr>
      </w:pPr>
    </w:p>
    <w:p w14:paraId="3FA56BAE" w14:textId="56BD56A9" w:rsidR="00977E81" w:rsidRPr="005D68FE" w:rsidRDefault="000C6A91" w:rsidP="005D68FE">
      <w:pPr>
        <w:pStyle w:val="10"/>
        <w:adjustRightInd w:val="0"/>
        <w:snapToGrid w:val="0"/>
        <w:spacing w:line="360" w:lineRule="auto"/>
        <w:jc w:val="both"/>
        <w:rPr>
          <w:rFonts w:ascii="Book Antiqua" w:hAnsi="Book Antiqua" w:cs="Times New Roman"/>
          <w:b/>
          <w:bCs/>
          <w:color w:val="000000" w:themeColor="text1"/>
          <w:sz w:val="24"/>
          <w:szCs w:val="24"/>
          <w:lang w:val="en-US" w:eastAsia="zh-CN"/>
        </w:rPr>
      </w:pPr>
      <w:r w:rsidRPr="005D68FE">
        <w:rPr>
          <w:rFonts w:ascii="Book Antiqua" w:hAnsi="Book Antiqua" w:cs="Times New Roman"/>
          <w:b/>
          <w:bCs/>
          <w:color w:val="000000" w:themeColor="text1"/>
          <w:sz w:val="24"/>
          <w:szCs w:val="24"/>
          <w:lang w:val="en-US"/>
        </w:rPr>
        <w:t xml:space="preserve">Manuscript </w:t>
      </w:r>
      <w:r w:rsidR="00E41AA9" w:rsidRPr="005D68FE">
        <w:rPr>
          <w:rFonts w:ascii="Book Antiqua" w:hAnsi="Book Antiqua" w:cs="Times New Roman"/>
          <w:b/>
          <w:bCs/>
          <w:color w:val="000000" w:themeColor="text1"/>
          <w:sz w:val="24"/>
          <w:szCs w:val="24"/>
          <w:lang w:val="en-US"/>
        </w:rPr>
        <w:t>source:</w:t>
      </w:r>
      <w:r w:rsidR="00E41AA9" w:rsidRPr="005D68FE">
        <w:rPr>
          <w:rFonts w:ascii="Book Antiqua" w:hAnsi="Book Antiqua" w:cs="Times New Roman"/>
          <w:b/>
          <w:bCs/>
          <w:color w:val="000000" w:themeColor="text1"/>
          <w:sz w:val="24"/>
          <w:szCs w:val="24"/>
          <w:lang w:val="en-US" w:eastAsia="zh-CN"/>
        </w:rPr>
        <w:t xml:space="preserve"> </w:t>
      </w:r>
      <w:r w:rsidR="00E41AA9" w:rsidRPr="005D68FE">
        <w:rPr>
          <w:rFonts w:ascii="Book Antiqua" w:hAnsi="Book Antiqua" w:cs="Times New Roman"/>
          <w:bCs/>
          <w:color w:val="000000" w:themeColor="text1"/>
          <w:sz w:val="24"/>
          <w:szCs w:val="24"/>
          <w:lang w:val="en-US"/>
        </w:rPr>
        <w:t xml:space="preserve">Invited </w:t>
      </w:r>
      <w:r w:rsidR="00E41AA9" w:rsidRPr="005D68FE">
        <w:rPr>
          <w:rFonts w:ascii="Book Antiqua" w:hAnsi="Book Antiqua" w:cs="Times New Roman"/>
          <w:bCs/>
          <w:color w:val="000000" w:themeColor="text1"/>
          <w:sz w:val="24"/>
          <w:szCs w:val="24"/>
          <w:lang w:val="en-US" w:eastAsia="zh-CN"/>
        </w:rPr>
        <w:t>m</w:t>
      </w:r>
      <w:r w:rsidR="00E41AA9" w:rsidRPr="005D68FE">
        <w:rPr>
          <w:rFonts w:ascii="Book Antiqua" w:hAnsi="Book Antiqua" w:cs="Times New Roman"/>
          <w:bCs/>
          <w:color w:val="000000" w:themeColor="text1"/>
          <w:sz w:val="24"/>
          <w:szCs w:val="24"/>
          <w:lang w:val="en-US"/>
        </w:rPr>
        <w:t>anuscript</w:t>
      </w:r>
    </w:p>
    <w:p w14:paraId="136BA0A7" w14:textId="77777777" w:rsidR="00F8075E" w:rsidRPr="005D68FE" w:rsidRDefault="00F8075E" w:rsidP="005D68FE">
      <w:pPr>
        <w:snapToGrid w:val="0"/>
        <w:spacing w:line="360" w:lineRule="auto"/>
        <w:ind w:right="187"/>
        <w:jc w:val="both"/>
        <w:rPr>
          <w:rFonts w:ascii="Book Antiqua" w:hAnsi="Book Antiqua"/>
          <w:b/>
          <w:color w:val="000000" w:themeColor="text1"/>
          <w:sz w:val="24"/>
          <w:szCs w:val="24"/>
        </w:rPr>
      </w:pPr>
    </w:p>
    <w:p w14:paraId="4820B68C" w14:textId="38B27C05" w:rsidR="00977E81" w:rsidRPr="005D68FE" w:rsidRDefault="00E41AA9"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color w:val="000000" w:themeColor="text1"/>
          <w:sz w:val="24"/>
          <w:szCs w:val="24"/>
        </w:rPr>
        <w:t>Corresponding author:</w:t>
      </w:r>
      <w:r w:rsidRPr="005D68FE">
        <w:rPr>
          <w:rFonts w:ascii="Book Antiqua" w:hAnsi="Book Antiqua"/>
          <w:color w:val="000000" w:themeColor="text1"/>
          <w:sz w:val="24"/>
          <w:szCs w:val="24"/>
        </w:rPr>
        <w:t xml:space="preserve"> </w:t>
      </w:r>
      <w:r w:rsidR="00977E81" w:rsidRPr="005D68FE">
        <w:rPr>
          <w:rFonts w:ascii="Book Antiqua" w:hAnsi="Book Antiqua"/>
          <w:b/>
          <w:bCs/>
          <w:color w:val="000000" w:themeColor="text1"/>
          <w:sz w:val="24"/>
          <w:szCs w:val="24"/>
        </w:rPr>
        <w:t xml:space="preserve">Yun-Wen Zheng, PhD, </w:t>
      </w:r>
      <w:r w:rsidRPr="005D68FE">
        <w:rPr>
          <w:rFonts w:ascii="Book Antiqua" w:hAnsi="Book Antiqua"/>
          <w:b/>
          <w:bCs/>
          <w:color w:val="000000" w:themeColor="text1"/>
          <w:sz w:val="24"/>
          <w:szCs w:val="24"/>
        </w:rPr>
        <w:t>Associate Professor,</w:t>
      </w:r>
      <w:r w:rsidR="00977E81" w:rsidRPr="005D68FE">
        <w:rPr>
          <w:rFonts w:ascii="Book Antiqua" w:hAnsi="Book Antiqua"/>
          <w:color w:val="000000" w:themeColor="text1"/>
          <w:sz w:val="24"/>
          <w:szCs w:val="24"/>
        </w:rPr>
        <w:t xml:space="preserve"> Department of Gastrointestinal and Hepato-Biliary-Pancreatic Surgery, </w:t>
      </w:r>
      <w:r w:rsidRPr="005D68FE">
        <w:rPr>
          <w:rFonts w:ascii="Book Antiqua" w:hAnsi="Book Antiqua"/>
          <w:color w:val="000000" w:themeColor="text1"/>
          <w:sz w:val="24"/>
          <w:szCs w:val="24"/>
        </w:rPr>
        <w:t xml:space="preserve">University of Tsukuba Faculty of Medicine, Tennodai 1-1-1, Tsukuba, Ibaraki 3058575, Japan. </w:t>
      </w:r>
      <w:r w:rsidRPr="005D68FE">
        <w:rPr>
          <w:rFonts w:ascii="Book Antiqua" w:hAnsi="Book Antiqua"/>
          <w:color w:val="000000" w:themeColor="text1"/>
          <w:sz w:val="24"/>
          <w:szCs w:val="24"/>
          <w:u w:val="single"/>
        </w:rPr>
        <w:t>ywzheng@md.tsukuba.ac.jp</w:t>
      </w:r>
    </w:p>
    <w:p w14:paraId="2A07E583" w14:textId="312E299A"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bCs/>
          <w:color w:val="000000" w:themeColor="text1"/>
          <w:sz w:val="24"/>
          <w:szCs w:val="24"/>
        </w:rPr>
        <w:t xml:space="preserve">Telephone: </w:t>
      </w:r>
      <w:r w:rsidRPr="005D68FE">
        <w:rPr>
          <w:rFonts w:ascii="Book Antiqua" w:hAnsi="Book Antiqua"/>
          <w:color w:val="000000" w:themeColor="text1"/>
          <w:sz w:val="24"/>
          <w:szCs w:val="24"/>
        </w:rPr>
        <w:t>+81-29-85</w:t>
      </w:r>
      <w:r w:rsidR="00AF1318" w:rsidRPr="005D68FE">
        <w:rPr>
          <w:rFonts w:ascii="Book Antiqua" w:hAnsi="Book Antiqua"/>
          <w:color w:val="000000" w:themeColor="text1"/>
          <w:sz w:val="24"/>
          <w:szCs w:val="24"/>
        </w:rPr>
        <w:t>3</w:t>
      </w:r>
      <w:r w:rsidRPr="005D68FE">
        <w:rPr>
          <w:rFonts w:ascii="Book Antiqua" w:hAnsi="Book Antiqua"/>
          <w:color w:val="000000" w:themeColor="text1"/>
          <w:sz w:val="24"/>
          <w:szCs w:val="24"/>
        </w:rPr>
        <w:t>3221</w:t>
      </w:r>
    </w:p>
    <w:p w14:paraId="0BFCA577" w14:textId="1578F43A"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bCs/>
          <w:color w:val="000000" w:themeColor="text1"/>
          <w:sz w:val="24"/>
          <w:szCs w:val="24"/>
        </w:rPr>
        <w:lastRenderedPageBreak/>
        <w:t xml:space="preserve">Fax: </w:t>
      </w:r>
      <w:r w:rsidRPr="005D68FE">
        <w:rPr>
          <w:rFonts w:ascii="Book Antiqua" w:hAnsi="Book Antiqua"/>
          <w:color w:val="000000" w:themeColor="text1"/>
          <w:sz w:val="24"/>
          <w:szCs w:val="24"/>
        </w:rPr>
        <w:t>+81-29-85</w:t>
      </w:r>
      <w:r w:rsidR="00AF1318" w:rsidRPr="005D68FE">
        <w:rPr>
          <w:rFonts w:ascii="Book Antiqua" w:hAnsi="Book Antiqua"/>
          <w:color w:val="000000" w:themeColor="text1"/>
          <w:sz w:val="24"/>
          <w:szCs w:val="24"/>
        </w:rPr>
        <w:t>3</w:t>
      </w:r>
      <w:r w:rsidRPr="005D68FE">
        <w:rPr>
          <w:rFonts w:ascii="Book Antiqua" w:hAnsi="Book Antiqua"/>
          <w:color w:val="000000" w:themeColor="text1"/>
          <w:sz w:val="24"/>
          <w:szCs w:val="24"/>
        </w:rPr>
        <w:t>3222</w:t>
      </w:r>
    </w:p>
    <w:p w14:paraId="27E67963" w14:textId="77777777" w:rsidR="00F8075E" w:rsidRPr="005D68FE" w:rsidRDefault="00F8075E" w:rsidP="005D68FE">
      <w:pPr>
        <w:snapToGrid w:val="0"/>
        <w:spacing w:line="360" w:lineRule="auto"/>
        <w:jc w:val="both"/>
        <w:rPr>
          <w:rFonts w:ascii="Book Antiqua" w:hAnsi="Book Antiqua"/>
          <w:b/>
          <w:color w:val="000000"/>
          <w:sz w:val="24"/>
          <w:szCs w:val="24"/>
        </w:rPr>
      </w:pPr>
    </w:p>
    <w:p w14:paraId="0FE2EEDC" w14:textId="727C92C8" w:rsidR="00F8075E" w:rsidRPr="005D68FE" w:rsidRDefault="00F8075E" w:rsidP="005D68FE">
      <w:pPr>
        <w:snapToGrid w:val="0"/>
        <w:spacing w:line="360" w:lineRule="auto"/>
        <w:jc w:val="both"/>
        <w:rPr>
          <w:rFonts w:ascii="Book Antiqua" w:hAnsi="Book Antiqua"/>
          <w:color w:val="000000"/>
          <w:sz w:val="24"/>
          <w:szCs w:val="24"/>
        </w:rPr>
      </w:pPr>
      <w:r w:rsidRPr="005D68FE">
        <w:rPr>
          <w:rFonts w:ascii="Book Antiqua" w:hAnsi="Book Antiqua"/>
          <w:b/>
          <w:color w:val="000000"/>
          <w:sz w:val="24"/>
          <w:szCs w:val="24"/>
        </w:rPr>
        <w:t>Received:</w:t>
      </w:r>
      <w:r w:rsidRPr="005D68FE">
        <w:rPr>
          <w:rFonts w:ascii="Book Antiqua" w:hAnsi="Book Antiqua"/>
          <w:color w:val="000000"/>
          <w:sz w:val="24"/>
          <w:szCs w:val="24"/>
        </w:rPr>
        <w:t xml:space="preserve"> Feb</w:t>
      </w:r>
      <w:r w:rsidR="00336BFC">
        <w:rPr>
          <w:rFonts w:ascii="Book Antiqua" w:hAnsi="Book Antiqua"/>
          <w:color w:val="000000"/>
          <w:sz w:val="24"/>
          <w:szCs w:val="24"/>
        </w:rPr>
        <w:t>ruary</w:t>
      </w:r>
      <w:r w:rsidRPr="005D68FE">
        <w:rPr>
          <w:rFonts w:ascii="Book Antiqua" w:hAnsi="Book Antiqua"/>
          <w:color w:val="000000"/>
          <w:sz w:val="24"/>
          <w:szCs w:val="24"/>
        </w:rPr>
        <w:t xml:space="preserve"> 26, 2019</w:t>
      </w:r>
    </w:p>
    <w:p w14:paraId="0FF228F8" w14:textId="474DADEC" w:rsidR="00F8075E" w:rsidRPr="005D68FE" w:rsidRDefault="00F8075E" w:rsidP="005D68FE">
      <w:pPr>
        <w:snapToGrid w:val="0"/>
        <w:spacing w:line="360" w:lineRule="auto"/>
        <w:jc w:val="both"/>
        <w:rPr>
          <w:rFonts w:ascii="Book Antiqua" w:hAnsi="Book Antiqua"/>
          <w:color w:val="000000"/>
          <w:sz w:val="24"/>
          <w:szCs w:val="24"/>
        </w:rPr>
      </w:pPr>
      <w:r w:rsidRPr="005D68FE">
        <w:rPr>
          <w:rFonts w:ascii="Book Antiqua" w:hAnsi="Book Antiqua"/>
          <w:b/>
          <w:color w:val="000000"/>
          <w:sz w:val="24"/>
          <w:szCs w:val="24"/>
        </w:rPr>
        <w:t>Peer-review started:</w:t>
      </w:r>
      <w:r w:rsidRPr="005D68FE">
        <w:rPr>
          <w:rFonts w:ascii="Book Antiqua" w:hAnsi="Book Antiqua"/>
          <w:color w:val="000000"/>
          <w:sz w:val="24"/>
          <w:szCs w:val="24"/>
        </w:rPr>
        <w:t xml:space="preserve"> </w:t>
      </w:r>
      <w:r w:rsidR="00336BFC" w:rsidRPr="005D68FE">
        <w:rPr>
          <w:rFonts w:ascii="Book Antiqua" w:hAnsi="Book Antiqua"/>
          <w:color w:val="000000"/>
          <w:sz w:val="24"/>
          <w:szCs w:val="24"/>
        </w:rPr>
        <w:t>Feb</w:t>
      </w:r>
      <w:r w:rsidR="00336BFC">
        <w:rPr>
          <w:rFonts w:ascii="Book Antiqua" w:hAnsi="Book Antiqua"/>
          <w:color w:val="000000"/>
          <w:sz w:val="24"/>
          <w:szCs w:val="24"/>
        </w:rPr>
        <w:t>ruary</w:t>
      </w:r>
      <w:r w:rsidR="00336BFC" w:rsidRPr="005D68FE">
        <w:rPr>
          <w:rFonts w:ascii="Book Antiqua" w:hAnsi="Book Antiqua"/>
          <w:color w:val="000000"/>
          <w:sz w:val="24"/>
          <w:szCs w:val="24"/>
        </w:rPr>
        <w:t xml:space="preserve"> </w:t>
      </w:r>
      <w:r w:rsidRPr="005D68FE">
        <w:rPr>
          <w:rFonts w:ascii="Book Antiqua" w:hAnsi="Book Antiqua"/>
          <w:color w:val="000000"/>
          <w:sz w:val="24"/>
          <w:szCs w:val="24"/>
        </w:rPr>
        <w:t>27, 2019</w:t>
      </w:r>
    </w:p>
    <w:p w14:paraId="581A6AAA" w14:textId="42E33AD0" w:rsidR="00F8075E" w:rsidRPr="005D68FE" w:rsidRDefault="00F8075E" w:rsidP="005D68FE">
      <w:pPr>
        <w:snapToGrid w:val="0"/>
        <w:spacing w:line="360" w:lineRule="auto"/>
        <w:jc w:val="both"/>
        <w:rPr>
          <w:rFonts w:ascii="Book Antiqua" w:hAnsi="Book Antiqua"/>
          <w:color w:val="000000"/>
          <w:sz w:val="24"/>
          <w:szCs w:val="24"/>
        </w:rPr>
      </w:pPr>
      <w:r w:rsidRPr="005D68FE">
        <w:rPr>
          <w:rFonts w:ascii="Book Antiqua" w:hAnsi="Book Antiqua"/>
          <w:b/>
          <w:color w:val="000000"/>
          <w:sz w:val="24"/>
          <w:szCs w:val="24"/>
        </w:rPr>
        <w:t>First decision:</w:t>
      </w:r>
      <w:r w:rsidRPr="005D68FE">
        <w:rPr>
          <w:rFonts w:ascii="Book Antiqua" w:hAnsi="Book Antiqua"/>
          <w:color w:val="000000"/>
          <w:sz w:val="24"/>
          <w:szCs w:val="24"/>
        </w:rPr>
        <w:t xml:space="preserve"> June 5, 2019</w:t>
      </w:r>
    </w:p>
    <w:p w14:paraId="087ADAEC" w14:textId="539B6471" w:rsidR="00F8075E" w:rsidRPr="005D68FE" w:rsidRDefault="00F8075E" w:rsidP="005D68FE">
      <w:pPr>
        <w:snapToGrid w:val="0"/>
        <w:spacing w:line="360" w:lineRule="auto"/>
        <w:jc w:val="both"/>
        <w:rPr>
          <w:rFonts w:ascii="Book Antiqua" w:hAnsi="Book Antiqua"/>
          <w:color w:val="000000"/>
          <w:sz w:val="24"/>
          <w:szCs w:val="24"/>
        </w:rPr>
      </w:pPr>
      <w:r w:rsidRPr="005D68FE">
        <w:rPr>
          <w:rFonts w:ascii="Book Antiqua" w:hAnsi="Book Antiqua"/>
          <w:b/>
          <w:color w:val="000000"/>
          <w:sz w:val="24"/>
          <w:szCs w:val="24"/>
        </w:rPr>
        <w:t>Revised:</w:t>
      </w:r>
      <w:r w:rsidRPr="005D68FE">
        <w:rPr>
          <w:rFonts w:ascii="Book Antiqua" w:hAnsi="Book Antiqua"/>
          <w:color w:val="000000"/>
          <w:sz w:val="24"/>
          <w:szCs w:val="24"/>
        </w:rPr>
        <w:t xml:space="preserve"> </w:t>
      </w:r>
      <w:r w:rsidR="005E7A99" w:rsidRPr="005D68FE">
        <w:rPr>
          <w:rFonts w:ascii="Book Antiqua" w:hAnsi="Book Antiqua"/>
          <w:color w:val="000000"/>
          <w:sz w:val="24"/>
          <w:szCs w:val="24"/>
        </w:rPr>
        <w:t>August</w:t>
      </w:r>
      <w:r w:rsidRPr="005D68FE">
        <w:rPr>
          <w:rFonts w:ascii="Book Antiqua" w:hAnsi="Book Antiqua"/>
          <w:color w:val="000000"/>
          <w:sz w:val="24"/>
          <w:szCs w:val="24"/>
        </w:rPr>
        <w:t xml:space="preserve"> </w:t>
      </w:r>
      <w:r w:rsidR="005E7A99" w:rsidRPr="005D68FE">
        <w:rPr>
          <w:rFonts w:ascii="Book Antiqua" w:hAnsi="Book Antiqua"/>
          <w:color w:val="000000"/>
          <w:sz w:val="24"/>
          <w:szCs w:val="24"/>
        </w:rPr>
        <w:t>6</w:t>
      </w:r>
      <w:r w:rsidRPr="005D68FE">
        <w:rPr>
          <w:rFonts w:ascii="Book Antiqua" w:hAnsi="Book Antiqua"/>
          <w:color w:val="000000"/>
          <w:sz w:val="24"/>
          <w:szCs w:val="24"/>
        </w:rPr>
        <w:t>, 2019</w:t>
      </w:r>
    </w:p>
    <w:p w14:paraId="6C2D3712" w14:textId="034EF48B" w:rsidR="00F8075E" w:rsidRPr="005D68FE" w:rsidRDefault="00F8075E" w:rsidP="005D68FE">
      <w:pPr>
        <w:snapToGrid w:val="0"/>
        <w:spacing w:line="360" w:lineRule="auto"/>
        <w:jc w:val="both"/>
        <w:rPr>
          <w:rFonts w:ascii="Book Antiqua" w:hAnsi="Book Antiqua"/>
          <w:color w:val="000000"/>
          <w:sz w:val="24"/>
          <w:szCs w:val="24"/>
        </w:rPr>
      </w:pPr>
      <w:r w:rsidRPr="005D68FE">
        <w:rPr>
          <w:rFonts w:ascii="Book Antiqua" w:hAnsi="Book Antiqua"/>
          <w:b/>
          <w:color w:val="000000"/>
          <w:sz w:val="24"/>
          <w:szCs w:val="24"/>
        </w:rPr>
        <w:t>Accepted:</w:t>
      </w:r>
      <w:r w:rsidRPr="005D68FE">
        <w:rPr>
          <w:rFonts w:ascii="Book Antiqua" w:hAnsi="Book Antiqua"/>
          <w:color w:val="000000"/>
          <w:sz w:val="24"/>
          <w:szCs w:val="24"/>
        </w:rPr>
        <w:t xml:space="preserve"> </w:t>
      </w:r>
      <w:r w:rsidR="00C03A00">
        <w:rPr>
          <w:rFonts w:ascii="Book Antiqua" w:hAnsi="Book Antiqua"/>
          <w:color w:val="000000"/>
          <w:sz w:val="24"/>
          <w:szCs w:val="24"/>
        </w:rPr>
        <w:t>August 27, 2019</w:t>
      </w:r>
      <w:bookmarkStart w:id="5" w:name="_GoBack"/>
      <w:bookmarkEnd w:id="5"/>
    </w:p>
    <w:p w14:paraId="1DA6953E" w14:textId="77777777" w:rsidR="00F8075E" w:rsidRPr="005D68FE" w:rsidRDefault="00F8075E" w:rsidP="005D68FE">
      <w:pPr>
        <w:snapToGrid w:val="0"/>
        <w:spacing w:line="360" w:lineRule="auto"/>
        <w:jc w:val="both"/>
        <w:rPr>
          <w:rFonts w:ascii="Book Antiqua" w:hAnsi="Book Antiqua"/>
          <w:b/>
          <w:color w:val="000000"/>
          <w:sz w:val="24"/>
          <w:szCs w:val="24"/>
        </w:rPr>
      </w:pPr>
      <w:r w:rsidRPr="005D68FE">
        <w:rPr>
          <w:rFonts w:ascii="Book Antiqua" w:hAnsi="Book Antiqua"/>
          <w:b/>
          <w:color w:val="000000"/>
          <w:sz w:val="24"/>
          <w:szCs w:val="24"/>
        </w:rPr>
        <w:t>Article in press:</w:t>
      </w:r>
    </w:p>
    <w:p w14:paraId="1AB82DFD" w14:textId="77777777" w:rsidR="00F8075E" w:rsidRPr="005D68FE" w:rsidRDefault="00F8075E" w:rsidP="005D68FE">
      <w:pPr>
        <w:snapToGrid w:val="0"/>
        <w:spacing w:line="360" w:lineRule="auto"/>
        <w:jc w:val="both"/>
        <w:rPr>
          <w:rFonts w:ascii="Book Antiqua" w:hAnsi="Book Antiqua"/>
          <w:b/>
          <w:color w:val="000000"/>
          <w:sz w:val="24"/>
          <w:szCs w:val="24"/>
        </w:rPr>
      </w:pPr>
      <w:r w:rsidRPr="005D68FE">
        <w:rPr>
          <w:rFonts w:ascii="Book Antiqua" w:hAnsi="Book Antiqua"/>
          <w:b/>
          <w:color w:val="000000"/>
          <w:sz w:val="24"/>
          <w:szCs w:val="24"/>
        </w:rPr>
        <w:t>Published online:</w:t>
      </w:r>
    </w:p>
    <w:p w14:paraId="341D079B" w14:textId="58B9A4FE" w:rsidR="00F8075E" w:rsidRPr="005D68FE" w:rsidRDefault="00F8075E" w:rsidP="005D68FE">
      <w:pPr>
        <w:autoSpaceDE/>
        <w:autoSpaceDN/>
        <w:adjustRightInd/>
        <w:spacing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br w:type="page"/>
      </w:r>
    </w:p>
    <w:p w14:paraId="5886108A" w14:textId="756757E8" w:rsidR="00977E81" w:rsidRPr="005D68FE" w:rsidRDefault="00977E81" w:rsidP="005D68FE">
      <w:pPr>
        <w:autoSpaceDE/>
        <w:autoSpaceDN/>
        <w:snapToGrid w:val="0"/>
        <w:spacing w:line="360" w:lineRule="auto"/>
        <w:jc w:val="both"/>
        <w:rPr>
          <w:rFonts w:ascii="Book Antiqua" w:hAnsi="Book Antiqua"/>
          <w:color w:val="000000" w:themeColor="text1"/>
          <w:sz w:val="24"/>
          <w:szCs w:val="24"/>
        </w:rPr>
      </w:pPr>
      <w:r w:rsidRPr="005D68FE">
        <w:rPr>
          <w:rFonts w:ascii="Book Antiqua" w:hAnsi="Book Antiqua"/>
          <w:b/>
          <w:color w:val="000000" w:themeColor="text1"/>
          <w:sz w:val="24"/>
          <w:szCs w:val="24"/>
        </w:rPr>
        <w:lastRenderedPageBreak/>
        <w:t>Abstract</w:t>
      </w:r>
    </w:p>
    <w:p w14:paraId="2A3570A0" w14:textId="255F7157" w:rsidR="00977E81" w:rsidRPr="005D68FE" w:rsidRDefault="00977E81" w:rsidP="005D68FE">
      <w:pPr>
        <w:snapToGrid w:val="0"/>
        <w:spacing w:line="360" w:lineRule="auto"/>
        <w:ind w:right="187"/>
        <w:jc w:val="both"/>
        <w:rPr>
          <w:rFonts w:ascii="Book Antiqua" w:hAnsi="Book Antiqua"/>
          <w:color w:val="000000" w:themeColor="text1"/>
          <w:sz w:val="24"/>
          <w:szCs w:val="24"/>
        </w:rPr>
      </w:pPr>
      <w:bookmarkStart w:id="6" w:name="_Hlk535669583"/>
      <w:r w:rsidRPr="005D68FE">
        <w:rPr>
          <w:rFonts w:ascii="Book Antiqua" w:hAnsi="Book Antiqua"/>
          <w:b/>
          <w:i/>
          <w:color w:val="000000" w:themeColor="text1"/>
          <w:sz w:val="24"/>
          <w:szCs w:val="24"/>
        </w:rPr>
        <w:t>BACKGROUND</w:t>
      </w:r>
    </w:p>
    <w:p w14:paraId="5F2E7294" w14:textId="17789782" w:rsidR="00977E81" w:rsidRPr="005D68FE" w:rsidRDefault="00977E81" w:rsidP="005D68FE">
      <w:pPr>
        <w:snapToGrid w:val="0"/>
        <w:spacing w:line="360" w:lineRule="auto"/>
        <w:ind w:right="187"/>
        <w:jc w:val="both"/>
        <w:rPr>
          <w:rFonts w:ascii="Book Antiqua" w:hAnsi="Book Antiqua"/>
          <w:color w:val="000000" w:themeColor="text1"/>
          <w:sz w:val="24"/>
          <w:szCs w:val="24"/>
        </w:rPr>
      </w:pPr>
      <w:bookmarkStart w:id="7" w:name="_Hlk12695632"/>
      <w:r w:rsidRPr="005D68FE">
        <w:rPr>
          <w:rFonts w:ascii="Book Antiqua" w:hAnsi="Book Antiqua"/>
          <w:color w:val="000000" w:themeColor="text1"/>
          <w:sz w:val="24"/>
          <w:szCs w:val="24"/>
        </w:rPr>
        <w:t xml:space="preserve">To solve the problem of liver transplantation donor insufficiency, an alternative cell transplantation therapy was investigated. We focused on amniotic epithelial cells (AECs) as a cell source because, unlike </w:t>
      </w:r>
      <w:r w:rsidR="00B50819" w:rsidRPr="005D68FE">
        <w:rPr>
          <w:rFonts w:ascii="Book Antiqua" w:hAnsi="Book Antiqua" w:cs="Arial"/>
          <w:color w:val="000000" w:themeColor="text1"/>
          <w:sz w:val="24"/>
          <w:szCs w:val="24"/>
          <w:shd w:val="clear" w:color="auto" w:fill="FFFFFF"/>
        </w:rPr>
        <w:t>induced pluripotent stem cells</w:t>
      </w:r>
      <w:r w:rsidRPr="005D68FE">
        <w:rPr>
          <w:rFonts w:ascii="Book Antiqua" w:hAnsi="Book Antiqua"/>
          <w:color w:val="000000" w:themeColor="text1"/>
          <w:sz w:val="24"/>
          <w:szCs w:val="24"/>
        </w:rPr>
        <w:t>, they are cost-effective and non-tumorigenic. The utilization of AECs in regenerative medicine, however, is in its infancy. A general profile for AECs has not been comprehensively analyzed. Moreover, no hepatic differentiation protocol for AECs has yet been established. To this end, we independently compiled human AEC libraries, purified amniotic stem cells (ASCs), and co-cultured them with</w:t>
      </w:r>
      <w:r w:rsidR="00B50819" w:rsidRPr="005D68FE">
        <w:rPr>
          <w:rFonts w:ascii="Book Antiqua" w:hAnsi="Book Antiqua"/>
          <w:color w:val="000000" w:themeColor="text1"/>
          <w:sz w:val="24"/>
          <w:szCs w:val="24"/>
        </w:rPr>
        <w:t xml:space="preserve"> mesenchymal stem cell</w:t>
      </w:r>
      <w:r w:rsidRPr="005D68FE">
        <w:rPr>
          <w:rFonts w:ascii="Book Antiqua" w:hAnsi="Book Antiqua"/>
          <w:color w:val="000000" w:themeColor="text1"/>
          <w:sz w:val="24"/>
          <w:szCs w:val="24"/>
        </w:rPr>
        <w:t xml:space="preserve"> </w:t>
      </w:r>
      <w:r w:rsidR="00B50819" w:rsidRPr="005D68FE">
        <w:rPr>
          <w:rFonts w:ascii="Book Antiqua" w:hAnsi="Book Antiqua"/>
          <w:color w:val="000000" w:themeColor="text1"/>
          <w:sz w:val="24"/>
          <w:szCs w:val="24"/>
        </w:rPr>
        <w:t>(</w:t>
      </w:r>
      <w:r w:rsidRPr="005D68FE">
        <w:rPr>
          <w:rFonts w:ascii="Book Antiqua" w:hAnsi="Book Antiqua"/>
          <w:color w:val="000000" w:themeColor="text1"/>
          <w:sz w:val="24"/>
          <w:szCs w:val="24"/>
        </w:rPr>
        <w:t>MSC</w:t>
      </w:r>
      <w:r w:rsidR="00B50819" w:rsidRPr="005D68FE">
        <w:rPr>
          <w:rFonts w:ascii="Book Antiqua" w:hAnsi="Book Antiqua"/>
          <w:color w:val="000000" w:themeColor="text1"/>
          <w:sz w:val="24"/>
          <w:szCs w:val="24"/>
        </w:rPr>
        <w:t>)</w:t>
      </w:r>
      <w:r w:rsidRPr="005D68FE">
        <w:rPr>
          <w:rFonts w:ascii="Book Antiqua" w:hAnsi="Book Antiqua"/>
          <w:color w:val="000000" w:themeColor="text1"/>
          <w:sz w:val="24"/>
          <w:szCs w:val="24"/>
        </w:rPr>
        <w:t xml:space="preserve"> and</w:t>
      </w:r>
      <w:r w:rsidR="00B50819" w:rsidRPr="005D68FE">
        <w:rPr>
          <w:rFonts w:ascii="Book Antiqua" w:hAnsi="Book Antiqua"/>
          <w:color w:val="000000" w:themeColor="text1"/>
          <w:sz w:val="24"/>
          <w:szCs w:val="24"/>
        </w:rPr>
        <w:t xml:space="preserve"> human umbilical vein endothelial cell</w:t>
      </w:r>
      <w:r w:rsidRPr="005D68FE">
        <w:rPr>
          <w:rFonts w:ascii="Book Antiqua" w:hAnsi="Book Antiqua"/>
          <w:color w:val="000000" w:themeColor="text1"/>
          <w:sz w:val="24"/>
          <w:szCs w:val="24"/>
        </w:rPr>
        <w:t xml:space="preserve"> </w:t>
      </w:r>
      <w:r w:rsidR="00B50819" w:rsidRPr="005D68FE">
        <w:rPr>
          <w:rFonts w:ascii="Book Antiqua" w:hAnsi="Book Antiqua"/>
          <w:color w:val="000000" w:themeColor="text1"/>
          <w:sz w:val="24"/>
          <w:szCs w:val="24"/>
        </w:rPr>
        <w:t>(</w:t>
      </w:r>
      <w:r w:rsidRPr="005D68FE">
        <w:rPr>
          <w:rFonts w:ascii="Book Antiqua" w:hAnsi="Book Antiqua"/>
          <w:color w:val="000000" w:themeColor="text1"/>
          <w:sz w:val="24"/>
          <w:szCs w:val="24"/>
        </w:rPr>
        <w:t>HUVEC</w:t>
      </w:r>
      <w:r w:rsidR="00B50819" w:rsidRPr="005D68FE">
        <w:rPr>
          <w:rFonts w:ascii="Book Antiqua" w:hAnsi="Book Antiqua"/>
          <w:color w:val="000000" w:themeColor="text1"/>
          <w:sz w:val="24"/>
          <w:szCs w:val="24"/>
        </w:rPr>
        <w:t>)</w:t>
      </w:r>
      <w:r w:rsidRPr="005D68FE">
        <w:rPr>
          <w:rFonts w:ascii="Book Antiqua" w:hAnsi="Book Antiqua"/>
          <w:color w:val="000000" w:themeColor="text1"/>
          <w:sz w:val="24"/>
          <w:szCs w:val="24"/>
        </w:rPr>
        <w:t xml:space="preserve"> in a 3D system which induces functional hepatic organoids</w:t>
      </w:r>
      <w:bookmarkEnd w:id="7"/>
      <w:r w:rsidRPr="005D68FE">
        <w:rPr>
          <w:rFonts w:ascii="Book Antiqua" w:hAnsi="Book Antiqua"/>
          <w:color w:val="000000" w:themeColor="text1"/>
          <w:sz w:val="24"/>
          <w:szCs w:val="24"/>
        </w:rPr>
        <w:t>.</w:t>
      </w:r>
    </w:p>
    <w:p w14:paraId="13EE8A69" w14:textId="77777777" w:rsidR="00977E81" w:rsidRPr="005D68FE" w:rsidRDefault="00977E81" w:rsidP="005D68FE">
      <w:pPr>
        <w:snapToGrid w:val="0"/>
        <w:spacing w:line="360" w:lineRule="auto"/>
        <w:ind w:right="187"/>
        <w:jc w:val="both"/>
        <w:rPr>
          <w:rFonts w:ascii="Book Antiqua" w:hAnsi="Book Antiqua"/>
          <w:color w:val="000000" w:themeColor="text1"/>
          <w:sz w:val="24"/>
          <w:szCs w:val="24"/>
        </w:rPr>
      </w:pPr>
    </w:p>
    <w:p w14:paraId="41408E2C" w14:textId="598BD698"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i/>
          <w:color w:val="000000" w:themeColor="text1"/>
          <w:sz w:val="24"/>
          <w:szCs w:val="24"/>
        </w:rPr>
        <w:t>AIM</w:t>
      </w:r>
    </w:p>
    <w:p w14:paraId="649B1861" w14:textId="77777777"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color w:val="000000" w:themeColor="text1"/>
          <w:sz w:val="24"/>
          <w:szCs w:val="24"/>
        </w:rPr>
        <w:t>To characterize AECs and generate functional hepatic organoids from ASCs and other somatic stem cells</w:t>
      </w:r>
    </w:p>
    <w:p w14:paraId="2D033EBF" w14:textId="77777777" w:rsidR="00977E81" w:rsidRPr="005D68FE" w:rsidRDefault="00977E81" w:rsidP="005D68FE">
      <w:pPr>
        <w:snapToGrid w:val="0"/>
        <w:spacing w:line="360" w:lineRule="auto"/>
        <w:ind w:right="187"/>
        <w:jc w:val="both"/>
        <w:rPr>
          <w:rFonts w:ascii="Book Antiqua" w:hAnsi="Book Antiqua"/>
          <w:color w:val="000000" w:themeColor="text1"/>
          <w:sz w:val="24"/>
          <w:szCs w:val="24"/>
        </w:rPr>
      </w:pPr>
    </w:p>
    <w:p w14:paraId="708AE260" w14:textId="64B463B4"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i/>
          <w:color w:val="000000" w:themeColor="text1"/>
          <w:sz w:val="24"/>
          <w:szCs w:val="24"/>
        </w:rPr>
        <w:t>METHODS</w:t>
      </w:r>
    </w:p>
    <w:p w14:paraId="1B1B7789" w14:textId="195596AF"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AECs, MSCs, and HUVECs were isolated from the placentae and umbilical cords of cesarean section patients. Amnion and primary AEC stemness characteristics and heterogeneity were analyzed by immunocytochemistry, </w:t>
      </w:r>
      <w:r w:rsidR="00CB3A9B" w:rsidRPr="005D68FE">
        <w:rPr>
          <w:rFonts w:ascii="Book Antiqua" w:eastAsia="Microsoft YaHei" w:hAnsi="Book Antiqua"/>
          <w:color w:val="000000" w:themeColor="text1"/>
          <w:sz w:val="24"/>
          <w:szCs w:val="24"/>
          <w:shd w:val="clear" w:color="auto" w:fill="FFFFFF"/>
        </w:rPr>
        <w:t>Alkaline phosphatase (</w:t>
      </w:r>
      <w:r w:rsidRPr="005D68FE">
        <w:rPr>
          <w:rFonts w:ascii="Book Antiqua" w:hAnsi="Book Antiqua"/>
          <w:color w:val="000000" w:themeColor="text1"/>
          <w:sz w:val="24"/>
          <w:szCs w:val="24"/>
        </w:rPr>
        <w:t>AP</w:t>
      </w:r>
      <w:r w:rsidR="00CB3A9B" w:rsidRPr="005D68FE">
        <w:rPr>
          <w:rFonts w:ascii="Book Antiqua" w:hAnsi="Book Antiqua"/>
          <w:color w:val="000000" w:themeColor="text1"/>
          <w:sz w:val="24"/>
          <w:szCs w:val="24"/>
        </w:rPr>
        <w:t>)</w:t>
      </w:r>
      <w:r w:rsidRPr="005D68FE">
        <w:rPr>
          <w:rFonts w:ascii="Book Antiqua" w:hAnsi="Book Antiqua"/>
          <w:color w:val="000000" w:themeColor="text1"/>
          <w:sz w:val="24"/>
          <w:szCs w:val="24"/>
        </w:rPr>
        <w:t xml:space="preserve"> staining, and flow cytometry. An adherent AEC subpopulation was selected and evaluated for ASC purification quality by a colony formation assay. AEC transcriptomes were compared with those for other hepatocytes cell sources by bioinformatics. The 2D and 3D culture were compared by relative gene expression using several differentiation protocols. ASCs, MSCs, and HUVECs were combined in a 3D co-culture system to generate hepatic organoids whose structure was compared with a 3D AEC </w:t>
      </w:r>
      <w:r w:rsidRPr="005D68FE">
        <w:rPr>
          <w:rFonts w:ascii="Book Antiqua" w:hAnsi="Book Antiqua"/>
          <w:color w:val="000000" w:themeColor="text1"/>
          <w:sz w:val="24"/>
          <w:szCs w:val="24"/>
        </w:rPr>
        <w:lastRenderedPageBreak/>
        <w:t>sphere and whose function was elucidated by immunofluorescence imaging,</w:t>
      </w:r>
      <w:r w:rsidR="008376DB" w:rsidRPr="005D68FE">
        <w:rPr>
          <w:rFonts w:ascii="Book Antiqua" w:hAnsi="Book Antiqua"/>
          <w:color w:val="000000" w:themeColor="text1"/>
          <w:sz w:val="24"/>
          <w:szCs w:val="24"/>
        </w:rPr>
        <w:t xml:space="preserve"> </w:t>
      </w:r>
      <w:r w:rsidR="002A10CE" w:rsidRPr="005D68FE">
        <w:rPr>
          <w:rFonts w:ascii="Book Antiqua" w:eastAsia="DengXian" w:hAnsi="Book Antiqua"/>
          <w:color w:val="000000" w:themeColor="text1"/>
          <w:sz w:val="24"/>
          <w:szCs w:val="24"/>
          <w:lang w:eastAsia="zh-CN"/>
        </w:rPr>
        <w:t>p</w:t>
      </w:r>
      <w:r w:rsidR="002A10CE" w:rsidRPr="005D68FE">
        <w:rPr>
          <w:rFonts w:ascii="Book Antiqua" w:hAnsi="Book Antiqua"/>
          <w:color w:val="000000" w:themeColor="text1"/>
          <w:sz w:val="24"/>
          <w:szCs w:val="24"/>
        </w:rPr>
        <w:t>eriodic acid Schiff</w:t>
      </w:r>
      <w:r w:rsidRPr="005D68FE">
        <w:rPr>
          <w:rFonts w:ascii="Book Antiqua" w:hAnsi="Book Antiqua"/>
          <w:color w:val="000000" w:themeColor="text1"/>
          <w:sz w:val="24"/>
          <w:szCs w:val="24"/>
        </w:rPr>
        <w:t xml:space="preserve">, and an </w:t>
      </w:r>
      <w:r w:rsidR="002A10CE" w:rsidRPr="005D68FE">
        <w:rPr>
          <w:rFonts w:ascii="Book Antiqua" w:hAnsi="Book Antiqua" w:cs="Arial"/>
          <w:color w:val="000000" w:themeColor="text1"/>
          <w:sz w:val="24"/>
          <w:szCs w:val="24"/>
          <w:shd w:val="clear" w:color="auto" w:fill="FFFFFF"/>
        </w:rPr>
        <w:t xml:space="preserve">indocyanine green </w:t>
      </w:r>
      <w:r w:rsidR="002A10CE" w:rsidRPr="005D68FE">
        <w:rPr>
          <w:rFonts w:ascii="Book Antiqua" w:hAnsi="Book Antiqua"/>
          <w:color w:val="000000" w:themeColor="text1"/>
          <w:sz w:val="24"/>
          <w:szCs w:val="24"/>
        </w:rPr>
        <w:t>(</w:t>
      </w:r>
      <w:r w:rsidRPr="005D68FE">
        <w:rPr>
          <w:rFonts w:ascii="Book Antiqua" w:hAnsi="Book Antiqua"/>
          <w:color w:val="000000" w:themeColor="text1"/>
          <w:sz w:val="24"/>
          <w:szCs w:val="24"/>
        </w:rPr>
        <w:t>ICG</w:t>
      </w:r>
      <w:r w:rsidR="002A10CE" w:rsidRPr="005D68FE">
        <w:rPr>
          <w:rFonts w:ascii="Book Antiqua" w:hAnsi="Book Antiqua"/>
          <w:color w:val="000000" w:themeColor="text1"/>
          <w:sz w:val="24"/>
          <w:szCs w:val="24"/>
        </w:rPr>
        <w:t>)</w:t>
      </w:r>
      <w:r w:rsidRPr="005D68FE">
        <w:rPr>
          <w:rFonts w:ascii="Book Antiqua" w:hAnsi="Book Antiqua"/>
          <w:color w:val="000000" w:themeColor="text1"/>
          <w:sz w:val="24"/>
          <w:szCs w:val="24"/>
        </w:rPr>
        <w:t xml:space="preserve"> test.</w:t>
      </w:r>
    </w:p>
    <w:p w14:paraId="07C58396" w14:textId="77777777" w:rsidR="00977E81" w:rsidRPr="005D68FE" w:rsidRDefault="00977E81" w:rsidP="005D68FE">
      <w:pPr>
        <w:snapToGrid w:val="0"/>
        <w:spacing w:line="360" w:lineRule="auto"/>
        <w:ind w:right="187"/>
        <w:jc w:val="both"/>
        <w:rPr>
          <w:rFonts w:ascii="Book Antiqua" w:hAnsi="Book Antiqua"/>
          <w:color w:val="000000" w:themeColor="text1"/>
          <w:sz w:val="24"/>
          <w:szCs w:val="24"/>
        </w:rPr>
      </w:pPr>
    </w:p>
    <w:p w14:paraId="3F55C98A" w14:textId="7761CC1A"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i/>
          <w:color w:val="000000" w:themeColor="text1"/>
          <w:sz w:val="24"/>
          <w:szCs w:val="24"/>
        </w:rPr>
        <w:t>RESULTS</w:t>
      </w:r>
    </w:p>
    <w:p w14:paraId="592187E0" w14:textId="739BBDBF" w:rsidR="00977E81" w:rsidRPr="005D68FE" w:rsidRDefault="00977E81" w:rsidP="005D68FE">
      <w:pPr>
        <w:snapToGrid w:val="0"/>
        <w:spacing w:line="360" w:lineRule="auto"/>
        <w:ind w:right="187"/>
        <w:jc w:val="both"/>
        <w:rPr>
          <w:rFonts w:ascii="Book Antiqua" w:hAnsi="Book Antiqua"/>
          <w:color w:val="000000" w:themeColor="text1"/>
          <w:sz w:val="24"/>
          <w:szCs w:val="24"/>
        </w:rPr>
      </w:pPr>
      <w:bookmarkStart w:id="8" w:name="_Hlk12709739"/>
      <w:r w:rsidRPr="005D68FE">
        <w:rPr>
          <w:rFonts w:ascii="Book Antiqua" w:hAnsi="Book Antiqua"/>
          <w:color w:val="000000" w:themeColor="text1"/>
          <w:sz w:val="24"/>
          <w:szCs w:val="24"/>
        </w:rPr>
        <w:t xml:space="preserve">AECs have certain stemness markers such as EPCAM, SSEA4, and E-cadherin. One AEC subpopulation was also either positive for AP staining or expressed the TRA-1-60 and TRA-1-81 stemness markers. Moreover, it could form colonies and its frequency was enhanced ten-fold in the adherent subpopulation after selective primary passage. Bioinformatics analysis of </w:t>
      </w:r>
      <w:r w:rsidR="00CB3A9B" w:rsidRPr="005D68FE">
        <w:rPr>
          <w:rFonts w:ascii="Book Antiqua" w:hAnsi="Book Antiqua" w:cs="Arial"/>
          <w:color w:val="000000" w:themeColor="text1"/>
          <w:sz w:val="24"/>
          <w:szCs w:val="24"/>
          <w:shd w:val="clear" w:color="auto" w:fill="FFFFFF"/>
        </w:rPr>
        <w:t>ribo</w:t>
      </w:r>
      <w:r w:rsidR="00CB3A9B" w:rsidRPr="005D68FE">
        <w:rPr>
          <w:rFonts w:ascii="Book Antiqua" w:eastAsia="DengXian" w:hAnsi="Book Antiqua" w:cs="Arial"/>
          <w:color w:val="000000" w:themeColor="text1"/>
          <w:sz w:val="24"/>
          <w:szCs w:val="24"/>
          <w:shd w:val="clear" w:color="auto" w:fill="FFFFFF"/>
          <w:lang w:eastAsia="zh-CN"/>
        </w:rPr>
        <w:t>se</w:t>
      </w:r>
      <w:r w:rsidR="00CB3A9B" w:rsidRPr="005D68FE">
        <w:rPr>
          <w:rFonts w:ascii="Book Antiqua" w:hAnsi="Book Antiqua" w:cs="Arial"/>
          <w:color w:val="000000" w:themeColor="text1"/>
          <w:sz w:val="24"/>
          <w:szCs w:val="24"/>
          <w:shd w:val="clear" w:color="auto" w:fill="FFFFFF"/>
        </w:rPr>
        <w:t xml:space="preserve"> nucleic acid</w:t>
      </w:r>
      <w:r w:rsidR="00CB3A9B"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sequencing revealed that the total AEC gene expression was distant from those of pluripotent stem cells and hepatocytes but some gene expression overlapped among these cells. </w:t>
      </w:r>
      <w:bookmarkStart w:id="9" w:name="_Hlk438514"/>
      <w:r w:rsidRPr="005D68FE">
        <w:rPr>
          <w:rFonts w:ascii="Book Antiqua" w:hAnsi="Book Antiqua"/>
          <w:i/>
          <w:color w:val="000000" w:themeColor="text1"/>
          <w:sz w:val="24"/>
          <w:szCs w:val="24"/>
        </w:rPr>
        <w:t>TJP1,</w:t>
      </w:r>
      <w:r w:rsidRPr="005D68FE">
        <w:rPr>
          <w:rFonts w:ascii="Book Antiqua" w:hAnsi="Book Antiqua"/>
          <w:color w:val="000000" w:themeColor="text1"/>
          <w:sz w:val="24"/>
          <w:szCs w:val="24"/>
        </w:rPr>
        <w:t xml:space="preserve"> associated with </w:t>
      </w:r>
      <w:r w:rsidR="00CB3A9B" w:rsidRPr="005D68FE">
        <w:rPr>
          <w:rFonts w:ascii="Book Antiqua" w:hAnsi="Book Antiqua"/>
          <w:color w:val="000000" w:themeColor="text1"/>
          <w:sz w:val="24"/>
          <w:szCs w:val="24"/>
        </w:rPr>
        <w:t>epidermal growth factor</w:t>
      </w:r>
      <w:r w:rsidR="00B768D3" w:rsidRPr="005D68FE">
        <w:rPr>
          <w:rFonts w:ascii="Book Antiqua" w:hAnsi="Book Antiqua"/>
          <w:color w:val="000000" w:themeColor="text1"/>
          <w:sz w:val="24"/>
          <w:szCs w:val="24"/>
        </w:rPr>
        <w:t xml:space="preserve"> </w:t>
      </w:r>
      <w:r w:rsidR="00CB3A9B" w:rsidRPr="005D68FE">
        <w:rPr>
          <w:rFonts w:ascii="Book Antiqua" w:hAnsi="Book Antiqua"/>
          <w:color w:val="000000" w:themeColor="text1"/>
          <w:sz w:val="24"/>
          <w:szCs w:val="24"/>
        </w:rPr>
        <w:t>receptor</w:t>
      </w:r>
      <w:r w:rsidRPr="005D68FE">
        <w:rPr>
          <w:rFonts w:ascii="Book Antiqua" w:hAnsi="Book Antiqua"/>
          <w:color w:val="000000" w:themeColor="text1"/>
          <w:sz w:val="24"/>
          <w:szCs w:val="24"/>
        </w:rPr>
        <w:t xml:space="preserve">, and </w:t>
      </w:r>
      <w:r w:rsidR="00D622CC" w:rsidRPr="005D68FE">
        <w:rPr>
          <w:rFonts w:ascii="Book Antiqua" w:hAnsi="Book Antiqua"/>
          <w:color w:val="000000" w:themeColor="text1"/>
          <w:sz w:val="24"/>
          <w:szCs w:val="24"/>
        </w:rPr>
        <w:t>MET</w:t>
      </w:r>
      <w:r w:rsidRPr="005D68FE">
        <w:rPr>
          <w:rFonts w:ascii="Book Antiqua" w:hAnsi="Book Antiqua"/>
          <w:color w:val="000000" w:themeColor="text1"/>
          <w:sz w:val="24"/>
          <w:szCs w:val="24"/>
        </w:rPr>
        <w:t xml:space="preserve">, associated with </w:t>
      </w:r>
      <w:r w:rsidR="00B768D3" w:rsidRPr="005D68FE">
        <w:rPr>
          <w:rFonts w:ascii="Book Antiqua" w:hAnsi="Book Antiqua"/>
          <w:color w:val="000000" w:themeColor="text1"/>
          <w:sz w:val="24"/>
          <w:szCs w:val="24"/>
        </w:rPr>
        <w:t>hepatocyte growth factor receptor</w:t>
      </w:r>
      <w:r w:rsidRPr="005D68FE">
        <w:rPr>
          <w:rFonts w:ascii="Book Antiqua" w:hAnsi="Book Antiqua"/>
          <w:color w:val="000000" w:themeColor="text1"/>
          <w:sz w:val="24"/>
          <w:szCs w:val="24"/>
        </w:rPr>
        <w:t>, were upregulated and may be important for hepatic differentiation</w:t>
      </w:r>
      <w:bookmarkEnd w:id="9"/>
      <w:r w:rsidRPr="005D68FE">
        <w:rPr>
          <w:rFonts w:ascii="Book Antiqua" w:hAnsi="Book Antiqua"/>
          <w:color w:val="000000" w:themeColor="text1"/>
          <w:sz w:val="24"/>
          <w:szCs w:val="24"/>
        </w:rPr>
        <w:t>. In conventional flat culture, the cells turned unviable and did not readily differentiate into hepatocytes. In 3D culture, however, hepatic gene expression of the AEC sphere was elevated even under a two-step differentiation protocol. Furthermore, the organoids derived from the MSC and HUVEC co-culture showed 3D structure with polarity, hepatic-like glycogen storage, and ICG absorption/elimination.</w:t>
      </w:r>
    </w:p>
    <w:bookmarkEnd w:id="8"/>
    <w:p w14:paraId="766686EC" w14:textId="77777777" w:rsidR="00977E81" w:rsidRPr="005D68FE" w:rsidRDefault="00977E81" w:rsidP="005D68FE">
      <w:pPr>
        <w:snapToGrid w:val="0"/>
        <w:spacing w:line="360" w:lineRule="auto"/>
        <w:ind w:right="187"/>
        <w:jc w:val="both"/>
        <w:rPr>
          <w:rFonts w:ascii="Book Antiqua" w:hAnsi="Book Antiqua"/>
          <w:color w:val="000000" w:themeColor="text1"/>
          <w:sz w:val="24"/>
          <w:szCs w:val="24"/>
        </w:rPr>
      </w:pPr>
    </w:p>
    <w:p w14:paraId="5652F0D0" w14:textId="7DDFE7DE"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i/>
          <w:color w:val="000000" w:themeColor="text1"/>
          <w:sz w:val="24"/>
          <w:szCs w:val="24"/>
        </w:rPr>
        <w:t>CONCLUSION</w:t>
      </w:r>
    </w:p>
    <w:p w14:paraId="46ED36C0" w14:textId="77777777"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color w:val="000000" w:themeColor="text1"/>
          <w:sz w:val="24"/>
          <w:szCs w:val="24"/>
        </w:rPr>
        <w:t>Human amniotic epithelial cells are heterogeneous and certain subpopulations have high stemness. Under a 3D co-culture system, functional hepatic organoids were generated in a multicellular microenvironment.</w:t>
      </w:r>
    </w:p>
    <w:bookmarkEnd w:id="6"/>
    <w:p w14:paraId="155A3FC4" w14:textId="77777777" w:rsidR="00977E81" w:rsidRPr="005D68FE" w:rsidRDefault="00977E81" w:rsidP="005D68FE">
      <w:pPr>
        <w:snapToGrid w:val="0"/>
        <w:spacing w:line="360" w:lineRule="auto"/>
        <w:ind w:right="187"/>
        <w:jc w:val="both"/>
        <w:rPr>
          <w:rFonts w:ascii="Book Antiqua" w:hAnsi="Book Antiqua"/>
          <w:color w:val="000000" w:themeColor="text1"/>
          <w:sz w:val="24"/>
          <w:szCs w:val="24"/>
        </w:rPr>
      </w:pPr>
    </w:p>
    <w:p w14:paraId="1DCA6244" w14:textId="2610C462"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color w:val="000000" w:themeColor="text1"/>
          <w:sz w:val="24"/>
          <w:szCs w:val="24"/>
        </w:rPr>
        <w:t xml:space="preserve">Key words: </w:t>
      </w:r>
      <w:bookmarkStart w:id="10" w:name="OLE_LINK5"/>
      <w:r w:rsidRPr="005D68FE">
        <w:rPr>
          <w:rFonts w:ascii="Book Antiqua" w:hAnsi="Book Antiqua"/>
          <w:color w:val="000000" w:themeColor="text1"/>
          <w:sz w:val="24"/>
          <w:szCs w:val="24"/>
        </w:rPr>
        <w:t>3D micro-pattern</w:t>
      </w:r>
      <w:bookmarkEnd w:id="10"/>
      <w:r w:rsidRPr="005D68FE">
        <w:rPr>
          <w:rFonts w:ascii="Book Antiqua" w:hAnsi="Book Antiqua"/>
          <w:color w:val="000000" w:themeColor="text1"/>
          <w:sz w:val="24"/>
          <w:szCs w:val="24"/>
        </w:rPr>
        <w:t xml:space="preserve">; </w:t>
      </w:r>
      <w:bookmarkStart w:id="11" w:name="OLE_LINK6"/>
      <w:r w:rsidRPr="005D68FE">
        <w:rPr>
          <w:rFonts w:ascii="Book Antiqua" w:hAnsi="Book Antiqua"/>
          <w:color w:val="000000" w:themeColor="text1"/>
          <w:sz w:val="24"/>
          <w:szCs w:val="24"/>
        </w:rPr>
        <w:t>Amniotic epithelial cells</w:t>
      </w:r>
      <w:bookmarkEnd w:id="11"/>
      <w:r w:rsidRPr="005D68FE">
        <w:rPr>
          <w:rFonts w:ascii="Book Antiqua" w:hAnsi="Book Antiqua"/>
          <w:color w:val="000000" w:themeColor="text1"/>
          <w:sz w:val="24"/>
          <w:szCs w:val="24"/>
        </w:rPr>
        <w:t xml:space="preserve">; </w:t>
      </w:r>
      <w:bookmarkStart w:id="12" w:name="OLE_LINK7"/>
      <w:r w:rsidRPr="005D68FE">
        <w:rPr>
          <w:rFonts w:ascii="Book Antiqua" w:hAnsi="Book Antiqua"/>
          <w:color w:val="000000" w:themeColor="text1"/>
          <w:sz w:val="24"/>
          <w:szCs w:val="24"/>
        </w:rPr>
        <w:t>Amniotic stem cells</w:t>
      </w:r>
      <w:bookmarkEnd w:id="12"/>
      <w:r w:rsidRPr="005D68FE">
        <w:rPr>
          <w:rFonts w:ascii="Book Antiqua" w:hAnsi="Book Antiqua"/>
          <w:color w:val="000000" w:themeColor="text1"/>
          <w:sz w:val="24"/>
          <w:szCs w:val="24"/>
        </w:rPr>
        <w:t>; Hepatic differentiation; Heterogeneity; Human placental tissue; Human umbilical vein endothelial cells; Mesenchymal stem cells; Multicellular microenvironment; Organoid</w:t>
      </w:r>
    </w:p>
    <w:p w14:paraId="78287D6D" w14:textId="68D46F7E" w:rsidR="00977E81" w:rsidRPr="005D68FE" w:rsidRDefault="00977E81" w:rsidP="005D68FE">
      <w:pPr>
        <w:snapToGrid w:val="0"/>
        <w:spacing w:line="360" w:lineRule="auto"/>
        <w:ind w:right="187"/>
        <w:jc w:val="both"/>
        <w:rPr>
          <w:rFonts w:ascii="Book Antiqua" w:hAnsi="Book Antiqua"/>
          <w:color w:val="000000" w:themeColor="text1"/>
          <w:sz w:val="24"/>
          <w:szCs w:val="24"/>
        </w:rPr>
      </w:pPr>
    </w:p>
    <w:p w14:paraId="38C62D7C" w14:textId="70F00F45" w:rsidR="00192685" w:rsidRPr="005D68FE" w:rsidRDefault="00192685" w:rsidP="005D68FE">
      <w:pPr>
        <w:snapToGrid w:val="0"/>
        <w:spacing w:line="360" w:lineRule="auto"/>
        <w:ind w:right="187"/>
        <w:jc w:val="both"/>
        <w:rPr>
          <w:rFonts w:ascii="Book Antiqua" w:hAnsi="Book Antiqua"/>
          <w:color w:val="000000" w:themeColor="text1"/>
          <w:sz w:val="24"/>
          <w:szCs w:val="24"/>
        </w:rPr>
      </w:pPr>
      <w:bookmarkStart w:id="13" w:name="OLE_LINK8"/>
      <w:r w:rsidRPr="005D68FE">
        <w:rPr>
          <w:rFonts w:ascii="Book Antiqua" w:hAnsi="Book Antiqua"/>
          <w:b/>
          <w:bCs/>
          <w:color w:val="000000" w:themeColor="text1"/>
          <w:sz w:val="24"/>
          <w:szCs w:val="24"/>
        </w:rPr>
        <w:t xml:space="preserve">© The Author(s) 2019. </w:t>
      </w:r>
      <w:r w:rsidRPr="005D68FE">
        <w:rPr>
          <w:rFonts w:ascii="Book Antiqua" w:hAnsi="Book Antiqua"/>
          <w:color w:val="000000" w:themeColor="text1"/>
          <w:sz w:val="24"/>
          <w:szCs w:val="24"/>
        </w:rPr>
        <w:t>Published by Baishideng Publishing Group Inc. All rights reserved.</w:t>
      </w:r>
    </w:p>
    <w:bookmarkEnd w:id="13"/>
    <w:p w14:paraId="13955A1A" w14:textId="77777777" w:rsidR="00192685" w:rsidRPr="005D68FE" w:rsidRDefault="00192685" w:rsidP="005D68FE">
      <w:pPr>
        <w:snapToGrid w:val="0"/>
        <w:spacing w:line="360" w:lineRule="auto"/>
        <w:ind w:right="187"/>
        <w:jc w:val="both"/>
        <w:rPr>
          <w:rFonts w:ascii="Book Antiqua" w:hAnsi="Book Antiqua"/>
          <w:color w:val="000000" w:themeColor="text1"/>
          <w:sz w:val="24"/>
          <w:szCs w:val="24"/>
        </w:rPr>
      </w:pPr>
    </w:p>
    <w:p w14:paraId="4E597215" w14:textId="066FD679" w:rsidR="00977E81" w:rsidRPr="005D68FE" w:rsidRDefault="00977E81"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b/>
          <w:color w:val="000000" w:themeColor="text1"/>
          <w:sz w:val="24"/>
          <w:szCs w:val="24"/>
        </w:rPr>
        <w:t xml:space="preserve">Core tip: </w:t>
      </w:r>
      <w:bookmarkStart w:id="14" w:name="OLE_LINK9"/>
      <w:r w:rsidRPr="005D68FE">
        <w:rPr>
          <w:rFonts w:ascii="Book Antiqua" w:hAnsi="Book Antiqua"/>
          <w:color w:val="000000" w:themeColor="text1"/>
          <w:sz w:val="24"/>
          <w:szCs w:val="24"/>
        </w:rPr>
        <w:t xml:space="preserve">Amniotic stem cells were exploited as a cell source alternative to liver transplantation therapy instead of </w:t>
      </w:r>
      <w:r w:rsidR="00AA47AE" w:rsidRPr="005D68FE">
        <w:rPr>
          <w:rFonts w:ascii="Book Antiqua" w:hAnsi="Book Antiqua"/>
          <w:color w:val="000000" w:themeColor="text1"/>
          <w:sz w:val="24"/>
          <w:szCs w:val="24"/>
        </w:rPr>
        <w:t>induced pluripotent stem cells</w:t>
      </w:r>
      <w:r w:rsidRPr="005D68FE">
        <w:rPr>
          <w:rFonts w:ascii="Book Antiqua" w:hAnsi="Book Antiqua"/>
          <w:color w:val="000000" w:themeColor="text1"/>
          <w:sz w:val="24"/>
          <w:szCs w:val="24"/>
        </w:rPr>
        <w:t xml:space="preserve">. However, they presented with low hepatic function efficiency. We used 3D co-culture and a combination of supportive somatic stem cells to simulate an </w:t>
      </w:r>
      <w:r w:rsidRPr="005D68FE">
        <w:rPr>
          <w:rFonts w:ascii="Book Antiqua" w:hAnsi="Book Antiqua"/>
          <w:i/>
          <w:iCs/>
          <w:color w:val="000000" w:themeColor="text1"/>
          <w:sz w:val="24"/>
          <w:szCs w:val="24"/>
        </w:rPr>
        <w:t>in vivo</w:t>
      </w:r>
      <w:r w:rsidRPr="005D68FE">
        <w:rPr>
          <w:rFonts w:ascii="Book Antiqua" w:hAnsi="Book Antiqua"/>
          <w:color w:val="000000" w:themeColor="text1"/>
          <w:sz w:val="24"/>
          <w:szCs w:val="24"/>
        </w:rPr>
        <w:t xml:space="preserve"> microenvironment. Our selected subpopulation of adherent amniotic stem cells self-organized </w:t>
      </w:r>
      <w:r w:rsidRPr="005D68FE">
        <w:rPr>
          <w:rFonts w:ascii="Book Antiqua" w:hAnsi="Book Antiqua"/>
          <w:i/>
          <w:iCs/>
          <w:color w:val="000000" w:themeColor="text1"/>
          <w:sz w:val="24"/>
          <w:szCs w:val="24"/>
        </w:rPr>
        <w:t xml:space="preserve">ex vivo </w:t>
      </w:r>
      <w:r w:rsidRPr="005D68FE">
        <w:rPr>
          <w:rFonts w:ascii="Book Antiqua" w:hAnsi="Book Antiqua"/>
          <w:color w:val="000000" w:themeColor="text1"/>
          <w:sz w:val="24"/>
          <w:szCs w:val="24"/>
        </w:rPr>
        <w:t>and generated functional organoids. Cell selection methods and bioinformatics may help refine the differentiation protocol.</w:t>
      </w:r>
    </w:p>
    <w:bookmarkEnd w:id="0"/>
    <w:bookmarkEnd w:id="14"/>
    <w:p w14:paraId="09E1059A" w14:textId="77777777" w:rsidR="004D7C4A" w:rsidRPr="005D68FE" w:rsidRDefault="004D7C4A" w:rsidP="005D68FE">
      <w:pPr>
        <w:autoSpaceDE/>
        <w:autoSpaceDN/>
        <w:snapToGrid w:val="0"/>
        <w:spacing w:line="360" w:lineRule="auto"/>
        <w:jc w:val="both"/>
        <w:rPr>
          <w:rFonts w:ascii="Book Antiqua" w:hAnsi="Book Antiqua"/>
          <w:color w:val="000000" w:themeColor="text1"/>
          <w:sz w:val="24"/>
          <w:szCs w:val="24"/>
        </w:rPr>
      </w:pPr>
    </w:p>
    <w:p w14:paraId="18A09E0B" w14:textId="7C9CF004" w:rsidR="004D7C4A" w:rsidRPr="005D68FE" w:rsidRDefault="004D7C4A" w:rsidP="005D68FE">
      <w:pPr>
        <w:snapToGrid w:val="0"/>
        <w:spacing w:line="360" w:lineRule="auto"/>
        <w:ind w:right="187"/>
        <w:jc w:val="both"/>
        <w:rPr>
          <w:rFonts w:ascii="Book Antiqua" w:hAnsi="Book Antiqua"/>
          <w:bCs/>
          <w:color w:val="000000" w:themeColor="text1"/>
          <w:sz w:val="24"/>
          <w:szCs w:val="24"/>
        </w:rPr>
      </w:pPr>
      <w:r w:rsidRPr="005D68FE">
        <w:rPr>
          <w:rFonts w:ascii="Book Antiqua" w:hAnsi="Book Antiqua"/>
          <w:bCs/>
          <w:color w:val="000000" w:themeColor="text1"/>
          <w:sz w:val="24"/>
          <w:szCs w:val="24"/>
        </w:rPr>
        <w:t>Furuya K, Zheng YW, Sako D, Iwasaki K, Zheng DX, Ge JY, Liu LP, Furuta T, Akimoto K, Yagi H, Hamada H, Isoda H, Oda T, Ohkohchi N.</w:t>
      </w:r>
      <w:r w:rsidRPr="005D68FE">
        <w:rPr>
          <w:rFonts w:ascii="Book Antiqua" w:hAnsi="Book Antiqua"/>
          <w:color w:val="000000" w:themeColor="text1"/>
          <w:sz w:val="24"/>
          <w:szCs w:val="24"/>
        </w:rPr>
        <w:t xml:space="preserve"> </w:t>
      </w:r>
      <w:r w:rsidRPr="005D68FE">
        <w:rPr>
          <w:rFonts w:ascii="Book Antiqua" w:hAnsi="Book Antiqua"/>
          <w:bCs/>
          <w:color w:val="000000" w:themeColor="text1"/>
          <w:sz w:val="24"/>
          <w:szCs w:val="24"/>
        </w:rPr>
        <w:t>Enhanced hepatic differentiation in the subpopulation of human amniotic stem cells under 3D multicellular microenvironment.</w:t>
      </w:r>
      <w:r w:rsidRPr="005D68FE">
        <w:rPr>
          <w:rFonts w:ascii="Book Antiqua" w:hAnsi="Book Antiqua"/>
          <w:i/>
          <w:color w:val="000000" w:themeColor="text1"/>
          <w:sz w:val="24"/>
          <w:szCs w:val="24"/>
        </w:rPr>
        <w:t xml:space="preserve"> World J Stem Cells 2019</w:t>
      </w:r>
      <w:r w:rsidRPr="005D68FE">
        <w:rPr>
          <w:rFonts w:ascii="Book Antiqua" w:hAnsi="Book Antiqua"/>
          <w:color w:val="000000" w:themeColor="text1"/>
          <w:kern w:val="2"/>
          <w:sz w:val="24"/>
          <w:szCs w:val="24"/>
          <w:lang w:eastAsia="zh-CN"/>
        </w:rPr>
        <w:t>; In press</w:t>
      </w:r>
    </w:p>
    <w:p w14:paraId="587A8078" w14:textId="5C7B866E" w:rsidR="00977E81" w:rsidRPr="005D68FE" w:rsidRDefault="00977E81" w:rsidP="005D68FE">
      <w:pPr>
        <w:autoSpaceDE/>
        <w:autoSpaceDN/>
        <w:snapToGrid w:val="0"/>
        <w:spacing w:line="360" w:lineRule="auto"/>
        <w:jc w:val="both"/>
        <w:rPr>
          <w:rFonts w:ascii="Book Antiqua" w:hAnsi="Book Antiqua"/>
          <w:b/>
          <w:color w:val="000000" w:themeColor="text1"/>
          <w:sz w:val="24"/>
          <w:szCs w:val="24"/>
        </w:rPr>
      </w:pPr>
      <w:r w:rsidRPr="005D68FE">
        <w:rPr>
          <w:rFonts w:ascii="Book Antiqua" w:hAnsi="Book Antiqua"/>
          <w:color w:val="000000" w:themeColor="text1"/>
          <w:sz w:val="24"/>
          <w:szCs w:val="24"/>
        </w:rPr>
        <w:br w:type="page"/>
      </w:r>
    </w:p>
    <w:p w14:paraId="6E9F6A8F" w14:textId="77777777" w:rsidR="00977E81" w:rsidRPr="005D68FE" w:rsidRDefault="00977E81" w:rsidP="005D68FE">
      <w:pPr>
        <w:snapToGrid w:val="0"/>
        <w:spacing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lastRenderedPageBreak/>
        <w:t>INTRODUCTION</w:t>
      </w:r>
    </w:p>
    <w:p w14:paraId="35633932" w14:textId="156B2123" w:rsidR="00977E81" w:rsidRPr="005D68FE" w:rsidRDefault="00977E81" w:rsidP="005D68FE">
      <w:pPr>
        <w:snapToGrid w:val="0"/>
        <w:spacing w:line="360" w:lineRule="auto"/>
        <w:jc w:val="both"/>
        <w:rPr>
          <w:rFonts w:ascii="Book Antiqua" w:hAnsi="Book Antiqua"/>
          <w:color w:val="000000" w:themeColor="text1"/>
          <w:sz w:val="24"/>
          <w:szCs w:val="24"/>
        </w:rPr>
      </w:pPr>
      <w:bookmarkStart w:id="15" w:name="_Hlk978462"/>
      <w:r w:rsidRPr="005D68FE">
        <w:rPr>
          <w:rFonts w:ascii="Book Antiqua" w:hAnsi="Book Antiqua"/>
          <w:color w:val="000000" w:themeColor="text1"/>
          <w:sz w:val="24"/>
          <w:szCs w:val="24"/>
        </w:rPr>
        <w:t>Liver cirrhosis and liver failure are global problems. They are caused by viral infections, alcoholic- or non-alcoholic steatohepatitis, autoimmune hepatitis, metabolic and hereditary diseases, and others</w:t>
      </w:r>
      <w:r w:rsidRPr="005D68FE">
        <w:rPr>
          <w:rFonts w:ascii="Book Antiqua" w:hAnsi="Book Antiqua"/>
          <w:noProof/>
          <w:color w:val="000000" w:themeColor="text1"/>
          <w:sz w:val="24"/>
          <w:szCs w:val="24"/>
          <w:vertAlign w:val="superscript"/>
        </w:rPr>
        <w:t>[1]</w:t>
      </w:r>
      <w:r w:rsidRPr="005D68FE">
        <w:rPr>
          <w:rFonts w:ascii="Book Antiqua" w:hAnsi="Book Antiqua"/>
          <w:color w:val="000000" w:themeColor="text1"/>
          <w:sz w:val="24"/>
          <w:szCs w:val="24"/>
        </w:rPr>
        <w:t>. The only curative treatment is liver transplantation. However, there is a worldwide shortage of liver donors. Moreover, liver transplantation is associated with high mortality and morbidity and high-risk patients with comorbidity do not meet the indication criteria</w:t>
      </w:r>
      <w:r w:rsidRPr="005D68FE">
        <w:rPr>
          <w:rFonts w:ascii="Book Antiqua" w:hAnsi="Book Antiqua"/>
          <w:noProof/>
          <w:color w:val="000000" w:themeColor="text1"/>
          <w:sz w:val="24"/>
          <w:szCs w:val="24"/>
          <w:vertAlign w:val="superscript"/>
        </w:rPr>
        <w:t>[2,3]</w:t>
      </w:r>
      <w:r w:rsidRPr="005D68FE">
        <w:rPr>
          <w:rFonts w:ascii="Book Antiqua" w:hAnsi="Book Antiqua"/>
          <w:color w:val="000000" w:themeColor="text1"/>
          <w:sz w:val="24"/>
          <w:szCs w:val="24"/>
        </w:rPr>
        <w:t>. Cell transplantation has been proposed as an alternative therapy to whole organ transplantation. Several cells have been investigated as hepatic cell sources. Human donor-derived hepatocyte transplantation was attempted to cure cirrhosis and it did have some therapeutic benefit</w:t>
      </w:r>
      <w:r w:rsidRPr="005D68FE">
        <w:rPr>
          <w:rFonts w:ascii="Book Antiqua" w:hAnsi="Book Antiqua"/>
          <w:noProof/>
          <w:color w:val="000000" w:themeColor="text1"/>
          <w:sz w:val="24"/>
          <w:szCs w:val="24"/>
          <w:vertAlign w:val="superscript"/>
        </w:rPr>
        <w:t>[4,5]</w:t>
      </w:r>
      <w:r w:rsidRPr="005D68FE">
        <w:rPr>
          <w:rFonts w:ascii="Book Antiqua" w:hAnsi="Book Antiqua"/>
          <w:color w:val="000000" w:themeColor="text1"/>
          <w:sz w:val="24"/>
          <w:szCs w:val="24"/>
        </w:rPr>
        <w:t>. However, it required many hepatocytes and failed to solve the problem of donor insufficiency.</w:t>
      </w:r>
    </w:p>
    <w:p w14:paraId="3A95F806" w14:textId="46C80421"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bookmarkStart w:id="16" w:name="_Hlk439610"/>
      <w:r w:rsidRPr="005D68FE">
        <w:rPr>
          <w:rFonts w:ascii="Book Antiqua" w:hAnsi="Book Antiqua"/>
          <w:color w:val="000000" w:themeColor="text1"/>
          <w:sz w:val="24"/>
          <w:szCs w:val="24"/>
        </w:rPr>
        <w:t xml:space="preserve">Embryonic stem cells (ESCs) and induced pluripotent stem cells (iPSCs) </w:t>
      </w:r>
      <w:bookmarkEnd w:id="16"/>
      <w:r w:rsidRPr="005D68FE">
        <w:rPr>
          <w:rFonts w:ascii="Book Antiqua" w:hAnsi="Book Antiqua"/>
          <w:color w:val="000000" w:themeColor="text1"/>
          <w:sz w:val="24"/>
          <w:szCs w:val="24"/>
        </w:rPr>
        <w:t>are known to differentiate into hepatocytes</w:t>
      </w:r>
      <w:r w:rsidRPr="005D68FE">
        <w:rPr>
          <w:rFonts w:ascii="Book Antiqua" w:hAnsi="Book Antiqua"/>
          <w:noProof/>
          <w:color w:val="000000" w:themeColor="text1"/>
          <w:sz w:val="24"/>
          <w:szCs w:val="24"/>
          <w:vertAlign w:val="superscript"/>
        </w:rPr>
        <w:t>[6]</w:t>
      </w:r>
      <w:r w:rsidRPr="005D68FE">
        <w:rPr>
          <w:rFonts w:ascii="Book Antiqua" w:hAnsi="Book Antiqua"/>
          <w:color w:val="000000" w:themeColor="text1"/>
          <w:sz w:val="24"/>
          <w:szCs w:val="24"/>
        </w:rPr>
        <w:t>. Although they have a high potential for hepatic differentiation, there are ethical, tumorigenicity, and cost issues associated with them. Previous reports indicated that somatic cells such as fibroblasts were induced to differentiate into hepat</w:t>
      </w:r>
      <w:r w:rsidR="00FF2EF9" w:rsidRPr="005D68FE">
        <w:rPr>
          <w:rFonts w:ascii="Book Antiqua" w:hAnsi="Book Antiqua"/>
          <w:color w:val="000000" w:themeColor="text1"/>
          <w:sz w:val="24"/>
          <w:szCs w:val="24"/>
        </w:rPr>
        <w:t>ocyte</w:t>
      </w:r>
      <w:r w:rsidRPr="005D68FE">
        <w:rPr>
          <w:rFonts w:ascii="Book Antiqua" w:hAnsi="Book Antiqua"/>
          <w:color w:val="000000" w:themeColor="text1"/>
          <w:sz w:val="24"/>
          <w:szCs w:val="24"/>
        </w:rPr>
        <w:t>-like cells by direct reprogramming</w:t>
      </w:r>
      <w:r w:rsidRPr="005D68FE">
        <w:rPr>
          <w:rFonts w:ascii="Book Antiqua" w:hAnsi="Book Antiqua"/>
          <w:noProof/>
          <w:color w:val="000000" w:themeColor="text1"/>
          <w:sz w:val="24"/>
          <w:szCs w:val="24"/>
          <w:vertAlign w:val="superscript"/>
        </w:rPr>
        <w:t>[7,8]</w:t>
      </w:r>
      <w:r w:rsidRPr="005D68FE">
        <w:rPr>
          <w:rFonts w:ascii="Book Antiqua" w:hAnsi="Book Antiqua"/>
          <w:color w:val="000000" w:themeColor="text1"/>
          <w:sz w:val="24"/>
          <w:szCs w:val="24"/>
        </w:rPr>
        <w:t>. In this case, virus-mediated overexpression of lineage-specific transcription factors was needed. Other cell types include mesenchymal stem cells (MSCs), hematopoietic stem cells (HSCs), menstrual blood-derived stem cells, and amniotic stem cells (ASCs)</w:t>
      </w:r>
      <w:r w:rsidRPr="005D68FE">
        <w:rPr>
          <w:rFonts w:ascii="Book Antiqua" w:hAnsi="Book Antiqua"/>
          <w:noProof/>
          <w:color w:val="000000" w:themeColor="text1"/>
          <w:sz w:val="24"/>
          <w:szCs w:val="24"/>
          <w:vertAlign w:val="superscript"/>
        </w:rPr>
        <w:t>[5,9]</w:t>
      </w:r>
      <w:r w:rsidRPr="005D68FE">
        <w:rPr>
          <w:rFonts w:ascii="Book Antiqua" w:hAnsi="Book Antiqua"/>
          <w:color w:val="000000" w:themeColor="text1"/>
          <w:sz w:val="24"/>
          <w:szCs w:val="24"/>
        </w:rPr>
        <w:t xml:space="preserve">. </w:t>
      </w:r>
      <w:bookmarkStart w:id="17" w:name="_Hlk535659142"/>
      <w:r w:rsidRPr="005D68FE">
        <w:rPr>
          <w:rFonts w:ascii="Book Antiqua" w:hAnsi="Book Antiqua"/>
          <w:color w:val="000000" w:themeColor="text1"/>
          <w:sz w:val="24"/>
          <w:szCs w:val="24"/>
        </w:rPr>
        <w:t>Somatic stem cells require only differentiation factors but no gene editing. The latter may cause undesirable and unexpected side effects. Here, we attempted to induce ASCs to differentiate into hepatocytes because they have several beneficial characteristics.</w:t>
      </w:r>
      <w:bookmarkEnd w:id="17"/>
    </w:p>
    <w:p w14:paraId="2658D540" w14:textId="369DAA71"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Amniotic epithelial cells (AECs) are easily isolated from amniotic membranes after delivery. This process causes no harm to the donor. Embryologically, the amnion is derived from the epiblast which can differentiate into three germ layers. Even at full term pregnancy, this differentiation potential persists in ASCs which are an immature subpopulation of AECs</w:t>
      </w:r>
      <w:r w:rsidRPr="005D68FE">
        <w:rPr>
          <w:rFonts w:ascii="Book Antiqua" w:hAnsi="Book Antiqua"/>
          <w:noProof/>
          <w:color w:val="000000" w:themeColor="text1"/>
          <w:sz w:val="24"/>
          <w:szCs w:val="24"/>
          <w:vertAlign w:val="superscript"/>
        </w:rPr>
        <w:t>[10]</w:t>
      </w:r>
      <w:r w:rsidRPr="005D68FE">
        <w:rPr>
          <w:rFonts w:ascii="Book Antiqua" w:hAnsi="Book Antiqua"/>
          <w:color w:val="000000" w:themeColor="text1"/>
          <w:sz w:val="24"/>
          <w:szCs w:val="24"/>
        </w:rPr>
        <w:t>. AECs also have immune tolerance and are therefore suitable for allogenic transplantation</w:t>
      </w:r>
      <w:r w:rsidRPr="005D68FE">
        <w:rPr>
          <w:rFonts w:ascii="Book Antiqua" w:hAnsi="Book Antiqua"/>
          <w:noProof/>
          <w:color w:val="000000" w:themeColor="text1"/>
          <w:sz w:val="24"/>
          <w:szCs w:val="24"/>
          <w:vertAlign w:val="superscript"/>
        </w:rPr>
        <w:t>[11,12]</w:t>
      </w:r>
      <w:r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lastRenderedPageBreak/>
        <w:t xml:space="preserve">Furthermore, they have certain features, in common with hepatocytes such as the expression of </w:t>
      </w:r>
      <w:r w:rsidRPr="005D68FE">
        <w:rPr>
          <w:rFonts w:ascii="Book Antiqua" w:hAnsi="Book Antiqua"/>
          <w:i/>
          <w:color w:val="000000" w:themeColor="text1"/>
          <w:sz w:val="24"/>
          <w:szCs w:val="24"/>
        </w:rPr>
        <w:t xml:space="preserve">ALB, AAT, </w:t>
      </w:r>
      <w:r w:rsidRPr="005D68FE">
        <w:rPr>
          <w:rFonts w:ascii="Book Antiqua" w:hAnsi="Book Antiqua"/>
          <w:color w:val="000000" w:themeColor="text1"/>
          <w:sz w:val="24"/>
          <w:szCs w:val="24"/>
        </w:rPr>
        <w:t>or</w:t>
      </w:r>
      <w:r w:rsidRPr="005D68FE">
        <w:rPr>
          <w:rFonts w:ascii="Book Antiqua" w:hAnsi="Book Antiqua"/>
          <w:i/>
          <w:color w:val="000000" w:themeColor="text1"/>
          <w:sz w:val="24"/>
          <w:szCs w:val="24"/>
        </w:rPr>
        <w:t xml:space="preserve"> CYP3A4</w:t>
      </w:r>
      <w:r w:rsidRPr="005D68FE">
        <w:rPr>
          <w:rFonts w:ascii="Book Antiqua" w:hAnsi="Book Antiqua"/>
          <w:noProof/>
          <w:color w:val="000000" w:themeColor="text1"/>
          <w:sz w:val="24"/>
          <w:szCs w:val="24"/>
          <w:vertAlign w:val="superscript"/>
        </w:rPr>
        <w:t>[13]</w:t>
      </w:r>
      <w:r w:rsidRPr="005D68FE">
        <w:rPr>
          <w:rFonts w:ascii="Book Antiqua" w:hAnsi="Book Antiqua"/>
          <w:color w:val="000000" w:themeColor="text1"/>
          <w:sz w:val="24"/>
          <w:szCs w:val="24"/>
        </w:rPr>
        <w:t>.</w:t>
      </w:r>
    </w:p>
    <w:p w14:paraId="38F9AE46" w14:textId="51D2E91A"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Previous studies attempted to differentiate AECs into </w:t>
      </w:r>
      <w:r w:rsidR="00FF2EF9" w:rsidRPr="005D68FE">
        <w:rPr>
          <w:rFonts w:ascii="Book Antiqua" w:hAnsi="Book Antiqua"/>
          <w:color w:val="000000" w:themeColor="text1"/>
          <w:sz w:val="24"/>
          <w:szCs w:val="24"/>
        </w:rPr>
        <w:t>hepatocyte-</w:t>
      </w:r>
      <w:r w:rsidRPr="005D68FE">
        <w:rPr>
          <w:rFonts w:ascii="Book Antiqua" w:hAnsi="Book Antiqua"/>
          <w:color w:val="000000" w:themeColor="text1"/>
          <w:sz w:val="24"/>
          <w:szCs w:val="24"/>
        </w:rPr>
        <w:t>like cells in 2D culture</w:t>
      </w:r>
      <w:r w:rsidRPr="005D68FE">
        <w:rPr>
          <w:rFonts w:ascii="Book Antiqua" w:hAnsi="Book Antiqua"/>
          <w:noProof/>
          <w:color w:val="000000" w:themeColor="text1"/>
          <w:sz w:val="24"/>
          <w:szCs w:val="24"/>
          <w:vertAlign w:val="superscript"/>
        </w:rPr>
        <w:t>[14,15]</w:t>
      </w:r>
      <w:r w:rsidRPr="005D68FE">
        <w:rPr>
          <w:rFonts w:ascii="Book Antiqua" w:hAnsi="Book Antiqua"/>
          <w:color w:val="000000" w:themeColor="text1"/>
          <w:sz w:val="24"/>
          <w:szCs w:val="24"/>
        </w:rPr>
        <w:t>. However, no differentiation protocol was established. Without systemic and comprehensive analyses in vivo or in vitro, AEC quality could not be verified and it may have been unsatisfactory and inferior to ESCs or iPSCs</w:t>
      </w:r>
      <w:r w:rsidRPr="005D68FE">
        <w:rPr>
          <w:rFonts w:ascii="Book Antiqua" w:hAnsi="Book Antiqua"/>
          <w:noProof/>
          <w:color w:val="000000" w:themeColor="text1"/>
          <w:sz w:val="24"/>
          <w:szCs w:val="24"/>
          <w:vertAlign w:val="superscript"/>
        </w:rPr>
        <w:t>[5]</w:t>
      </w:r>
      <w:r w:rsidRPr="005D68FE">
        <w:rPr>
          <w:rFonts w:ascii="Book Antiqua" w:hAnsi="Book Antiqua"/>
          <w:color w:val="000000" w:themeColor="text1"/>
          <w:sz w:val="24"/>
          <w:szCs w:val="24"/>
        </w:rPr>
        <w:t>. Therefore, its functional activity would be insufficient for clinical use when a higher level of hepatic function was required. Moreover, as the general AEC profile had not yet been elucidated, it was difficult to determine which differentiation protocol was appropriate for AECs. Therefore, we endeavored to clarify AEC stemness characteristics, heterogeneity, and general profile by using transcriptomes. We also tried to select an adherent subpopulation to purify ASCs.</w:t>
      </w:r>
    </w:p>
    <w:p w14:paraId="5D9F8BD8" w14:textId="50EDE765"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A 3D culture system may promote and enhance stem cell differentiation potential in co-culture with endothelial, mesenchymal, and other cells</w:t>
      </w:r>
      <w:r w:rsidRPr="005D68FE">
        <w:rPr>
          <w:rFonts w:ascii="Book Antiqua" w:hAnsi="Book Antiqua"/>
          <w:noProof/>
          <w:color w:val="000000" w:themeColor="text1"/>
          <w:sz w:val="24"/>
          <w:szCs w:val="24"/>
          <w:vertAlign w:val="superscript"/>
        </w:rPr>
        <w:t>[16,17]</w:t>
      </w:r>
      <w:r w:rsidRPr="005D68FE">
        <w:rPr>
          <w:rFonts w:ascii="Book Antiqua" w:hAnsi="Book Antiqua"/>
          <w:color w:val="000000" w:themeColor="text1"/>
          <w:sz w:val="24"/>
          <w:szCs w:val="24"/>
        </w:rPr>
        <w:t xml:space="preserve">. Here, we combined </w:t>
      </w:r>
      <w:bookmarkStart w:id="18" w:name="_Hlk535659212"/>
      <w:r w:rsidRPr="005D68FE">
        <w:rPr>
          <w:rFonts w:ascii="Book Antiqua" w:hAnsi="Book Antiqua"/>
          <w:color w:val="000000" w:themeColor="text1"/>
          <w:sz w:val="24"/>
          <w:szCs w:val="24"/>
        </w:rPr>
        <w:t xml:space="preserve">3D culture conditions and co-culture with other somatic stem cells and supportive stroma cells. We attempted to simulate an </w:t>
      </w:r>
      <w:r w:rsidRPr="005D68FE">
        <w:rPr>
          <w:rFonts w:ascii="Book Antiqua" w:hAnsi="Book Antiqua"/>
          <w:i/>
          <w:iCs/>
          <w:color w:val="000000" w:themeColor="text1"/>
          <w:sz w:val="24"/>
          <w:szCs w:val="24"/>
        </w:rPr>
        <w:t>in vivo</w:t>
      </w:r>
      <w:r w:rsidRPr="005D68FE">
        <w:rPr>
          <w:rFonts w:ascii="Book Antiqua" w:hAnsi="Book Antiqua"/>
          <w:color w:val="000000" w:themeColor="text1"/>
          <w:sz w:val="24"/>
          <w:szCs w:val="24"/>
        </w:rPr>
        <w:t xml:space="preserve">-like microenvironment using a selected subpopulation of adherent ASCs for </w:t>
      </w:r>
      <w:r w:rsidRPr="005D68FE">
        <w:rPr>
          <w:rFonts w:ascii="Book Antiqua" w:hAnsi="Book Antiqua"/>
          <w:i/>
          <w:iCs/>
          <w:color w:val="000000" w:themeColor="text1"/>
          <w:sz w:val="24"/>
          <w:szCs w:val="24"/>
        </w:rPr>
        <w:t>ex-vivo</w:t>
      </w:r>
      <w:r w:rsidRPr="005D68FE">
        <w:rPr>
          <w:rFonts w:ascii="Book Antiqua" w:hAnsi="Book Antiqua"/>
          <w:color w:val="000000" w:themeColor="text1"/>
          <w:sz w:val="24"/>
          <w:szCs w:val="24"/>
        </w:rPr>
        <w:t xml:space="preserve"> self-organization and ultimately obtained functional organoids.</w:t>
      </w:r>
      <w:bookmarkEnd w:id="18"/>
    </w:p>
    <w:bookmarkEnd w:id="15"/>
    <w:p w14:paraId="4CC4C432"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3DDDF218" w14:textId="23457B5D"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b/>
          <w:color w:val="000000" w:themeColor="text1"/>
          <w:sz w:val="24"/>
          <w:szCs w:val="24"/>
        </w:rPr>
        <w:t>MATERIALS AND METHODS</w:t>
      </w:r>
    </w:p>
    <w:p w14:paraId="069D6B06"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Isolation of somatic stem cells</w:t>
      </w:r>
    </w:p>
    <w:p w14:paraId="57095532" w14:textId="5D3F36FB" w:rsidR="002C082C"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b/>
          <w:color w:val="000000" w:themeColor="text1"/>
          <w:sz w:val="24"/>
          <w:szCs w:val="24"/>
        </w:rPr>
        <w:t>AECs</w:t>
      </w:r>
      <w:r w:rsidR="002C082C" w:rsidRPr="005D68FE">
        <w:rPr>
          <w:rFonts w:ascii="Book Antiqua" w:hAnsi="Book Antiqua"/>
          <w:b/>
          <w:color w:val="000000" w:themeColor="text1"/>
          <w:sz w:val="24"/>
          <w:szCs w:val="24"/>
        </w:rPr>
        <w:t>:</w:t>
      </w:r>
      <w:r w:rsidR="002C082C" w:rsidRPr="005D68FE">
        <w:rPr>
          <w:rFonts w:ascii="Book Antiqua" w:hAnsi="Book Antiqua"/>
          <w:bCs/>
          <w:color w:val="000000" w:themeColor="text1"/>
          <w:sz w:val="24"/>
          <w:szCs w:val="24"/>
        </w:rPr>
        <w:t xml:space="preserve"> </w:t>
      </w:r>
      <w:r w:rsidRPr="005D68FE">
        <w:rPr>
          <w:rFonts w:ascii="Book Antiqua" w:hAnsi="Book Antiqua"/>
          <w:color w:val="000000" w:themeColor="text1"/>
          <w:sz w:val="24"/>
          <w:szCs w:val="24"/>
        </w:rPr>
        <w:t xml:space="preserve">Human placenta was acquired from the University of Tsukuba Hospital with approval from the institutional review board (IRV code: H27-58). All samples were collected from patients who had provided informed consent. Emergent operation cases were excluded. The amniotic membrane was peeled off the placenta in the operating room immediately after birth. After washing in pre-digestion buffer (Hank’s balanced salt solution, HBSS; Wako Pure Chemical Industries Ltd., Osaka, Japan) with 0.02% egtazic acid (EGTA; Wako Pure Chemical Industries Ltd., Osaka, Japan), the membrane was incubated in 0.05% trypsin-EDTA (Thermo Fisher Scientific, Waltham, MA, </w:t>
      </w:r>
      <w:r w:rsidR="00EB41F5"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xml:space="preserve">) at 37 °C </w:t>
      </w:r>
      <w:r w:rsidRPr="005D68FE">
        <w:rPr>
          <w:rFonts w:ascii="Book Antiqua" w:hAnsi="Book Antiqua"/>
          <w:color w:val="000000" w:themeColor="text1"/>
          <w:sz w:val="24"/>
          <w:szCs w:val="24"/>
        </w:rPr>
        <w:lastRenderedPageBreak/>
        <w:t xml:space="preserve">for 20-30 min. HBSS with 10% fetal bovine serum (FBS; Thermo Fisher Scientific, Waltham, MA, </w:t>
      </w:r>
      <w:r w:rsidR="002C082C"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was added and gentle agitation followed to detach the epithelial cells from the membrane. The cells were incubated with 0.05% trypsin-EDTA and washed again to collect the AECs. A 100-µ</w:t>
      </w:r>
      <w:r w:rsidR="00361694" w:rsidRPr="005D68FE">
        <w:rPr>
          <w:rFonts w:ascii="Book Antiqua" w:hAnsi="Book Antiqua"/>
          <w:color w:val="000000" w:themeColor="text1"/>
          <w:sz w:val="24"/>
          <w:szCs w:val="24"/>
        </w:rPr>
        <w:t>m</w:t>
      </w:r>
      <w:r w:rsidRPr="005D68FE">
        <w:rPr>
          <w:rFonts w:ascii="Book Antiqua" w:hAnsi="Book Antiqua"/>
          <w:color w:val="000000" w:themeColor="text1"/>
          <w:sz w:val="24"/>
          <w:szCs w:val="24"/>
        </w:rPr>
        <w:t xml:space="preserve"> strainer (Merck EMD, Darmstadt, Germany) was used to remove a clot from the cell suspension and isolate primary AECs. Viability was checked with 0.4% trypan blue dye (Dojindo Laboratories, Kumamoto, Japan) and found to be &gt;</w:t>
      </w:r>
      <w:r w:rsidR="002C082C"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90%.</w:t>
      </w:r>
    </w:p>
    <w:p w14:paraId="54523F9A" w14:textId="77777777" w:rsidR="00EB41F5" w:rsidRPr="005D68FE" w:rsidRDefault="00EB41F5" w:rsidP="005D68FE">
      <w:pPr>
        <w:snapToGrid w:val="0"/>
        <w:spacing w:line="360" w:lineRule="auto"/>
        <w:jc w:val="both"/>
        <w:rPr>
          <w:rFonts w:ascii="Book Antiqua" w:hAnsi="Book Antiqua"/>
          <w:color w:val="000000" w:themeColor="text1"/>
          <w:sz w:val="24"/>
          <w:szCs w:val="24"/>
        </w:rPr>
      </w:pPr>
      <w:bookmarkStart w:id="19" w:name="_Hlk535671639"/>
    </w:p>
    <w:p w14:paraId="61F53986" w14:textId="6F636CCF"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b/>
          <w:color w:val="000000" w:themeColor="text1"/>
          <w:sz w:val="24"/>
          <w:szCs w:val="24"/>
        </w:rPr>
        <w:t>Human umbilical vein endothelial cells</w:t>
      </w:r>
      <w:bookmarkEnd w:id="19"/>
      <w:r w:rsidRPr="005D68FE">
        <w:rPr>
          <w:rFonts w:ascii="Book Antiqua" w:hAnsi="Book Antiqua"/>
          <w:b/>
          <w:color w:val="000000" w:themeColor="text1"/>
          <w:sz w:val="24"/>
          <w:szCs w:val="24"/>
        </w:rPr>
        <w:t xml:space="preserve"> (HUVECs</w:t>
      </w:r>
      <w:r w:rsidR="002C082C" w:rsidRPr="005D68FE">
        <w:rPr>
          <w:rFonts w:ascii="Book Antiqua" w:hAnsi="Book Antiqua"/>
          <w:b/>
          <w:color w:val="000000" w:themeColor="text1"/>
          <w:sz w:val="24"/>
          <w:szCs w:val="24"/>
        </w:rPr>
        <w:t xml:space="preserve">): </w:t>
      </w:r>
      <w:r w:rsidRPr="005D68FE">
        <w:rPr>
          <w:rFonts w:ascii="Book Antiqua" w:hAnsi="Book Antiqua"/>
          <w:color w:val="000000" w:themeColor="text1"/>
          <w:sz w:val="24"/>
          <w:szCs w:val="24"/>
        </w:rPr>
        <w:t xml:space="preserve">After the umbilical cords were harvested, the umbilical veins were filled with collagenase buffer (HBSS with 0.24% </w:t>
      </w:r>
      <w:r w:rsidRPr="005D68FE">
        <w:rPr>
          <w:rFonts w:ascii="Book Antiqua" w:hAnsi="Book Antiqua" w:cs="Arial"/>
          <w:color w:val="000000" w:themeColor="text1"/>
          <w:sz w:val="24"/>
          <w:szCs w:val="24"/>
          <w:shd w:val="clear" w:color="auto" w:fill="FFFFFF"/>
        </w:rPr>
        <w:t>4-(2-hydroxyethyl)-1-piperazineethanesulfonic acid</w:t>
      </w:r>
      <w:r w:rsidRPr="005D68FE">
        <w:rPr>
          <w:rFonts w:ascii="Book Antiqua" w:hAnsi="Book Antiqua"/>
          <w:color w:val="000000" w:themeColor="text1"/>
          <w:sz w:val="24"/>
          <w:szCs w:val="24"/>
        </w:rPr>
        <w:t xml:space="preserve"> (HEPES; Merck EMD, Darmstadt, Germany), 0.005% trypsin inhibitor (Wako Pure Chemical Industries Ltd., Osaka, Japan), and 0.05% collagenase (Worthington Biochemical Corporation, Lakewood, NJ, </w:t>
      </w:r>
      <w:r w:rsidR="002C082C"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xml:space="preserve">). The veins were incubated at 37 °C for 15 min. The buffer was centrifuged at 450 × </w:t>
      </w:r>
      <w:r w:rsidRPr="005D68FE">
        <w:rPr>
          <w:rFonts w:ascii="Book Antiqua" w:hAnsi="Book Antiqua"/>
          <w:iCs/>
          <w:color w:val="000000" w:themeColor="text1"/>
          <w:sz w:val="24"/>
          <w:szCs w:val="24"/>
        </w:rPr>
        <w:t xml:space="preserve">g </w:t>
      </w:r>
      <w:r w:rsidRPr="005D68FE">
        <w:rPr>
          <w:rFonts w:ascii="Book Antiqua" w:hAnsi="Book Antiqua"/>
          <w:color w:val="000000" w:themeColor="text1"/>
          <w:sz w:val="24"/>
          <w:szCs w:val="24"/>
        </w:rPr>
        <w:t>and 4 °C for 5 min to obtain a cell pellet containing HUVECs. This pellet was seeded to a plate using an EGM Bullet Kit (Lonza, Basel, Switzerland). In most cases, the HUVECs grew to confluence within 4 d.</w:t>
      </w:r>
    </w:p>
    <w:p w14:paraId="3CF4E43D" w14:textId="77777777" w:rsidR="00EB41F5" w:rsidRPr="005D68FE" w:rsidRDefault="00EB41F5" w:rsidP="005D68FE">
      <w:pPr>
        <w:snapToGrid w:val="0"/>
        <w:spacing w:line="360" w:lineRule="auto"/>
        <w:jc w:val="both"/>
        <w:rPr>
          <w:rFonts w:ascii="Book Antiqua" w:hAnsi="Book Antiqua"/>
          <w:b/>
          <w:color w:val="000000" w:themeColor="text1"/>
          <w:sz w:val="24"/>
          <w:szCs w:val="24"/>
        </w:rPr>
      </w:pPr>
    </w:p>
    <w:p w14:paraId="5A4E1A55" w14:textId="108EFAFD"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b/>
          <w:color w:val="000000" w:themeColor="text1"/>
          <w:sz w:val="24"/>
          <w:szCs w:val="24"/>
        </w:rPr>
        <w:t>MSC</w:t>
      </w:r>
      <w:r w:rsidR="002C082C" w:rsidRPr="005D68FE">
        <w:rPr>
          <w:rFonts w:ascii="Book Antiqua" w:hAnsi="Book Antiqua"/>
          <w:b/>
          <w:color w:val="000000" w:themeColor="text1"/>
          <w:sz w:val="24"/>
          <w:szCs w:val="24"/>
        </w:rPr>
        <w:t>:</w:t>
      </w:r>
      <w:r w:rsidR="002C082C"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After HUVEC collection, Wharton's jelly was minced and seeded to a plate with Dulbecco’s modified Eagle’s medium and 10% FBS. Attached MSCs were isolated and in most </w:t>
      </w:r>
      <w:r w:rsidR="00EB41F5" w:rsidRPr="005D68FE">
        <w:rPr>
          <w:rFonts w:ascii="Book Antiqua" w:hAnsi="Book Antiqua"/>
          <w:color w:val="000000" w:themeColor="text1"/>
          <w:sz w:val="24"/>
          <w:szCs w:val="24"/>
        </w:rPr>
        <w:t>cases,</w:t>
      </w:r>
      <w:r w:rsidRPr="005D68FE">
        <w:rPr>
          <w:rFonts w:ascii="Book Antiqua" w:hAnsi="Book Antiqua"/>
          <w:color w:val="000000" w:themeColor="text1"/>
          <w:sz w:val="24"/>
          <w:szCs w:val="24"/>
        </w:rPr>
        <w:t xml:space="preserve"> they grew to confluence within 2 wk.</w:t>
      </w:r>
    </w:p>
    <w:p w14:paraId="01552006"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39BA444C"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Cell culture</w:t>
      </w:r>
    </w:p>
    <w:p w14:paraId="39DAE157" w14:textId="36F360BF"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b/>
          <w:color w:val="000000" w:themeColor="text1"/>
          <w:sz w:val="24"/>
          <w:szCs w:val="24"/>
        </w:rPr>
        <w:t>2D culture</w:t>
      </w:r>
      <w:r w:rsidR="002C082C" w:rsidRPr="005D68FE">
        <w:rPr>
          <w:rFonts w:ascii="Book Antiqua" w:hAnsi="Book Antiqua"/>
          <w:b/>
          <w:color w:val="000000" w:themeColor="text1"/>
          <w:sz w:val="24"/>
          <w:szCs w:val="24"/>
        </w:rPr>
        <w:t>:</w:t>
      </w:r>
      <w:r w:rsidR="002C082C" w:rsidRPr="005D68FE">
        <w:rPr>
          <w:rFonts w:ascii="Book Antiqua" w:hAnsi="Book Antiqua"/>
          <w:bCs/>
          <w:color w:val="000000" w:themeColor="text1"/>
          <w:sz w:val="24"/>
          <w:szCs w:val="24"/>
        </w:rPr>
        <w:t xml:space="preserve"> </w:t>
      </w:r>
      <w:r w:rsidRPr="005D68FE">
        <w:rPr>
          <w:rFonts w:ascii="Book Antiqua" w:hAnsi="Book Antiqua"/>
          <w:color w:val="000000" w:themeColor="text1"/>
          <w:sz w:val="24"/>
          <w:szCs w:val="24"/>
        </w:rPr>
        <w:t xml:space="preserve">For the AECs, a custom culture medium was blended and named AEC basal medium (AECBM). The media and protocols are listed in </w:t>
      </w:r>
      <w:r w:rsidR="00361694" w:rsidRPr="005D68FE">
        <w:rPr>
          <w:rFonts w:ascii="Book Antiqua" w:hAnsi="Book Antiqua"/>
          <w:color w:val="000000" w:themeColor="text1"/>
          <w:sz w:val="24"/>
          <w:szCs w:val="24"/>
        </w:rPr>
        <w:t xml:space="preserve">Supplementary </w:t>
      </w:r>
      <w:r w:rsidRPr="005D68FE">
        <w:rPr>
          <w:rFonts w:ascii="Book Antiqua" w:hAnsi="Book Antiqua"/>
          <w:color w:val="000000" w:themeColor="text1"/>
          <w:sz w:val="24"/>
          <w:szCs w:val="24"/>
        </w:rPr>
        <w:t>Fig</w:t>
      </w:r>
      <w:r w:rsidR="00D05711" w:rsidRPr="005D68FE">
        <w:rPr>
          <w:rFonts w:ascii="Book Antiqua" w:hAnsi="Book Antiqua"/>
          <w:color w:val="000000" w:themeColor="text1"/>
          <w:sz w:val="24"/>
          <w:szCs w:val="24"/>
        </w:rPr>
        <w:t xml:space="preserve">ure </w:t>
      </w:r>
      <w:r w:rsidRPr="005D68FE">
        <w:rPr>
          <w:rFonts w:ascii="Book Antiqua" w:hAnsi="Book Antiqua"/>
          <w:color w:val="000000" w:themeColor="text1"/>
          <w:sz w:val="24"/>
          <w:szCs w:val="24"/>
        </w:rPr>
        <w:t xml:space="preserve">1. Primary AECs were used in most analyses. In the culture experiments, however, AECs were precultured with AECBM for 5-7 d then used for differentiation. In the present study, the multistep hepatic differentiation protocol of Nie </w:t>
      </w:r>
      <w:r w:rsidRPr="005D68FE">
        <w:rPr>
          <w:rFonts w:ascii="Book Antiqua" w:hAnsi="Book Antiqua"/>
          <w:i/>
          <w:iCs/>
          <w:color w:val="000000" w:themeColor="text1"/>
          <w:sz w:val="24"/>
          <w:szCs w:val="24"/>
        </w:rPr>
        <w:t>et al</w:t>
      </w:r>
      <w:r w:rsidRPr="005D68FE">
        <w:rPr>
          <w:rFonts w:ascii="Book Antiqua" w:hAnsi="Book Antiqua"/>
          <w:noProof/>
          <w:color w:val="000000" w:themeColor="text1"/>
          <w:sz w:val="24"/>
          <w:szCs w:val="24"/>
          <w:vertAlign w:val="superscript"/>
        </w:rPr>
        <w:t>[17]</w:t>
      </w:r>
      <w:r w:rsidRPr="005D68FE">
        <w:rPr>
          <w:rFonts w:ascii="Book Antiqua" w:hAnsi="Book Antiqua"/>
          <w:noProof/>
          <w:color w:val="000000" w:themeColor="text1"/>
          <w:sz w:val="24"/>
          <w:szCs w:val="24"/>
        </w:rPr>
        <w:t xml:space="preserve"> was applied. </w:t>
      </w:r>
      <w:r w:rsidRPr="005D68FE">
        <w:rPr>
          <w:rFonts w:ascii="Book Antiqua" w:hAnsi="Book Antiqua"/>
          <w:color w:val="000000" w:themeColor="text1"/>
          <w:sz w:val="24"/>
          <w:szCs w:val="24"/>
        </w:rPr>
        <w:t xml:space="preserve">In that study, iPSCs were </w:t>
      </w:r>
      <w:r w:rsidRPr="005D68FE">
        <w:rPr>
          <w:rFonts w:ascii="Book Antiqua" w:hAnsi="Book Antiqua"/>
          <w:color w:val="000000" w:themeColor="text1"/>
          <w:sz w:val="24"/>
          <w:szCs w:val="24"/>
        </w:rPr>
        <w:lastRenderedPageBreak/>
        <w:t>differentiated into hepatocytes. The AEC culture medium was changed step by step within 3 wk.</w:t>
      </w:r>
    </w:p>
    <w:p w14:paraId="1D03A1B9" w14:textId="2C269CBD"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Another simple differentiation protocol from AECs to hepatocytes was reported by </w:t>
      </w:r>
      <w:r w:rsidR="002C082C" w:rsidRPr="005D68FE">
        <w:rPr>
          <w:rFonts w:ascii="Book Antiqua" w:hAnsi="Book Antiqua"/>
          <w:bCs/>
          <w:color w:val="000000" w:themeColor="text1"/>
          <w:sz w:val="24"/>
          <w:szCs w:val="24"/>
        </w:rPr>
        <w:t>Maymó</w:t>
      </w:r>
      <w:r w:rsidRPr="005D68FE">
        <w:rPr>
          <w:rFonts w:ascii="Book Antiqua" w:hAnsi="Book Antiqua"/>
          <w:color w:val="000000" w:themeColor="text1"/>
          <w:sz w:val="24"/>
          <w:szCs w:val="24"/>
        </w:rPr>
        <w:t xml:space="preserve"> </w:t>
      </w:r>
      <w:r w:rsidRPr="005D68FE">
        <w:rPr>
          <w:rFonts w:ascii="Book Antiqua" w:hAnsi="Book Antiqua"/>
          <w:i/>
          <w:iCs/>
          <w:color w:val="000000" w:themeColor="text1"/>
          <w:sz w:val="24"/>
          <w:szCs w:val="24"/>
        </w:rPr>
        <w:t>et al</w:t>
      </w:r>
      <w:r w:rsidRPr="005D68FE">
        <w:rPr>
          <w:rFonts w:ascii="Book Antiqua" w:hAnsi="Book Antiqua"/>
          <w:noProof/>
          <w:color w:val="000000" w:themeColor="text1"/>
          <w:sz w:val="24"/>
          <w:szCs w:val="24"/>
          <w:vertAlign w:val="superscript"/>
        </w:rPr>
        <w:t>[14]</w:t>
      </w:r>
      <w:r w:rsidRPr="005D68FE">
        <w:rPr>
          <w:rFonts w:ascii="Book Antiqua" w:hAnsi="Book Antiqua"/>
          <w:color w:val="000000" w:themeColor="text1"/>
          <w:sz w:val="24"/>
          <w:szCs w:val="24"/>
        </w:rPr>
        <w:t>. In brief, the cells were cultured for 1 wk in Iscove’s modified Dulbecco’s medium containing epidermal growth factor (EGF) then cultured with EGF and dexamethasone. This method was named the two-step protocol.</w:t>
      </w:r>
    </w:p>
    <w:p w14:paraId="2F5FE4E4" w14:textId="77777777" w:rsidR="00977E81" w:rsidRPr="005D68FE" w:rsidRDefault="00977E81" w:rsidP="005D68FE">
      <w:pPr>
        <w:snapToGrid w:val="0"/>
        <w:spacing w:line="360" w:lineRule="auto"/>
        <w:ind w:firstLine="720"/>
        <w:jc w:val="both"/>
        <w:rPr>
          <w:rFonts w:ascii="Book Antiqua" w:hAnsi="Book Antiqua"/>
          <w:color w:val="000000" w:themeColor="text1"/>
          <w:sz w:val="24"/>
          <w:szCs w:val="24"/>
        </w:rPr>
      </w:pPr>
    </w:p>
    <w:p w14:paraId="0CDCB887" w14:textId="22E051C8"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b/>
          <w:color w:val="000000" w:themeColor="text1"/>
          <w:sz w:val="24"/>
          <w:szCs w:val="24"/>
        </w:rPr>
        <w:t>3D culture</w:t>
      </w:r>
      <w:r w:rsidR="002C082C" w:rsidRPr="005D68FE">
        <w:rPr>
          <w:rFonts w:ascii="Book Antiqua" w:hAnsi="Book Antiqua"/>
          <w:b/>
          <w:color w:val="000000" w:themeColor="text1"/>
          <w:sz w:val="24"/>
          <w:szCs w:val="24"/>
        </w:rPr>
        <w:t>:</w:t>
      </w:r>
      <w:r w:rsidR="002C082C"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A primary 2D culture was prepared to select a subpopulation of adherent AECs. Unattached cells were removed after 72 h. A 24-well 3D micropattern culture plate (Kuraray, Tokyo, Japan) was used for the next step. After coating the plate with lipidure (NOF Corporation, Tokyo, Japan), the precultured AECs were seeded at a density of 10</w:t>
      </w:r>
      <w:r w:rsidRPr="005D68FE">
        <w:rPr>
          <w:rFonts w:ascii="Book Antiqua" w:hAnsi="Book Antiqua"/>
          <w:color w:val="000000" w:themeColor="text1"/>
          <w:sz w:val="24"/>
          <w:szCs w:val="24"/>
          <w:vertAlign w:val="superscript"/>
        </w:rPr>
        <w:t>6</w:t>
      </w:r>
      <w:r w:rsidRPr="005D68FE">
        <w:rPr>
          <w:rFonts w:ascii="Book Antiqua" w:hAnsi="Book Antiqua"/>
          <w:color w:val="000000" w:themeColor="text1"/>
          <w:sz w:val="24"/>
          <w:szCs w:val="24"/>
        </w:rPr>
        <w:t>/well. The AECs formed a sphere within 3-7 d. AECs, HUVECs, and MSCs were used for organoid propagation and they formed spheres within 1 d.</w:t>
      </w:r>
    </w:p>
    <w:p w14:paraId="0A9FC147"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2DC6770B" w14:textId="38FB1DCF" w:rsidR="00977E81" w:rsidRPr="005D68FE" w:rsidRDefault="0081087E"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q</w:t>
      </w:r>
      <w:r w:rsidR="00977E81" w:rsidRPr="005D68FE">
        <w:rPr>
          <w:rFonts w:ascii="Book Antiqua" w:hAnsi="Book Antiqua"/>
          <w:b/>
          <w:bCs/>
          <w:i/>
          <w:iCs/>
          <w:color w:val="000000" w:themeColor="text1"/>
          <w:sz w:val="24"/>
          <w:szCs w:val="24"/>
        </w:rPr>
        <w:t>RT-PCR</w:t>
      </w:r>
    </w:p>
    <w:p w14:paraId="31D1A7F4" w14:textId="3995A408"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The primers used are listed in Table 1. The TaqMan PCR protocol from Integrated DNA Technologies, Inc. (Coralville, IA, </w:t>
      </w:r>
      <w:r w:rsidR="002C082C"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xml:space="preserve">) was used. In brief, the RNA was extracted from the cultured cells with Isogen (Nippon Gene, Tokyo, Japan). Then the isolated RNA was converted to cDNA with a Revert Aid RT kit (Thermo Fisher Scientific, Waltham, MA, </w:t>
      </w:r>
      <w:r w:rsidR="002C082C"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xml:space="preserve">). The cDNA, primers, probes, reference dye, and PrimeTime Gene Expression Master Mix (Integrated DNA Technologies, San Jose, CA, </w:t>
      </w:r>
      <w:r w:rsidR="002C082C"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xml:space="preserve">) containing hot-start DNA polymerase, dNTPs, enhancers, and stabilizers were combined. A 7500 Real-Time PCR System (Thermo Fisher Scientific, Waltham, MA, </w:t>
      </w:r>
      <w:r w:rsidR="002C082C"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ran the PCR.</w:t>
      </w:r>
    </w:p>
    <w:p w14:paraId="53251601"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50CA0073"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Immunofluorescence analysis</w:t>
      </w:r>
    </w:p>
    <w:p w14:paraId="70801EAE" w14:textId="109C30F5"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lastRenderedPageBreak/>
        <w:t xml:space="preserve">Amnion and organoids were stained with following antibodies: Primary; SSEA4, TRA-1-60, TRA-1-81 (Cell Signaling Technology, Danvers, MA, </w:t>
      </w:r>
      <w:r w:rsidR="003E7E59"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xml:space="preserve">), EPCAM (BD, Franklin Lakes, NJ, </w:t>
      </w:r>
      <w:r w:rsidR="003E7E59"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xml:space="preserve">), E-cadherin (BD, Franklin Lakes, NJ, </w:t>
      </w:r>
      <w:r w:rsidR="003E7E59"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Frozen sample sections were fixed with 50% acetone (Wako Pure Chemical Industries Ltd., Osaka, Japan) and 50% methanol (Wako Pure Chemical Industries Ltd., Osaka, Japan) for 30 min.</w:t>
      </w:r>
    </w:p>
    <w:p w14:paraId="7E25F06B" w14:textId="7D75C01E"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The samples were incubated with primary antibody at 4 °C overnight, washed 3</w:t>
      </w:r>
      <w:r w:rsidR="003E7E59"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and incubated with a fluorescence-conjugated secondary antibody for 1 h at 20</w:t>
      </w:r>
      <w:r w:rsidR="003E7E59" w:rsidRPr="005D68FE">
        <w:rPr>
          <w:rFonts w:ascii="Book Antiqua" w:hAnsi="Book Antiqua"/>
          <w:color w:val="000000" w:themeColor="text1"/>
          <w:sz w:val="24"/>
          <w:szCs w:val="24"/>
        </w:rPr>
        <w:t>-</w:t>
      </w:r>
      <w:r w:rsidRPr="005D68FE">
        <w:rPr>
          <w:rFonts w:ascii="Book Antiqua" w:hAnsi="Book Antiqua"/>
          <w:color w:val="000000" w:themeColor="text1"/>
          <w:sz w:val="24"/>
          <w:szCs w:val="24"/>
        </w:rPr>
        <w:t xml:space="preserve">25 °C. Before each antibody incubation, blocking was performed with 10% normal goat serum (NGS; Merck EMD, Darmstadt, Germany). In the last step, the samples were mounted with </w:t>
      </w:r>
      <w:r w:rsidRPr="005D68FE">
        <w:rPr>
          <w:rFonts w:ascii="Book Antiqua" w:hAnsi="Book Antiqua" w:cs="Arial"/>
          <w:color w:val="000000" w:themeColor="text1"/>
          <w:sz w:val="24"/>
          <w:szCs w:val="24"/>
          <w:shd w:val="clear" w:color="auto" w:fill="FFFFFF"/>
        </w:rPr>
        <w:t>4’,6-diamidino-2-phenylindole</w:t>
      </w:r>
      <w:r w:rsidRPr="005D68FE">
        <w:rPr>
          <w:rFonts w:ascii="Book Antiqua" w:hAnsi="Book Antiqua"/>
          <w:color w:val="000000" w:themeColor="text1"/>
          <w:sz w:val="24"/>
          <w:szCs w:val="24"/>
        </w:rPr>
        <w:t xml:space="preserve"> (DAPI; Dojindo Laboratories, Kumamoto, Japan) and photographed under an All-in-One Fluorescence Microscope (BZ-X710; Keyence, Osaka, Japan) or a confocal microscope (Leica TCS SP6; Leica Microsystems, Wetzlar, Germany).</w:t>
      </w:r>
    </w:p>
    <w:p w14:paraId="108538C7" w14:textId="77777777"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For live amnion staining, the amnion was incubated with anti-TRA-1-60 antibody for 30 min at 37 °C and then with Hoechst (Dojindo Laboratories, Kumamoto, Japan) for 15 min at 37 °C. Pictures were obtained with an Inverted System Microscope IX71 (Olympus, Tokyo, Japan).</w:t>
      </w:r>
    </w:p>
    <w:p w14:paraId="61DFE02A"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64A79C19"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Flow cytometry</w:t>
      </w:r>
    </w:p>
    <w:p w14:paraId="0D1C5A0E" w14:textId="08740B1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The following antibodies and DAPI were used: SSEA4-FITC (BioLegend, San Diego, CA, </w:t>
      </w:r>
      <w:r w:rsidR="003E7E59"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xml:space="preserve">), TRA-1-81-PE (Thermo Fisher Scientific, Waltham, MA, </w:t>
      </w:r>
      <w:r w:rsidR="003E7E59"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xml:space="preserve">), TRA-1-60-PE (Thermo Fisher Scientific, Waltham, MA, </w:t>
      </w:r>
      <w:r w:rsidR="003E7E59"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xml:space="preserve">), E-cadherin-Alexa Flour 647 (BD, Franklin Lakes, NJ, </w:t>
      </w:r>
      <w:r w:rsidR="003E7E59"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xml:space="preserve">), and EPCAM-APC (BD, Franklin Lakes, NJ, </w:t>
      </w:r>
      <w:r w:rsidR="003E7E59"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xml:space="preserve">). The cells were incubated with antibody on ice for 30 min then washed twice. The cells were analyzed in FACS Jazz (BD, Franklin Lakes, NJ, </w:t>
      </w:r>
      <w:r w:rsidR="003E7E59"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xml:space="preserve">) and FlowJo v. 7.6.1 (FlowJo LCC, Ashland, CO, </w:t>
      </w:r>
      <w:r w:rsidR="003E7E59"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w:t>
      </w:r>
    </w:p>
    <w:p w14:paraId="13B77EF0"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018D8B58"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Colony formation assay</w:t>
      </w:r>
    </w:p>
    <w:p w14:paraId="2E274D64" w14:textId="38D55A69"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lastRenderedPageBreak/>
        <w:t>Primary and adherent AEC subpopulations were compared in a colony formation assay. To collect the adherent AEC subpopulation, a selective primary passage was used. This process was the same as the preculture step for the 3D culture, namely, nonattached cells were removed after 72 h culture. Primary and adherent AECs were seeded in a six-well plate at a density of 3000-20000 cells/well with AECBM. After 6 d of incubation, the numbers of colonies containing &gt; 20 cells were counted and traced by scanning under an All-in-One Fluorescence Microscope (BZ-X710). The number of colonies was divided by the seeding number to calculate the colony formation frequency.</w:t>
      </w:r>
    </w:p>
    <w:p w14:paraId="34D0C56E"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4832D29B"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Whole-transcriptome shotgun sequencing and bioinformatics analysis</w:t>
      </w:r>
    </w:p>
    <w:p w14:paraId="60C66AFF" w14:textId="66DA2A13"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Total RNA was extracted from primary AECs and RNA sequencing was performed by Eurofins Genomics K.K. (Tokyo, Japan) who used the Illumina HiSeq 2500 (Illumina, San Diego, CA, </w:t>
      </w:r>
      <w:r w:rsidR="003E7E59"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Gene expression data for the other cell sources were obtained from the National Center for Biotechnology Information Sequence Read Archive (SRA) database (</w:t>
      </w:r>
      <w:hyperlink r:id="rId7" w:history="1">
        <w:r w:rsidRPr="005D68FE">
          <w:rPr>
            <w:rStyle w:val="Hyperlink"/>
            <w:rFonts w:ascii="Book Antiqua" w:hAnsi="Book Antiqua"/>
            <w:color w:val="000000" w:themeColor="text1"/>
            <w:sz w:val="24"/>
            <w:szCs w:val="24"/>
            <w:u w:val="none"/>
          </w:rPr>
          <w:t>https://www.ncbi.nlm.nih.gov/sra</w:t>
        </w:r>
      </w:hyperlink>
      <w:r w:rsidRPr="005D68FE">
        <w:rPr>
          <w:rFonts w:ascii="Book Antiqua" w:hAnsi="Book Antiqua"/>
          <w:color w:val="000000" w:themeColor="text1"/>
          <w:sz w:val="24"/>
          <w:szCs w:val="24"/>
        </w:rPr>
        <w:t>). Data sources are listed in Table 2.</w:t>
      </w:r>
    </w:p>
    <w:p w14:paraId="3703A356" w14:textId="77777777"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bCs/>
          <w:color w:val="000000" w:themeColor="text1"/>
          <w:sz w:val="24"/>
          <w:szCs w:val="24"/>
        </w:rPr>
        <w:t>RNA Sequencing.</w:t>
      </w:r>
      <w:r w:rsidRPr="005D68FE">
        <w:rPr>
          <w:rFonts w:ascii="Book Antiqua" w:hAnsi="Book Antiqua"/>
          <w:color w:val="000000" w:themeColor="text1"/>
          <w:sz w:val="24"/>
          <w:szCs w:val="24"/>
        </w:rPr>
        <w:t xml:space="preserve"> All paired-end reads were trimmed and quality-filtered via CLC Genomics Workbench v. 10.1.1 (Qiagen, Hilden, Germany) which was also used to map the filtered reads against the human reference sequence (hg 19). Mapped reads were counted and transcript abundance was measured in TPM (transcripts per kilobase million) units.</w:t>
      </w:r>
    </w:p>
    <w:p w14:paraId="219DE6E5" w14:textId="583F6C76"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bCs/>
          <w:color w:val="000000" w:themeColor="text1"/>
          <w:sz w:val="24"/>
          <w:szCs w:val="24"/>
        </w:rPr>
        <w:t xml:space="preserve">Bioinformatics for RNA Sequencing Data. </w:t>
      </w:r>
      <w:r w:rsidRPr="005D68FE">
        <w:rPr>
          <w:rFonts w:ascii="Book Antiqua" w:hAnsi="Book Antiqua"/>
          <w:color w:val="000000" w:themeColor="text1"/>
          <w:sz w:val="24"/>
          <w:szCs w:val="24"/>
        </w:rPr>
        <w:t xml:space="preserve">An </w:t>
      </w:r>
      <w:r w:rsidR="003E7E59" w:rsidRPr="005D68FE">
        <w:rPr>
          <w:rFonts w:ascii="Book Antiqua" w:hAnsi="Book Antiqua"/>
          <w:color w:val="000000" w:themeColor="text1"/>
          <w:sz w:val="24"/>
          <w:szCs w:val="24"/>
        </w:rPr>
        <w:t>original read</w:t>
      </w:r>
      <w:r w:rsidRPr="005D68FE">
        <w:rPr>
          <w:rFonts w:ascii="Book Antiqua" w:hAnsi="Book Antiqua"/>
          <w:color w:val="000000" w:themeColor="text1"/>
          <w:sz w:val="24"/>
          <w:szCs w:val="24"/>
        </w:rPr>
        <w:t xml:space="preserve"> count matrix was normalized with DESeq2 v. 3.5.2 for unified expression level. All normalized log-transformed expression values were ordered according to the median absolute deviation. The top 3500 genes were selected for a heatmap which was generated with the pheatmap package in R.</w:t>
      </w:r>
    </w:p>
    <w:p w14:paraId="41AFB210"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0C4EE59C"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ICG test</w:t>
      </w:r>
    </w:p>
    <w:p w14:paraId="49CB4453"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lastRenderedPageBreak/>
        <w:t>AEC spheres or multiple stem cell-derived organoids were incubated with AECGM and 1 mg/mL indocyanine green (ICG) (Daiichi Sankyo, Tokyo, Japan) for 30 min at 37 °C. They were then observed under bright field with an Inverted System Microscope IX71 to confirm ICG absorption. They were then incubated with ICG-free AECGM for 6 h and checked for ICG elimination.</w:t>
      </w:r>
    </w:p>
    <w:p w14:paraId="1608F5E7"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70CE58E9"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Statistical analysis</w:t>
      </w:r>
    </w:p>
    <w:p w14:paraId="3735D31D" w14:textId="03A349F5"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GraphPad Prism v. 8.0.1 (GraphPad Software, La Jolla, CA, </w:t>
      </w:r>
      <w:r w:rsidR="003E7E59" w:rsidRPr="005D68FE">
        <w:rPr>
          <w:rFonts w:ascii="Book Antiqua" w:hAnsi="Book Antiqua"/>
          <w:color w:val="000000" w:themeColor="text1"/>
          <w:sz w:val="24"/>
          <w:szCs w:val="24"/>
        </w:rPr>
        <w:t>United States</w:t>
      </w:r>
      <w:r w:rsidRPr="005D68FE">
        <w:rPr>
          <w:rFonts w:ascii="Book Antiqua" w:hAnsi="Book Antiqua"/>
          <w:color w:val="000000" w:themeColor="text1"/>
          <w:sz w:val="24"/>
          <w:szCs w:val="24"/>
        </w:rPr>
        <w:t xml:space="preserve">) was used to process all data. A Wilcoxon signed-rank test compared means between pairs of groups. </w:t>
      </w:r>
      <w:r w:rsidRPr="005D68FE">
        <w:rPr>
          <w:rFonts w:ascii="Book Antiqua" w:hAnsi="Book Antiqua"/>
          <w:i/>
          <w:color w:val="000000" w:themeColor="text1"/>
          <w:sz w:val="24"/>
          <w:szCs w:val="24"/>
        </w:rPr>
        <w:t>P</w:t>
      </w:r>
      <w:r w:rsidRPr="005D68FE">
        <w:rPr>
          <w:rFonts w:ascii="Book Antiqua" w:hAnsi="Book Antiqua"/>
          <w:color w:val="000000" w:themeColor="text1"/>
          <w:sz w:val="24"/>
          <w:szCs w:val="24"/>
        </w:rPr>
        <w:t xml:space="preserve"> &lt; 0.05 was considered statistically significant.</w:t>
      </w:r>
    </w:p>
    <w:p w14:paraId="26F0CBBD"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7EC4E115" w14:textId="77777777" w:rsidR="00977E81" w:rsidRPr="005D68FE" w:rsidRDefault="00977E81" w:rsidP="005D68FE">
      <w:pPr>
        <w:snapToGrid w:val="0"/>
        <w:spacing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t>RESULTS</w:t>
      </w:r>
    </w:p>
    <w:p w14:paraId="149375A6"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Characterization of amnion-derived stem cells</w:t>
      </w:r>
    </w:p>
    <w:p w14:paraId="781528C8" w14:textId="5556BE88"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The amnion consisted of monolayer epithelium and mesenchyme (Fig</w:t>
      </w:r>
      <w:r w:rsidR="00D622CC" w:rsidRPr="005D68FE">
        <w:rPr>
          <w:rFonts w:ascii="Book Antiqua" w:hAnsi="Book Antiqua"/>
          <w:color w:val="000000" w:themeColor="text1"/>
          <w:sz w:val="24"/>
          <w:szCs w:val="24"/>
        </w:rPr>
        <w:t>ure</w:t>
      </w:r>
      <w:r w:rsidR="0077544F"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1A). We first examined the stemness characteristics of the amnion. Using an AP staining kit (Muto Pure Chemicals, Tokyo, Japan), we found that a small proportion of the epithelial cells were blue (Fig</w:t>
      </w:r>
      <w:r w:rsidR="00D622CC" w:rsidRPr="005D68FE">
        <w:rPr>
          <w:rFonts w:ascii="Book Antiqua" w:hAnsi="Book Antiqua"/>
          <w:color w:val="000000" w:themeColor="text1"/>
          <w:sz w:val="24"/>
          <w:szCs w:val="24"/>
        </w:rPr>
        <w:t>ure</w:t>
      </w:r>
      <w:r w:rsidRPr="005D68FE">
        <w:rPr>
          <w:rFonts w:ascii="Book Antiqua" w:hAnsi="Book Antiqua"/>
          <w:color w:val="000000" w:themeColor="text1"/>
          <w:sz w:val="24"/>
          <w:szCs w:val="24"/>
        </w:rPr>
        <w:t xml:space="preserve"> 1B). AP is often used as a multipotency marker. Immunofluorescence analysis of frozen amnion sections (Fig</w:t>
      </w:r>
      <w:r w:rsidR="00D622CC" w:rsidRPr="005D68FE">
        <w:rPr>
          <w:rFonts w:ascii="Book Antiqua" w:hAnsi="Book Antiqua"/>
          <w:color w:val="000000" w:themeColor="text1"/>
          <w:sz w:val="24"/>
          <w:szCs w:val="24"/>
        </w:rPr>
        <w:t>ure</w:t>
      </w:r>
      <w:r w:rsidRPr="005D68FE">
        <w:rPr>
          <w:rFonts w:ascii="Book Antiqua" w:hAnsi="Book Antiqua"/>
          <w:color w:val="000000" w:themeColor="text1"/>
          <w:sz w:val="24"/>
          <w:szCs w:val="24"/>
        </w:rPr>
        <w:t>s 1C and 1D) indicated that its epithelium was positive for the stemness markers SSEA4, E-cadherin, and EPCAM. However, other stemness markers such as TRA-1-60 (not shown) and TRA-1-81 were not detected. Previous studies</w:t>
      </w:r>
      <w:r w:rsidRPr="005D68FE">
        <w:rPr>
          <w:rFonts w:ascii="Book Antiqua" w:hAnsi="Book Antiqua"/>
          <w:noProof/>
          <w:color w:val="000000" w:themeColor="text1"/>
          <w:sz w:val="24"/>
          <w:szCs w:val="24"/>
          <w:vertAlign w:val="superscript"/>
        </w:rPr>
        <w:t>[18,19]</w:t>
      </w:r>
      <w:r w:rsidRPr="005D68FE">
        <w:rPr>
          <w:rFonts w:ascii="Book Antiqua" w:hAnsi="Book Antiqua"/>
          <w:color w:val="000000" w:themeColor="text1"/>
          <w:sz w:val="24"/>
          <w:szCs w:val="24"/>
        </w:rPr>
        <w:t xml:space="preserve"> reported that a small subpopulation of AEC expresses TRA-1-60 or TRA-1-81. We attempted live staining of fresh amnion and found a low frequency of TRA-1-60-positive cells (Fig</w:t>
      </w:r>
      <w:r w:rsidR="00D622CC" w:rsidRPr="005D68FE">
        <w:rPr>
          <w:rFonts w:ascii="Book Antiqua" w:hAnsi="Book Antiqua"/>
          <w:color w:val="000000" w:themeColor="text1"/>
          <w:sz w:val="24"/>
          <w:szCs w:val="24"/>
        </w:rPr>
        <w:t>ure</w:t>
      </w:r>
      <w:r w:rsidR="0077544F"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1E). We concluded that amniotic epithelium has certain stemness or multipotency markers and only a subpopulation of its cells expresses stemness.</w:t>
      </w:r>
    </w:p>
    <w:p w14:paraId="5ECA8BCC" w14:textId="321E8564"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The AEC isolation method yielded 1</w:t>
      </w:r>
      <w:r w:rsidR="003E7E59" w:rsidRPr="005D68FE">
        <w:rPr>
          <w:rFonts w:ascii="Book Antiqua" w:hAnsi="Book Antiqua"/>
          <w:color w:val="000000" w:themeColor="text1"/>
          <w:sz w:val="24"/>
          <w:szCs w:val="24"/>
        </w:rPr>
        <w:t>-</w:t>
      </w:r>
      <w:r w:rsidRPr="005D68FE">
        <w:rPr>
          <w:rFonts w:ascii="Book Antiqua" w:hAnsi="Book Antiqua"/>
          <w:color w:val="000000" w:themeColor="text1"/>
          <w:sz w:val="24"/>
          <w:szCs w:val="24"/>
        </w:rPr>
        <w:t>6 × 10</w:t>
      </w:r>
      <w:r w:rsidRPr="005D68FE">
        <w:rPr>
          <w:rFonts w:ascii="Book Antiqua" w:hAnsi="Book Antiqua"/>
          <w:color w:val="000000" w:themeColor="text1"/>
          <w:sz w:val="24"/>
          <w:szCs w:val="24"/>
          <w:vertAlign w:val="superscript"/>
        </w:rPr>
        <w:t>7</w:t>
      </w:r>
      <w:r w:rsidRPr="005D68FE">
        <w:rPr>
          <w:rFonts w:ascii="Book Antiqua" w:hAnsi="Book Antiqua"/>
          <w:color w:val="000000" w:themeColor="text1"/>
          <w:sz w:val="24"/>
          <w:szCs w:val="24"/>
        </w:rPr>
        <w:t xml:space="preserve"> AECs with &gt; 90% viability. We then examined AEC morphology, colony formation capability, and stemness markers. We seeded AECs into a plate and observed them by phase contrast microscopy (Fig</w:t>
      </w:r>
      <w:r w:rsidR="00D622CC" w:rsidRPr="005D68FE">
        <w:rPr>
          <w:rFonts w:ascii="Book Antiqua" w:hAnsi="Book Antiqua"/>
          <w:color w:val="000000" w:themeColor="text1"/>
          <w:sz w:val="24"/>
          <w:szCs w:val="24"/>
        </w:rPr>
        <w:t>ure</w:t>
      </w:r>
      <w:r w:rsidRPr="005D68FE">
        <w:rPr>
          <w:rFonts w:ascii="Book Antiqua" w:hAnsi="Book Antiqua"/>
          <w:color w:val="000000" w:themeColor="text1"/>
          <w:sz w:val="24"/>
          <w:szCs w:val="24"/>
        </w:rPr>
        <w:t xml:space="preserve"> 1F). Although only a few primary AECs attached to the plate </w:t>
      </w:r>
      <w:r w:rsidRPr="005D68FE">
        <w:rPr>
          <w:rFonts w:ascii="Book Antiqua" w:hAnsi="Book Antiqua"/>
          <w:color w:val="000000" w:themeColor="text1"/>
          <w:sz w:val="24"/>
          <w:szCs w:val="24"/>
        </w:rPr>
        <w:lastRenderedPageBreak/>
        <w:t>as short, spindle-like cells within 1 d, they proliferated well and formed colonies. After the primary selective passage, the colony formation capacity increased ten-fold relative to that for the heterogenous primary AECs (Fig</w:t>
      </w:r>
      <w:r w:rsidR="00D622CC" w:rsidRPr="005D68FE">
        <w:rPr>
          <w:rFonts w:ascii="Book Antiqua" w:hAnsi="Book Antiqua"/>
          <w:color w:val="000000" w:themeColor="text1"/>
          <w:sz w:val="24"/>
          <w:szCs w:val="24"/>
        </w:rPr>
        <w:t>ure</w:t>
      </w:r>
      <w:r w:rsidR="0077544F"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1G). We also verified the gene expression of stemness markers by qRT-PCR. </w:t>
      </w:r>
      <w:r w:rsidRPr="005D68FE">
        <w:rPr>
          <w:rFonts w:ascii="Book Antiqua" w:hAnsi="Book Antiqua"/>
          <w:i/>
          <w:color w:val="000000" w:themeColor="text1"/>
          <w:sz w:val="24"/>
          <w:szCs w:val="24"/>
        </w:rPr>
        <w:t xml:space="preserve">OCT4, NANOG, SOX2, </w:t>
      </w:r>
      <w:r w:rsidRPr="005D68FE">
        <w:rPr>
          <w:rFonts w:ascii="Book Antiqua" w:hAnsi="Book Antiqua"/>
          <w:color w:val="000000" w:themeColor="text1"/>
          <w:sz w:val="24"/>
          <w:szCs w:val="24"/>
        </w:rPr>
        <w:t>and</w:t>
      </w:r>
      <w:r w:rsidRPr="005D68FE">
        <w:rPr>
          <w:rFonts w:ascii="Book Antiqua" w:hAnsi="Book Antiqua"/>
          <w:i/>
          <w:color w:val="000000" w:themeColor="text1"/>
          <w:sz w:val="24"/>
          <w:szCs w:val="24"/>
        </w:rPr>
        <w:t xml:space="preserve"> LIN28</w:t>
      </w:r>
      <w:r w:rsidRPr="005D68FE">
        <w:rPr>
          <w:rFonts w:ascii="Book Antiqua" w:hAnsi="Book Antiqua"/>
          <w:color w:val="000000" w:themeColor="text1"/>
          <w:sz w:val="24"/>
          <w:szCs w:val="24"/>
        </w:rPr>
        <w:t>, which are important iPSC markers, were expressed at very low levels in AECs compared with those in iPSCs but at higher levels than those in MSCs (Fig</w:t>
      </w:r>
      <w:r w:rsidR="00D622CC" w:rsidRPr="005D68FE">
        <w:rPr>
          <w:rFonts w:ascii="Book Antiqua" w:hAnsi="Book Antiqua"/>
          <w:color w:val="000000" w:themeColor="text1"/>
          <w:sz w:val="24"/>
          <w:szCs w:val="24"/>
        </w:rPr>
        <w:t>ure</w:t>
      </w:r>
      <w:r w:rsidRPr="005D68FE">
        <w:rPr>
          <w:rFonts w:ascii="Book Antiqua" w:hAnsi="Book Antiqua"/>
          <w:color w:val="000000" w:themeColor="text1"/>
          <w:sz w:val="24"/>
          <w:szCs w:val="24"/>
        </w:rPr>
        <w:t xml:space="preserve"> 1H). We also analyzed the stemness surface markers by flow cytometry (Fig</w:t>
      </w:r>
      <w:r w:rsidR="00D622CC" w:rsidRPr="005D68FE">
        <w:rPr>
          <w:rFonts w:ascii="Book Antiqua" w:hAnsi="Book Antiqua"/>
          <w:color w:val="000000" w:themeColor="text1"/>
          <w:sz w:val="24"/>
          <w:szCs w:val="24"/>
        </w:rPr>
        <w:t>ure</w:t>
      </w:r>
      <w:r w:rsidRPr="005D68FE">
        <w:rPr>
          <w:rFonts w:ascii="Book Antiqua" w:hAnsi="Book Antiqua"/>
          <w:color w:val="000000" w:themeColor="text1"/>
          <w:sz w:val="24"/>
          <w:szCs w:val="24"/>
        </w:rPr>
        <w:t xml:space="preserve"> 1I). E-cadherin and EPCAM expression was highly positive. Certain SSEA4s were highly positive while others were only weakly positive. Only</w:t>
      </w:r>
      <w:r w:rsidR="00D622CC"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10% of the TRA-1-81 and TRA-1-60 were positive. Based on the foregoing information, we concluded that amnion and AECs have stemness and amniotic stem cells widely express stemness markers.</w:t>
      </w:r>
    </w:p>
    <w:p w14:paraId="1B61F6CA"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18456985"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Hepatic potentials and profiling by whole-transcriptome shotgun sequencing</w:t>
      </w:r>
    </w:p>
    <w:p w14:paraId="39EDC764" w14:textId="68146136"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According to previous reports, AECs can differentiate into hepatocytes</w:t>
      </w:r>
      <w:r w:rsidRPr="005D68FE">
        <w:rPr>
          <w:rFonts w:ascii="Book Antiqua" w:hAnsi="Book Antiqua"/>
          <w:noProof/>
          <w:color w:val="000000" w:themeColor="text1"/>
          <w:sz w:val="24"/>
          <w:szCs w:val="24"/>
          <w:vertAlign w:val="superscript"/>
        </w:rPr>
        <w:t>[20,21]</w:t>
      </w:r>
      <w:r w:rsidRPr="005D68FE">
        <w:rPr>
          <w:rFonts w:ascii="Book Antiqua" w:hAnsi="Book Antiqua"/>
          <w:color w:val="000000" w:themeColor="text1"/>
          <w:sz w:val="24"/>
          <w:szCs w:val="24"/>
        </w:rPr>
        <w:t>. Here, we performed comprehensive profiling by whole-transcriptome shotgun sequencing to verify this potential in AECs. We also compared the AEC RNA sequences with those of pluripotent stem cells, hepatocytes or induced hepatocytes, and MSCs. MSCs are also often used as hepatocyte cell sources</w:t>
      </w:r>
      <w:r w:rsidRPr="005D68FE">
        <w:rPr>
          <w:rFonts w:ascii="Book Antiqua" w:hAnsi="Book Antiqua"/>
          <w:noProof/>
          <w:color w:val="000000" w:themeColor="text1"/>
          <w:sz w:val="24"/>
          <w:szCs w:val="24"/>
          <w:vertAlign w:val="superscript"/>
        </w:rPr>
        <w:t>[9]</w:t>
      </w:r>
      <w:r w:rsidRPr="005D68FE">
        <w:rPr>
          <w:rFonts w:ascii="Book Antiqua" w:hAnsi="Book Antiqua"/>
          <w:color w:val="000000" w:themeColor="text1"/>
          <w:sz w:val="24"/>
          <w:szCs w:val="24"/>
        </w:rPr>
        <w:t>. First, we normalized the data and checked its repeatability using Pearson’s correlation coefficient (</w:t>
      </w:r>
      <w:r w:rsidR="00C064E4" w:rsidRPr="005D68FE">
        <w:rPr>
          <w:rFonts w:ascii="Book Antiqua" w:hAnsi="Book Antiqua"/>
          <w:color w:val="000000" w:themeColor="text1"/>
          <w:sz w:val="24"/>
          <w:szCs w:val="24"/>
        </w:rPr>
        <w:t xml:space="preserve">Supplementary </w:t>
      </w:r>
      <w:r w:rsidRPr="005D68FE">
        <w:rPr>
          <w:rFonts w:ascii="Book Antiqua" w:hAnsi="Book Antiqua"/>
          <w:color w:val="000000" w:themeColor="text1"/>
          <w:sz w:val="24"/>
          <w:szCs w:val="24"/>
        </w:rPr>
        <w:t>Fig</w:t>
      </w:r>
      <w:r w:rsidR="00D622CC" w:rsidRPr="005D68FE">
        <w:rPr>
          <w:rFonts w:ascii="Book Antiqua" w:hAnsi="Book Antiqua"/>
          <w:color w:val="000000" w:themeColor="text1"/>
          <w:sz w:val="24"/>
          <w:szCs w:val="24"/>
        </w:rPr>
        <w:t>ure</w:t>
      </w:r>
      <w:r w:rsidRPr="005D68FE">
        <w:rPr>
          <w:rFonts w:ascii="Book Antiqua" w:hAnsi="Book Antiqua"/>
          <w:color w:val="000000" w:themeColor="text1"/>
          <w:sz w:val="24"/>
          <w:szCs w:val="24"/>
        </w:rPr>
        <w:t>s 2A and 2B). A principal component analysis (PCA) and a general heatmap (Fig</w:t>
      </w:r>
      <w:r w:rsidR="00D622CC" w:rsidRPr="005D68FE">
        <w:rPr>
          <w:rFonts w:ascii="Book Antiqua" w:hAnsi="Book Antiqua"/>
          <w:color w:val="000000" w:themeColor="text1"/>
          <w:sz w:val="24"/>
          <w:szCs w:val="24"/>
        </w:rPr>
        <w:t>ure</w:t>
      </w:r>
      <w:r w:rsidRPr="005D68FE">
        <w:rPr>
          <w:rFonts w:ascii="Book Antiqua" w:hAnsi="Book Antiqua"/>
          <w:color w:val="000000" w:themeColor="text1"/>
          <w:sz w:val="24"/>
          <w:szCs w:val="24"/>
        </w:rPr>
        <w:t xml:space="preserve">s 2A and 2B) indicated that AECs and MSCs differ across the spectrum ranging from pluripotent stem cells to hepatocytes. Even </w:t>
      </w:r>
      <w:r w:rsidR="00872F92" w:rsidRPr="005D68FE">
        <w:rPr>
          <w:rFonts w:ascii="Book Antiqua" w:hAnsi="Book Antiqua"/>
          <w:color w:val="000000" w:themeColor="text1"/>
          <w:sz w:val="24"/>
          <w:szCs w:val="24"/>
        </w:rPr>
        <w:t>human fibroblast-derived hepatocyte-like cells (hiHep) and iPSC-derived hepatocyte-like cells (iPSCHLCs)</w:t>
      </w:r>
      <w:r w:rsidRPr="005D68FE">
        <w:rPr>
          <w:rFonts w:ascii="Book Antiqua" w:hAnsi="Book Antiqua"/>
          <w:color w:val="000000" w:themeColor="text1"/>
          <w:sz w:val="24"/>
          <w:szCs w:val="24"/>
        </w:rPr>
        <w:t>, which had immature hepatic characteristics</w:t>
      </w:r>
      <w:r w:rsidRPr="005D68FE">
        <w:rPr>
          <w:rFonts w:ascii="Book Antiqua" w:hAnsi="Book Antiqua"/>
          <w:noProof/>
          <w:color w:val="000000" w:themeColor="text1"/>
          <w:sz w:val="24"/>
          <w:szCs w:val="24"/>
          <w:vertAlign w:val="superscript"/>
        </w:rPr>
        <w:t>[8]</w:t>
      </w:r>
      <w:r w:rsidRPr="005D68FE">
        <w:rPr>
          <w:rFonts w:ascii="Book Antiqua" w:hAnsi="Book Antiqua"/>
          <w:color w:val="000000" w:themeColor="text1"/>
          <w:sz w:val="24"/>
          <w:szCs w:val="24"/>
        </w:rPr>
        <w:t xml:space="preserve">, did not closely resemble hepatocytes. An unexpected finding was that AECs were like </w:t>
      </w:r>
      <w:r w:rsidR="0099190D" w:rsidRPr="005D68FE">
        <w:rPr>
          <w:rFonts w:ascii="Book Antiqua" w:hAnsi="Book Antiqua"/>
          <w:color w:val="000000" w:themeColor="text1"/>
          <w:sz w:val="24"/>
          <w:szCs w:val="24"/>
        </w:rPr>
        <w:t>h</w:t>
      </w:r>
      <w:r w:rsidRPr="005D68FE">
        <w:rPr>
          <w:rFonts w:ascii="Book Antiqua" w:hAnsi="Book Antiqua"/>
          <w:color w:val="000000" w:themeColor="text1"/>
          <w:sz w:val="24"/>
          <w:szCs w:val="24"/>
        </w:rPr>
        <w:t>iHep and iPSCHLCs. We gathered 40 stem cell- and 66 hepatic cell markers to make a heatmap (Fig</w:t>
      </w:r>
      <w:r w:rsidR="00D622CC" w:rsidRPr="005D68FE">
        <w:rPr>
          <w:rFonts w:ascii="Book Antiqua" w:hAnsi="Book Antiqua"/>
          <w:color w:val="000000" w:themeColor="text1"/>
          <w:sz w:val="24"/>
          <w:szCs w:val="24"/>
        </w:rPr>
        <w:t>ure</w:t>
      </w:r>
      <w:r w:rsidR="0077544F"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2C). CD9 and TJP1 were highly expressed in both AECs and ESCs. </w:t>
      </w:r>
      <w:bookmarkStart w:id="20" w:name="_Hlk534971490"/>
      <w:r w:rsidRPr="005D68FE">
        <w:rPr>
          <w:rFonts w:ascii="Book Antiqua" w:hAnsi="Book Antiqua"/>
          <w:i/>
          <w:color w:val="000000" w:themeColor="text1"/>
          <w:sz w:val="24"/>
          <w:szCs w:val="24"/>
        </w:rPr>
        <w:t>IGF2BP2</w:t>
      </w:r>
      <w:r w:rsidRPr="005D68FE">
        <w:rPr>
          <w:rFonts w:ascii="Book Antiqua" w:hAnsi="Book Antiqua"/>
          <w:color w:val="000000" w:themeColor="text1"/>
          <w:sz w:val="24"/>
          <w:szCs w:val="24"/>
        </w:rPr>
        <w:t xml:space="preserve"> and </w:t>
      </w:r>
      <w:r w:rsidRPr="005D68FE">
        <w:rPr>
          <w:rFonts w:ascii="Book Antiqua" w:hAnsi="Book Antiqua"/>
          <w:i/>
          <w:color w:val="000000" w:themeColor="text1"/>
          <w:sz w:val="24"/>
          <w:szCs w:val="24"/>
        </w:rPr>
        <w:t>KRT19</w:t>
      </w:r>
      <w:bookmarkEnd w:id="20"/>
      <w:r w:rsidRPr="005D68FE">
        <w:rPr>
          <w:rFonts w:ascii="Book Antiqua" w:hAnsi="Book Antiqua"/>
          <w:color w:val="000000" w:themeColor="text1"/>
          <w:sz w:val="24"/>
          <w:szCs w:val="24"/>
        </w:rPr>
        <w:t xml:space="preserve"> were highly expressed in both AECs and the definitive endoderm. The hepatic markers </w:t>
      </w:r>
      <w:bookmarkStart w:id="21" w:name="_Hlk534969881"/>
      <w:r w:rsidRPr="005D68FE">
        <w:rPr>
          <w:rFonts w:ascii="Book Antiqua" w:hAnsi="Book Antiqua"/>
          <w:i/>
          <w:color w:val="000000" w:themeColor="text1"/>
          <w:sz w:val="24"/>
          <w:szCs w:val="24"/>
        </w:rPr>
        <w:t xml:space="preserve">MET, ABCC2, </w:t>
      </w:r>
      <w:r w:rsidRPr="005D68FE">
        <w:rPr>
          <w:rFonts w:ascii="Book Antiqua" w:hAnsi="Book Antiqua"/>
          <w:i/>
          <w:color w:val="000000" w:themeColor="text1"/>
          <w:sz w:val="24"/>
          <w:szCs w:val="24"/>
        </w:rPr>
        <w:lastRenderedPageBreak/>
        <w:t>CYP1A1</w:t>
      </w:r>
      <w:bookmarkEnd w:id="21"/>
      <w:r w:rsidRPr="005D68FE">
        <w:rPr>
          <w:rFonts w:ascii="Book Antiqua" w:hAnsi="Book Antiqua"/>
          <w:color w:val="000000" w:themeColor="text1"/>
          <w:sz w:val="24"/>
          <w:szCs w:val="24"/>
        </w:rPr>
        <w:t xml:space="preserve">, </w:t>
      </w:r>
      <w:r w:rsidRPr="005D68FE">
        <w:rPr>
          <w:rFonts w:ascii="Book Antiqua" w:hAnsi="Book Antiqua"/>
          <w:i/>
          <w:iCs/>
          <w:color w:val="000000" w:themeColor="text1"/>
          <w:sz w:val="24"/>
          <w:szCs w:val="24"/>
        </w:rPr>
        <w:t>etc.</w:t>
      </w:r>
      <w:r w:rsidRPr="005D68FE">
        <w:rPr>
          <w:rFonts w:ascii="Book Antiqua" w:hAnsi="Book Antiqua"/>
          <w:color w:val="000000" w:themeColor="text1"/>
          <w:sz w:val="24"/>
          <w:szCs w:val="24"/>
        </w:rPr>
        <w:t xml:space="preserve"> were highly expressed in AECs. The markers expressed in AECs are listed in Table 3. The features common to AEC, pluripotent stem cells, and hepatocytes may help elucidate the differentiation mechanism.</w:t>
      </w:r>
    </w:p>
    <w:p w14:paraId="72072A61"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17F1D063"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Hepatic differential induction with a 3D culture system</w:t>
      </w:r>
    </w:p>
    <w:p w14:paraId="32D43743" w14:textId="6947D375"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To induce hepatic differentiation, we raised AECs under a hepatic differentiation protocol and a 3D culture system (Fig</w:t>
      </w:r>
      <w:r w:rsidR="0096513E" w:rsidRPr="005D68FE">
        <w:rPr>
          <w:rFonts w:ascii="Book Antiqua" w:hAnsi="Book Antiqua"/>
          <w:color w:val="000000" w:themeColor="text1"/>
          <w:sz w:val="24"/>
          <w:szCs w:val="24"/>
        </w:rPr>
        <w:t>ure</w:t>
      </w:r>
      <w:r w:rsidR="0077544F"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3A). First, we tested the hepatic differentiation protocol in 2D culture. We attempted a two-step differentiation protocol using AECBM as a negative control. In the 2D culture, the AECs were short-lived. Nearly all the cells were detached from the culture plate within 3 wk. Moreover, gene expression did not markedly increase during the culture period (</w:t>
      </w:r>
      <w:r w:rsidR="00C064E4" w:rsidRPr="005D68FE">
        <w:rPr>
          <w:rFonts w:ascii="Book Antiqua" w:hAnsi="Book Antiqua"/>
          <w:color w:val="000000" w:themeColor="text1"/>
          <w:sz w:val="24"/>
          <w:szCs w:val="24"/>
        </w:rPr>
        <w:t xml:space="preserve">Supplementary </w:t>
      </w:r>
      <w:r w:rsidRPr="005D68FE">
        <w:rPr>
          <w:rFonts w:ascii="Book Antiqua" w:hAnsi="Book Antiqua"/>
          <w:color w:val="000000" w:themeColor="text1"/>
          <w:sz w:val="24"/>
          <w:szCs w:val="24"/>
        </w:rPr>
        <w:t>Fig</w:t>
      </w:r>
      <w:r w:rsidR="0096513E" w:rsidRPr="005D68FE">
        <w:rPr>
          <w:rFonts w:ascii="Book Antiqua" w:hAnsi="Book Antiqua"/>
          <w:color w:val="000000" w:themeColor="text1"/>
          <w:sz w:val="24"/>
          <w:szCs w:val="24"/>
        </w:rPr>
        <w:t>ure</w:t>
      </w:r>
      <w:r w:rsidRPr="005D68FE">
        <w:rPr>
          <w:rFonts w:ascii="Book Antiqua" w:hAnsi="Book Antiqua"/>
          <w:color w:val="000000" w:themeColor="text1"/>
          <w:sz w:val="24"/>
          <w:szCs w:val="24"/>
        </w:rPr>
        <w:t xml:space="preserve"> 3).</w:t>
      </w:r>
    </w:p>
    <w:p w14:paraId="1258E241" w14:textId="17A146B3"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We then tried 3D culture with three protocols including the two-step, multistep, and AECBM. With a 3D culture system in a micropattern plate, the seeded cells readily aggregated into a sphere and remained viable for 3 wk. We then checked hepatic gene expression by qRT-PCR. Relative to the multistep and AECBM protocols, hepatic gene expression in the two-step group protocol was higher (Fig</w:t>
      </w:r>
      <w:r w:rsidR="0096513E" w:rsidRPr="005D68FE">
        <w:rPr>
          <w:rFonts w:ascii="Book Antiqua" w:hAnsi="Book Antiqua"/>
          <w:color w:val="000000" w:themeColor="text1"/>
          <w:sz w:val="24"/>
          <w:szCs w:val="24"/>
        </w:rPr>
        <w:t>ure</w:t>
      </w:r>
      <w:r w:rsidRPr="005D68FE">
        <w:rPr>
          <w:rFonts w:ascii="Book Antiqua" w:hAnsi="Book Antiqua"/>
          <w:color w:val="000000" w:themeColor="text1"/>
          <w:sz w:val="24"/>
          <w:szCs w:val="24"/>
        </w:rPr>
        <w:t xml:space="preserve"> 3B</w:t>
      </w:r>
      <w:r w:rsidR="003E7E59" w:rsidRPr="005D68FE">
        <w:rPr>
          <w:rFonts w:ascii="Book Antiqua" w:hAnsi="Book Antiqua"/>
          <w:color w:val="000000" w:themeColor="text1"/>
          <w:sz w:val="24"/>
          <w:szCs w:val="24"/>
        </w:rPr>
        <w:t xml:space="preserve"> and </w:t>
      </w:r>
      <w:r w:rsidR="00C064E4" w:rsidRPr="005D68FE">
        <w:rPr>
          <w:rFonts w:ascii="Book Antiqua" w:hAnsi="Book Antiqua"/>
          <w:color w:val="000000" w:themeColor="text1"/>
          <w:sz w:val="24"/>
          <w:szCs w:val="24"/>
        </w:rPr>
        <w:t xml:space="preserve">Supplementary </w:t>
      </w:r>
      <w:r w:rsidR="003E7E59" w:rsidRPr="005D68FE">
        <w:rPr>
          <w:rFonts w:ascii="Book Antiqua" w:hAnsi="Book Antiqua"/>
          <w:color w:val="000000" w:themeColor="text1"/>
          <w:sz w:val="24"/>
          <w:szCs w:val="24"/>
        </w:rPr>
        <w:t>Figure 4</w:t>
      </w:r>
      <w:r w:rsidRPr="005D68FE">
        <w:rPr>
          <w:rFonts w:ascii="Book Antiqua" w:hAnsi="Book Antiqua"/>
          <w:color w:val="000000" w:themeColor="text1"/>
          <w:sz w:val="24"/>
          <w:szCs w:val="24"/>
        </w:rPr>
        <w:t xml:space="preserve">). </w:t>
      </w:r>
      <w:r w:rsidRPr="005D68FE">
        <w:rPr>
          <w:rFonts w:ascii="Book Antiqua" w:hAnsi="Book Antiqua"/>
          <w:i/>
          <w:color w:val="000000" w:themeColor="text1"/>
          <w:sz w:val="24"/>
          <w:szCs w:val="24"/>
        </w:rPr>
        <w:t>ALB</w:t>
      </w:r>
      <w:r w:rsidRPr="005D68FE">
        <w:rPr>
          <w:rFonts w:ascii="Book Antiqua" w:hAnsi="Book Antiqua"/>
          <w:color w:val="000000" w:themeColor="text1"/>
          <w:sz w:val="24"/>
          <w:szCs w:val="24"/>
        </w:rPr>
        <w:t xml:space="preserve"> and </w:t>
      </w:r>
      <w:r w:rsidRPr="005D68FE">
        <w:rPr>
          <w:rFonts w:ascii="Book Antiqua" w:hAnsi="Book Antiqua"/>
          <w:i/>
          <w:color w:val="000000" w:themeColor="text1"/>
          <w:sz w:val="24"/>
          <w:szCs w:val="24"/>
        </w:rPr>
        <w:t>CYP3A4</w:t>
      </w:r>
      <w:r w:rsidRPr="005D68FE">
        <w:rPr>
          <w:rFonts w:ascii="Book Antiqua" w:hAnsi="Book Antiqua"/>
          <w:color w:val="000000" w:themeColor="text1"/>
          <w:sz w:val="24"/>
          <w:szCs w:val="24"/>
        </w:rPr>
        <w:t xml:space="preserve"> were upregulated and sustained for 3 wk. Although </w:t>
      </w:r>
      <w:r w:rsidRPr="005D68FE">
        <w:rPr>
          <w:rFonts w:ascii="Book Antiqua" w:hAnsi="Book Antiqua"/>
          <w:i/>
          <w:color w:val="000000" w:themeColor="text1"/>
          <w:sz w:val="24"/>
          <w:szCs w:val="24"/>
        </w:rPr>
        <w:t>AFP</w:t>
      </w:r>
      <w:r w:rsidRPr="005D68FE">
        <w:rPr>
          <w:rFonts w:ascii="Book Antiqua" w:hAnsi="Book Antiqua"/>
          <w:color w:val="000000" w:themeColor="text1"/>
          <w:sz w:val="24"/>
          <w:szCs w:val="24"/>
        </w:rPr>
        <w:t xml:space="preserve"> was upregulated in the 2D preculture then downregulated after 7 d, it gradually increased again within the 3-wk differentiation period. </w:t>
      </w:r>
      <w:r w:rsidRPr="005D68FE">
        <w:rPr>
          <w:rFonts w:ascii="Book Antiqua" w:hAnsi="Book Antiqua"/>
          <w:i/>
          <w:color w:val="000000" w:themeColor="text1"/>
          <w:sz w:val="24"/>
          <w:szCs w:val="24"/>
        </w:rPr>
        <w:t>AAT</w:t>
      </w:r>
      <w:r w:rsidRPr="005D68FE">
        <w:rPr>
          <w:rFonts w:ascii="Book Antiqua" w:hAnsi="Book Antiqua"/>
          <w:color w:val="000000" w:themeColor="text1"/>
          <w:sz w:val="24"/>
          <w:szCs w:val="24"/>
        </w:rPr>
        <w:t xml:space="preserve"> was also upregulated over 14 d but was downregulated by 21 d. When we seeded the AEC sphere in a culture plate, we observed active AEC proliferation (Fig</w:t>
      </w:r>
      <w:r w:rsidR="0096513E" w:rsidRPr="005D68FE">
        <w:rPr>
          <w:rFonts w:ascii="Book Antiqua" w:hAnsi="Book Antiqua"/>
          <w:color w:val="000000" w:themeColor="text1"/>
          <w:sz w:val="24"/>
          <w:szCs w:val="24"/>
        </w:rPr>
        <w:t>ure</w:t>
      </w:r>
      <w:r w:rsidR="0077544F"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3C). Based on the preceding data, we concluded that our 3D cultural system maintains AEC viability for &gt; 3 wk and accelerates hepatic differentiation especially when a two-step protocol is used.</w:t>
      </w:r>
    </w:p>
    <w:p w14:paraId="76EC9414"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6CF9B381"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Hepatic function enhancement with multicellular organoids</w:t>
      </w:r>
    </w:p>
    <w:p w14:paraId="42685FF6" w14:textId="60457B01"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We then attempted co-culture by seeding AEC with MSC and HUVEC to form a multicellular sphere organoid. We examined its morphology, cellular distribution, and functional activity. Hematoxylin and eosin (H</w:t>
      </w:r>
      <w:r w:rsidR="003E7E59" w:rsidRPr="005D68FE">
        <w:rPr>
          <w:rFonts w:ascii="Book Antiqua" w:hAnsi="Book Antiqua"/>
          <w:color w:val="000000" w:themeColor="text1"/>
          <w:sz w:val="24"/>
          <w:szCs w:val="24"/>
        </w:rPr>
        <w:t xml:space="preserve"> and </w:t>
      </w:r>
      <w:r w:rsidRPr="005D68FE">
        <w:rPr>
          <w:rFonts w:ascii="Book Antiqua" w:hAnsi="Book Antiqua"/>
          <w:color w:val="000000" w:themeColor="text1"/>
          <w:sz w:val="24"/>
          <w:szCs w:val="24"/>
        </w:rPr>
        <w:t xml:space="preserve">E) staining </w:t>
      </w:r>
      <w:r w:rsidRPr="005D68FE">
        <w:rPr>
          <w:rFonts w:ascii="Book Antiqua" w:hAnsi="Book Antiqua"/>
          <w:color w:val="000000" w:themeColor="text1"/>
          <w:sz w:val="24"/>
          <w:szCs w:val="24"/>
        </w:rPr>
        <w:lastRenderedPageBreak/>
        <w:t>disclosed that the AEC sphere and the organoid were morphologically similar (Fig</w:t>
      </w:r>
      <w:r w:rsidR="0096513E" w:rsidRPr="005D68FE">
        <w:rPr>
          <w:rFonts w:ascii="Book Antiqua" w:hAnsi="Book Antiqua"/>
          <w:color w:val="000000" w:themeColor="text1"/>
          <w:sz w:val="24"/>
          <w:szCs w:val="24"/>
        </w:rPr>
        <w:t>ure</w:t>
      </w:r>
      <w:r w:rsidR="0077544F"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4A). However, immunofluorescence with CD31, CD90, SSEA4, and DAPI revealed inner-layer CD31-positive HUVECs (data not shown) and CD90-positive MSCs as well as outer-layer SSEA4-positive AECs (Fig</w:t>
      </w:r>
      <w:r w:rsidR="0096513E" w:rsidRPr="005D68FE">
        <w:rPr>
          <w:rFonts w:ascii="Book Antiqua" w:hAnsi="Book Antiqua"/>
          <w:color w:val="000000" w:themeColor="text1"/>
          <w:sz w:val="24"/>
          <w:szCs w:val="24"/>
        </w:rPr>
        <w:t>ure</w:t>
      </w:r>
      <w:r w:rsidRPr="005D68FE">
        <w:rPr>
          <w:rFonts w:ascii="Book Antiqua" w:hAnsi="Book Antiqua"/>
          <w:color w:val="000000" w:themeColor="text1"/>
          <w:sz w:val="24"/>
          <w:szCs w:val="24"/>
        </w:rPr>
        <w:t xml:space="preserve"> 4B). This architecture resembles normal tissue disposition. Periodic acid Schiff staining showed glycogen accumulation in the center of the organoid (Fig</w:t>
      </w:r>
      <w:r w:rsidR="0096513E" w:rsidRPr="005D68FE">
        <w:rPr>
          <w:rFonts w:ascii="Book Antiqua" w:hAnsi="Book Antiqua"/>
          <w:color w:val="000000" w:themeColor="text1"/>
          <w:sz w:val="24"/>
          <w:szCs w:val="24"/>
        </w:rPr>
        <w:t>ure</w:t>
      </w:r>
      <w:r w:rsidR="0077544F"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4C). Both the AEC sphere and the organoid absorbed ICG but only the organoid could excrete it (Fig</w:t>
      </w:r>
      <w:r w:rsidR="0096513E" w:rsidRPr="005D68FE">
        <w:rPr>
          <w:rFonts w:ascii="Book Antiqua" w:hAnsi="Book Antiqua"/>
          <w:color w:val="000000" w:themeColor="text1"/>
          <w:sz w:val="24"/>
          <w:szCs w:val="24"/>
        </w:rPr>
        <w:t>ure</w:t>
      </w:r>
      <w:r w:rsidRPr="005D68FE">
        <w:rPr>
          <w:rFonts w:ascii="Book Antiqua" w:hAnsi="Book Antiqua"/>
          <w:color w:val="000000" w:themeColor="text1"/>
          <w:sz w:val="24"/>
          <w:szCs w:val="24"/>
        </w:rPr>
        <w:t xml:space="preserve"> 4D). From the aforementioned results, we concluded that AECs, MSCs, and HUVECs underwent 3D construction in our 3D co-culture system. Moreover, the organoid resembled a liver bud with complex liver function.</w:t>
      </w:r>
    </w:p>
    <w:p w14:paraId="39364333"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71BCC567" w14:textId="77777777" w:rsidR="00977E81" w:rsidRPr="005D68FE" w:rsidRDefault="00977E81" w:rsidP="005D68FE">
      <w:pPr>
        <w:snapToGrid w:val="0"/>
        <w:spacing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t>DISCUSSION</w:t>
      </w:r>
    </w:p>
    <w:p w14:paraId="532A5F0B"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AEC characteristics and stemness</w:t>
      </w:r>
    </w:p>
    <w:p w14:paraId="1B8CFB32" w14:textId="4CF53AC8"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AECs proliferate well and express stemness markers</w:t>
      </w:r>
      <w:r w:rsidRPr="005D68FE">
        <w:rPr>
          <w:rFonts w:ascii="Book Antiqua" w:hAnsi="Book Antiqua"/>
          <w:noProof/>
          <w:color w:val="000000" w:themeColor="text1"/>
          <w:sz w:val="24"/>
          <w:szCs w:val="24"/>
          <w:vertAlign w:val="superscript"/>
        </w:rPr>
        <w:t>[20]</w:t>
      </w:r>
      <w:r w:rsidRPr="005D68FE">
        <w:rPr>
          <w:rFonts w:ascii="Book Antiqua" w:hAnsi="Book Antiqua"/>
          <w:color w:val="000000" w:themeColor="text1"/>
          <w:sz w:val="24"/>
          <w:szCs w:val="24"/>
        </w:rPr>
        <w:t>. They also readily differentiate into hepatocyte-like cells in the presence of certain growth factors</w:t>
      </w:r>
      <w:r w:rsidRPr="005D68FE">
        <w:rPr>
          <w:rFonts w:ascii="Book Antiqua" w:hAnsi="Book Antiqua"/>
          <w:noProof/>
          <w:color w:val="000000" w:themeColor="text1"/>
          <w:sz w:val="24"/>
          <w:szCs w:val="24"/>
          <w:vertAlign w:val="superscript"/>
        </w:rPr>
        <w:t>[14]</w:t>
      </w:r>
      <w:r w:rsidRPr="005D68FE">
        <w:rPr>
          <w:rFonts w:ascii="Book Antiqua" w:hAnsi="Book Antiqua"/>
          <w:color w:val="000000" w:themeColor="text1"/>
          <w:sz w:val="24"/>
          <w:szCs w:val="24"/>
        </w:rPr>
        <w:t xml:space="preserve">. Miki </w:t>
      </w:r>
      <w:r w:rsidRPr="005D68FE">
        <w:rPr>
          <w:rFonts w:ascii="Book Antiqua" w:hAnsi="Book Antiqua"/>
          <w:i/>
          <w:iCs/>
          <w:color w:val="000000" w:themeColor="text1"/>
          <w:sz w:val="24"/>
          <w:szCs w:val="24"/>
        </w:rPr>
        <w:t>et al</w:t>
      </w:r>
      <w:r w:rsidR="003E7E59" w:rsidRPr="005D68FE">
        <w:rPr>
          <w:rFonts w:ascii="Book Antiqua" w:hAnsi="Book Antiqua"/>
          <w:color w:val="000000" w:themeColor="text1"/>
          <w:sz w:val="24"/>
          <w:szCs w:val="24"/>
          <w:vertAlign w:val="superscript"/>
        </w:rPr>
        <w:t>[20]</w:t>
      </w:r>
      <w:r w:rsidR="003E7E59"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reported that AECs are derived from epiblasts and some of them remain immature then differentiate into three germ layers</w:t>
      </w:r>
      <w:r w:rsidRPr="005D68FE">
        <w:rPr>
          <w:rFonts w:ascii="Book Antiqua" w:hAnsi="Book Antiqua"/>
          <w:noProof/>
          <w:color w:val="000000" w:themeColor="text1"/>
          <w:sz w:val="24"/>
          <w:szCs w:val="24"/>
          <w:vertAlign w:val="superscript"/>
        </w:rPr>
        <w:t>[18,20,22]</w:t>
      </w:r>
      <w:r w:rsidRPr="005D68FE">
        <w:rPr>
          <w:rFonts w:ascii="Book Antiqua" w:hAnsi="Book Antiqua"/>
          <w:color w:val="000000" w:themeColor="text1"/>
          <w:sz w:val="24"/>
          <w:szCs w:val="24"/>
        </w:rPr>
        <w:t>. Amnion immunofluorescence disclosed that only a small proportion of AECs are TRA-1-81- and/or TRA-1-60-positive</w:t>
      </w:r>
      <w:r w:rsidRPr="005D68FE">
        <w:rPr>
          <w:rFonts w:ascii="Book Antiqua" w:hAnsi="Book Antiqua"/>
          <w:noProof/>
          <w:color w:val="000000" w:themeColor="text1"/>
          <w:sz w:val="24"/>
          <w:szCs w:val="24"/>
          <w:vertAlign w:val="superscript"/>
        </w:rPr>
        <w:t>[19]</w:t>
      </w:r>
      <w:r w:rsidRPr="005D68FE">
        <w:rPr>
          <w:rFonts w:ascii="Book Antiqua" w:hAnsi="Book Antiqua"/>
          <w:color w:val="000000" w:themeColor="text1"/>
          <w:sz w:val="24"/>
          <w:szCs w:val="24"/>
        </w:rPr>
        <w:t xml:space="preserve">. Here, it was confirmed by flow cytometry that a small primary AEC subpopulation is Tra-1-60- and/or Tra-1-81-positive and the proportions vary among samples. Izumi </w:t>
      </w:r>
      <w:r w:rsidRPr="005D68FE">
        <w:rPr>
          <w:rFonts w:ascii="Book Antiqua" w:hAnsi="Book Antiqua"/>
          <w:i/>
          <w:iCs/>
          <w:color w:val="000000" w:themeColor="text1"/>
          <w:sz w:val="24"/>
          <w:szCs w:val="24"/>
        </w:rPr>
        <w:t>et al</w:t>
      </w:r>
      <w:r w:rsidR="003E7E59" w:rsidRPr="005D68FE">
        <w:rPr>
          <w:rFonts w:ascii="Book Antiqua" w:hAnsi="Book Antiqua"/>
          <w:noProof/>
          <w:color w:val="000000" w:themeColor="text1"/>
          <w:sz w:val="24"/>
          <w:szCs w:val="24"/>
          <w:vertAlign w:val="superscript"/>
        </w:rPr>
        <w:t>[18]</w:t>
      </w:r>
      <w:r w:rsidRPr="005D68FE">
        <w:rPr>
          <w:rFonts w:ascii="Book Antiqua" w:hAnsi="Book Antiqua"/>
          <w:color w:val="000000" w:themeColor="text1"/>
          <w:sz w:val="24"/>
          <w:szCs w:val="24"/>
        </w:rPr>
        <w:t xml:space="preserve"> reported that this subpopulation frequency is higher in early-stage than full-term pregnancies. However, all AECs used in the present study were derived from term pregnancies. Moreover, certain AEC lots with comparatively higher proportions of these stem markers had high colony formation frequencies and grew well. For this reason, it is important to select good AEC lots for differentiation.</w:t>
      </w:r>
    </w:p>
    <w:p w14:paraId="0A8D6A9C" w14:textId="52CC6DF2"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Previous studies reported that primary AECs could be classified into three different culture layers, namely, floating, attached, or intermediate</w:t>
      </w:r>
      <w:r w:rsidRPr="005D68FE">
        <w:rPr>
          <w:rFonts w:ascii="Book Antiqua" w:hAnsi="Book Antiqua"/>
          <w:noProof/>
          <w:color w:val="000000" w:themeColor="text1"/>
          <w:sz w:val="24"/>
          <w:szCs w:val="24"/>
          <w:vertAlign w:val="superscript"/>
        </w:rPr>
        <w:t>[20]</w:t>
      </w:r>
      <w:r w:rsidRPr="005D68FE">
        <w:rPr>
          <w:rFonts w:ascii="Book Antiqua" w:hAnsi="Book Antiqua"/>
          <w:color w:val="000000" w:themeColor="text1"/>
          <w:sz w:val="24"/>
          <w:szCs w:val="24"/>
        </w:rPr>
        <w:t xml:space="preserve">. In the present study, we found that adherent cells derived from selective passage of primary AECs had a comparatively high colony formation capability. Based on </w:t>
      </w:r>
      <w:r w:rsidRPr="005D68FE">
        <w:rPr>
          <w:rFonts w:ascii="Book Antiqua" w:hAnsi="Book Antiqua"/>
          <w:color w:val="000000" w:themeColor="text1"/>
          <w:sz w:val="24"/>
          <w:szCs w:val="24"/>
        </w:rPr>
        <w:lastRenderedPageBreak/>
        <w:t>the foregoing information, adherent subpopulations of passaged AECs were used in the 3D culture. Differentiation efficiency could be enhanced by purifying this high-stemness subpopulation of primary AECs.</w:t>
      </w:r>
    </w:p>
    <w:p w14:paraId="6E3F940C" w14:textId="77777777" w:rsidR="00977E81" w:rsidRPr="005D68FE" w:rsidRDefault="00977E81" w:rsidP="005D68FE">
      <w:pPr>
        <w:snapToGrid w:val="0"/>
        <w:spacing w:line="360" w:lineRule="auto"/>
        <w:jc w:val="both"/>
        <w:rPr>
          <w:rFonts w:ascii="Book Antiqua" w:hAnsi="Book Antiqua"/>
          <w:color w:val="000000" w:themeColor="text1"/>
          <w:sz w:val="24"/>
          <w:szCs w:val="24"/>
          <w:u w:val="single"/>
        </w:rPr>
      </w:pPr>
    </w:p>
    <w:p w14:paraId="181F851A"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Hepatic differentiation protocol</w:t>
      </w:r>
    </w:p>
    <w:p w14:paraId="0C41E9ED" w14:textId="76DCDCC6"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The iPSC-derived organoids have often been considered as models representing organs with highly complex structures and/or functions such as the intestine, lung, neural tissue, </w:t>
      </w:r>
      <w:r w:rsidRPr="005D68FE">
        <w:rPr>
          <w:rFonts w:ascii="Book Antiqua" w:hAnsi="Book Antiqua"/>
          <w:i/>
          <w:iCs/>
          <w:color w:val="000000" w:themeColor="text1"/>
          <w:sz w:val="24"/>
          <w:szCs w:val="24"/>
        </w:rPr>
        <w:t>etc</w:t>
      </w:r>
      <w:r w:rsidRPr="005D68FE">
        <w:rPr>
          <w:rFonts w:ascii="Book Antiqua" w:hAnsi="Book Antiqua"/>
          <w:noProof/>
          <w:color w:val="000000" w:themeColor="text1"/>
          <w:sz w:val="24"/>
          <w:szCs w:val="24"/>
          <w:vertAlign w:val="superscript"/>
        </w:rPr>
        <w:t>[23-25]</w:t>
      </w:r>
      <w:r w:rsidRPr="005D68FE">
        <w:rPr>
          <w:rFonts w:ascii="Book Antiqua" w:hAnsi="Book Antiqua"/>
          <w:color w:val="000000" w:themeColor="text1"/>
          <w:sz w:val="24"/>
          <w:szCs w:val="24"/>
        </w:rPr>
        <w:t>. Cell-to-cell interactions</w:t>
      </w:r>
      <w:r w:rsidRPr="005D68FE">
        <w:rPr>
          <w:rFonts w:ascii="Book Antiqua" w:hAnsi="Book Antiqua"/>
          <w:noProof/>
          <w:color w:val="000000" w:themeColor="text1"/>
          <w:sz w:val="24"/>
          <w:szCs w:val="24"/>
          <w:vertAlign w:val="superscript"/>
        </w:rPr>
        <w:t>[26]</w:t>
      </w:r>
      <w:r w:rsidRPr="005D68FE">
        <w:rPr>
          <w:rFonts w:ascii="Book Antiqua" w:hAnsi="Book Antiqua"/>
          <w:color w:val="000000" w:themeColor="text1"/>
          <w:sz w:val="24"/>
          <w:szCs w:val="24"/>
        </w:rPr>
        <w:t xml:space="preserve"> and hypoxic reactions were key factors in differentiation</w:t>
      </w:r>
      <w:r w:rsidRPr="005D68FE">
        <w:rPr>
          <w:rFonts w:ascii="Book Antiqua" w:hAnsi="Book Antiqua"/>
          <w:noProof/>
          <w:color w:val="000000" w:themeColor="text1"/>
          <w:sz w:val="24"/>
          <w:szCs w:val="24"/>
          <w:vertAlign w:val="superscript"/>
        </w:rPr>
        <w:t>[27]</w:t>
      </w:r>
      <w:r w:rsidRPr="005D68FE">
        <w:rPr>
          <w:rFonts w:ascii="Book Antiqua" w:hAnsi="Book Antiqua"/>
          <w:color w:val="000000" w:themeColor="text1"/>
          <w:sz w:val="24"/>
          <w:szCs w:val="24"/>
        </w:rPr>
        <w:t>. In the case of hepatic differentiation from iPSCs, mesenchymal and endothelial cells were reported as important factors</w:t>
      </w:r>
      <w:r w:rsidRPr="005D68FE">
        <w:rPr>
          <w:rFonts w:ascii="Book Antiqua" w:hAnsi="Book Antiqua"/>
          <w:noProof/>
          <w:color w:val="000000" w:themeColor="text1"/>
          <w:sz w:val="24"/>
          <w:szCs w:val="24"/>
          <w:vertAlign w:val="superscript"/>
        </w:rPr>
        <w:t>[16]</w:t>
      </w:r>
      <w:r w:rsidRPr="005D68FE">
        <w:rPr>
          <w:rFonts w:ascii="Book Antiqua" w:hAnsi="Book Antiqua"/>
          <w:color w:val="000000" w:themeColor="text1"/>
          <w:sz w:val="24"/>
          <w:szCs w:val="24"/>
        </w:rPr>
        <w:t>. However, only 2D culture was used in the attempt to differentiate AECs into hepatocytes</w:t>
      </w:r>
      <w:r w:rsidRPr="005D68FE">
        <w:rPr>
          <w:rFonts w:ascii="Book Antiqua" w:hAnsi="Book Antiqua"/>
          <w:noProof/>
          <w:color w:val="000000" w:themeColor="text1"/>
          <w:sz w:val="24"/>
          <w:szCs w:val="24"/>
          <w:vertAlign w:val="superscript"/>
        </w:rPr>
        <w:t>[14,28]</w:t>
      </w:r>
      <w:r w:rsidRPr="005D68FE">
        <w:rPr>
          <w:rFonts w:ascii="Book Antiqua" w:hAnsi="Book Antiqua"/>
          <w:color w:val="000000" w:themeColor="text1"/>
          <w:sz w:val="24"/>
          <w:szCs w:val="24"/>
        </w:rPr>
        <w:t xml:space="preserve"> and</w:t>
      </w:r>
      <w:r w:rsidRPr="005D68FE">
        <w:rPr>
          <w:rFonts w:ascii="Book Antiqua" w:hAnsi="Book Antiqua"/>
          <w:color w:val="000000" w:themeColor="text1"/>
          <w:sz w:val="24"/>
          <w:szCs w:val="24"/>
          <w:vertAlign w:val="superscript"/>
        </w:rPr>
        <w:t xml:space="preserve"> </w:t>
      </w:r>
      <w:r w:rsidRPr="005D68FE">
        <w:rPr>
          <w:rFonts w:ascii="Book Antiqua" w:hAnsi="Book Antiqua"/>
          <w:color w:val="000000" w:themeColor="text1"/>
          <w:sz w:val="24"/>
          <w:szCs w:val="24"/>
        </w:rPr>
        <w:t>the protocol used was not comparable to that applied in the present study.</w:t>
      </w:r>
    </w:p>
    <w:p w14:paraId="57B7D468" w14:textId="080FD46F"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Therefore, we compared 2D and 3D culture with several differentiation protocols. The 2D culture method was unsuitable for AECs because the cells did not remain viable in it. In 3D culture, AECs retain their viability and morphology for 21 d. A previous report stated for an iPSCs’ hepatic differentiation model in a 3D culture system that hypoxia suppresses cell proliferation and induces differentiation</w:t>
      </w:r>
      <w:r w:rsidRPr="005D68FE">
        <w:rPr>
          <w:rFonts w:ascii="Book Antiqua" w:hAnsi="Book Antiqua"/>
          <w:noProof/>
          <w:color w:val="000000" w:themeColor="text1"/>
          <w:sz w:val="24"/>
          <w:szCs w:val="24"/>
          <w:vertAlign w:val="superscript"/>
        </w:rPr>
        <w:t>[26,27]</w:t>
      </w:r>
      <w:r w:rsidRPr="005D68FE">
        <w:rPr>
          <w:rFonts w:ascii="Book Antiqua" w:hAnsi="Book Antiqua"/>
          <w:color w:val="000000" w:themeColor="text1"/>
          <w:sz w:val="24"/>
          <w:szCs w:val="24"/>
        </w:rPr>
        <w:t>. In the present study, AEC sphere proliferation was temporarily arrested during 3D culture then resumed after plate seeding. Therefore, a similar mechanism was assumed to occur under our AEC 3D culture conditions.</w:t>
      </w:r>
    </w:p>
    <w:p w14:paraId="425C732C" w14:textId="120E9B22"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To date, no hepatic differentiation protocol has been established for AECs. In certain studies, an iPSC-to-hepatocyte differentiation protocol was used</w:t>
      </w:r>
      <w:r w:rsidRPr="005D68FE">
        <w:rPr>
          <w:rFonts w:ascii="Book Antiqua" w:hAnsi="Book Antiqua"/>
          <w:noProof/>
          <w:color w:val="000000" w:themeColor="text1"/>
          <w:sz w:val="24"/>
          <w:szCs w:val="24"/>
          <w:vertAlign w:val="superscript"/>
        </w:rPr>
        <w:t>[15,29]</w:t>
      </w:r>
      <w:r w:rsidRPr="005D68FE">
        <w:rPr>
          <w:rFonts w:ascii="Book Antiqua" w:hAnsi="Book Antiqua"/>
          <w:color w:val="000000" w:themeColor="text1"/>
          <w:sz w:val="24"/>
          <w:szCs w:val="24"/>
        </w:rPr>
        <w:t>. However, this stepwise protocol is complex and requires numerous growth factors. Since AECs are not pluripotent stem cells, it is uncertain whether every protocol step would be absolutely necessary. One report mentioned that activin A is not required for hepatic differentiation from AECs</w:t>
      </w:r>
      <w:r w:rsidRPr="005D68FE">
        <w:rPr>
          <w:rFonts w:ascii="Book Antiqua" w:hAnsi="Book Antiqua"/>
          <w:noProof/>
          <w:color w:val="000000" w:themeColor="text1"/>
          <w:sz w:val="24"/>
          <w:szCs w:val="24"/>
          <w:vertAlign w:val="superscript"/>
        </w:rPr>
        <w:t>[15]</w:t>
      </w:r>
      <w:r w:rsidRPr="005D68FE">
        <w:rPr>
          <w:rFonts w:ascii="Book Antiqua" w:hAnsi="Book Antiqua"/>
          <w:color w:val="000000" w:themeColor="text1"/>
          <w:sz w:val="24"/>
          <w:szCs w:val="24"/>
        </w:rPr>
        <w:t xml:space="preserve">. Activin A is required for the transformation of pluripotent stem cells to the definitive endodermal state. In contrast, the AEC-to-hepatocyte differentiation protocol is comparatively </w:t>
      </w:r>
      <w:r w:rsidRPr="005D68FE">
        <w:rPr>
          <w:rFonts w:ascii="Book Antiqua" w:hAnsi="Book Antiqua"/>
          <w:color w:val="000000" w:themeColor="text1"/>
          <w:sz w:val="24"/>
          <w:szCs w:val="24"/>
        </w:rPr>
        <w:lastRenderedPageBreak/>
        <w:t>simple</w:t>
      </w:r>
      <w:r w:rsidRPr="005D68FE">
        <w:rPr>
          <w:rFonts w:ascii="Book Antiqua" w:hAnsi="Book Antiqua"/>
          <w:noProof/>
          <w:color w:val="000000" w:themeColor="text1"/>
          <w:sz w:val="24"/>
          <w:szCs w:val="24"/>
          <w:vertAlign w:val="superscript"/>
        </w:rPr>
        <w:t>[14]</w:t>
      </w:r>
      <w:r w:rsidRPr="005D68FE">
        <w:rPr>
          <w:rFonts w:ascii="Book Antiqua" w:hAnsi="Book Antiqua"/>
          <w:color w:val="000000" w:themeColor="text1"/>
          <w:sz w:val="24"/>
          <w:szCs w:val="24"/>
        </w:rPr>
        <w:t>. Our results indicated that this straightforward differentiation protocol upregulates AEC hepatic genes. Nevertheless, it may still be inadequate and must, therefore, be modified. Despite this deficiency, the co-culture method can nonetheless generate hepatic function from AECs. We concluded that a 3D co-culture system or a hepatic microenvironment is needed for hepatic differentiation from AECs.</w:t>
      </w:r>
    </w:p>
    <w:p w14:paraId="6FBB2D35"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7AC23C5E"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Bioinformatics approach</w:t>
      </w:r>
    </w:p>
    <w:p w14:paraId="0892D491" w14:textId="12C442A8"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Bioinformatics is a strong tool for the evaluation of cellular differentiation. It is often applied to iPSCs but not to AECs. Our PCA and general heatmap revealed that </w:t>
      </w:r>
      <w:r w:rsidR="00A8105C" w:rsidRPr="005D68FE">
        <w:rPr>
          <w:rFonts w:ascii="Book Antiqua" w:hAnsi="Book Antiqua"/>
          <w:color w:val="000000" w:themeColor="text1"/>
          <w:sz w:val="24"/>
          <w:szCs w:val="24"/>
        </w:rPr>
        <w:t>h</w:t>
      </w:r>
      <w:r w:rsidRPr="005D68FE">
        <w:rPr>
          <w:rFonts w:ascii="Book Antiqua" w:hAnsi="Book Antiqua"/>
          <w:color w:val="000000" w:themeColor="text1"/>
          <w:sz w:val="24"/>
          <w:szCs w:val="24"/>
        </w:rPr>
        <w:t>iHep</w:t>
      </w:r>
      <w:r w:rsidRPr="005D68FE">
        <w:rPr>
          <w:rFonts w:ascii="Book Antiqua" w:hAnsi="Book Antiqua"/>
          <w:noProof/>
          <w:color w:val="000000" w:themeColor="text1"/>
          <w:sz w:val="24"/>
          <w:szCs w:val="24"/>
          <w:vertAlign w:val="superscript"/>
        </w:rPr>
        <w:t>[8]</w:t>
      </w:r>
      <w:r w:rsidRPr="005D68FE">
        <w:rPr>
          <w:rFonts w:ascii="Book Antiqua" w:hAnsi="Book Antiqua"/>
          <w:color w:val="000000" w:themeColor="text1"/>
          <w:sz w:val="24"/>
          <w:szCs w:val="24"/>
        </w:rPr>
        <w:t xml:space="preserve"> and iPSCHLCs</w:t>
      </w:r>
      <w:r w:rsidRPr="005D68FE">
        <w:rPr>
          <w:rFonts w:ascii="Book Antiqua" w:hAnsi="Book Antiqua"/>
          <w:noProof/>
          <w:color w:val="000000" w:themeColor="text1"/>
          <w:sz w:val="24"/>
          <w:szCs w:val="24"/>
          <w:vertAlign w:val="superscript"/>
        </w:rPr>
        <w:t>[8]</w:t>
      </w:r>
      <w:r w:rsidRPr="005D68FE">
        <w:rPr>
          <w:rFonts w:ascii="Book Antiqua" w:hAnsi="Book Antiqua"/>
          <w:color w:val="000000" w:themeColor="text1"/>
          <w:sz w:val="24"/>
          <w:szCs w:val="24"/>
        </w:rPr>
        <w:t xml:space="preserve"> remotely resemble mature hepatocytes. In fact, they are regarded as immature hepatocytes. AECs and MSCs are distant from iPSCs, ESCs, and DE but more closely resemble </w:t>
      </w:r>
      <w:r w:rsidR="009570F1" w:rsidRPr="005D68FE">
        <w:rPr>
          <w:rFonts w:ascii="Book Antiqua" w:hAnsi="Book Antiqua"/>
          <w:color w:val="000000" w:themeColor="text1"/>
          <w:sz w:val="24"/>
          <w:szCs w:val="24"/>
        </w:rPr>
        <w:t>h</w:t>
      </w:r>
      <w:r w:rsidRPr="005D68FE">
        <w:rPr>
          <w:rFonts w:ascii="Book Antiqua" w:hAnsi="Book Antiqua"/>
          <w:color w:val="000000" w:themeColor="text1"/>
          <w:sz w:val="24"/>
          <w:szCs w:val="24"/>
        </w:rPr>
        <w:t>iHep and iPSCHLCs. Therefore, AECs may be able to differentiate into hepatocytes in only a few steps.</w:t>
      </w:r>
    </w:p>
    <w:p w14:paraId="03F1803E" w14:textId="75BBF76E"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The stemness and hepatic marker heatmaps disclosed certain genes common to all AECs. </w:t>
      </w:r>
      <w:r w:rsidRPr="005D68FE">
        <w:rPr>
          <w:rFonts w:ascii="Book Antiqua" w:hAnsi="Book Antiqua"/>
          <w:i/>
          <w:color w:val="000000" w:themeColor="text1"/>
          <w:sz w:val="24"/>
          <w:szCs w:val="24"/>
        </w:rPr>
        <w:t>TJP1</w:t>
      </w:r>
      <w:r w:rsidRPr="005D68FE">
        <w:rPr>
          <w:rFonts w:ascii="Book Antiqua" w:hAnsi="Book Antiqua"/>
          <w:color w:val="000000" w:themeColor="text1"/>
          <w:sz w:val="24"/>
          <w:szCs w:val="24"/>
        </w:rPr>
        <w:t xml:space="preserve"> is associated with EGFR/JAK1/STAT3 signaling</w:t>
      </w:r>
      <w:r w:rsidRPr="005D68FE">
        <w:rPr>
          <w:rFonts w:ascii="Book Antiqua" w:hAnsi="Book Antiqua"/>
          <w:noProof/>
          <w:color w:val="000000" w:themeColor="text1"/>
          <w:sz w:val="24"/>
          <w:szCs w:val="24"/>
          <w:vertAlign w:val="superscript"/>
        </w:rPr>
        <w:t>[30]</w:t>
      </w:r>
      <w:r w:rsidRPr="005D68FE">
        <w:rPr>
          <w:rFonts w:ascii="Book Antiqua" w:hAnsi="Book Antiqua"/>
          <w:color w:val="000000" w:themeColor="text1"/>
          <w:sz w:val="24"/>
          <w:szCs w:val="24"/>
        </w:rPr>
        <w:t xml:space="preserve">. Every two-step, multistep, and AECBM protocol included EGF and seemed reasonable. </w:t>
      </w:r>
      <w:r w:rsidRPr="005D68FE">
        <w:rPr>
          <w:rFonts w:ascii="Book Antiqua" w:hAnsi="Book Antiqua"/>
          <w:i/>
          <w:color w:val="000000" w:themeColor="text1"/>
          <w:sz w:val="24"/>
          <w:szCs w:val="24"/>
        </w:rPr>
        <w:t>KRT8</w:t>
      </w:r>
      <w:r w:rsidRPr="005D68FE">
        <w:rPr>
          <w:rFonts w:ascii="Book Antiqua" w:hAnsi="Book Antiqua"/>
          <w:color w:val="000000" w:themeColor="text1"/>
          <w:sz w:val="24"/>
          <w:szCs w:val="24"/>
        </w:rPr>
        <w:t xml:space="preserve"> and </w:t>
      </w:r>
      <w:r w:rsidRPr="005D68FE">
        <w:rPr>
          <w:rFonts w:ascii="Book Antiqua" w:hAnsi="Book Antiqua"/>
          <w:i/>
          <w:color w:val="000000" w:themeColor="text1"/>
          <w:sz w:val="24"/>
          <w:szCs w:val="24"/>
        </w:rPr>
        <w:t>KRT19</w:t>
      </w:r>
      <w:r w:rsidRPr="005D68FE">
        <w:rPr>
          <w:rFonts w:ascii="Book Antiqua" w:hAnsi="Book Antiqua"/>
          <w:color w:val="000000" w:themeColor="text1"/>
          <w:sz w:val="24"/>
          <w:szCs w:val="24"/>
        </w:rPr>
        <w:t xml:space="preserve"> are epidermal markers</w:t>
      </w:r>
      <w:r w:rsidRPr="005D68FE">
        <w:rPr>
          <w:rFonts w:ascii="Book Antiqua" w:hAnsi="Book Antiqua"/>
          <w:noProof/>
          <w:color w:val="000000" w:themeColor="text1"/>
          <w:sz w:val="24"/>
          <w:szCs w:val="24"/>
          <w:vertAlign w:val="superscript"/>
        </w:rPr>
        <w:t>[31-33]</w:t>
      </w:r>
      <w:r w:rsidRPr="005D68FE">
        <w:rPr>
          <w:rFonts w:ascii="Book Antiqua" w:hAnsi="Book Antiqua"/>
          <w:color w:val="000000" w:themeColor="text1"/>
          <w:sz w:val="24"/>
          <w:szCs w:val="24"/>
        </w:rPr>
        <w:t xml:space="preserve"> and are also upregulated in AECs. In the hepatic transdifferentiation from fibroblasts, the first step is to transform mesenchymal cells into epidermal cells</w:t>
      </w:r>
      <w:r w:rsidRPr="005D68FE">
        <w:rPr>
          <w:rFonts w:ascii="Book Antiqua" w:hAnsi="Book Antiqua"/>
          <w:noProof/>
          <w:color w:val="000000" w:themeColor="text1"/>
          <w:sz w:val="24"/>
          <w:szCs w:val="24"/>
          <w:vertAlign w:val="superscript"/>
        </w:rPr>
        <w:t>[34]</w:t>
      </w:r>
      <w:r w:rsidRPr="005D68FE">
        <w:rPr>
          <w:rFonts w:ascii="Book Antiqua" w:hAnsi="Book Antiqua"/>
          <w:color w:val="000000" w:themeColor="text1"/>
          <w:sz w:val="24"/>
          <w:szCs w:val="24"/>
        </w:rPr>
        <w:t xml:space="preserve">. In the differentiation of ESC to DE, </w:t>
      </w:r>
      <w:r w:rsidRPr="005D68FE">
        <w:rPr>
          <w:rFonts w:ascii="Book Antiqua" w:hAnsi="Book Antiqua"/>
          <w:i/>
          <w:color w:val="000000" w:themeColor="text1"/>
          <w:sz w:val="24"/>
          <w:szCs w:val="24"/>
        </w:rPr>
        <w:t>KRT8</w:t>
      </w:r>
      <w:r w:rsidRPr="005D68FE">
        <w:rPr>
          <w:rFonts w:ascii="Book Antiqua" w:hAnsi="Book Antiqua"/>
          <w:color w:val="000000" w:themeColor="text1"/>
          <w:sz w:val="24"/>
          <w:szCs w:val="24"/>
        </w:rPr>
        <w:t xml:space="preserve"> and </w:t>
      </w:r>
      <w:r w:rsidRPr="005D68FE">
        <w:rPr>
          <w:rFonts w:ascii="Book Antiqua" w:hAnsi="Book Antiqua"/>
          <w:i/>
          <w:color w:val="000000" w:themeColor="text1"/>
          <w:sz w:val="24"/>
          <w:szCs w:val="24"/>
        </w:rPr>
        <w:t>19</w:t>
      </w:r>
      <w:r w:rsidRPr="005D68FE">
        <w:rPr>
          <w:rFonts w:ascii="Book Antiqua" w:hAnsi="Book Antiqua"/>
          <w:color w:val="000000" w:themeColor="text1"/>
          <w:sz w:val="24"/>
          <w:szCs w:val="24"/>
        </w:rPr>
        <w:t xml:space="preserve"> are upregulated. Therefore, differentiation of AECs to hepatocytes may require fewer steps than pluripotent stem cell-to-hepatocyte differentiation.</w:t>
      </w:r>
    </w:p>
    <w:p w14:paraId="62D17B86" w14:textId="20ED5C9D"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The hepatic marker </w:t>
      </w:r>
      <w:r w:rsidRPr="005D68FE">
        <w:rPr>
          <w:rFonts w:ascii="Book Antiqua" w:hAnsi="Book Antiqua"/>
          <w:i/>
          <w:color w:val="000000" w:themeColor="text1"/>
          <w:sz w:val="24"/>
          <w:szCs w:val="24"/>
        </w:rPr>
        <w:t>MET</w:t>
      </w:r>
      <w:r w:rsidRPr="005D68FE">
        <w:rPr>
          <w:rFonts w:ascii="Book Antiqua" w:hAnsi="Book Antiqua"/>
          <w:color w:val="000000" w:themeColor="text1"/>
          <w:sz w:val="24"/>
          <w:szCs w:val="24"/>
        </w:rPr>
        <w:t xml:space="preserve"> was upregulated in AECs. </w:t>
      </w:r>
      <w:r w:rsidRPr="005D68FE">
        <w:rPr>
          <w:rFonts w:ascii="Book Antiqua" w:hAnsi="Book Antiqua"/>
          <w:i/>
          <w:color w:val="000000" w:themeColor="text1"/>
          <w:sz w:val="24"/>
          <w:szCs w:val="24"/>
        </w:rPr>
        <w:t>MET</w:t>
      </w:r>
      <w:r w:rsidRPr="005D68FE">
        <w:rPr>
          <w:rFonts w:ascii="Book Antiqua" w:hAnsi="Book Antiqua"/>
          <w:color w:val="000000" w:themeColor="text1"/>
          <w:sz w:val="24"/>
          <w:szCs w:val="24"/>
        </w:rPr>
        <w:t xml:space="preserve"> encodes the human growth factor (HGF) receptor which is important for hepatocyte proliferation or differentiation</w:t>
      </w:r>
      <w:r w:rsidRPr="005D68FE">
        <w:rPr>
          <w:rFonts w:ascii="Book Antiqua" w:hAnsi="Book Antiqua"/>
          <w:noProof/>
          <w:color w:val="000000" w:themeColor="text1"/>
          <w:sz w:val="24"/>
          <w:szCs w:val="24"/>
          <w:vertAlign w:val="superscript"/>
        </w:rPr>
        <w:t>[35,36]</w:t>
      </w:r>
      <w:r w:rsidRPr="005D68FE">
        <w:rPr>
          <w:rFonts w:ascii="Book Antiqua" w:hAnsi="Book Antiqua"/>
          <w:color w:val="000000" w:themeColor="text1"/>
          <w:sz w:val="24"/>
          <w:szCs w:val="24"/>
        </w:rPr>
        <w:t xml:space="preserve">. HGF may already be sensitive in AECs. In addition, </w:t>
      </w:r>
      <w:r w:rsidRPr="005D68FE">
        <w:rPr>
          <w:rFonts w:ascii="Book Antiqua" w:hAnsi="Book Antiqua"/>
          <w:i/>
          <w:color w:val="000000" w:themeColor="text1"/>
          <w:sz w:val="24"/>
          <w:szCs w:val="24"/>
        </w:rPr>
        <w:t>IL6ST</w:t>
      </w:r>
      <w:r w:rsidRPr="005D68FE">
        <w:rPr>
          <w:rFonts w:ascii="Book Antiqua" w:hAnsi="Book Antiqua"/>
          <w:color w:val="000000" w:themeColor="text1"/>
          <w:sz w:val="24"/>
          <w:szCs w:val="24"/>
        </w:rPr>
        <w:t xml:space="preserve"> is upregulated in AECs. It transduces the signals of several chemicals containing oncostatin M. HGF and oncostatin M are normally added to iPSCs in the hepat</w:t>
      </w:r>
      <w:r w:rsidR="009570F1" w:rsidRPr="005D68FE">
        <w:rPr>
          <w:rFonts w:ascii="Book Antiqua" w:hAnsi="Book Antiqua"/>
          <w:color w:val="000000" w:themeColor="text1"/>
          <w:sz w:val="24"/>
          <w:szCs w:val="24"/>
        </w:rPr>
        <w:t>ocyte</w:t>
      </w:r>
      <w:r w:rsidRPr="005D68FE">
        <w:rPr>
          <w:rFonts w:ascii="Book Antiqua" w:hAnsi="Book Antiqua"/>
          <w:color w:val="000000" w:themeColor="text1"/>
          <w:sz w:val="24"/>
          <w:szCs w:val="24"/>
        </w:rPr>
        <w:t>-like cell protocol but not in our two-step protocol</w:t>
      </w:r>
      <w:r w:rsidRPr="005D68FE">
        <w:rPr>
          <w:rFonts w:ascii="Book Antiqua" w:hAnsi="Book Antiqua"/>
          <w:noProof/>
          <w:color w:val="000000" w:themeColor="text1"/>
          <w:sz w:val="24"/>
          <w:szCs w:val="24"/>
          <w:vertAlign w:val="superscript"/>
        </w:rPr>
        <w:t>[6]</w:t>
      </w:r>
      <w:r w:rsidRPr="005D68FE">
        <w:rPr>
          <w:rFonts w:ascii="Book Antiqua" w:hAnsi="Book Antiqua"/>
          <w:color w:val="000000" w:themeColor="text1"/>
          <w:sz w:val="24"/>
          <w:szCs w:val="24"/>
        </w:rPr>
        <w:t xml:space="preserve">. Therefore, we may be able to improve differentiation by adding HGF or oncostatin M to our two-step protocol. Moreover, other markers of hepatic metabolism may also </w:t>
      </w:r>
      <w:r w:rsidRPr="005D68FE">
        <w:rPr>
          <w:rFonts w:ascii="Book Antiqua" w:hAnsi="Book Antiqua"/>
          <w:color w:val="000000" w:themeColor="text1"/>
          <w:sz w:val="24"/>
          <w:szCs w:val="24"/>
        </w:rPr>
        <w:lastRenderedPageBreak/>
        <w:t>enhance liver function. A detailed list of the stemness and hepatic genes is presented in Table 3 A bioinformatics approach may help elucidate the differentiation mechanism and improve the protocol used for it.</w:t>
      </w:r>
    </w:p>
    <w:p w14:paraId="197CBBF1"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6142D47B" w14:textId="77777777" w:rsidR="00977E81" w:rsidRPr="005D68FE" w:rsidRDefault="00977E81" w:rsidP="005D68FE">
      <w:pPr>
        <w:snapToGrid w:val="0"/>
        <w:spacing w:line="360" w:lineRule="auto"/>
        <w:jc w:val="both"/>
        <w:rPr>
          <w:rFonts w:ascii="Book Antiqua" w:hAnsi="Book Antiqua"/>
          <w:b/>
          <w:bCs/>
          <w:i/>
          <w:iCs/>
          <w:color w:val="000000" w:themeColor="text1"/>
          <w:sz w:val="24"/>
          <w:szCs w:val="24"/>
        </w:rPr>
      </w:pPr>
      <w:r w:rsidRPr="005D68FE">
        <w:rPr>
          <w:rFonts w:ascii="Book Antiqua" w:hAnsi="Book Antiqua"/>
          <w:b/>
          <w:bCs/>
          <w:i/>
          <w:iCs/>
          <w:color w:val="000000" w:themeColor="text1"/>
          <w:sz w:val="24"/>
          <w:szCs w:val="24"/>
        </w:rPr>
        <w:t>Future prospects</w:t>
      </w:r>
    </w:p>
    <w:p w14:paraId="5BDE5AE8" w14:textId="1187DE3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An iPSC-derived hepatic organoid has already been created and used in basic research </w:t>
      </w:r>
      <w:r w:rsidRPr="005D68FE">
        <w:rPr>
          <w:rFonts w:ascii="Book Antiqua" w:hAnsi="Book Antiqua"/>
          <w:i/>
          <w:iCs/>
          <w:color w:val="000000" w:themeColor="text1"/>
          <w:sz w:val="24"/>
          <w:szCs w:val="24"/>
        </w:rPr>
        <w:t>ex vivo</w:t>
      </w:r>
      <w:r w:rsidRPr="005D68FE">
        <w:rPr>
          <w:rFonts w:ascii="Book Antiqua" w:hAnsi="Book Antiqua"/>
          <w:noProof/>
          <w:color w:val="000000" w:themeColor="text1"/>
          <w:sz w:val="24"/>
          <w:szCs w:val="24"/>
          <w:vertAlign w:val="superscript"/>
        </w:rPr>
        <w:t>[17]</w:t>
      </w:r>
      <w:r w:rsidRPr="005D68FE">
        <w:rPr>
          <w:rFonts w:ascii="Book Antiqua" w:hAnsi="Book Antiqua"/>
          <w:color w:val="000000" w:themeColor="text1"/>
          <w:sz w:val="24"/>
          <w:szCs w:val="24"/>
        </w:rPr>
        <w:t>. However, iPSCs are costly, unstable, and tumorigenic</w:t>
      </w:r>
      <w:r w:rsidRPr="005D68FE">
        <w:rPr>
          <w:rFonts w:ascii="Book Antiqua" w:hAnsi="Book Antiqua"/>
          <w:noProof/>
          <w:color w:val="000000" w:themeColor="text1"/>
          <w:sz w:val="24"/>
          <w:szCs w:val="24"/>
          <w:vertAlign w:val="superscript"/>
        </w:rPr>
        <w:t>[37,38]</w:t>
      </w:r>
      <w:r w:rsidRPr="005D68FE">
        <w:rPr>
          <w:rFonts w:ascii="Book Antiqua" w:hAnsi="Book Antiqua"/>
          <w:color w:val="000000" w:themeColor="text1"/>
          <w:sz w:val="24"/>
          <w:szCs w:val="24"/>
        </w:rPr>
        <w:t>. In contrast, our organoid is cost-effective, stable, and non-tumorigenic. AEC organoids with hepatic character could be used both in basic ex vivo research and in vivo experiments.</w:t>
      </w:r>
    </w:p>
    <w:p w14:paraId="7C526985" w14:textId="52B8D961"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The next step of our research is to develop and test a human-to-animal transplantation model with AEC-derived hepatic organoids. According to a previous report, terminal differentiation to a functional hepatocyte would be strongly induced in the recipient liver microenvironment</w:t>
      </w:r>
      <w:r w:rsidRPr="005D68FE">
        <w:rPr>
          <w:rFonts w:ascii="Book Antiqua" w:hAnsi="Book Antiqua"/>
          <w:noProof/>
          <w:color w:val="000000" w:themeColor="text1"/>
          <w:sz w:val="24"/>
          <w:szCs w:val="24"/>
          <w:vertAlign w:val="superscript"/>
        </w:rPr>
        <w:t>[15]</w:t>
      </w:r>
      <w:r w:rsidRPr="005D68FE">
        <w:rPr>
          <w:rFonts w:ascii="Book Antiqua" w:hAnsi="Book Antiqua"/>
          <w:color w:val="000000" w:themeColor="text1"/>
          <w:sz w:val="24"/>
          <w:szCs w:val="24"/>
        </w:rPr>
        <w:t xml:space="preserve">. Even in our organoids simulated the microenvironment, the process would not be as perfect as it would be </w:t>
      </w:r>
      <w:r w:rsidRPr="005D68FE">
        <w:rPr>
          <w:rFonts w:ascii="Book Antiqua" w:hAnsi="Book Antiqua"/>
          <w:i/>
          <w:iCs/>
          <w:color w:val="000000" w:themeColor="text1"/>
          <w:sz w:val="24"/>
          <w:szCs w:val="24"/>
        </w:rPr>
        <w:t>in vivo</w:t>
      </w:r>
      <w:r w:rsidRPr="005D68FE">
        <w:rPr>
          <w:rFonts w:ascii="Book Antiqua" w:hAnsi="Book Antiqua"/>
          <w:color w:val="000000" w:themeColor="text1"/>
          <w:sz w:val="24"/>
          <w:szCs w:val="24"/>
        </w:rPr>
        <w:t>. Therefore, in vitro tests of hepatic organoid function may be imperfect. Nevertheless, we must confirm hepatic function after transplantation. The present study demonstrated that the 3D culture condition temporarily suppressed proliferation but did not entirely cause a loss of this capability. Therefore, proliferation could still occur in vivo with the appropriate signal. Human organoids and animal transplantation models are required for pharmaceutical research and investigations into human-specific infectious disease such as hepatitis B and C</w:t>
      </w:r>
      <w:r w:rsidRPr="005D68FE">
        <w:rPr>
          <w:rFonts w:ascii="Book Antiqua" w:hAnsi="Book Antiqua"/>
          <w:noProof/>
          <w:color w:val="000000" w:themeColor="text1"/>
          <w:sz w:val="24"/>
          <w:szCs w:val="24"/>
          <w:vertAlign w:val="superscript"/>
        </w:rPr>
        <w:t>[17,39]</w:t>
      </w:r>
      <w:r w:rsidRPr="005D68FE">
        <w:rPr>
          <w:rFonts w:ascii="Book Antiqua" w:hAnsi="Book Antiqua"/>
          <w:color w:val="000000" w:themeColor="text1"/>
          <w:sz w:val="24"/>
          <w:szCs w:val="24"/>
        </w:rPr>
        <w:t>.</w:t>
      </w:r>
    </w:p>
    <w:p w14:paraId="00A6FB19" w14:textId="187846FE"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A future intended application of our hepatic organoid is as an alternative to organ transplantation as a therapy for hepatic failure. More than one induction step from somatic cells to iPSCs is required and quality and safety must be verified</w:t>
      </w:r>
      <w:r w:rsidRPr="005D68FE">
        <w:rPr>
          <w:rFonts w:ascii="Book Antiqua" w:hAnsi="Book Antiqua"/>
          <w:noProof/>
          <w:color w:val="000000" w:themeColor="text1"/>
          <w:sz w:val="24"/>
          <w:szCs w:val="24"/>
          <w:vertAlign w:val="superscript"/>
        </w:rPr>
        <w:t>[40,41]</w:t>
      </w:r>
      <w:r w:rsidRPr="005D68FE">
        <w:rPr>
          <w:rFonts w:ascii="Book Antiqua" w:hAnsi="Book Antiqua"/>
          <w:color w:val="000000" w:themeColor="text1"/>
          <w:sz w:val="24"/>
          <w:szCs w:val="24"/>
        </w:rPr>
        <w:t>. On the other hand, AECs are directly isolated from tissues so they are comparatively safe and reliable.</w:t>
      </w:r>
    </w:p>
    <w:p w14:paraId="20FB913A" w14:textId="59482F33" w:rsidR="00977E81" w:rsidRPr="005D68FE" w:rsidRDefault="00977E81"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Safety is of paramount importance in the clinical application of organoids. In this respect, AECs are superior to iPSCs. The safest transplantation model is a </w:t>
      </w:r>
      <w:r w:rsidRPr="005D68FE">
        <w:rPr>
          <w:rFonts w:ascii="Book Antiqua" w:hAnsi="Book Antiqua"/>
          <w:color w:val="000000" w:themeColor="text1"/>
          <w:sz w:val="24"/>
          <w:szCs w:val="24"/>
        </w:rPr>
        <w:lastRenderedPageBreak/>
        <w:t>private placental and cord blood cell bank. Preserved blood cells can be used as a replacement therapy for hematopoietic disease and the regenerative treatment of congenital heart diseases and other developmental disorders</w:t>
      </w:r>
      <w:r w:rsidRPr="005D68FE">
        <w:rPr>
          <w:rFonts w:ascii="Book Antiqua" w:hAnsi="Book Antiqua"/>
          <w:noProof/>
          <w:color w:val="000000" w:themeColor="text1"/>
          <w:sz w:val="24"/>
          <w:szCs w:val="24"/>
          <w:vertAlign w:val="superscript"/>
        </w:rPr>
        <w:t>[42,43]</w:t>
      </w:r>
      <w:r w:rsidRPr="005D68FE">
        <w:rPr>
          <w:rFonts w:ascii="Book Antiqua" w:hAnsi="Book Antiqua"/>
          <w:color w:val="000000" w:themeColor="text1"/>
          <w:sz w:val="24"/>
          <w:szCs w:val="24"/>
        </w:rPr>
        <w:t>. Amnion and umbilical cords also have the same genetic profile as the baby. Therefore, private AEC, MSC, and HUVEC cell banks could be ideal sources of therapeutic materials for infants with developmental conditions.</w:t>
      </w:r>
    </w:p>
    <w:p w14:paraId="2769251A" w14:textId="09B6D9AE" w:rsidR="00977E81" w:rsidRPr="005D68FE" w:rsidRDefault="005D68FE" w:rsidP="005D68FE">
      <w:pPr>
        <w:snapToGrid w:val="0"/>
        <w:spacing w:line="360" w:lineRule="auto"/>
        <w:ind w:firstLineChars="100" w:firstLine="240"/>
        <w:jc w:val="both"/>
        <w:rPr>
          <w:rFonts w:ascii="Book Antiqua" w:hAnsi="Book Antiqua"/>
          <w:color w:val="000000" w:themeColor="text1"/>
          <w:sz w:val="24"/>
          <w:szCs w:val="24"/>
        </w:rPr>
      </w:pPr>
      <w:r w:rsidRPr="005D68FE">
        <w:rPr>
          <w:rFonts w:ascii="Book Antiqua" w:hAnsi="Book Antiqua"/>
          <w:color w:val="000000"/>
          <w:sz w:val="24"/>
          <w:szCs w:val="24"/>
          <w:lang w:eastAsia="zh-CN"/>
        </w:rPr>
        <w:t xml:space="preserve">In conclusion, </w:t>
      </w:r>
      <w:r w:rsidRPr="005D68FE">
        <w:rPr>
          <w:rFonts w:ascii="Book Antiqua" w:hAnsi="Book Antiqua"/>
          <w:color w:val="000000" w:themeColor="text1"/>
          <w:sz w:val="24"/>
          <w:szCs w:val="24"/>
        </w:rPr>
        <w:t xml:space="preserve">we </w:t>
      </w:r>
      <w:r w:rsidR="00977E81" w:rsidRPr="005D68FE">
        <w:rPr>
          <w:rFonts w:ascii="Book Antiqua" w:hAnsi="Book Antiqua"/>
          <w:color w:val="000000" w:themeColor="text1"/>
          <w:sz w:val="24"/>
          <w:szCs w:val="24"/>
        </w:rPr>
        <w:t>selected adherent AECs in which ASCs were purified as a cell source for differentiation into hepatocytes. The 3D- and co-culture systems with MSCs and HUVECs generated multicellular organoids</w:t>
      </w:r>
      <w:r w:rsidR="00977E81" w:rsidRPr="005D68FE" w:rsidDel="00F52450">
        <w:rPr>
          <w:rFonts w:ascii="Book Antiqua" w:hAnsi="Book Antiqua"/>
          <w:color w:val="000000" w:themeColor="text1"/>
          <w:sz w:val="24"/>
          <w:szCs w:val="24"/>
        </w:rPr>
        <w:t xml:space="preserve"> </w:t>
      </w:r>
      <w:r w:rsidR="00977E81" w:rsidRPr="005D68FE">
        <w:rPr>
          <w:rFonts w:ascii="Book Antiqua" w:hAnsi="Book Antiqua"/>
          <w:color w:val="000000" w:themeColor="text1"/>
          <w:sz w:val="24"/>
          <w:szCs w:val="24"/>
        </w:rPr>
        <w:t>with hepatic function. A bioinformatics approach and cell selection strategy would be useful for further improvement of the protocol and its hepatic function.</w:t>
      </w:r>
    </w:p>
    <w:p w14:paraId="274EDD19" w14:textId="27837118" w:rsidR="00E0228B" w:rsidRPr="005D68FE" w:rsidRDefault="00E0228B" w:rsidP="005D68FE">
      <w:pPr>
        <w:snapToGrid w:val="0"/>
        <w:spacing w:line="360" w:lineRule="auto"/>
        <w:jc w:val="both"/>
        <w:rPr>
          <w:rFonts w:ascii="Book Antiqua" w:hAnsi="Book Antiqua"/>
          <w:color w:val="000000" w:themeColor="text1"/>
          <w:sz w:val="24"/>
          <w:szCs w:val="24"/>
        </w:rPr>
      </w:pPr>
    </w:p>
    <w:p w14:paraId="0FBF5FC7" w14:textId="470E2444" w:rsidR="00401624" w:rsidRPr="005D68FE" w:rsidRDefault="00401624" w:rsidP="005D68FE">
      <w:pPr>
        <w:snapToGrid w:val="0"/>
        <w:spacing w:line="360" w:lineRule="auto"/>
        <w:jc w:val="both"/>
        <w:rPr>
          <w:rFonts w:ascii="Book Antiqua" w:hAnsi="Book Antiqua" w:cs="Segoe UI"/>
          <w:b/>
          <w:caps/>
          <w:color w:val="000000" w:themeColor="text1"/>
          <w:sz w:val="24"/>
          <w:szCs w:val="24"/>
          <w:shd w:val="clear" w:color="auto" w:fill="FFFFFF"/>
        </w:rPr>
      </w:pPr>
      <w:bookmarkStart w:id="22" w:name="OLE_LINK151"/>
      <w:bookmarkStart w:id="23" w:name="OLE_LINK259"/>
      <w:bookmarkStart w:id="24" w:name="OLE_LINK158"/>
      <w:bookmarkStart w:id="25" w:name="OLE_LINK159"/>
      <w:bookmarkStart w:id="26" w:name="OLE_LINK205"/>
      <w:bookmarkStart w:id="27" w:name="OLE_LINK206"/>
      <w:bookmarkStart w:id="28" w:name="OLE_LINK244"/>
      <w:bookmarkStart w:id="29" w:name="OLE_LINK245"/>
      <w:bookmarkStart w:id="30" w:name="OLE_LINK332"/>
      <w:bookmarkStart w:id="31" w:name="OLE_LINK521"/>
      <w:r w:rsidRPr="005D68FE">
        <w:rPr>
          <w:rFonts w:ascii="Book Antiqua" w:hAnsi="Book Antiqua" w:cs="Segoe UI"/>
          <w:b/>
          <w:caps/>
          <w:color w:val="000000" w:themeColor="text1"/>
          <w:sz w:val="24"/>
          <w:szCs w:val="24"/>
          <w:shd w:val="clear" w:color="auto" w:fill="FFFFFF"/>
        </w:rPr>
        <w:t>Article Highlights</w:t>
      </w:r>
    </w:p>
    <w:p w14:paraId="3BCA162E" w14:textId="77777777" w:rsidR="00401624" w:rsidRPr="005D68FE" w:rsidRDefault="00401624" w:rsidP="005D68FE">
      <w:pPr>
        <w:snapToGrid w:val="0"/>
        <w:spacing w:line="360" w:lineRule="auto"/>
        <w:jc w:val="both"/>
        <w:rPr>
          <w:rFonts w:ascii="Book Antiqua" w:hAnsi="Book Antiqua"/>
          <w:b/>
          <w:i/>
          <w:color w:val="000000" w:themeColor="text1"/>
          <w:sz w:val="24"/>
          <w:szCs w:val="24"/>
        </w:rPr>
      </w:pPr>
      <w:r w:rsidRPr="005D68FE">
        <w:rPr>
          <w:rFonts w:ascii="Book Antiqua" w:hAnsi="Book Antiqua"/>
          <w:b/>
          <w:i/>
          <w:color w:val="000000" w:themeColor="text1"/>
          <w:sz w:val="24"/>
          <w:szCs w:val="24"/>
        </w:rPr>
        <w:t>Research background</w:t>
      </w:r>
    </w:p>
    <w:p w14:paraId="52C1C817" w14:textId="77777777" w:rsidR="00401624" w:rsidRPr="005D68FE" w:rsidRDefault="00401624"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Cell transplantation is a promising method to solve the problem of organ donor deficiency. Recently, amniotic epithelial cells (AECs) have been studied as a somatic stem cell source for regenerative medicine. It has been reported that AECs possess hepatic differentiation capability and they are more cost-effective and non-tumorigenic compared to other cell types. Therefore, AECs could provide a new cell source for cell transplantation in the future, particularly for liver diseases. </w:t>
      </w:r>
    </w:p>
    <w:p w14:paraId="6F25EAFA" w14:textId="77777777" w:rsidR="00401624" w:rsidRPr="005D68FE" w:rsidRDefault="00401624" w:rsidP="005D68FE">
      <w:pPr>
        <w:snapToGrid w:val="0"/>
        <w:spacing w:line="360" w:lineRule="auto"/>
        <w:jc w:val="both"/>
        <w:rPr>
          <w:rFonts w:ascii="Book Antiqua" w:hAnsi="Book Antiqua"/>
          <w:color w:val="000000" w:themeColor="text1"/>
          <w:sz w:val="24"/>
          <w:szCs w:val="24"/>
        </w:rPr>
      </w:pPr>
    </w:p>
    <w:p w14:paraId="1CB463BF" w14:textId="77777777" w:rsidR="00401624" w:rsidRPr="005D68FE" w:rsidRDefault="00401624" w:rsidP="005D68FE">
      <w:pPr>
        <w:snapToGrid w:val="0"/>
        <w:spacing w:line="360" w:lineRule="auto"/>
        <w:jc w:val="both"/>
        <w:rPr>
          <w:rFonts w:ascii="Book Antiqua" w:hAnsi="Book Antiqua"/>
          <w:b/>
          <w:i/>
          <w:color w:val="000000" w:themeColor="text1"/>
          <w:sz w:val="24"/>
          <w:szCs w:val="24"/>
        </w:rPr>
      </w:pPr>
      <w:r w:rsidRPr="005D68FE">
        <w:rPr>
          <w:rFonts w:ascii="Book Antiqua" w:hAnsi="Book Antiqua"/>
          <w:b/>
          <w:i/>
          <w:color w:val="000000" w:themeColor="text1"/>
          <w:sz w:val="24"/>
          <w:szCs w:val="24"/>
        </w:rPr>
        <w:t>Research motivation</w:t>
      </w:r>
    </w:p>
    <w:p w14:paraId="4F6351A8" w14:textId="77777777" w:rsidR="00401624" w:rsidRPr="005D68FE" w:rsidRDefault="00401624"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However, the general profile for AECs has not been comprehensively analyzed and hepatic differentiation protocol for AECs has also not been established. Therefore, by clarifying the comprehensive characteristics of AECs and refining the hepatic differentiation protocol, we could use it effectively as a transplantation cell source in the future.</w:t>
      </w:r>
    </w:p>
    <w:p w14:paraId="30406782" w14:textId="77777777" w:rsidR="00401624" w:rsidRPr="005D68FE" w:rsidRDefault="00401624" w:rsidP="005D68FE">
      <w:pPr>
        <w:snapToGrid w:val="0"/>
        <w:spacing w:line="360" w:lineRule="auto"/>
        <w:jc w:val="both"/>
        <w:rPr>
          <w:rFonts w:ascii="Book Antiqua" w:hAnsi="Book Antiqua"/>
          <w:b/>
          <w:color w:val="000000" w:themeColor="text1"/>
          <w:sz w:val="24"/>
          <w:szCs w:val="24"/>
        </w:rPr>
      </w:pPr>
    </w:p>
    <w:p w14:paraId="31CFB906" w14:textId="77777777" w:rsidR="00401624" w:rsidRPr="005D68FE" w:rsidRDefault="00401624" w:rsidP="005D68FE">
      <w:pPr>
        <w:snapToGrid w:val="0"/>
        <w:spacing w:line="360" w:lineRule="auto"/>
        <w:jc w:val="both"/>
        <w:rPr>
          <w:rFonts w:ascii="Book Antiqua" w:hAnsi="Book Antiqua"/>
          <w:b/>
          <w:i/>
          <w:color w:val="000000" w:themeColor="text1"/>
          <w:sz w:val="24"/>
          <w:szCs w:val="24"/>
        </w:rPr>
      </w:pPr>
      <w:r w:rsidRPr="005D68FE">
        <w:rPr>
          <w:rFonts w:ascii="Book Antiqua" w:hAnsi="Book Antiqua"/>
          <w:b/>
          <w:i/>
          <w:color w:val="000000" w:themeColor="text1"/>
          <w:sz w:val="24"/>
          <w:szCs w:val="24"/>
        </w:rPr>
        <w:t>Research objectives</w:t>
      </w:r>
    </w:p>
    <w:p w14:paraId="08F9EA02" w14:textId="77777777" w:rsidR="00401624" w:rsidRPr="005D68FE" w:rsidRDefault="00401624"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lastRenderedPageBreak/>
        <w:t>This study aimed to elucidate the comprehensive characteristics of human AECs, and to establish a novel hepatic differentiation protocol. Additionally, 3D multicellular culture condition and purification of stem cells obtained from AECs were studied, with an intention to improve their differentiation capability.</w:t>
      </w:r>
    </w:p>
    <w:p w14:paraId="7693057F" w14:textId="77777777" w:rsidR="00401624" w:rsidRPr="005D68FE" w:rsidRDefault="00401624" w:rsidP="005D68FE">
      <w:pPr>
        <w:snapToGrid w:val="0"/>
        <w:spacing w:line="360" w:lineRule="auto"/>
        <w:jc w:val="both"/>
        <w:rPr>
          <w:rFonts w:ascii="Book Antiqua" w:hAnsi="Book Antiqua"/>
          <w:b/>
          <w:color w:val="000000" w:themeColor="text1"/>
          <w:sz w:val="24"/>
          <w:szCs w:val="24"/>
        </w:rPr>
      </w:pPr>
    </w:p>
    <w:p w14:paraId="0146D0E0" w14:textId="77777777" w:rsidR="00401624" w:rsidRPr="005D68FE" w:rsidRDefault="00401624" w:rsidP="005D68FE">
      <w:pPr>
        <w:snapToGrid w:val="0"/>
        <w:spacing w:line="360" w:lineRule="auto"/>
        <w:jc w:val="both"/>
        <w:rPr>
          <w:rFonts w:ascii="Book Antiqua" w:hAnsi="Book Antiqua"/>
          <w:b/>
          <w:i/>
          <w:color w:val="000000" w:themeColor="text1"/>
          <w:sz w:val="24"/>
          <w:szCs w:val="24"/>
        </w:rPr>
      </w:pPr>
      <w:r w:rsidRPr="005D68FE">
        <w:rPr>
          <w:rFonts w:ascii="Book Antiqua" w:hAnsi="Book Antiqua"/>
          <w:b/>
          <w:i/>
          <w:color w:val="000000" w:themeColor="text1"/>
          <w:sz w:val="24"/>
          <w:szCs w:val="24"/>
        </w:rPr>
        <w:t>Research methods</w:t>
      </w:r>
    </w:p>
    <w:p w14:paraId="14C7DF0B" w14:textId="33CC2D42" w:rsidR="00401624" w:rsidRPr="005D68FE" w:rsidRDefault="00401624"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All examined AECs, mesenchymal stem cells (MSCs), and human umbilical vein endothelial cells (HUVECs) were isolated from the placentae and umbilical cords after cesarean section. Stemness characteristics and heterogeneity of amnion and primary AECs were analyzed by immunofluorescence and AP staining, and flow cytometry. In addition, AEC transcriptomes were analyzed and compared with those for other cell sources based on bioinformatics. An adherent AEC subpopulation was selected from primary isolated AECs and their amniotic stem cell (ASC) purification quality was evaluated based on a colony formation assay.</w:t>
      </w:r>
      <w:r w:rsidR="00EB41F5"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Hepatic differentiation capacities of AECs which were cultured in varying 2D or 3D conditions were compared according to their relative gene expression. Finally, ASCs, MSCs and HUVECs were co-cultured in a 3D system to generate hepatic organoids, and the organoid structure and hepatic function were compared with those of 3D AEC spheres using immunofluorescence imaging, </w:t>
      </w:r>
      <w:r w:rsidR="00C164AF" w:rsidRPr="005D68FE">
        <w:rPr>
          <w:rFonts w:ascii="Book Antiqua" w:hAnsi="Book Antiqua"/>
          <w:color w:val="000000" w:themeColor="text1"/>
          <w:sz w:val="24"/>
          <w:szCs w:val="24"/>
        </w:rPr>
        <w:t>Periodic acid Schiff</w:t>
      </w:r>
      <w:r w:rsidRPr="005D68FE">
        <w:rPr>
          <w:rFonts w:ascii="Book Antiqua" w:hAnsi="Book Antiqua"/>
          <w:color w:val="000000" w:themeColor="text1"/>
          <w:sz w:val="24"/>
          <w:szCs w:val="24"/>
        </w:rPr>
        <w:t xml:space="preserve"> staining, and an </w:t>
      </w:r>
      <w:r w:rsidR="00C164AF" w:rsidRPr="005D68FE">
        <w:rPr>
          <w:rFonts w:ascii="Book Antiqua" w:hAnsi="Book Antiqua" w:cs="Arial"/>
          <w:color w:val="000000" w:themeColor="text1"/>
          <w:sz w:val="24"/>
          <w:szCs w:val="24"/>
          <w:shd w:val="clear" w:color="auto" w:fill="FFFFFF"/>
        </w:rPr>
        <w:t>indocyanine green</w:t>
      </w:r>
      <w:r w:rsidR="00C164AF"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ICG</w:t>
      </w:r>
      <w:r w:rsidR="00C164AF" w:rsidRPr="005D68FE">
        <w:rPr>
          <w:rFonts w:ascii="Book Antiqua" w:hAnsi="Book Antiqua"/>
          <w:color w:val="000000" w:themeColor="text1"/>
          <w:sz w:val="24"/>
          <w:szCs w:val="24"/>
        </w:rPr>
        <w:t>)</w:t>
      </w:r>
      <w:r w:rsidRPr="005D68FE">
        <w:rPr>
          <w:rFonts w:ascii="Book Antiqua" w:hAnsi="Book Antiqua"/>
          <w:color w:val="000000" w:themeColor="text1"/>
          <w:sz w:val="24"/>
          <w:szCs w:val="24"/>
        </w:rPr>
        <w:t xml:space="preserve"> test.</w:t>
      </w:r>
    </w:p>
    <w:p w14:paraId="52C46F47" w14:textId="77777777" w:rsidR="00401624" w:rsidRPr="005D68FE" w:rsidRDefault="00401624" w:rsidP="005D68FE">
      <w:pPr>
        <w:snapToGrid w:val="0"/>
        <w:spacing w:line="360" w:lineRule="auto"/>
        <w:jc w:val="both"/>
        <w:rPr>
          <w:rFonts w:ascii="Book Antiqua" w:hAnsi="Book Antiqua"/>
          <w:b/>
          <w:color w:val="000000" w:themeColor="text1"/>
          <w:sz w:val="24"/>
          <w:szCs w:val="24"/>
        </w:rPr>
      </w:pPr>
    </w:p>
    <w:p w14:paraId="54EDEAAB" w14:textId="77777777" w:rsidR="00401624" w:rsidRPr="005D68FE" w:rsidRDefault="00401624" w:rsidP="005D68FE">
      <w:pPr>
        <w:snapToGrid w:val="0"/>
        <w:spacing w:line="360" w:lineRule="auto"/>
        <w:jc w:val="both"/>
        <w:rPr>
          <w:rFonts w:ascii="Book Antiqua" w:hAnsi="Book Antiqua"/>
          <w:b/>
          <w:i/>
          <w:color w:val="000000" w:themeColor="text1"/>
          <w:sz w:val="24"/>
          <w:szCs w:val="24"/>
        </w:rPr>
      </w:pPr>
      <w:r w:rsidRPr="005D68FE">
        <w:rPr>
          <w:rFonts w:ascii="Book Antiqua" w:hAnsi="Book Antiqua"/>
          <w:b/>
          <w:i/>
          <w:color w:val="000000" w:themeColor="text1"/>
          <w:sz w:val="24"/>
          <w:szCs w:val="24"/>
        </w:rPr>
        <w:t>Research results</w:t>
      </w:r>
    </w:p>
    <w:p w14:paraId="46508B9F" w14:textId="77777777" w:rsidR="00401624" w:rsidRPr="005D68FE" w:rsidRDefault="00401624"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color w:val="000000" w:themeColor="text1"/>
          <w:sz w:val="24"/>
          <w:szCs w:val="24"/>
        </w:rPr>
        <w:t>AECs expressed stemness markers such as EPCAM, SSEA4, and E-cadherin, whereas only limited cells in the AEC subpopulation were AP-positive, or expressed TRA-1-60 and TRA-1-81 stemness marker in the FACS analysis. The colony formation assay revealed that primary AECs could form colonies and the frequency was enhanced ten-fold in the adherent subpopulation. According to bioinformatics analysis of RNA sequencing, the primary AEC gene expression was different from those of pluripotent stem cells and hepatocytes; however, some overlapped genes were detected. Compared with the 2D system,</w:t>
      </w:r>
      <w:r w:rsidRPr="005D68FE" w:rsidDel="00CB1640">
        <w:rPr>
          <w:rFonts w:ascii="Book Antiqua" w:hAnsi="Book Antiqua"/>
          <w:color w:val="000000" w:themeColor="text1"/>
          <w:sz w:val="24"/>
          <w:szCs w:val="24"/>
        </w:rPr>
        <w:t xml:space="preserve"> </w:t>
      </w:r>
      <w:r w:rsidRPr="005D68FE">
        <w:rPr>
          <w:rFonts w:ascii="Book Antiqua" w:hAnsi="Book Antiqua"/>
          <w:color w:val="000000" w:themeColor="text1"/>
          <w:sz w:val="24"/>
          <w:szCs w:val="24"/>
        </w:rPr>
        <w:lastRenderedPageBreak/>
        <w:t xml:space="preserve">AECs could retain their viability for a longer time in 3D culture conditions and the hepatic gene expressions were comparatively elevated using a two-step differentiation protocol. Furthermore, organoids derived from 3D multicellular culture condition using ASCs, MSCs and HUVECs, showed a 3D hepatic structure with polarity, hepatic-like glycogen storage, and ICG absorption/elimination. </w:t>
      </w:r>
    </w:p>
    <w:p w14:paraId="1B092303" w14:textId="77777777" w:rsidR="00401624" w:rsidRPr="005D68FE" w:rsidRDefault="00401624" w:rsidP="005D68FE">
      <w:pPr>
        <w:snapToGrid w:val="0"/>
        <w:spacing w:line="360" w:lineRule="auto"/>
        <w:ind w:left="1"/>
        <w:jc w:val="both"/>
        <w:rPr>
          <w:rFonts w:ascii="Book Antiqua" w:hAnsi="Book Antiqua" w:cs="Segoe UI"/>
          <w:color w:val="000000" w:themeColor="text1"/>
          <w:sz w:val="24"/>
          <w:szCs w:val="24"/>
          <w:shd w:val="clear" w:color="auto" w:fill="FFFFFF"/>
        </w:rPr>
      </w:pPr>
    </w:p>
    <w:p w14:paraId="4890F22C" w14:textId="77777777" w:rsidR="00401624" w:rsidRPr="005D68FE" w:rsidRDefault="00401624" w:rsidP="005D68FE">
      <w:pPr>
        <w:snapToGrid w:val="0"/>
        <w:spacing w:line="360" w:lineRule="auto"/>
        <w:jc w:val="both"/>
        <w:rPr>
          <w:rFonts w:ascii="Book Antiqua" w:hAnsi="Book Antiqua" w:cs="Segoe UI"/>
          <w:b/>
          <w:i/>
          <w:color w:val="000000" w:themeColor="text1"/>
          <w:sz w:val="24"/>
          <w:szCs w:val="24"/>
          <w:shd w:val="clear" w:color="auto" w:fill="FFFFFF"/>
        </w:rPr>
      </w:pPr>
      <w:r w:rsidRPr="005D68FE">
        <w:rPr>
          <w:rFonts w:ascii="Book Antiqua" w:hAnsi="Book Antiqua"/>
          <w:b/>
          <w:i/>
          <w:color w:val="000000" w:themeColor="text1"/>
          <w:sz w:val="24"/>
          <w:szCs w:val="24"/>
        </w:rPr>
        <w:t>Research conclusions</w:t>
      </w:r>
    </w:p>
    <w:p w14:paraId="7BA751C8" w14:textId="77777777" w:rsidR="00401624" w:rsidRPr="005D68FE" w:rsidRDefault="00401624" w:rsidP="005D68FE">
      <w:pPr>
        <w:snapToGrid w:val="0"/>
        <w:spacing w:line="360" w:lineRule="auto"/>
        <w:ind w:right="187"/>
        <w:jc w:val="both"/>
        <w:rPr>
          <w:rFonts w:ascii="Book Antiqua" w:eastAsia="MS Mincho" w:hAnsi="Book Antiqua"/>
          <w:color w:val="000000" w:themeColor="text1"/>
          <w:sz w:val="24"/>
          <w:szCs w:val="24"/>
        </w:rPr>
      </w:pPr>
      <w:r w:rsidRPr="005D68FE">
        <w:rPr>
          <w:rFonts w:ascii="Book Antiqua" w:eastAsia="MS Mincho" w:hAnsi="Book Antiqua"/>
          <w:color w:val="000000" w:themeColor="text1"/>
          <w:sz w:val="24"/>
          <w:szCs w:val="24"/>
        </w:rPr>
        <w:t>Human AECs are heterogeneous and certain subpopulations exhibit high stemness. AEC transcriptome analysis suggests some advantages and factors related to hepatic differentiation. 3D multicellular culture conditions improve the differentiation of ASCs into functional hepatic organoids.</w:t>
      </w:r>
    </w:p>
    <w:p w14:paraId="5CF950A7" w14:textId="77777777" w:rsidR="00401624" w:rsidRPr="005D68FE" w:rsidRDefault="00401624" w:rsidP="005D68FE">
      <w:pPr>
        <w:snapToGrid w:val="0"/>
        <w:spacing w:line="360" w:lineRule="auto"/>
        <w:jc w:val="both"/>
        <w:rPr>
          <w:rFonts w:ascii="Book Antiqua" w:hAnsi="Book Antiqua" w:cs="Segoe UI"/>
          <w:color w:val="000000" w:themeColor="text1"/>
          <w:sz w:val="24"/>
          <w:szCs w:val="24"/>
          <w:shd w:val="clear" w:color="auto" w:fill="FFFFFF"/>
        </w:rPr>
      </w:pPr>
    </w:p>
    <w:p w14:paraId="6397FF31" w14:textId="77777777" w:rsidR="00401624" w:rsidRPr="005D68FE" w:rsidRDefault="00401624" w:rsidP="005D68FE">
      <w:pPr>
        <w:snapToGrid w:val="0"/>
        <w:spacing w:line="360" w:lineRule="auto"/>
        <w:jc w:val="both"/>
        <w:rPr>
          <w:rFonts w:ascii="Book Antiqua" w:hAnsi="Book Antiqua" w:cs="Segoe UI"/>
          <w:b/>
          <w:i/>
          <w:color w:val="000000" w:themeColor="text1"/>
          <w:sz w:val="24"/>
          <w:szCs w:val="24"/>
          <w:shd w:val="clear" w:color="auto" w:fill="FFFFFF"/>
        </w:rPr>
      </w:pPr>
      <w:r w:rsidRPr="005D68FE">
        <w:rPr>
          <w:rFonts w:ascii="Book Antiqua" w:hAnsi="Book Antiqua" w:cs="Segoe UI"/>
          <w:b/>
          <w:i/>
          <w:color w:val="000000" w:themeColor="text1"/>
          <w:sz w:val="24"/>
          <w:szCs w:val="24"/>
          <w:shd w:val="clear" w:color="auto" w:fill="FFFFFF"/>
        </w:rPr>
        <w:t>Research perspectives</w:t>
      </w:r>
    </w:p>
    <w:bookmarkEnd w:id="22"/>
    <w:bookmarkEnd w:id="23"/>
    <w:p w14:paraId="5925E38D" w14:textId="77777777" w:rsidR="00401624" w:rsidRPr="005D68FE" w:rsidRDefault="00401624"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The results of this comprehensive analysis indicate that AECs have high hepatic differentiation capability which should be optimized. By optimizing the selected high stemness subpopulations of AECs and using a 3D co-culture system, AEC-derived hepatic organoid can be used for performing transplantation experiments to evaluate its </w:t>
      </w:r>
      <w:r w:rsidRPr="005D68FE">
        <w:rPr>
          <w:rFonts w:ascii="Book Antiqua" w:hAnsi="Book Antiqua"/>
          <w:i/>
          <w:color w:val="000000" w:themeColor="text1"/>
          <w:sz w:val="24"/>
          <w:szCs w:val="24"/>
        </w:rPr>
        <w:t>in vivo</w:t>
      </w:r>
      <w:r w:rsidRPr="005D68FE">
        <w:rPr>
          <w:rFonts w:ascii="Book Antiqua" w:hAnsi="Book Antiqua"/>
          <w:color w:val="000000" w:themeColor="text1"/>
          <w:sz w:val="24"/>
          <w:szCs w:val="24"/>
        </w:rPr>
        <w:t xml:space="preserve"> function.</w:t>
      </w:r>
    </w:p>
    <w:p w14:paraId="1D976F84" w14:textId="77777777" w:rsidR="00401624" w:rsidRPr="005D68FE" w:rsidRDefault="00401624" w:rsidP="005D68FE">
      <w:pPr>
        <w:snapToGrid w:val="0"/>
        <w:spacing w:line="360" w:lineRule="auto"/>
        <w:jc w:val="both"/>
        <w:rPr>
          <w:rFonts w:ascii="Book Antiqua" w:hAnsi="Book Antiqua"/>
          <w:b/>
          <w:color w:val="000000" w:themeColor="text1"/>
          <w:sz w:val="24"/>
          <w:szCs w:val="24"/>
        </w:rPr>
      </w:pPr>
    </w:p>
    <w:p w14:paraId="559DE5E1" w14:textId="77777777" w:rsidR="00401624" w:rsidRPr="005D68FE" w:rsidRDefault="00401624" w:rsidP="005D68FE">
      <w:pPr>
        <w:snapToGrid w:val="0"/>
        <w:spacing w:line="360" w:lineRule="auto"/>
        <w:ind w:right="187"/>
        <w:jc w:val="both"/>
        <w:rPr>
          <w:rFonts w:ascii="Book Antiqua" w:hAnsi="Book Antiqua"/>
          <w:b/>
          <w:color w:val="000000" w:themeColor="text1"/>
          <w:sz w:val="24"/>
          <w:szCs w:val="24"/>
        </w:rPr>
      </w:pPr>
      <w:r w:rsidRPr="005D68FE">
        <w:rPr>
          <w:rFonts w:ascii="Book Antiqua" w:hAnsi="Book Antiqua"/>
          <w:b/>
          <w:color w:val="000000" w:themeColor="text1"/>
          <w:sz w:val="24"/>
          <w:szCs w:val="24"/>
        </w:rPr>
        <w:t>ACKNOWLEDGEMENTS</w:t>
      </w:r>
    </w:p>
    <w:p w14:paraId="2480EB66" w14:textId="0EFFA594" w:rsidR="00401624" w:rsidRPr="005D68FE" w:rsidRDefault="00401624" w:rsidP="005D68FE">
      <w:pPr>
        <w:snapToGrid w:val="0"/>
        <w:spacing w:line="360" w:lineRule="auto"/>
        <w:ind w:right="187"/>
        <w:jc w:val="both"/>
        <w:rPr>
          <w:rFonts w:ascii="Book Antiqua" w:hAnsi="Book Antiqua"/>
          <w:color w:val="000000" w:themeColor="text1"/>
          <w:sz w:val="24"/>
          <w:szCs w:val="24"/>
        </w:rPr>
      </w:pPr>
      <w:r w:rsidRPr="005D68FE">
        <w:rPr>
          <w:rFonts w:ascii="Book Antiqua" w:hAnsi="Book Antiqua"/>
          <w:color w:val="000000" w:themeColor="text1"/>
          <w:sz w:val="24"/>
          <w:szCs w:val="24"/>
        </w:rPr>
        <w:t>We thank Chen Liang, Yoshio Shimizu, Roxanne Sabrina Ramirez, Dan Song, Yoshiaki Uchida and Rui Zhao for their kind support in isolating the human placental tissue specimens.</w:t>
      </w:r>
    </w:p>
    <w:p w14:paraId="6838D0EA" w14:textId="27043716" w:rsidR="00192685" w:rsidRPr="005D68FE" w:rsidRDefault="00192685" w:rsidP="005D68FE">
      <w:pPr>
        <w:autoSpaceDE/>
        <w:autoSpaceDN/>
        <w:snapToGrid w:val="0"/>
        <w:spacing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br w:type="page"/>
      </w:r>
    </w:p>
    <w:bookmarkEnd w:id="24"/>
    <w:bookmarkEnd w:id="25"/>
    <w:bookmarkEnd w:id="26"/>
    <w:bookmarkEnd w:id="27"/>
    <w:bookmarkEnd w:id="28"/>
    <w:bookmarkEnd w:id="29"/>
    <w:bookmarkEnd w:id="30"/>
    <w:bookmarkEnd w:id="31"/>
    <w:p w14:paraId="07C1269F" w14:textId="77777777" w:rsidR="001219E9" w:rsidRPr="005D68FE" w:rsidRDefault="001219E9" w:rsidP="005D68FE">
      <w:pPr>
        <w:snapToGrid w:val="0"/>
        <w:spacing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lastRenderedPageBreak/>
        <w:t>REFERENCES</w:t>
      </w:r>
    </w:p>
    <w:p w14:paraId="0F748A57" w14:textId="77777777" w:rsidR="005D68FE" w:rsidRPr="005D68FE" w:rsidRDefault="005D68FE" w:rsidP="005D68FE">
      <w:pPr>
        <w:spacing w:line="360" w:lineRule="auto"/>
        <w:jc w:val="both"/>
        <w:rPr>
          <w:rFonts w:ascii="Book Antiqua" w:hAnsi="Book Antiqua" w:cstheme="minorBidi"/>
          <w:sz w:val="24"/>
          <w:szCs w:val="24"/>
        </w:rPr>
      </w:pPr>
      <w:r w:rsidRPr="005D68FE">
        <w:rPr>
          <w:rFonts w:ascii="Book Antiqua" w:hAnsi="Book Antiqua"/>
          <w:sz w:val="24"/>
          <w:szCs w:val="24"/>
        </w:rPr>
        <w:t xml:space="preserve">1 </w:t>
      </w:r>
      <w:r w:rsidRPr="005D68FE">
        <w:rPr>
          <w:rFonts w:ascii="Book Antiqua" w:hAnsi="Book Antiqua"/>
          <w:b/>
          <w:sz w:val="24"/>
          <w:szCs w:val="24"/>
        </w:rPr>
        <w:t>Zhou WC</w:t>
      </w:r>
      <w:r w:rsidRPr="005D68FE">
        <w:rPr>
          <w:rFonts w:ascii="Book Antiqua" w:hAnsi="Book Antiqua"/>
          <w:sz w:val="24"/>
          <w:szCs w:val="24"/>
        </w:rPr>
        <w:t xml:space="preserve">, Zhang QB, Qiao L. Pathogenesis of liver cirrhosis. </w:t>
      </w:r>
      <w:r w:rsidRPr="005D68FE">
        <w:rPr>
          <w:rFonts w:ascii="Book Antiqua" w:hAnsi="Book Antiqua"/>
          <w:i/>
          <w:sz w:val="24"/>
          <w:szCs w:val="24"/>
        </w:rPr>
        <w:t>World J Gastroenterol</w:t>
      </w:r>
      <w:r w:rsidRPr="005D68FE">
        <w:rPr>
          <w:rFonts w:ascii="Book Antiqua" w:hAnsi="Book Antiqua"/>
          <w:sz w:val="24"/>
          <w:szCs w:val="24"/>
        </w:rPr>
        <w:t xml:space="preserve"> 2014; </w:t>
      </w:r>
      <w:r w:rsidRPr="005D68FE">
        <w:rPr>
          <w:rFonts w:ascii="Book Antiqua" w:hAnsi="Book Antiqua"/>
          <w:b/>
          <w:sz w:val="24"/>
          <w:szCs w:val="24"/>
        </w:rPr>
        <w:t>20</w:t>
      </w:r>
      <w:r w:rsidRPr="005D68FE">
        <w:rPr>
          <w:rFonts w:ascii="Book Antiqua" w:hAnsi="Book Antiqua"/>
          <w:sz w:val="24"/>
          <w:szCs w:val="24"/>
        </w:rPr>
        <w:t>: 7312-7324 [PMID: 24966602 DOI: 10.3748/wjg.v20.i23.7312]</w:t>
      </w:r>
    </w:p>
    <w:p w14:paraId="04EBDEDC"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2 </w:t>
      </w:r>
      <w:r w:rsidRPr="005D68FE">
        <w:rPr>
          <w:rFonts w:ascii="Book Antiqua" w:hAnsi="Book Antiqua"/>
          <w:b/>
          <w:sz w:val="24"/>
          <w:szCs w:val="24"/>
        </w:rPr>
        <w:t>Abad CL</w:t>
      </w:r>
      <w:r w:rsidRPr="005D68FE">
        <w:rPr>
          <w:rFonts w:ascii="Book Antiqua" w:hAnsi="Book Antiqua"/>
          <w:sz w:val="24"/>
          <w:szCs w:val="24"/>
        </w:rPr>
        <w:t xml:space="preserve">, Lahr BD, Razonable RR. Epidemiology and risk factors for infection after living donor liver transplantation. </w:t>
      </w:r>
      <w:r w:rsidRPr="005D68FE">
        <w:rPr>
          <w:rFonts w:ascii="Book Antiqua" w:hAnsi="Book Antiqua"/>
          <w:i/>
          <w:sz w:val="24"/>
          <w:szCs w:val="24"/>
        </w:rPr>
        <w:t>Liver Transpl</w:t>
      </w:r>
      <w:r w:rsidRPr="005D68FE">
        <w:rPr>
          <w:rFonts w:ascii="Book Antiqua" w:hAnsi="Book Antiqua"/>
          <w:sz w:val="24"/>
          <w:szCs w:val="24"/>
        </w:rPr>
        <w:t xml:space="preserve"> 2017; </w:t>
      </w:r>
      <w:r w:rsidRPr="005D68FE">
        <w:rPr>
          <w:rFonts w:ascii="Book Antiqua" w:hAnsi="Book Antiqua"/>
          <w:b/>
          <w:sz w:val="24"/>
          <w:szCs w:val="24"/>
        </w:rPr>
        <w:t>23</w:t>
      </w:r>
      <w:r w:rsidRPr="005D68FE">
        <w:rPr>
          <w:rFonts w:ascii="Book Antiqua" w:hAnsi="Book Antiqua"/>
          <w:sz w:val="24"/>
          <w:szCs w:val="24"/>
        </w:rPr>
        <w:t>: 465-477 [PMID: 28176451 DOI: 10.1002/lt.24739]</w:t>
      </w:r>
    </w:p>
    <w:p w14:paraId="67D15AB0" w14:textId="3F0CDD64"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3 </w:t>
      </w:r>
      <w:r w:rsidRPr="005D68FE">
        <w:rPr>
          <w:rFonts w:ascii="Book Antiqua" w:hAnsi="Book Antiqua"/>
          <w:b/>
          <w:sz w:val="24"/>
          <w:szCs w:val="24"/>
        </w:rPr>
        <w:t>Farkas S</w:t>
      </w:r>
      <w:r w:rsidRPr="005D68FE">
        <w:rPr>
          <w:rFonts w:ascii="Book Antiqua" w:hAnsi="Book Antiqua"/>
          <w:sz w:val="24"/>
          <w:szCs w:val="24"/>
        </w:rPr>
        <w:t xml:space="preserve">, Hackl C, Schlitt HJ. Overview of the indications and contraindications for liver transplantation. </w:t>
      </w:r>
      <w:r w:rsidRPr="005D68FE">
        <w:rPr>
          <w:rFonts w:ascii="Book Antiqua" w:hAnsi="Book Antiqua"/>
          <w:i/>
          <w:sz w:val="24"/>
          <w:szCs w:val="24"/>
        </w:rPr>
        <w:t>Cold Spring Harb Perspect Med</w:t>
      </w:r>
      <w:r w:rsidRPr="005D68FE">
        <w:rPr>
          <w:rFonts w:ascii="Book Antiqua" w:hAnsi="Book Antiqua"/>
          <w:sz w:val="24"/>
          <w:szCs w:val="24"/>
        </w:rPr>
        <w:t xml:space="preserve"> 2014; </w:t>
      </w:r>
      <w:r w:rsidRPr="005D68FE">
        <w:rPr>
          <w:rFonts w:ascii="Book Antiqua" w:hAnsi="Book Antiqua"/>
          <w:b/>
          <w:sz w:val="24"/>
          <w:szCs w:val="24"/>
        </w:rPr>
        <w:t>4</w:t>
      </w:r>
      <w:r w:rsidRPr="005D68FE">
        <w:rPr>
          <w:rFonts w:ascii="Book Antiqua" w:hAnsi="Book Antiqua"/>
          <w:sz w:val="24"/>
          <w:szCs w:val="24"/>
        </w:rPr>
        <w:t xml:space="preserve"> [PMID: 24789874 DOI: 10.1101/cshperspect.a015602]</w:t>
      </w:r>
    </w:p>
    <w:p w14:paraId="6590F7B0"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4 </w:t>
      </w:r>
      <w:r w:rsidRPr="005D68FE">
        <w:rPr>
          <w:rFonts w:ascii="Book Antiqua" w:hAnsi="Book Antiqua"/>
          <w:b/>
          <w:sz w:val="24"/>
          <w:szCs w:val="24"/>
        </w:rPr>
        <w:t>Pietrosi G</w:t>
      </w:r>
      <w:r w:rsidRPr="005D68FE">
        <w:rPr>
          <w:rFonts w:ascii="Book Antiqua" w:hAnsi="Book Antiqua"/>
          <w:sz w:val="24"/>
          <w:szCs w:val="24"/>
        </w:rPr>
        <w:t xml:space="preserve">, Vizzini GB, Gruttadauria S, Gridelli B. Clinical applications of hepatocyte transplantation. </w:t>
      </w:r>
      <w:r w:rsidRPr="005D68FE">
        <w:rPr>
          <w:rFonts w:ascii="Book Antiqua" w:hAnsi="Book Antiqua"/>
          <w:i/>
          <w:sz w:val="24"/>
          <w:szCs w:val="24"/>
        </w:rPr>
        <w:t>World J Gastroenterol</w:t>
      </w:r>
      <w:r w:rsidRPr="005D68FE">
        <w:rPr>
          <w:rFonts w:ascii="Book Antiqua" w:hAnsi="Book Antiqua"/>
          <w:sz w:val="24"/>
          <w:szCs w:val="24"/>
        </w:rPr>
        <w:t xml:space="preserve"> 2009; </w:t>
      </w:r>
      <w:r w:rsidRPr="005D68FE">
        <w:rPr>
          <w:rFonts w:ascii="Book Antiqua" w:hAnsi="Book Antiqua"/>
          <w:b/>
          <w:sz w:val="24"/>
          <w:szCs w:val="24"/>
        </w:rPr>
        <w:t>15</w:t>
      </w:r>
      <w:r w:rsidRPr="005D68FE">
        <w:rPr>
          <w:rFonts w:ascii="Book Antiqua" w:hAnsi="Book Antiqua"/>
          <w:sz w:val="24"/>
          <w:szCs w:val="24"/>
        </w:rPr>
        <w:t>: 2074-2077 [PMID: 19418578 DOI: 10.3748/wjg.15.2074]</w:t>
      </w:r>
    </w:p>
    <w:p w14:paraId="057B0E68"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5 </w:t>
      </w:r>
      <w:r w:rsidRPr="005D68FE">
        <w:rPr>
          <w:rFonts w:ascii="Book Antiqua" w:hAnsi="Book Antiqua"/>
          <w:b/>
          <w:sz w:val="24"/>
          <w:szCs w:val="24"/>
        </w:rPr>
        <w:t>Tolosa L</w:t>
      </w:r>
      <w:r w:rsidRPr="005D68FE">
        <w:rPr>
          <w:rFonts w:ascii="Book Antiqua" w:hAnsi="Book Antiqua"/>
          <w:sz w:val="24"/>
          <w:szCs w:val="24"/>
        </w:rPr>
        <w:t xml:space="preserve">, Pareja E, Gómez-Lechón MJ. Clinical Application of Pluripotent Stem Cells: An Alternative Cell-Based Therapy for Treating Liver Diseases? </w:t>
      </w:r>
      <w:r w:rsidRPr="005D68FE">
        <w:rPr>
          <w:rFonts w:ascii="Book Antiqua" w:hAnsi="Book Antiqua"/>
          <w:i/>
          <w:sz w:val="24"/>
          <w:szCs w:val="24"/>
        </w:rPr>
        <w:t>Transplantation</w:t>
      </w:r>
      <w:r w:rsidRPr="005D68FE">
        <w:rPr>
          <w:rFonts w:ascii="Book Antiqua" w:hAnsi="Book Antiqua"/>
          <w:sz w:val="24"/>
          <w:szCs w:val="24"/>
        </w:rPr>
        <w:t xml:space="preserve"> 2016; </w:t>
      </w:r>
      <w:r w:rsidRPr="005D68FE">
        <w:rPr>
          <w:rFonts w:ascii="Book Antiqua" w:hAnsi="Book Antiqua"/>
          <w:b/>
          <w:sz w:val="24"/>
          <w:szCs w:val="24"/>
        </w:rPr>
        <w:t>100</w:t>
      </w:r>
      <w:r w:rsidRPr="005D68FE">
        <w:rPr>
          <w:rFonts w:ascii="Book Antiqua" w:hAnsi="Book Antiqua"/>
          <w:sz w:val="24"/>
          <w:szCs w:val="24"/>
        </w:rPr>
        <w:t>: 2548-2557 [PMID: 27495745 DOI: 10.1097/TP.0000000000001426]</w:t>
      </w:r>
    </w:p>
    <w:p w14:paraId="5CE45BBC"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6 </w:t>
      </w:r>
      <w:r w:rsidRPr="005D68FE">
        <w:rPr>
          <w:rFonts w:ascii="Book Antiqua" w:hAnsi="Book Antiqua"/>
          <w:b/>
          <w:sz w:val="24"/>
          <w:szCs w:val="24"/>
        </w:rPr>
        <w:t>Si-Tayeb K</w:t>
      </w:r>
      <w:r w:rsidRPr="005D68FE">
        <w:rPr>
          <w:rFonts w:ascii="Book Antiqua" w:hAnsi="Book Antiqua"/>
          <w:sz w:val="24"/>
          <w:szCs w:val="24"/>
        </w:rPr>
        <w:t xml:space="preserve">, Noto FK, Nagaoka M, Li J, Battle MA, Duris C, North PE, Dalton S, Duncan SA. Highly efficient generation of human hepatocyte-like cells from induced pluripotent stem cells. </w:t>
      </w:r>
      <w:r w:rsidRPr="005D68FE">
        <w:rPr>
          <w:rFonts w:ascii="Book Antiqua" w:hAnsi="Book Antiqua"/>
          <w:i/>
          <w:sz w:val="24"/>
          <w:szCs w:val="24"/>
        </w:rPr>
        <w:t>Hepatology</w:t>
      </w:r>
      <w:r w:rsidRPr="005D68FE">
        <w:rPr>
          <w:rFonts w:ascii="Book Antiqua" w:hAnsi="Book Antiqua"/>
          <w:sz w:val="24"/>
          <w:szCs w:val="24"/>
        </w:rPr>
        <w:t xml:space="preserve"> 2010; </w:t>
      </w:r>
      <w:r w:rsidRPr="005D68FE">
        <w:rPr>
          <w:rFonts w:ascii="Book Antiqua" w:hAnsi="Book Antiqua"/>
          <w:b/>
          <w:sz w:val="24"/>
          <w:szCs w:val="24"/>
        </w:rPr>
        <w:t>51</w:t>
      </w:r>
      <w:r w:rsidRPr="005D68FE">
        <w:rPr>
          <w:rFonts w:ascii="Book Antiqua" w:hAnsi="Book Antiqua"/>
          <w:sz w:val="24"/>
          <w:szCs w:val="24"/>
        </w:rPr>
        <w:t>: 297-305 [PMID: 19998274 DOI: 10.1002/hep.23354]</w:t>
      </w:r>
    </w:p>
    <w:p w14:paraId="3FA01EBA"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7 </w:t>
      </w:r>
      <w:r w:rsidRPr="005D68FE">
        <w:rPr>
          <w:rFonts w:ascii="Book Antiqua" w:hAnsi="Book Antiqua"/>
          <w:b/>
          <w:sz w:val="24"/>
          <w:szCs w:val="24"/>
        </w:rPr>
        <w:t>Sekiya S</w:t>
      </w:r>
      <w:r w:rsidRPr="005D68FE">
        <w:rPr>
          <w:rFonts w:ascii="Book Antiqua" w:hAnsi="Book Antiqua"/>
          <w:sz w:val="24"/>
          <w:szCs w:val="24"/>
        </w:rPr>
        <w:t xml:space="preserve">, Suzuki A. Direct conversion of mouse fibroblasts to hepatocyte-like cells by defined factors. </w:t>
      </w:r>
      <w:r w:rsidRPr="005D68FE">
        <w:rPr>
          <w:rFonts w:ascii="Book Antiqua" w:hAnsi="Book Antiqua"/>
          <w:i/>
          <w:sz w:val="24"/>
          <w:szCs w:val="24"/>
        </w:rPr>
        <w:t>Nature</w:t>
      </w:r>
      <w:r w:rsidRPr="005D68FE">
        <w:rPr>
          <w:rFonts w:ascii="Book Antiqua" w:hAnsi="Book Antiqua"/>
          <w:sz w:val="24"/>
          <w:szCs w:val="24"/>
        </w:rPr>
        <w:t xml:space="preserve"> 2011; </w:t>
      </w:r>
      <w:r w:rsidRPr="005D68FE">
        <w:rPr>
          <w:rFonts w:ascii="Book Antiqua" w:hAnsi="Book Antiqua"/>
          <w:b/>
          <w:sz w:val="24"/>
          <w:szCs w:val="24"/>
        </w:rPr>
        <w:t>475</w:t>
      </w:r>
      <w:r w:rsidRPr="005D68FE">
        <w:rPr>
          <w:rFonts w:ascii="Book Antiqua" w:hAnsi="Book Antiqua"/>
          <w:sz w:val="24"/>
          <w:szCs w:val="24"/>
        </w:rPr>
        <w:t>: 390-393 [PMID: 21716291 DOI: 10.1038/nature10263]</w:t>
      </w:r>
    </w:p>
    <w:p w14:paraId="7CC7A0D4"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lastRenderedPageBreak/>
        <w:t xml:space="preserve">8 </w:t>
      </w:r>
      <w:r w:rsidRPr="005D68FE">
        <w:rPr>
          <w:rFonts w:ascii="Book Antiqua" w:hAnsi="Book Antiqua"/>
          <w:b/>
          <w:sz w:val="24"/>
          <w:szCs w:val="24"/>
        </w:rPr>
        <w:t>Gao Y</w:t>
      </w:r>
      <w:r w:rsidRPr="005D68FE">
        <w:rPr>
          <w:rFonts w:ascii="Book Antiqua" w:hAnsi="Book Antiqua"/>
          <w:sz w:val="24"/>
          <w:szCs w:val="24"/>
        </w:rPr>
        <w:t xml:space="preserve">, Zhang X, Zhang L, Cen J, Ni X, Liao X, Yang C, Li Y, Chen X, Zhang Z, Shu Y, Cheng X, Hay DC, Lai D, Pan G, Wei G, Hui L. Distinct Gene Expression and Epigenetic Signatures in Hepatocyte-like Cells Produced by Different Strategies from the Same Donor. </w:t>
      </w:r>
      <w:r w:rsidRPr="005D68FE">
        <w:rPr>
          <w:rFonts w:ascii="Book Antiqua" w:hAnsi="Book Antiqua"/>
          <w:i/>
          <w:sz w:val="24"/>
          <w:szCs w:val="24"/>
        </w:rPr>
        <w:t>Stem Cell Reports</w:t>
      </w:r>
      <w:r w:rsidRPr="005D68FE">
        <w:rPr>
          <w:rFonts w:ascii="Book Antiqua" w:hAnsi="Book Antiqua"/>
          <w:sz w:val="24"/>
          <w:szCs w:val="24"/>
        </w:rPr>
        <w:t xml:space="preserve"> 2017; </w:t>
      </w:r>
      <w:r w:rsidRPr="005D68FE">
        <w:rPr>
          <w:rFonts w:ascii="Book Antiqua" w:hAnsi="Book Antiqua"/>
          <w:b/>
          <w:sz w:val="24"/>
          <w:szCs w:val="24"/>
        </w:rPr>
        <w:t>9</w:t>
      </w:r>
      <w:r w:rsidRPr="005D68FE">
        <w:rPr>
          <w:rFonts w:ascii="Book Antiqua" w:hAnsi="Book Antiqua"/>
          <w:sz w:val="24"/>
          <w:szCs w:val="24"/>
        </w:rPr>
        <w:t>: 1813-1824 [PMID: 29173899 DOI: 10.1016/j.stemcr.2017.10.019]</w:t>
      </w:r>
    </w:p>
    <w:p w14:paraId="1171EE5D"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9 </w:t>
      </w:r>
      <w:r w:rsidRPr="005D68FE">
        <w:rPr>
          <w:rFonts w:ascii="Book Antiqua" w:hAnsi="Book Antiqua"/>
          <w:b/>
          <w:sz w:val="24"/>
          <w:szCs w:val="24"/>
        </w:rPr>
        <w:t>Kumar A</w:t>
      </w:r>
      <w:r w:rsidRPr="005D68FE">
        <w:rPr>
          <w:rFonts w:ascii="Book Antiqua" w:hAnsi="Book Antiqua"/>
          <w:sz w:val="24"/>
          <w:szCs w:val="24"/>
        </w:rPr>
        <w:t xml:space="preserve">, Kumar V, Rattan V, Jha V, Pal A, Bhattacharyya S. Molecular spectrum of secretome regulates the relative hepatogenic potential of mesenchymal stem cells from bone marrow and dental tissue. </w:t>
      </w:r>
      <w:r w:rsidRPr="005D68FE">
        <w:rPr>
          <w:rFonts w:ascii="Book Antiqua" w:hAnsi="Book Antiqua"/>
          <w:i/>
          <w:sz w:val="24"/>
          <w:szCs w:val="24"/>
        </w:rPr>
        <w:t>Sci Rep</w:t>
      </w:r>
      <w:r w:rsidRPr="005D68FE">
        <w:rPr>
          <w:rFonts w:ascii="Book Antiqua" w:hAnsi="Book Antiqua"/>
          <w:sz w:val="24"/>
          <w:szCs w:val="24"/>
        </w:rPr>
        <w:t xml:space="preserve"> 2017; </w:t>
      </w:r>
      <w:r w:rsidRPr="005D68FE">
        <w:rPr>
          <w:rFonts w:ascii="Book Antiqua" w:hAnsi="Book Antiqua"/>
          <w:b/>
          <w:sz w:val="24"/>
          <w:szCs w:val="24"/>
        </w:rPr>
        <w:t>7</w:t>
      </w:r>
      <w:r w:rsidRPr="005D68FE">
        <w:rPr>
          <w:rFonts w:ascii="Book Antiqua" w:hAnsi="Book Antiqua"/>
          <w:sz w:val="24"/>
          <w:szCs w:val="24"/>
        </w:rPr>
        <w:t>: 15015 [PMID: 29118330 DOI: 10.1038/s41598-017-14358-0]</w:t>
      </w:r>
    </w:p>
    <w:p w14:paraId="5AD21750"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10 </w:t>
      </w:r>
      <w:r w:rsidRPr="005D68FE">
        <w:rPr>
          <w:rFonts w:ascii="Book Antiqua" w:hAnsi="Book Antiqua"/>
          <w:b/>
          <w:sz w:val="24"/>
          <w:szCs w:val="24"/>
        </w:rPr>
        <w:t>Miki T</w:t>
      </w:r>
      <w:r w:rsidRPr="005D68FE">
        <w:rPr>
          <w:rFonts w:ascii="Book Antiqua" w:hAnsi="Book Antiqua"/>
          <w:sz w:val="24"/>
          <w:szCs w:val="24"/>
        </w:rPr>
        <w:t xml:space="preserve">. Amnion-derived stem cells: in quest of clinical applications. </w:t>
      </w:r>
      <w:r w:rsidRPr="005D68FE">
        <w:rPr>
          <w:rFonts w:ascii="Book Antiqua" w:hAnsi="Book Antiqua"/>
          <w:i/>
          <w:sz w:val="24"/>
          <w:szCs w:val="24"/>
        </w:rPr>
        <w:t>Stem Cell Res Ther</w:t>
      </w:r>
      <w:r w:rsidRPr="005D68FE">
        <w:rPr>
          <w:rFonts w:ascii="Book Antiqua" w:hAnsi="Book Antiqua"/>
          <w:sz w:val="24"/>
          <w:szCs w:val="24"/>
        </w:rPr>
        <w:t xml:space="preserve"> 2011; </w:t>
      </w:r>
      <w:r w:rsidRPr="005D68FE">
        <w:rPr>
          <w:rFonts w:ascii="Book Antiqua" w:hAnsi="Book Antiqua"/>
          <w:b/>
          <w:sz w:val="24"/>
          <w:szCs w:val="24"/>
        </w:rPr>
        <w:t>2</w:t>
      </w:r>
      <w:r w:rsidRPr="005D68FE">
        <w:rPr>
          <w:rFonts w:ascii="Book Antiqua" w:hAnsi="Book Antiqua"/>
          <w:sz w:val="24"/>
          <w:szCs w:val="24"/>
        </w:rPr>
        <w:t>: 25 [PMID: 21596003 DOI: 10.1186/scrt66]</w:t>
      </w:r>
    </w:p>
    <w:p w14:paraId="48D53460"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11 </w:t>
      </w:r>
      <w:r w:rsidRPr="005D68FE">
        <w:rPr>
          <w:rFonts w:ascii="Book Antiqua" w:hAnsi="Book Antiqua"/>
          <w:b/>
          <w:sz w:val="24"/>
          <w:szCs w:val="24"/>
        </w:rPr>
        <w:t>Strom SC</w:t>
      </w:r>
      <w:r w:rsidRPr="005D68FE">
        <w:rPr>
          <w:rFonts w:ascii="Book Antiqua" w:hAnsi="Book Antiqua"/>
          <w:sz w:val="24"/>
          <w:szCs w:val="24"/>
        </w:rPr>
        <w:t xml:space="preserve">, Gramignoli R. Human amnion epithelial cells expressing HLA-G as novel cell-based treatment for liver disease. </w:t>
      </w:r>
      <w:r w:rsidRPr="005D68FE">
        <w:rPr>
          <w:rFonts w:ascii="Book Antiqua" w:hAnsi="Book Antiqua"/>
          <w:i/>
          <w:sz w:val="24"/>
          <w:szCs w:val="24"/>
        </w:rPr>
        <w:t>Hum Immunol</w:t>
      </w:r>
      <w:r w:rsidRPr="005D68FE">
        <w:rPr>
          <w:rFonts w:ascii="Book Antiqua" w:hAnsi="Book Antiqua"/>
          <w:sz w:val="24"/>
          <w:szCs w:val="24"/>
        </w:rPr>
        <w:t xml:space="preserve"> 2016; </w:t>
      </w:r>
      <w:r w:rsidRPr="005D68FE">
        <w:rPr>
          <w:rFonts w:ascii="Book Antiqua" w:hAnsi="Book Antiqua"/>
          <w:b/>
          <w:sz w:val="24"/>
          <w:szCs w:val="24"/>
        </w:rPr>
        <w:t>77</w:t>
      </w:r>
      <w:r w:rsidRPr="005D68FE">
        <w:rPr>
          <w:rFonts w:ascii="Book Antiqua" w:hAnsi="Book Antiqua"/>
          <w:sz w:val="24"/>
          <w:szCs w:val="24"/>
        </w:rPr>
        <w:t>: 734-739 [PMID: 27476049 DOI: 10.1016/j.humimm.2016.07.002]</w:t>
      </w:r>
    </w:p>
    <w:p w14:paraId="36471853"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12 </w:t>
      </w:r>
      <w:r w:rsidRPr="005D68FE">
        <w:rPr>
          <w:rFonts w:ascii="Book Antiqua" w:hAnsi="Book Antiqua"/>
          <w:b/>
          <w:sz w:val="24"/>
          <w:szCs w:val="24"/>
        </w:rPr>
        <w:t>Strom SC</w:t>
      </w:r>
      <w:r w:rsidRPr="005D68FE">
        <w:rPr>
          <w:rFonts w:ascii="Book Antiqua" w:hAnsi="Book Antiqua"/>
          <w:sz w:val="24"/>
          <w:szCs w:val="24"/>
        </w:rPr>
        <w:t xml:space="preserve">, Skvorak K, Gramignoli R, Marongiu F, Miki T. Translation of amnion stem cells to the clinic. </w:t>
      </w:r>
      <w:r w:rsidRPr="005D68FE">
        <w:rPr>
          <w:rFonts w:ascii="Book Antiqua" w:hAnsi="Book Antiqua"/>
          <w:i/>
          <w:sz w:val="24"/>
          <w:szCs w:val="24"/>
        </w:rPr>
        <w:t>Stem Cells Dev</w:t>
      </w:r>
      <w:r w:rsidRPr="005D68FE">
        <w:rPr>
          <w:rFonts w:ascii="Book Antiqua" w:hAnsi="Book Antiqua"/>
          <w:sz w:val="24"/>
          <w:szCs w:val="24"/>
        </w:rPr>
        <w:t xml:space="preserve"> 2013; </w:t>
      </w:r>
      <w:r w:rsidRPr="005D68FE">
        <w:rPr>
          <w:rFonts w:ascii="Book Antiqua" w:hAnsi="Book Antiqua"/>
          <w:b/>
          <w:sz w:val="24"/>
          <w:szCs w:val="24"/>
        </w:rPr>
        <w:t>22 Suppl 1</w:t>
      </w:r>
      <w:r w:rsidRPr="005D68FE">
        <w:rPr>
          <w:rFonts w:ascii="Book Antiqua" w:hAnsi="Book Antiqua"/>
          <w:sz w:val="24"/>
          <w:szCs w:val="24"/>
        </w:rPr>
        <w:t>: 96-102 [PMID: 24304085 DOI: 10.1089/scd.2013.0391]</w:t>
      </w:r>
    </w:p>
    <w:p w14:paraId="607CECA3"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13 </w:t>
      </w:r>
      <w:r w:rsidRPr="005D68FE">
        <w:rPr>
          <w:rFonts w:ascii="Book Antiqua" w:hAnsi="Book Antiqua"/>
          <w:b/>
          <w:sz w:val="24"/>
          <w:szCs w:val="24"/>
        </w:rPr>
        <w:t>Takashima S</w:t>
      </w:r>
      <w:r w:rsidRPr="005D68FE">
        <w:rPr>
          <w:rFonts w:ascii="Book Antiqua" w:hAnsi="Book Antiqua"/>
          <w:sz w:val="24"/>
          <w:szCs w:val="24"/>
        </w:rPr>
        <w:t xml:space="preserve">, Ise H, Zhao P, Akaike T, Nikaido T. Human amniotic epithelial cells possess hepatocyte-like characteristics and functions. </w:t>
      </w:r>
      <w:r w:rsidRPr="005D68FE">
        <w:rPr>
          <w:rFonts w:ascii="Book Antiqua" w:hAnsi="Book Antiqua"/>
          <w:i/>
          <w:sz w:val="24"/>
          <w:szCs w:val="24"/>
        </w:rPr>
        <w:t>Cell Struct Funct</w:t>
      </w:r>
      <w:r w:rsidRPr="005D68FE">
        <w:rPr>
          <w:rFonts w:ascii="Book Antiqua" w:hAnsi="Book Antiqua"/>
          <w:sz w:val="24"/>
          <w:szCs w:val="24"/>
        </w:rPr>
        <w:t xml:space="preserve"> 2004; </w:t>
      </w:r>
      <w:r w:rsidRPr="005D68FE">
        <w:rPr>
          <w:rFonts w:ascii="Book Antiqua" w:hAnsi="Book Antiqua"/>
          <w:b/>
          <w:sz w:val="24"/>
          <w:szCs w:val="24"/>
        </w:rPr>
        <w:t>29</w:t>
      </w:r>
      <w:r w:rsidRPr="005D68FE">
        <w:rPr>
          <w:rFonts w:ascii="Book Antiqua" w:hAnsi="Book Antiqua"/>
          <w:sz w:val="24"/>
          <w:szCs w:val="24"/>
        </w:rPr>
        <w:t>: 73-84 [PMID: 15528839 DOI: 10.1247/csf.29.73]</w:t>
      </w:r>
    </w:p>
    <w:p w14:paraId="338F03CE"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14 </w:t>
      </w:r>
      <w:r w:rsidRPr="005D68FE">
        <w:rPr>
          <w:rFonts w:ascii="Book Antiqua" w:hAnsi="Book Antiqua"/>
          <w:b/>
          <w:sz w:val="24"/>
          <w:szCs w:val="24"/>
        </w:rPr>
        <w:t>Maymó JL</w:t>
      </w:r>
      <w:r w:rsidRPr="005D68FE">
        <w:rPr>
          <w:rFonts w:ascii="Book Antiqua" w:hAnsi="Book Antiqua"/>
          <w:sz w:val="24"/>
          <w:szCs w:val="24"/>
        </w:rPr>
        <w:t xml:space="preserve">, Riedel R, Pérez-Pérez A, Magatti M, Maskin B, Dueñas JL, Parolini O, Sánchez-Margalet V, Varone CL. Proliferation and survival of human amniotic epithelial cells during their hepatic differentiation. </w:t>
      </w:r>
      <w:r w:rsidRPr="005D68FE">
        <w:rPr>
          <w:rFonts w:ascii="Book Antiqua" w:hAnsi="Book Antiqua"/>
          <w:i/>
          <w:sz w:val="24"/>
          <w:szCs w:val="24"/>
        </w:rPr>
        <w:t>PLoS One</w:t>
      </w:r>
      <w:r w:rsidRPr="005D68FE">
        <w:rPr>
          <w:rFonts w:ascii="Book Antiqua" w:hAnsi="Book Antiqua"/>
          <w:sz w:val="24"/>
          <w:szCs w:val="24"/>
        </w:rPr>
        <w:t xml:space="preserve"> 2018; </w:t>
      </w:r>
      <w:r w:rsidRPr="005D68FE">
        <w:rPr>
          <w:rFonts w:ascii="Book Antiqua" w:hAnsi="Book Antiqua"/>
          <w:b/>
          <w:sz w:val="24"/>
          <w:szCs w:val="24"/>
        </w:rPr>
        <w:t>13</w:t>
      </w:r>
      <w:r w:rsidRPr="005D68FE">
        <w:rPr>
          <w:rFonts w:ascii="Book Antiqua" w:hAnsi="Book Antiqua"/>
          <w:sz w:val="24"/>
          <w:szCs w:val="24"/>
        </w:rPr>
        <w:t>: e0191489 [PMID: 29346426 DOI: 10.1371/journal.pone.0191489]</w:t>
      </w:r>
    </w:p>
    <w:p w14:paraId="1091C078"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lastRenderedPageBreak/>
        <w:t xml:space="preserve">15 </w:t>
      </w:r>
      <w:r w:rsidRPr="005D68FE">
        <w:rPr>
          <w:rFonts w:ascii="Book Antiqua" w:hAnsi="Book Antiqua"/>
          <w:b/>
          <w:sz w:val="24"/>
          <w:szCs w:val="24"/>
        </w:rPr>
        <w:t>Marongiu F</w:t>
      </w:r>
      <w:r w:rsidRPr="005D68FE">
        <w:rPr>
          <w:rFonts w:ascii="Book Antiqua" w:hAnsi="Book Antiqua"/>
          <w:sz w:val="24"/>
          <w:szCs w:val="24"/>
        </w:rPr>
        <w:t xml:space="preserve">, Gramignoli R, Dorko K, Miki T, Ranade AR, Paola Serra M, Doratiotto S, Sini M, Sharma S, Mitamura K, Sellaro TL, Tahan V, Skvorak KJ, Ellis EC, Badylak SF, Davila JC, Hines R, Laconi E, Strom SC. Hepatic differentiation of amniotic epithelial cells. </w:t>
      </w:r>
      <w:r w:rsidRPr="005D68FE">
        <w:rPr>
          <w:rFonts w:ascii="Book Antiqua" w:hAnsi="Book Antiqua"/>
          <w:i/>
          <w:sz w:val="24"/>
          <w:szCs w:val="24"/>
        </w:rPr>
        <w:t>Hepatology</w:t>
      </w:r>
      <w:r w:rsidRPr="005D68FE">
        <w:rPr>
          <w:rFonts w:ascii="Book Antiqua" w:hAnsi="Book Antiqua"/>
          <w:sz w:val="24"/>
          <w:szCs w:val="24"/>
        </w:rPr>
        <w:t xml:space="preserve"> 2011; </w:t>
      </w:r>
      <w:r w:rsidRPr="005D68FE">
        <w:rPr>
          <w:rFonts w:ascii="Book Antiqua" w:hAnsi="Book Antiqua"/>
          <w:b/>
          <w:sz w:val="24"/>
          <w:szCs w:val="24"/>
        </w:rPr>
        <w:t>53</w:t>
      </w:r>
      <w:r w:rsidRPr="005D68FE">
        <w:rPr>
          <w:rFonts w:ascii="Book Antiqua" w:hAnsi="Book Antiqua"/>
          <w:sz w:val="24"/>
          <w:szCs w:val="24"/>
        </w:rPr>
        <w:t>: 1719-1729 [PMID: 21374689 DOI: 10.1002/hep.24255]</w:t>
      </w:r>
    </w:p>
    <w:p w14:paraId="42916BC6"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16 </w:t>
      </w:r>
      <w:r w:rsidRPr="005D68FE">
        <w:rPr>
          <w:rFonts w:ascii="Book Antiqua" w:hAnsi="Book Antiqua"/>
          <w:b/>
          <w:sz w:val="24"/>
          <w:szCs w:val="24"/>
        </w:rPr>
        <w:t>Takebe T</w:t>
      </w:r>
      <w:r w:rsidRPr="005D68FE">
        <w:rPr>
          <w:rFonts w:ascii="Book Antiqua" w:hAnsi="Book Antiqua"/>
          <w:sz w:val="24"/>
          <w:szCs w:val="24"/>
        </w:rPr>
        <w:t xml:space="preserve">, Sekine K, Enomura M, Koike H, Kimura M, Ogaeri T, Zhang RR, Ueno Y, Zheng YW, Koike N, Aoyama S, Adachi Y, Taniguchi H. Vascularized and functional human liver from an iPSC-derived organ bud transplant. </w:t>
      </w:r>
      <w:r w:rsidRPr="005D68FE">
        <w:rPr>
          <w:rFonts w:ascii="Book Antiqua" w:hAnsi="Book Antiqua"/>
          <w:i/>
          <w:sz w:val="24"/>
          <w:szCs w:val="24"/>
        </w:rPr>
        <w:t>Nature</w:t>
      </w:r>
      <w:r w:rsidRPr="005D68FE">
        <w:rPr>
          <w:rFonts w:ascii="Book Antiqua" w:hAnsi="Book Antiqua"/>
          <w:sz w:val="24"/>
          <w:szCs w:val="24"/>
        </w:rPr>
        <w:t xml:space="preserve"> 2013; </w:t>
      </w:r>
      <w:r w:rsidRPr="005D68FE">
        <w:rPr>
          <w:rFonts w:ascii="Book Antiqua" w:hAnsi="Book Antiqua"/>
          <w:b/>
          <w:sz w:val="24"/>
          <w:szCs w:val="24"/>
        </w:rPr>
        <w:t>499</w:t>
      </w:r>
      <w:r w:rsidRPr="005D68FE">
        <w:rPr>
          <w:rFonts w:ascii="Book Antiqua" w:hAnsi="Book Antiqua"/>
          <w:sz w:val="24"/>
          <w:szCs w:val="24"/>
        </w:rPr>
        <w:t>: 481-484 [PMID: 23823721 DOI: 10.1038/nature12271]</w:t>
      </w:r>
    </w:p>
    <w:p w14:paraId="5FE05CE6"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17 </w:t>
      </w:r>
      <w:r w:rsidRPr="005D68FE">
        <w:rPr>
          <w:rFonts w:ascii="Book Antiqua" w:hAnsi="Book Antiqua"/>
          <w:b/>
          <w:sz w:val="24"/>
          <w:szCs w:val="24"/>
        </w:rPr>
        <w:t>Nie YZ</w:t>
      </w:r>
      <w:r w:rsidRPr="005D68FE">
        <w:rPr>
          <w:rFonts w:ascii="Book Antiqua" w:hAnsi="Book Antiqua"/>
          <w:sz w:val="24"/>
          <w:szCs w:val="24"/>
        </w:rPr>
        <w:t xml:space="preserve">, Zheng YW, Miyakawa K, Murata S, Zhang RR, Sekine K, Ueno Y, Takebe T, Wakita T, Ryo A, Taniguchi H. Recapitulation of hepatitis B virus-host interactions in liver organoids from human induced pluripotent stem cells. </w:t>
      </w:r>
      <w:r w:rsidRPr="005D68FE">
        <w:rPr>
          <w:rFonts w:ascii="Book Antiqua" w:hAnsi="Book Antiqua"/>
          <w:i/>
          <w:sz w:val="24"/>
          <w:szCs w:val="24"/>
        </w:rPr>
        <w:t>EBioMedicine</w:t>
      </w:r>
      <w:r w:rsidRPr="005D68FE">
        <w:rPr>
          <w:rFonts w:ascii="Book Antiqua" w:hAnsi="Book Antiqua"/>
          <w:sz w:val="24"/>
          <w:szCs w:val="24"/>
        </w:rPr>
        <w:t xml:space="preserve"> 2018; </w:t>
      </w:r>
      <w:r w:rsidRPr="005D68FE">
        <w:rPr>
          <w:rFonts w:ascii="Book Antiqua" w:hAnsi="Book Antiqua"/>
          <w:b/>
          <w:sz w:val="24"/>
          <w:szCs w:val="24"/>
        </w:rPr>
        <w:t>35</w:t>
      </w:r>
      <w:r w:rsidRPr="005D68FE">
        <w:rPr>
          <w:rFonts w:ascii="Book Antiqua" w:hAnsi="Book Antiqua"/>
          <w:sz w:val="24"/>
          <w:szCs w:val="24"/>
        </w:rPr>
        <w:t>: 114-123 [PMID: 30120080 DOI: 10.1016/j.ebiom.2018.08.014]</w:t>
      </w:r>
    </w:p>
    <w:p w14:paraId="3D58D8D1"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18 </w:t>
      </w:r>
      <w:r w:rsidRPr="005D68FE">
        <w:rPr>
          <w:rFonts w:ascii="Book Antiqua" w:hAnsi="Book Antiqua"/>
          <w:b/>
          <w:sz w:val="24"/>
          <w:szCs w:val="24"/>
        </w:rPr>
        <w:t>Izumi M</w:t>
      </w:r>
      <w:r w:rsidRPr="005D68FE">
        <w:rPr>
          <w:rFonts w:ascii="Book Antiqua" w:hAnsi="Book Antiqua"/>
          <w:sz w:val="24"/>
          <w:szCs w:val="24"/>
        </w:rPr>
        <w:t xml:space="preserve">, Pazin BJ, Minervini CF, Gerlach J, Ross MA, Stolz DB, Turner ME, Thompson RL, Miki T. Quantitative comparison of stem cell marker-positive cells in fetal and term human amnion. </w:t>
      </w:r>
      <w:r w:rsidRPr="005D68FE">
        <w:rPr>
          <w:rFonts w:ascii="Book Antiqua" w:hAnsi="Book Antiqua"/>
          <w:i/>
          <w:sz w:val="24"/>
          <w:szCs w:val="24"/>
        </w:rPr>
        <w:t>J Reprod Immunol</w:t>
      </w:r>
      <w:r w:rsidRPr="005D68FE">
        <w:rPr>
          <w:rFonts w:ascii="Book Antiqua" w:hAnsi="Book Antiqua"/>
          <w:sz w:val="24"/>
          <w:szCs w:val="24"/>
        </w:rPr>
        <w:t xml:space="preserve"> 2009; </w:t>
      </w:r>
      <w:r w:rsidRPr="005D68FE">
        <w:rPr>
          <w:rFonts w:ascii="Book Antiqua" w:hAnsi="Book Antiqua"/>
          <w:b/>
          <w:sz w:val="24"/>
          <w:szCs w:val="24"/>
        </w:rPr>
        <w:t>81</w:t>
      </w:r>
      <w:r w:rsidRPr="005D68FE">
        <w:rPr>
          <w:rFonts w:ascii="Book Antiqua" w:hAnsi="Book Antiqua"/>
          <w:sz w:val="24"/>
          <w:szCs w:val="24"/>
        </w:rPr>
        <w:t>: 39-43 [PMID: 19501410 DOI: 10.1016/j.jri.2009.02.007]</w:t>
      </w:r>
    </w:p>
    <w:p w14:paraId="1482AE08"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19 </w:t>
      </w:r>
      <w:r w:rsidRPr="005D68FE">
        <w:rPr>
          <w:rFonts w:ascii="Book Antiqua" w:hAnsi="Book Antiqua"/>
          <w:b/>
          <w:sz w:val="24"/>
          <w:szCs w:val="24"/>
        </w:rPr>
        <w:t>Miki T</w:t>
      </w:r>
      <w:r w:rsidRPr="005D68FE">
        <w:rPr>
          <w:rFonts w:ascii="Book Antiqua" w:hAnsi="Book Antiqua"/>
          <w:sz w:val="24"/>
          <w:szCs w:val="24"/>
        </w:rPr>
        <w:t xml:space="preserve">, Mitamura K, Ross MA, Stolz DB, Strom SC. Identification of stem cell marker-positive cells by immunofluorescence in term human amnion. </w:t>
      </w:r>
      <w:r w:rsidRPr="005D68FE">
        <w:rPr>
          <w:rFonts w:ascii="Book Antiqua" w:hAnsi="Book Antiqua"/>
          <w:i/>
          <w:sz w:val="24"/>
          <w:szCs w:val="24"/>
        </w:rPr>
        <w:t>J Reprod Immunol</w:t>
      </w:r>
      <w:r w:rsidRPr="005D68FE">
        <w:rPr>
          <w:rFonts w:ascii="Book Antiqua" w:hAnsi="Book Antiqua"/>
          <w:sz w:val="24"/>
          <w:szCs w:val="24"/>
        </w:rPr>
        <w:t xml:space="preserve"> 2007; </w:t>
      </w:r>
      <w:r w:rsidRPr="005D68FE">
        <w:rPr>
          <w:rFonts w:ascii="Book Antiqua" w:hAnsi="Book Antiqua"/>
          <w:b/>
          <w:sz w:val="24"/>
          <w:szCs w:val="24"/>
        </w:rPr>
        <w:t>75</w:t>
      </w:r>
      <w:r w:rsidRPr="005D68FE">
        <w:rPr>
          <w:rFonts w:ascii="Book Antiqua" w:hAnsi="Book Antiqua"/>
          <w:sz w:val="24"/>
          <w:szCs w:val="24"/>
        </w:rPr>
        <w:t>: 91-96 [PMID: 17493686 DOI: 10.1016/j.jri.2007.03.017]</w:t>
      </w:r>
    </w:p>
    <w:p w14:paraId="745B3628"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20 </w:t>
      </w:r>
      <w:r w:rsidRPr="005D68FE">
        <w:rPr>
          <w:rFonts w:ascii="Book Antiqua" w:hAnsi="Book Antiqua"/>
          <w:b/>
          <w:sz w:val="24"/>
          <w:szCs w:val="24"/>
        </w:rPr>
        <w:t>Miki T</w:t>
      </w:r>
      <w:r w:rsidRPr="005D68FE">
        <w:rPr>
          <w:rFonts w:ascii="Book Antiqua" w:hAnsi="Book Antiqua"/>
          <w:sz w:val="24"/>
          <w:szCs w:val="24"/>
        </w:rPr>
        <w:t xml:space="preserve">, Lehmann T, Cai H, Stolz DB, Strom SC. Stem cell characteristics of amniotic epithelial cells. </w:t>
      </w:r>
      <w:r w:rsidRPr="005D68FE">
        <w:rPr>
          <w:rFonts w:ascii="Book Antiqua" w:hAnsi="Book Antiqua"/>
          <w:i/>
          <w:sz w:val="24"/>
          <w:szCs w:val="24"/>
        </w:rPr>
        <w:t>Stem Cells</w:t>
      </w:r>
      <w:r w:rsidRPr="005D68FE">
        <w:rPr>
          <w:rFonts w:ascii="Book Antiqua" w:hAnsi="Book Antiqua"/>
          <w:sz w:val="24"/>
          <w:szCs w:val="24"/>
        </w:rPr>
        <w:t xml:space="preserve"> 2005; </w:t>
      </w:r>
      <w:r w:rsidRPr="005D68FE">
        <w:rPr>
          <w:rFonts w:ascii="Book Antiqua" w:hAnsi="Book Antiqua"/>
          <w:b/>
          <w:sz w:val="24"/>
          <w:szCs w:val="24"/>
        </w:rPr>
        <w:t>23</w:t>
      </w:r>
      <w:r w:rsidRPr="005D68FE">
        <w:rPr>
          <w:rFonts w:ascii="Book Antiqua" w:hAnsi="Book Antiqua"/>
          <w:sz w:val="24"/>
          <w:szCs w:val="24"/>
        </w:rPr>
        <w:t>: 1549-1559 [PMID: 16081662 DOI: 10.1634/stemcells.2004-0357]</w:t>
      </w:r>
    </w:p>
    <w:p w14:paraId="6A3980C8"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lastRenderedPageBreak/>
        <w:t xml:space="preserve">21 </w:t>
      </w:r>
      <w:r w:rsidRPr="005D68FE">
        <w:rPr>
          <w:rFonts w:ascii="Book Antiqua" w:hAnsi="Book Antiqua"/>
          <w:b/>
          <w:sz w:val="24"/>
          <w:szCs w:val="24"/>
        </w:rPr>
        <w:t>Fanti M</w:t>
      </w:r>
      <w:r w:rsidRPr="005D68FE">
        <w:rPr>
          <w:rFonts w:ascii="Book Antiqua" w:hAnsi="Book Antiqua"/>
          <w:sz w:val="24"/>
          <w:szCs w:val="24"/>
        </w:rPr>
        <w:t xml:space="preserve">, Gramignoli R, Serra M, Cadoni E, Strom SC, Marongiu F. Differentiation of amniotic epithelial cells into various liver cell types and potential therapeutic applications. </w:t>
      </w:r>
      <w:r w:rsidRPr="005D68FE">
        <w:rPr>
          <w:rFonts w:ascii="Book Antiqua" w:hAnsi="Book Antiqua"/>
          <w:i/>
          <w:sz w:val="24"/>
          <w:szCs w:val="24"/>
        </w:rPr>
        <w:t>Placenta</w:t>
      </w:r>
      <w:r w:rsidRPr="005D68FE">
        <w:rPr>
          <w:rFonts w:ascii="Book Antiqua" w:hAnsi="Book Antiqua"/>
          <w:sz w:val="24"/>
          <w:szCs w:val="24"/>
        </w:rPr>
        <w:t xml:space="preserve"> 2017; </w:t>
      </w:r>
      <w:r w:rsidRPr="005D68FE">
        <w:rPr>
          <w:rFonts w:ascii="Book Antiqua" w:hAnsi="Book Antiqua"/>
          <w:b/>
          <w:sz w:val="24"/>
          <w:szCs w:val="24"/>
        </w:rPr>
        <w:t>59</w:t>
      </w:r>
      <w:r w:rsidRPr="005D68FE">
        <w:rPr>
          <w:rFonts w:ascii="Book Antiqua" w:hAnsi="Book Antiqua"/>
          <w:sz w:val="24"/>
          <w:szCs w:val="24"/>
        </w:rPr>
        <w:t>: 139-145 [PMID: 28411944 DOI: 10.1016/j.placenta.2017.03.020]</w:t>
      </w:r>
    </w:p>
    <w:p w14:paraId="3B0E7A5C"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22 </w:t>
      </w:r>
      <w:r w:rsidRPr="005D68FE">
        <w:rPr>
          <w:rFonts w:ascii="Book Antiqua" w:hAnsi="Book Antiqua"/>
          <w:b/>
          <w:sz w:val="24"/>
          <w:szCs w:val="24"/>
        </w:rPr>
        <w:t>Zavatti M</w:t>
      </w:r>
      <w:r w:rsidRPr="005D68FE">
        <w:rPr>
          <w:rFonts w:ascii="Book Antiqua" w:hAnsi="Book Antiqua"/>
          <w:sz w:val="24"/>
          <w:szCs w:val="24"/>
        </w:rPr>
        <w:t xml:space="preserve">, Beretti F, Casciaro F, Comitini G, Franchi F, Barbieri V, Bertoni L, De Pol A, La Sala GB, Maraldi T. Development of a novel method for amniotic fluid stem cell storage. </w:t>
      </w:r>
      <w:r w:rsidRPr="005D68FE">
        <w:rPr>
          <w:rFonts w:ascii="Book Antiqua" w:hAnsi="Book Antiqua"/>
          <w:i/>
          <w:sz w:val="24"/>
          <w:szCs w:val="24"/>
        </w:rPr>
        <w:t>Cytotherapy</w:t>
      </w:r>
      <w:r w:rsidRPr="005D68FE">
        <w:rPr>
          <w:rFonts w:ascii="Book Antiqua" w:hAnsi="Book Antiqua"/>
          <w:sz w:val="24"/>
          <w:szCs w:val="24"/>
        </w:rPr>
        <w:t xml:space="preserve"> 2017; </w:t>
      </w:r>
      <w:r w:rsidRPr="005D68FE">
        <w:rPr>
          <w:rFonts w:ascii="Book Antiqua" w:hAnsi="Book Antiqua"/>
          <w:b/>
          <w:sz w:val="24"/>
          <w:szCs w:val="24"/>
        </w:rPr>
        <w:t>19</w:t>
      </w:r>
      <w:r w:rsidRPr="005D68FE">
        <w:rPr>
          <w:rFonts w:ascii="Book Antiqua" w:hAnsi="Book Antiqua"/>
          <w:sz w:val="24"/>
          <w:szCs w:val="24"/>
        </w:rPr>
        <w:t>: 1002-1012 [PMID: 28571656 DOI: 10.1016/j.jcyt.2017.04.006]</w:t>
      </w:r>
    </w:p>
    <w:p w14:paraId="3578DF02"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23 </w:t>
      </w:r>
      <w:r w:rsidRPr="005D68FE">
        <w:rPr>
          <w:rFonts w:ascii="Book Antiqua" w:hAnsi="Book Antiqua"/>
          <w:b/>
          <w:sz w:val="24"/>
          <w:szCs w:val="24"/>
        </w:rPr>
        <w:t>Nikolić MZ</w:t>
      </w:r>
      <w:r w:rsidRPr="005D68FE">
        <w:rPr>
          <w:rFonts w:ascii="Book Antiqua" w:hAnsi="Book Antiqua"/>
          <w:sz w:val="24"/>
          <w:szCs w:val="24"/>
        </w:rPr>
        <w:t xml:space="preserve">, Rawlins EL. Lung Organoids and Their Use To Study Cell-Cell Interaction. </w:t>
      </w:r>
      <w:r w:rsidRPr="005D68FE">
        <w:rPr>
          <w:rFonts w:ascii="Book Antiqua" w:hAnsi="Book Antiqua"/>
          <w:i/>
          <w:sz w:val="24"/>
          <w:szCs w:val="24"/>
        </w:rPr>
        <w:t>Curr Pathobiol Rep</w:t>
      </w:r>
      <w:r w:rsidRPr="005D68FE">
        <w:rPr>
          <w:rFonts w:ascii="Book Antiqua" w:hAnsi="Book Antiqua"/>
          <w:sz w:val="24"/>
          <w:szCs w:val="24"/>
        </w:rPr>
        <w:t xml:space="preserve"> 2017; </w:t>
      </w:r>
      <w:r w:rsidRPr="005D68FE">
        <w:rPr>
          <w:rFonts w:ascii="Book Antiqua" w:hAnsi="Book Antiqua"/>
          <w:b/>
          <w:sz w:val="24"/>
          <w:szCs w:val="24"/>
        </w:rPr>
        <w:t>5</w:t>
      </w:r>
      <w:r w:rsidRPr="005D68FE">
        <w:rPr>
          <w:rFonts w:ascii="Book Antiqua" w:hAnsi="Book Antiqua"/>
          <w:sz w:val="24"/>
          <w:szCs w:val="24"/>
        </w:rPr>
        <w:t>: 223-231 [PMID: 28596933 DOI: 10.1007/s40139-017-0137-7]</w:t>
      </w:r>
    </w:p>
    <w:p w14:paraId="7910236B"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24 </w:t>
      </w:r>
      <w:r w:rsidRPr="005D68FE">
        <w:rPr>
          <w:rFonts w:ascii="Book Antiqua" w:hAnsi="Book Antiqua"/>
          <w:b/>
          <w:sz w:val="24"/>
          <w:szCs w:val="24"/>
        </w:rPr>
        <w:t>Krencik R</w:t>
      </w:r>
      <w:r w:rsidRPr="005D68FE">
        <w:rPr>
          <w:rFonts w:ascii="Book Antiqua" w:hAnsi="Book Antiqua"/>
          <w:sz w:val="24"/>
          <w:szCs w:val="24"/>
        </w:rPr>
        <w:t xml:space="preserve">, Seo K, van Asperen JV, Basu N, Cvetkovic C, Barlas S, Chen R, Ludwig C, Wang C, Ward ME, Gan L, Horner PJ, Rowitch DH, Ullian EM. Systematic Three-Dimensional Coculture Rapidly Recapitulates Interactions between Human Neurons and Astrocytes. </w:t>
      </w:r>
      <w:r w:rsidRPr="005D68FE">
        <w:rPr>
          <w:rFonts w:ascii="Book Antiqua" w:hAnsi="Book Antiqua"/>
          <w:i/>
          <w:sz w:val="24"/>
          <w:szCs w:val="24"/>
        </w:rPr>
        <w:t>Stem Cell Reports</w:t>
      </w:r>
      <w:r w:rsidRPr="005D68FE">
        <w:rPr>
          <w:rFonts w:ascii="Book Antiqua" w:hAnsi="Book Antiqua"/>
          <w:sz w:val="24"/>
          <w:szCs w:val="24"/>
        </w:rPr>
        <w:t xml:space="preserve"> 2017; </w:t>
      </w:r>
      <w:r w:rsidRPr="005D68FE">
        <w:rPr>
          <w:rFonts w:ascii="Book Antiqua" w:hAnsi="Book Antiqua"/>
          <w:b/>
          <w:sz w:val="24"/>
          <w:szCs w:val="24"/>
        </w:rPr>
        <w:t>9</w:t>
      </w:r>
      <w:r w:rsidRPr="005D68FE">
        <w:rPr>
          <w:rFonts w:ascii="Book Antiqua" w:hAnsi="Book Antiqua"/>
          <w:sz w:val="24"/>
          <w:szCs w:val="24"/>
        </w:rPr>
        <w:t>: 1745-1753 [PMID: 29198827 DOI: 10.1016/j.stemcr.2017.10.026]</w:t>
      </w:r>
    </w:p>
    <w:p w14:paraId="7B2BBBF3"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25 </w:t>
      </w:r>
      <w:r w:rsidRPr="005D68FE">
        <w:rPr>
          <w:rFonts w:ascii="Book Antiqua" w:hAnsi="Book Antiqua"/>
          <w:b/>
          <w:sz w:val="24"/>
          <w:szCs w:val="24"/>
        </w:rPr>
        <w:t>Karve SS</w:t>
      </w:r>
      <w:r w:rsidRPr="005D68FE">
        <w:rPr>
          <w:rFonts w:ascii="Book Antiqua" w:hAnsi="Book Antiqua"/>
          <w:sz w:val="24"/>
          <w:szCs w:val="24"/>
        </w:rPr>
        <w:t xml:space="preserve">, Pradhan S, Ward DV, Weiss AA. Intestinal organoids model human responses to infection by commensal and Shiga toxin producing Escherichia coli. </w:t>
      </w:r>
      <w:r w:rsidRPr="005D68FE">
        <w:rPr>
          <w:rFonts w:ascii="Book Antiqua" w:hAnsi="Book Antiqua"/>
          <w:i/>
          <w:sz w:val="24"/>
          <w:szCs w:val="24"/>
        </w:rPr>
        <w:t>PLoS One</w:t>
      </w:r>
      <w:r w:rsidRPr="005D68FE">
        <w:rPr>
          <w:rFonts w:ascii="Book Antiqua" w:hAnsi="Book Antiqua"/>
          <w:sz w:val="24"/>
          <w:szCs w:val="24"/>
        </w:rPr>
        <w:t xml:space="preserve"> 2017; </w:t>
      </w:r>
      <w:r w:rsidRPr="005D68FE">
        <w:rPr>
          <w:rFonts w:ascii="Book Antiqua" w:hAnsi="Book Antiqua"/>
          <w:b/>
          <w:sz w:val="24"/>
          <w:szCs w:val="24"/>
        </w:rPr>
        <w:t>12</w:t>
      </w:r>
      <w:r w:rsidRPr="005D68FE">
        <w:rPr>
          <w:rFonts w:ascii="Book Antiqua" w:hAnsi="Book Antiqua"/>
          <w:sz w:val="24"/>
          <w:szCs w:val="24"/>
        </w:rPr>
        <w:t>: e0178966 [PMID: 28614372 DOI: 10.1371/journal.pone.0178966]</w:t>
      </w:r>
    </w:p>
    <w:p w14:paraId="57D651B0"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26 </w:t>
      </w:r>
      <w:r w:rsidRPr="005D68FE">
        <w:rPr>
          <w:rFonts w:ascii="Book Antiqua" w:hAnsi="Book Antiqua"/>
          <w:b/>
          <w:sz w:val="24"/>
          <w:szCs w:val="24"/>
        </w:rPr>
        <w:t>Camp JG</w:t>
      </w:r>
      <w:r w:rsidRPr="005D68FE">
        <w:rPr>
          <w:rFonts w:ascii="Book Antiqua" w:hAnsi="Book Antiqua"/>
          <w:sz w:val="24"/>
          <w:szCs w:val="24"/>
        </w:rPr>
        <w:t xml:space="preserve">, Sekine K, Gerber T, Loeffler-Wirth H, Binder H, Gac M, Kanton S, Kageyama J, Damm G, Seehofer D, Belicova L, Bickle M, Barsacchi R, Okuda R, Yoshizawa E, Kimura M, Ayabe H, Taniguchi H, Takebe T, Treutlein B. Multilineage communication regulates human liver bud development from </w:t>
      </w:r>
      <w:r w:rsidRPr="005D68FE">
        <w:rPr>
          <w:rFonts w:ascii="Book Antiqua" w:hAnsi="Book Antiqua"/>
          <w:sz w:val="24"/>
          <w:szCs w:val="24"/>
        </w:rPr>
        <w:lastRenderedPageBreak/>
        <w:t xml:space="preserve">pluripotency. </w:t>
      </w:r>
      <w:r w:rsidRPr="005D68FE">
        <w:rPr>
          <w:rFonts w:ascii="Book Antiqua" w:hAnsi="Book Antiqua"/>
          <w:i/>
          <w:sz w:val="24"/>
          <w:szCs w:val="24"/>
        </w:rPr>
        <w:t>Nature</w:t>
      </w:r>
      <w:r w:rsidRPr="005D68FE">
        <w:rPr>
          <w:rFonts w:ascii="Book Antiqua" w:hAnsi="Book Antiqua"/>
          <w:sz w:val="24"/>
          <w:szCs w:val="24"/>
        </w:rPr>
        <w:t xml:space="preserve"> 2017; </w:t>
      </w:r>
      <w:r w:rsidRPr="005D68FE">
        <w:rPr>
          <w:rFonts w:ascii="Book Antiqua" w:hAnsi="Book Antiqua"/>
          <w:b/>
          <w:sz w:val="24"/>
          <w:szCs w:val="24"/>
        </w:rPr>
        <w:t>546</w:t>
      </w:r>
      <w:r w:rsidRPr="005D68FE">
        <w:rPr>
          <w:rFonts w:ascii="Book Antiqua" w:hAnsi="Book Antiqua"/>
          <w:sz w:val="24"/>
          <w:szCs w:val="24"/>
        </w:rPr>
        <w:t>: 533-538 [PMID: 28614297 DOI: 10.1038/nature22796]</w:t>
      </w:r>
    </w:p>
    <w:p w14:paraId="5408A2E1"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27 </w:t>
      </w:r>
      <w:r w:rsidRPr="005D68FE">
        <w:rPr>
          <w:rFonts w:ascii="Book Antiqua" w:hAnsi="Book Antiqua"/>
          <w:b/>
          <w:sz w:val="24"/>
          <w:szCs w:val="24"/>
        </w:rPr>
        <w:t>Ayabe H</w:t>
      </w:r>
      <w:r w:rsidRPr="005D68FE">
        <w:rPr>
          <w:rFonts w:ascii="Book Antiqua" w:hAnsi="Book Antiqua"/>
          <w:sz w:val="24"/>
          <w:szCs w:val="24"/>
        </w:rPr>
        <w:t xml:space="preserve">, Anada T, Kamoya T, Sato T, Kimura M, Yoshizawa E, Kikuchi S, Ueno Y, Sekine K, Camp JG, Treutlein B, Ferguson A, Suzuki O, Takebe T, Taniguchi H. Optimal Hypoxia Regulates Human iPSC-Derived Liver Bud Differentiation through Intercellular TGFB Signaling. </w:t>
      </w:r>
      <w:r w:rsidRPr="005D68FE">
        <w:rPr>
          <w:rFonts w:ascii="Book Antiqua" w:hAnsi="Book Antiqua"/>
          <w:i/>
          <w:sz w:val="24"/>
          <w:szCs w:val="24"/>
        </w:rPr>
        <w:t>Stem Cell Reports</w:t>
      </w:r>
      <w:r w:rsidRPr="005D68FE">
        <w:rPr>
          <w:rFonts w:ascii="Book Antiqua" w:hAnsi="Book Antiqua"/>
          <w:sz w:val="24"/>
          <w:szCs w:val="24"/>
        </w:rPr>
        <w:t xml:space="preserve"> 2018; </w:t>
      </w:r>
      <w:r w:rsidRPr="005D68FE">
        <w:rPr>
          <w:rFonts w:ascii="Book Antiqua" w:hAnsi="Book Antiqua"/>
          <w:b/>
          <w:sz w:val="24"/>
          <w:szCs w:val="24"/>
        </w:rPr>
        <w:t>11</w:t>
      </w:r>
      <w:r w:rsidRPr="005D68FE">
        <w:rPr>
          <w:rFonts w:ascii="Book Antiqua" w:hAnsi="Book Antiqua"/>
          <w:sz w:val="24"/>
          <w:szCs w:val="24"/>
        </w:rPr>
        <w:t>: 306-316 [PMID: 30033085 DOI: 10.1016/j.stemcr.2018.06.015]</w:t>
      </w:r>
    </w:p>
    <w:p w14:paraId="6A5D78B0"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28 </w:t>
      </w:r>
      <w:r w:rsidRPr="005D68FE">
        <w:rPr>
          <w:rFonts w:ascii="Book Antiqua" w:hAnsi="Book Antiqua"/>
          <w:b/>
          <w:sz w:val="24"/>
          <w:szCs w:val="24"/>
        </w:rPr>
        <w:t>Marongiu M</w:t>
      </w:r>
      <w:r w:rsidRPr="005D68FE">
        <w:rPr>
          <w:rFonts w:ascii="Book Antiqua" w:hAnsi="Book Antiqua"/>
          <w:sz w:val="24"/>
          <w:szCs w:val="24"/>
        </w:rPr>
        <w:t xml:space="preserve">, Serra MP, Contini A, Sini M, Strom SC, Laconi E, Marongiu F. Rat-derived amniotic epithelial cells differentiate into mature hepatocytes in vivo with no evidence of cell fusion. </w:t>
      </w:r>
      <w:r w:rsidRPr="005D68FE">
        <w:rPr>
          <w:rFonts w:ascii="Book Antiqua" w:hAnsi="Book Antiqua"/>
          <w:i/>
          <w:sz w:val="24"/>
          <w:szCs w:val="24"/>
        </w:rPr>
        <w:t>Stem Cells Dev</w:t>
      </w:r>
      <w:r w:rsidRPr="005D68FE">
        <w:rPr>
          <w:rFonts w:ascii="Book Antiqua" w:hAnsi="Book Antiqua"/>
          <w:sz w:val="24"/>
          <w:szCs w:val="24"/>
        </w:rPr>
        <w:t xml:space="preserve"> 2015; </w:t>
      </w:r>
      <w:r w:rsidRPr="005D68FE">
        <w:rPr>
          <w:rFonts w:ascii="Book Antiqua" w:hAnsi="Book Antiqua"/>
          <w:b/>
          <w:sz w:val="24"/>
          <w:szCs w:val="24"/>
        </w:rPr>
        <w:t>24</w:t>
      </w:r>
      <w:r w:rsidRPr="005D68FE">
        <w:rPr>
          <w:rFonts w:ascii="Book Antiqua" w:hAnsi="Book Antiqua"/>
          <w:sz w:val="24"/>
          <w:szCs w:val="24"/>
        </w:rPr>
        <w:t>: 1429-1435 [PMID: 25647334 DOI: 10.1089/scd.2014.0532]</w:t>
      </w:r>
    </w:p>
    <w:p w14:paraId="1EEBE7CF"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29 </w:t>
      </w:r>
      <w:r w:rsidRPr="005D68FE">
        <w:rPr>
          <w:rFonts w:ascii="Book Antiqua" w:hAnsi="Book Antiqua"/>
          <w:b/>
          <w:sz w:val="24"/>
          <w:szCs w:val="24"/>
        </w:rPr>
        <w:t>Lin JS</w:t>
      </w:r>
      <w:r w:rsidRPr="005D68FE">
        <w:rPr>
          <w:rFonts w:ascii="Book Antiqua" w:hAnsi="Book Antiqua"/>
          <w:sz w:val="24"/>
          <w:szCs w:val="24"/>
        </w:rPr>
        <w:t xml:space="preserve">, Zhou L, Sagayaraj A, Jumat NH, Choolani M, Chan JK, Biswas A, Wong PC, Lim SG, Dan YY. Hepatic differentiation of human amniotic epithelial cells and in vivo therapeutic effect on animal model of cirrhosis. </w:t>
      </w:r>
      <w:r w:rsidRPr="005D68FE">
        <w:rPr>
          <w:rFonts w:ascii="Book Antiqua" w:hAnsi="Book Antiqua"/>
          <w:i/>
          <w:sz w:val="24"/>
          <w:szCs w:val="24"/>
        </w:rPr>
        <w:t>J Gastroenterol Hepatol</w:t>
      </w:r>
      <w:r w:rsidRPr="005D68FE">
        <w:rPr>
          <w:rFonts w:ascii="Book Antiqua" w:hAnsi="Book Antiqua"/>
          <w:sz w:val="24"/>
          <w:szCs w:val="24"/>
        </w:rPr>
        <w:t xml:space="preserve"> 2015; </w:t>
      </w:r>
      <w:r w:rsidRPr="005D68FE">
        <w:rPr>
          <w:rFonts w:ascii="Book Antiqua" w:hAnsi="Book Antiqua"/>
          <w:b/>
          <w:sz w:val="24"/>
          <w:szCs w:val="24"/>
        </w:rPr>
        <w:t>30</w:t>
      </w:r>
      <w:r w:rsidRPr="005D68FE">
        <w:rPr>
          <w:rFonts w:ascii="Book Antiqua" w:hAnsi="Book Antiqua"/>
          <w:sz w:val="24"/>
          <w:szCs w:val="24"/>
        </w:rPr>
        <w:t>: 1673-1682 [PMID: 25973537 DOI: 10.1111/jgh.12991]</w:t>
      </w:r>
    </w:p>
    <w:p w14:paraId="5B28AAF1"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30 </w:t>
      </w:r>
      <w:r w:rsidRPr="005D68FE">
        <w:rPr>
          <w:rFonts w:ascii="Book Antiqua" w:hAnsi="Book Antiqua"/>
          <w:b/>
          <w:sz w:val="24"/>
          <w:szCs w:val="24"/>
        </w:rPr>
        <w:t>Zhang XD</w:t>
      </w:r>
      <w:r w:rsidRPr="005D68FE">
        <w:rPr>
          <w:rFonts w:ascii="Book Antiqua" w:hAnsi="Book Antiqua"/>
          <w:sz w:val="24"/>
          <w:szCs w:val="24"/>
        </w:rPr>
        <w:t xml:space="preserve">, Baladandayuthapani V, Lin H, Mulligan G, Li B, Esseltine DW, Qi L, Xu J, Hunziker W, Barlogie B, Usmani SZ, Zhang Q, Crowley J, Hoering A, Shah JJ, Weber DM, Manasanch EE, Thomas SK, Li BZ, Wang HH, Zhang J, Kuiatse I, Tang JL, Wang H, He J, Yang J, Milan E, Cenci S, Ma WC, Wang ZQ, Davis RE, Yang L, Orlowski RZ. Tight Junction Protein 1 Modulates Proteasome Capacity and Proteasome Inhibitor Sensitivity in Multiple Myeloma via EGFR/JAK1/STAT3 Signaling. </w:t>
      </w:r>
      <w:r w:rsidRPr="005D68FE">
        <w:rPr>
          <w:rFonts w:ascii="Book Antiqua" w:hAnsi="Book Antiqua"/>
          <w:i/>
          <w:sz w:val="24"/>
          <w:szCs w:val="24"/>
        </w:rPr>
        <w:t>Cancer Cell</w:t>
      </w:r>
      <w:r w:rsidRPr="005D68FE">
        <w:rPr>
          <w:rFonts w:ascii="Book Antiqua" w:hAnsi="Book Antiqua"/>
          <w:sz w:val="24"/>
          <w:szCs w:val="24"/>
        </w:rPr>
        <w:t xml:space="preserve"> 2016; </w:t>
      </w:r>
      <w:r w:rsidRPr="005D68FE">
        <w:rPr>
          <w:rFonts w:ascii="Book Antiqua" w:hAnsi="Book Antiqua"/>
          <w:b/>
          <w:sz w:val="24"/>
          <w:szCs w:val="24"/>
        </w:rPr>
        <w:t>29</w:t>
      </w:r>
      <w:r w:rsidRPr="005D68FE">
        <w:rPr>
          <w:rFonts w:ascii="Book Antiqua" w:hAnsi="Book Antiqua"/>
          <w:sz w:val="24"/>
          <w:szCs w:val="24"/>
        </w:rPr>
        <w:t>: 639-652 [PMID: 27132469 DOI: 10.1016/j.ccell.2016.03.026]</w:t>
      </w:r>
    </w:p>
    <w:p w14:paraId="4232C8FA" w14:textId="7708DF61"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lastRenderedPageBreak/>
        <w:t xml:space="preserve">31 </w:t>
      </w:r>
      <w:r w:rsidRPr="005D68FE">
        <w:rPr>
          <w:rFonts w:ascii="Book Antiqua" w:hAnsi="Book Antiqua"/>
          <w:b/>
          <w:sz w:val="24"/>
          <w:szCs w:val="24"/>
        </w:rPr>
        <w:t>Saha SK</w:t>
      </w:r>
      <w:r w:rsidRPr="005D68FE">
        <w:rPr>
          <w:rFonts w:ascii="Book Antiqua" w:hAnsi="Book Antiqua"/>
          <w:sz w:val="24"/>
          <w:szCs w:val="24"/>
        </w:rPr>
        <w:t xml:space="preserve">, Kim K, Yang GM, Choi HY, Cho SG. Cytokeratin 19 &lt;i&gt;(KRT19)&lt;/i&gt; has a Role in the Reprogramming of Cancer Stem Cell-Like Cells to Less Aggressive and More Drug-Sensitive Cells. </w:t>
      </w:r>
      <w:r w:rsidRPr="005D68FE">
        <w:rPr>
          <w:rFonts w:ascii="Book Antiqua" w:hAnsi="Book Antiqua"/>
          <w:i/>
          <w:sz w:val="24"/>
          <w:szCs w:val="24"/>
        </w:rPr>
        <w:t>Int J Mol Sci</w:t>
      </w:r>
      <w:r w:rsidRPr="005D68FE">
        <w:rPr>
          <w:rFonts w:ascii="Book Antiqua" w:hAnsi="Book Antiqua"/>
          <w:sz w:val="24"/>
          <w:szCs w:val="24"/>
        </w:rPr>
        <w:t xml:space="preserve"> 2018; </w:t>
      </w:r>
      <w:r w:rsidRPr="005D68FE">
        <w:rPr>
          <w:rFonts w:ascii="Book Antiqua" w:hAnsi="Book Antiqua"/>
          <w:b/>
          <w:sz w:val="24"/>
          <w:szCs w:val="24"/>
        </w:rPr>
        <w:t>19</w:t>
      </w:r>
      <w:r w:rsidRPr="005D68FE">
        <w:rPr>
          <w:rFonts w:ascii="Book Antiqua" w:hAnsi="Book Antiqua"/>
          <w:sz w:val="24"/>
          <w:szCs w:val="24"/>
        </w:rPr>
        <w:t xml:space="preserve"> [PMID: 29747452 DOI: 10.3390/ijms19051423]</w:t>
      </w:r>
    </w:p>
    <w:p w14:paraId="3154E81A"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32 </w:t>
      </w:r>
      <w:r w:rsidRPr="005D68FE">
        <w:rPr>
          <w:rFonts w:ascii="Book Antiqua" w:hAnsi="Book Antiqua"/>
          <w:b/>
          <w:sz w:val="24"/>
          <w:szCs w:val="24"/>
        </w:rPr>
        <w:t>Govaere O</w:t>
      </w:r>
      <w:r w:rsidRPr="005D68FE">
        <w:rPr>
          <w:rFonts w:ascii="Book Antiqua" w:hAnsi="Book Antiqua"/>
          <w:sz w:val="24"/>
          <w:szCs w:val="24"/>
        </w:rPr>
        <w:t xml:space="preserve">, Komuta M, Berkers J, Spee B, Janssen C, de Luca F, Katoonizadeh A, Wouters J, van Kempen LC, Durnez A, Verslype C, De Kock J, Rogiers V, van Grunsven LA, Topal B, Pirenne J, Vankelecom H, Nevens F, van den Oord J, Pinzani M, Roskams T. Keratin 19: a key role player in the invasion of human hepatocellular carcinomas. </w:t>
      </w:r>
      <w:r w:rsidRPr="005D68FE">
        <w:rPr>
          <w:rFonts w:ascii="Book Antiqua" w:hAnsi="Book Antiqua"/>
          <w:i/>
          <w:sz w:val="24"/>
          <w:szCs w:val="24"/>
        </w:rPr>
        <w:t>Gut</w:t>
      </w:r>
      <w:r w:rsidRPr="005D68FE">
        <w:rPr>
          <w:rFonts w:ascii="Book Antiqua" w:hAnsi="Book Antiqua"/>
          <w:sz w:val="24"/>
          <w:szCs w:val="24"/>
        </w:rPr>
        <w:t xml:space="preserve"> 2014; </w:t>
      </w:r>
      <w:r w:rsidRPr="005D68FE">
        <w:rPr>
          <w:rFonts w:ascii="Book Antiqua" w:hAnsi="Book Antiqua"/>
          <w:b/>
          <w:sz w:val="24"/>
          <w:szCs w:val="24"/>
        </w:rPr>
        <w:t>63</w:t>
      </w:r>
      <w:r w:rsidRPr="005D68FE">
        <w:rPr>
          <w:rFonts w:ascii="Book Antiqua" w:hAnsi="Book Antiqua"/>
          <w:sz w:val="24"/>
          <w:szCs w:val="24"/>
        </w:rPr>
        <w:t>: 674-685 [PMID: 23958557 DOI: 10.1136/gutjnl-2012-304351]</w:t>
      </w:r>
    </w:p>
    <w:p w14:paraId="2158F9A6"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33 </w:t>
      </w:r>
      <w:r w:rsidRPr="005D68FE">
        <w:rPr>
          <w:rFonts w:ascii="Book Antiqua" w:hAnsi="Book Antiqua"/>
          <w:b/>
          <w:sz w:val="24"/>
          <w:szCs w:val="24"/>
        </w:rPr>
        <w:t>Fang J</w:t>
      </w:r>
      <w:r w:rsidRPr="005D68FE">
        <w:rPr>
          <w:rFonts w:ascii="Book Antiqua" w:hAnsi="Book Antiqua"/>
          <w:sz w:val="24"/>
          <w:szCs w:val="24"/>
        </w:rPr>
        <w:t xml:space="preserve">, Wang H, Liu Y, Ding F, Ni Y, Shao S. High KRT8 expression promotes tumor progression and metastasis of gastric cancer. </w:t>
      </w:r>
      <w:r w:rsidRPr="005D68FE">
        <w:rPr>
          <w:rFonts w:ascii="Book Antiqua" w:hAnsi="Book Antiqua"/>
          <w:i/>
          <w:sz w:val="24"/>
          <w:szCs w:val="24"/>
        </w:rPr>
        <w:t>Cancer Sci</w:t>
      </w:r>
      <w:r w:rsidRPr="005D68FE">
        <w:rPr>
          <w:rFonts w:ascii="Book Antiqua" w:hAnsi="Book Antiqua"/>
          <w:sz w:val="24"/>
          <w:szCs w:val="24"/>
        </w:rPr>
        <w:t xml:space="preserve"> 2017; </w:t>
      </w:r>
      <w:r w:rsidRPr="005D68FE">
        <w:rPr>
          <w:rFonts w:ascii="Book Antiqua" w:hAnsi="Book Antiqua"/>
          <w:b/>
          <w:sz w:val="24"/>
          <w:szCs w:val="24"/>
        </w:rPr>
        <w:t>108</w:t>
      </w:r>
      <w:r w:rsidRPr="005D68FE">
        <w:rPr>
          <w:rFonts w:ascii="Book Antiqua" w:hAnsi="Book Antiqua"/>
          <w:sz w:val="24"/>
          <w:szCs w:val="24"/>
        </w:rPr>
        <w:t>: 178-186 [PMID: 27865045 DOI: 10.1111/cas.13120]</w:t>
      </w:r>
    </w:p>
    <w:p w14:paraId="6D6E24BA"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34 </w:t>
      </w:r>
      <w:r w:rsidRPr="005D68FE">
        <w:rPr>
          <w:rFonts w:ascii="Book Antiqua" w:hAnsi="Book Antiqua"/>
          <w:b/>
          <w:sz w:val="24"/>
          <w:szCs w:val="24"/>
        </w:rPr>
        <w:t>Lim KT</w:t>
      </w:r>
      <w:r w:rsidRPr="005D68FE">
        <w:rPr>
          <w:rFonts w:ascii="Book Antiqua" w:hAnsi="Book Antiqua"/>
          <w:sz w:val="24"/>
          <w:szCs w:val="24"/>
        </w:rPr>
        <w:t xml:space="preserve">, Lee SC, Gao Y, Kim KP, Song G, An SY, Adachi K, Jang YJ, Kim J, Oh KJ, Kwak TH, Hwang SI, You JS, Ko K, Koo SH, Sharma AD, Kim JH, Hui L, Cantz T, Schöler HR, Han DW. Small Molecules Facilitate Single Factor-Mediated Hepatic Reprogramming. </w:t>
      </w:r>
      <w:r w:rsidRPr="005D68FE">
        <w:rPr>
          <w:rFonts w:ascii="Book Antiqua" w:hAnsi="Book Antiqua"/>
          <w:i/>
          <w:sz w:val="24"/>
          <w:szCs w:val="24"/>
        </w:rPr>
        <w:t>Cell Rep</w:t>
      </w:r>
      <w:r w:rsidRPr="005D68FE">
        <w:rPr>
          <w:rFonts w:ascii="Book Antiqua" w:hAnsi="Book Antiqua"/>
          <w:sz w:val="24"/>
          <w:szCs w:val="24"/>
        </w:rPr>
        <w:t xml:space="preserve"> 2016; </w:t>
      </w:r>
      <w:r w:rsidRPr="005D68FE">
        <w:rPr>
          <w:rFonts w:ascii="Book Antiqua" w:hAnsi="Book Antiqua"/>
          <w:b/>
          <w:sz w:val="24"/>
          <w:szCs w:val="24"/>
        </w:rPr>
        <w:t>15</w:t>
      </w:r>
      <w:r w:rsidRPr="005D68FE">
        <w:rPr>
          <w:rFonts w:ascii="Book Antiqua" w:hAnsi="Book Antiqua"/>
          <w:sz w:val="24"/>
          <w:szCs w:val="24"/>
        </w:rPr>
        <w:t>: 814-829 [PMID: 27149847 DOI: 10.1016/j.celrep.2016.03.071]</w:t>
      </w:r>
    </w:p>
    <w:p w14:paraId="3583E217"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35 </w:t>
      </w:r>
      <w:r w:rsidRPr="005D68FE">
        <w:rPr>
          <w:rFonts w:ascii="Book Antiqua" w:hAnsi="Book Antiqua"/>
          <w:b/>
          <w:sz w:val="24"/>
          <w:szCs w:val="24"/>
        </w:rPr>
        <w:t>Huh CG</w:t>
      </w:r>
      <w:r w:rsidRPr="005D68FE">
        <w:rPr>
          <w:rFonts w:ascii="Book Antiqua" w:hAnsi="Book Antiqua"/>
          <w:sz w:val="24"/>
          <w:szCs w:val="24"/>
        </w:rPr>
        <w:t xml:space="preserve">, Factor VM, Sánchez A, Uchida K, Conner EA, Thorgeirsson SS. Hepatocyte growth factor/c-met signaling pathway is required for efficient liver regeneration and repair. </w:t>
      </w:r>
      <w:r w:rsidRPr="005D68FE">
        <w:rPr>
          <w:rFonts w:ascii="Book Antiqua" w:hAnsi="Book Antiqua"/>
          <w:i/>
          <w:sz w:val="24"/>
          <w:szCs w:val="24"/>
        </w:rPr>
        <w:t>Proc Natl Acad Sci U S A</w:t>
      </w:r>
      <w:r w:rsidRPr="005D68FE">
        <w:rPr>
          <w:rFonts w:ascii="Book Antiqua" w:hAnsi="Book Antiqua"/>
          <w:sz w:val="24"/>
          <w:szCs w:val="24"/>
        </w:rPr>
        <w:t xml:space="preserve"> 2004; </w:t>
      </w:r>
      <w:r w:rsidRPr="005D68FE">
        <w:rPr>
          <w:rFonts w:ascii="Book Antiqua" w:hAnsi="Book Antiqua"/>
          <w:b/>
          <w:sz w:val="24"/>
          <w:szCs w:val="24"/>
        </w:rPr>
        <w:t>101</w:t>
      </w:r>
      <w:r w:rsidRPr="005D68FE">
        <w:rPr>
          <w:rFonts w:ascii="Book Antiqua" w:hAnsi="Book Antiqua"/>
          <w:sz w:val="24"/>
          <w:szCs w:val="24"/>
        </w:rPr>
        <w:t>: 4477-4482 [PMID: 15070743 DOI: 10.1073/pnas.0306068101]</w:t>
      </w:r>
    </w:p>
    <w:p w14:paraId="1F856333"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lastRenderedPageBreak/>
        <w:t xml:space="preserve">36 </w:t>
      </w:r>
      <w:r w:rsidRPr="005D68FE">
        <w:rPr>
          <w:rFonts w:ascii="Book Antiqua" w:hAnsi="Book Antiqua"/>
          <w:b/>
          <w:sz w:val="24"/>
          <w:szCs w:val="24"/>
        </w:rPr>
        <w:t>Matsumoto K</w:t>
      </w:r>
      <w:r w:rsidRPr="005D68FE">
        <w:rPr>
          <w:rFonts w:ascii="Book Antiqua" w:hAnsi="Book Antiqua"/>
          <w:sz w:val="24"/>
          <w:szCs w:val="24"/>
        </w:rPr>
        <w:t xml:space="preserve">, Umitsu M, De Silva DM, Roy A, Bottaro DP. Hepatocyte growth factor/MET in cancer progression and biomarker discovery. </w:t>
      </w:r>
      <w:r w:rsidRPr="005D68FE">
        <w:rPr>
          <w:rFonts w:ascii="Book Antiqua" w:hAnsi="Book Antiqua"/>
          <w:i/>
          <w:sz w:val="24"/>
          <w:szCs w:val="24"/>
        </w:rPr>
        <w:t>Cancer Sci</w:t>
      </w:r>
      <w:r w:rsidRPr="005D68FE">
        <w:rPr>
          <w:rFonts w:ascii="Book Antiqua" w:hAnsi="Book Antiqua"/>
          <w:sz w:val="24"/>
          <w:szCs w:val="24"/>
        </w:rPr>
        <w:t xml:space="preserve"> 2017; </w:t>
      </w:r>
      <w:r w:rsidRPr="005D68FE">
        <w:rPr>
          <w:rFonts w:ascii="Book Antiqua" w:hAnsi="Book Antiqua"/>
          <w:b/>
          <w:sz w:val="24"/>
          <w:szCs w:val="24"/>
        </w:rPr>
        <w:t>108</w:t>
      </w:r>
      <w:r w:rsidRPr="005D68FE">
        <w:rPr>
          <w:rFonts w:ascii="Book Antiqua" w:hAnsi="Book Antiqua"/>
          <w:sz w:val="24"/>
          <w:szCs w:val="24"/>
        </w:rPr>
        <w:t>: 296-307 [PMID: 28064454 DOI: 10.1111/cas.13156]</w:t>
      </w:r>
    </w:p>
    <w:p w14:paraId="5B3B6302"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37 </w:t>
      </w:r>
      <w:r w:rsidRPr="005D68FE">
        <w:rPr>
          <w:rFonts w:ascii="Book Antiqua" w:hAnsi="Book Antiqua"/>
          <w:b/>
          <w:sz w:val="24"/>
          <w:szCs w:val="24"/>
        </w:rPr>
        <w:t>Yoshihara M</w:t>
      </w:r>
      <w:r w:rsidRPr="005D68FE">
        <w:rPr>
          <w:rFonts w:ascii="Book Antiqua" w:hAnsi="Book Antiqua"/>
          <w:sz w:val="24"/>
          <w:szCs w:val="24"/>
        </w:rPr>
        <w:t xml:space="preserve">, Hayashizaki Y, Murakawa Y. Genomic Instability of iPSCs: Challenges Towards Their Clinical Applications. </w:t>
      </w:r>
      <w:r w:rsidRPr="005D68FE">
        <w:rPr>
          <w:rFonts w:ascii="Book Antiqua" w:hAnsi="Book Antiqua"/>
          <w:i/>
          <w:sz w:val="24"/>
          <w:szCs w:val="24"/>
        </w:rPr>
        <w:t>Stem Cell Rev</w:t>
      </w:r>
      <w:r w:rsidRPr="005D68FE">
        <w:rPr>
          <w:rFonts w:ascii="Book Antiqua" w:hAnsi="Book Antiqua"/>
          <w:sz w:val="24"/>
          <w:szCs w:val="24"/>
        </w:rPr>
        <w:t xml:space="preserve"> 2017; </w:t>
      </w:r>
      <w:r w:rsidRPr="005D68FE">
        <w:rPr>
          <w:rFonts w:ascii="Book Antiqua" w:hAnsi="Book Antiqua"/>
          <w:b/>
          <w:sz w:val="24"/>
          <w:szCs w:val="24"/>
        </w:rPr>
        <w:t>13</w:t>
      </w:r>
      <w:r w:rsidRPr="005D68FE">
        <w:rPr>
          <w:rFonts w:ascii="Book Antiqua" w:hAnsi="Book Antiqua"/>
          <w:sz w:val="24"/>
          <w:szCs w:val="24"/>
        </w:rPr>
        <w:t>: 7-16 [PMID: 27592701 DOI: 10.1007/s12015-016-9680-6]</w:t>
      </w:r>
    </w:p>
    <w:p w14:paraId="10522882"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38 </w:t>
      </w:r>
      <w:r w:rsidRPr="005D68FE">
        <w:rPr>
          <w:rFonts w:ascii="Book Antiqua" w:hAnsi="Book Antiqua"/>
          <w:b/>
          <w:sz w:val="24"/>
          <w:szCs w:val="24"/>
        </w:rPr>
        <w:t>Kilpinen H</w:t>
      </w:r>
      <w:r w:rsidRPr="005D68FE">
        <w:rPr>
          <w:rFonts w:ascii="Book Antiqua" w:hAnsi="Book Antiqua"/>
          <w:sz w:val="24"/>
          <w:szCs w:val="24"/>
        </w:rPr>
        <w:t xml:space="preserve">, Goncalves A, Leha A, Afzal V, Alasoo K, Ashford S, Bala S, Bensaddek D, Casale FP, Culley OJ, Danecek P, Faulconbridge A, Harrison PW, Kathuria A, McCarthy D, McCarthy SA, Meleckyte R, Memari Y, Moens N, Soares F, Mann A, Streeter I, Agu CA, Alderton A, Nelson R, Harper S, Patel M, White A, Patel SR, Clarke L, Halai R, Kirton CM, Kolb-Kokocinski A, Beales P, Birney E, Danovi D, Lamond AI, Ouwehand WH, Vallier L, Watt FM, Durbin R, Stegle O, Gaffney DJ. Common genetic variation drives molecular heterogeneity in human iPSCs. </w:t>
      </w:r>
      <w:r w:rsidRPr="005D68FE">
        <w:rPr>
          <w:rFonts w:ascii="Book Antiqua" w:hAnsi="Book Antiqua"/>
          <w:i/>
          <w:sz w:val="24"/>
          <w:szCs w:val="24"/>
        </w:rPr>
        <w:t>Nature</w:t>
      </w:r>
      <w:r w:rsidRPr="005D68FE">
        <w:rPr>
          <w:rFonts w:ascii="Book Antiqua" w:hAnsi="Book Antiqua"/>
          <w:sz w:val="24"/>
          <w:szCs w:val="24"/>
        </w:rPr>
        <w:t xml:space="preserve"> 2017; </w:t>
      </w:r>
      <w:r w:rsidRPr="005D68FE">
        <w:rPr>
          <w:rFonts w:ascii="Book Antiqua" w:hAnsi="Book Antiqua"/>
          <w:b/>
          <w:sz w:val="24"/>
          <w:szCs w:val="24"/>
        </w:rPr>
        <w:t>546</w:t>
      </w:r>
      <w:r w:rsidRPr="005D68FE">
        <w:rPr>
          <w:rFonts w:ascii="Book Antiqua" w:hAnsi="Book Antiqua"/>
          <w:sz w:val="24"/>
          <w:szCs w:val="24"/>
        </w:rPr>
        <w:t>: 370-375 [PMID: 28489815 DOI: 10.1038/nature22403]</w:t>
      </w:r>
    </w:p>
    <w:p w14:paraId="3AE8C277"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39 </w:t>
      </w:r>
      <w:r w:rsidRPr="005D68FE">
        <w:rPr>
          <w:rFonts w:ascii="Book Antiqua" w:hAnsi="Book Antiqua"/>
          <w:b/>
          <w:sz w:val="24"/>
          <w:szCs w:val="24"/>
        </w:rPr>
        <w:t>Takayama K</w:t>
      </w:r>
      <w:r w:rsidRPr="005D68FE">
        <w:rPr>
          <w:rFonts w:ascii="Book Antiqua" w:hAnsi="Book Antiqua"/>
          <w:sz w:val="24"/>
          <w:szCs w:val="24"/>
        </w:rPr>
        <w:t xml:space="preserve">, Kawabata K, Nagamoto Y, Kishimoto K, Tashiro K, Sakurai F, Tachibana M, Kanda K, Hayakawa T, Furue MK, Mizuguchi H. 3D spheroid culture of hESC/hiPSC-derived hepatocyte-like cells for drug toxicity testing. </w:t>
      </w:r>
      <w:r w:rsidRPr="005D68FE">
        <w:rPr>
          <w:rFonts w:ascii="Book Antiqua" w:hAnsi="Book Antiqua"/>
          <w:i/>
          <w:sz w:val="24"/>
          <w:szCs w:val="24"/>
        </w:rPr>
        <w:t>Biomaterials</w:t>
      </w:r>
      <w:r w:rsidRPr="005D68FE">
        <w:rPr>
          <w:rFonts w:ascii="Book Antiqua" w:hAnsi="Book Antiqua"/>
          <w:sz w:val="24"/>
          <w:szCs w:val="24"/>
        </w:rPr>
        <w:t xml:space="preserve"> 2013; </w:t>
      </w:r>
      <w:r w:rsidRPr="005D68FE">
        <w:rPr>
          <w:rFonts w:ascii="Book Antiqua" w:hAnsi="Book Antiqua"/>
          <w:b/>
          <w:sz w:val="24"/>
          <w:szCs w:val="24"/>
        </w:rPr>
        <w:t>34</w:t>
      </w:r>
      <w:r w:rsidRPr="005D68FE">
        <w:rPr>
          <w:rFonts w:ascii="Book Antiqua" w:hAnsi="Book Antiqua"/>
          <w:sz w:val="24"/>
          <w:szCs w:val="24"/>
        </w:rPr>
        <w:t>: 1781-1789 [PMID: 23228427 DOI: 10.1016/j.biomaterials.2012.11.029]</w:t>
      </w:r>
    </w:p>
    <w:p w14:paraId="0E7934C3"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40 </w:t>
      </w:r>
      <w:r w:rsidRPr="005D68FE">
        <w:rPr>
          <w:rFonts w:ascii="Book Antiqua" w:hAnsi="Book Antiqua"/>
          <w:b/>
          <w:sz w:val="24"/>
          <w:szCs w:val="24"/>
        </w:rPr>
        <w:t>Matsuzaki T</w:t>
      </w:r>
      <w:r w:rsidRPr="005D68FE">
        <w:rPr>
          <w:rFonts w:ascii="Book Antiqua" w:hAnsi="Book Antiqua"/>
          <w:sz w:val="24"/>
          <w:szCs w:val="24"/>
        </w:rPr>
        <w:t xml:space="preserve">, Matsumoto S, Kasai T, Yoshizawa E, Okamoto S, Yoshikawa HY, Taniguchi H, Takebe T. Defining Lineage-Specific Membrane Fluidity Signatures that Regulate Adhesion Kinetics. </w:t>
      </w:r>
      <w:r w:rsidRPr="005D68FE">
        <w:rPr>
          <w:rFonts w:ascii="Book Antiqua" w:hAnsi="Book Antiqua"/>
          <w:i/>
          <w:sz w:val="24"/>
          <w:szCs w:val="24"/>
        </w:rPr>
        <w:t>Stem Cell Reports</w:t>
      </w:r>
      <w:r w:rsidRPr="005D68FE">
        <w:rPr>
          <w:rFonts w:ascii="Book Antiqua" w:hAnsi="Book Antiqua"/>
          <w:sz w:val="24"/>
          <w:szCs w:val="24"/>
        </w:rPr>
        <w:t xml:space="preserve"> 2018; </w:t>
      </w:r>
      <w:r w:rsidRPr="005D68FE">
        <w:rPr>
          <w:rFonts w:ascii="Book Antiqua" w:hAnsi="Book Antiqua"/>
          <w:b/>
          <w:sz w:val="24"/>
          <w:szCs w:val="24"/>
        </w:rPr>
        <w:t>11</w:t>
      </w:r>
      <w:r w:rsidRPr="005D68FE">
        <w:rPr>
          <w:rFonts w:ascii="Book Antiqua" w:hAnsi="Book Antiqua"/>
          <w:sz w:val="24"/>
          <w:szCs w:val="24"/>
        </w:rPr>
        <w:t>: 852-860 [PMID: 30197117 DOI: 10.1016/j.stemcr.2018.08.010]</w:t>
      </w:r>
    </w:p>
    <w:p w14:paraId="5AE9D509"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lastRenderedPageBreak/>
        <w:t xml:space="preserve">41 </w:t>
      </w:r>
      <w:r w:rsidRPr="005D68FE">
        <w:rPr>
          <w:rFonts w:ascii="Book Antiqua" w:hAnsi="Book Antiqua"/>
          <w:b/>
          <w:sz w:val="24"/>
          <w:szCs w:val="24"/>
        </w:rPr>
        <w:t>Liu Z</w:t>
      </w:r>
      <w:r w:rsidRPr="005D68FE">
        <w:rPr>
          <w:rFonts w:ascii="Book Antiqua" w:hAnsi="Book Antiqua"/>
          <w:sz w:val="24"/>
          <w:szCs w:val="24"/>
        </w:rPr>
        <w:t xml:space="preserve">, Tang Y, Lü S, Zhou J, Du Z, Duan C, Li Z, Wang C. The tumourigenicity of iPS cells and their differentiated derivates. </w:t>
      </w:r>
      <w:r w:rsidRPr="005D68FE">
        <w:rPr>
          <w:rFonts w:ascii="Book Antiqua" w:hAnsi="Book Antiqua"/>
          <w:i/>
          <w:sz w:val="24"/>
          <w:szCs w:val="24"/>
        </w:rPr>
        <w:t>J Cell Mol Med</w:t>
      </w:r>
      <w:r w:rsidRPr="005D68FE">
        <w:rPr>
          <w:rFonts w:ascii="Book Antiqua" w:hAnsi="Book Antiqua"/>
          <w:sz w:val="24"/>
          <w:szCs w:val="24"/>
        </w:rPr>
        <w:t xml:space="preserve"> 2013; </w:t>
      </w:r>
      <w:r w:rsidRPr="005D68FE">
        <w:rPr>
          <w:rFonts w:ascii="Book Antiqua" w:hAnsi="Book Antiqua"/>
          <w:b/>
          <w:sz w:val="24"/>
          <w:szCs w:val="24"/>
        </w:rPr>
        <w:t>17</w:t>
      </w:r>
      <w:r w:rsidRPr="005D68FE">
        <w:rPr>
          <w:rFonts w:ascii="Book Antiqua" w:hAnsi="Book Antiqua"/>
          <w:sz w:val="24"/>
          <w:szCs w:val="24"/>
        </w:rPr>
        <w:t>: 782-791 [PMID: 23711115 DOI: 10.1111/jcmm.12062]</w:t>
      </w:r>
    </w:p>
    <w:p w14:paraId="579E9CF3"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42 </w:t>
      </w:r>
      <w:r w:rsidRPr="005D68FE">
        <w:rPr>
          <w:rFonts w:ascii="Book Antiqua" w:hAnsi="Book Antiqua"/>
          <w:b/>
          <w:sz w:val="24"/>
          <w:szCs w:val="24"/>
        </w:rPr>
        <w:t>Mazonson P</w:t>
      </w:r>
      <w:r w:rsidRPr="005D68FE">
        <w:rPr>
          <w:rFonts w:ascii="Book Antiqua" w:hAnsi="Book Antiqua"/>
          <w:sz w:val="24"/>
          <w:szCs w:val="24"/>
        </w:rPr>
        <w:t xml:space="preserve">, Kane M, Colberg K, Harris H, Brown H, Mohr A, Ziman A, Santas C. Prevalence of Medical Conditions Potentially Amenable to Cellular Therapy among Families Privately Storing Umbilical Cord Blood. </w:t>
      </w:r>
      <w:r w:rsidRPr="005D68FE">
        <w:rPr>
          <w:rFonts w:ascii="Book Antiqua" w:hAnsi="Book Antiqua"/>
          <w:i/>
          <w:sz w:val="24"/>
          <w:szCs w:val="24"/>
        </w:rPr>
        <w:t>Matern Child Health J</w:t>
      </w:r>
      <w:r w:rsidRPr="005D68FE">
        <w:rPr>
          <w:rFonts w:ascii="Book Antiqua" w:hAnsi="Book Antiqua"/>
          <w:sz w:val="24"/>
          <w:szCs w:val="24"/>
        </w:rPr>
        <w:t xml:space="preserve"> 2017; </w:t>
      </w:r>
      <w:r w:rsidRPr="005D68FE">
        <w:rPr>
          <w:rFonts w:ascii="Book Antiqua" w:hAnsi="Book Antiqua"/>
          <w:b/>
          <w:sz w:val="24"/>
          <w:szCs w:val="24"/>
        </w:rPr>
        <w:t>21</w:t>
      </w:r>
      <w:r w:rsidRPr="005D68FE">
        <w:rPr>
          <w:rFonts w:ascii="Book Antiqua" w:hAnsi="Book Antiqua"/>
          <w:sz w:val="24"/>
          <w:szCs w:val="24"/>
        </w:rPr>
        <w:t>: 208-214 [PMID: 27531008 DOI: 10.1007/s10995-016-2110-1]</w:t>
      </w:r>
    </w:p>
    <w:p w14:paraId="7AF7F894"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43 </w:t>
      </w:r>
      <w:r w:rsidRPr="005D68FE">
        <w:rPr>
          <w:rFonts w:ascii="Book Antiqua" w:hAnsi="Book Antiqua"/>
          <w:b/>
          <w:sz w:val="24"/>
          <w:szCs w:val="24"/>
        </w:rPr>
        <w:t>Thornley I</w:t>
      </w:r>
      <w:r w:rsidRPr="005D68FE">
        <w:rPr>
          <w:rFonts w:ascii="Book Antiqua" w:hAnsi="Book Antiqua"/>
          <w:sz w:val="24"/>
          <w:szCs w:val="24"/>
        </w:rPr>
        <w:t xml:space="preserve">, Eapen M, Sung L, Lee SJ, Davies SM, Joffe S. Private cord blood banking: experiences and views of pediatric hematopoietic cell transplantation physicians. </w:t>
      </w:r>
      <w:r w:rsidRPr="005D68FE">
        <w:rPr>
          <w:rFonts w:ascii="Book Antiqua" w:hAnsi="Book Antiqua"/>
          <w:i/>
          <w:sz w:val="24"/>
          <w:szCs w:val="24"/>
        </w:rPr>
        <w:t>Pediatrics</w:t>
      </w:r>
      <w:r w:rsidRPr="005D68FE">
        <w:rPr>
          <w:rFonts w:ascii="Book Antiqua" w:hAnsi="Book Antiqua"/>
          <w:sz w:val="24"/>
          <w:szCs w:val="24"/>
        </w:rPr>
        <w:t xml:space="preserve"> 2009; </w:t>
      </w:r>
      <w:r w:rsidRPr="005D68FE">
        <w:rPr>
          <w:rFonts w:ascii="Book Antiqua" w:hAnsi="Book Antiqua"/>
          <w:b/>
          <w:sz w:val="24"/>
          <w:szCs w:val="24"/>
        </w:rPr>
        <w:t>123</w:t>
      </w:r>
      <w:r w:rsidRPr="005D68FE">
        <w:rPr>
          <w:rFonts w:ascii="Book Antiqua" w:hAnsi="Book Antiqua"/>
          <w:sz w:val="24"/>
          <w:szCs w:val="24"/>
        </w:rPr>
        <w:t>: 1011-1017 [PMID: 19255033 DOI: 10.1542/peds.2008-0436]</w:t>
      </w:r>
    </w:p>
    <w:p w14:paraId="160851F6"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44 </w:t>
      </w:r>
      <w:r w:rsidRPr="005D68FE">
        <w:rPr>
          <w:rFonts w:ascii="Book Antiqua" w:hAnsi="Book Antiqua"/>
          <w:b/>
          <w:sz w:val="24"/>
          <w:szCs w:val="24"/>
        </w:rPr>
        <w:t>Carrow JK</w:t>
      </w:r>
      <w:r w:rsidRPr="005D68FE">
        <w:rPr>
          <w:rFonts w:ascii="Book Antiqua" w:hAnsi="Book Antiqua"/>
          <w:sz w:val="24"/>
          <w:szCs w:val="24"/>
        </w:rPr>
        <w:t xml:space="preserve">, Cross LM, Reese RW, Jaiswal MK, Gregory CA, Kaunas R, Singh I, Gaharwar AK. Widespread changes in transcriptome profile of human mesenchymal stem cells induced by two-dimensional nanosilicates. </w:t>
      </w:r>
      <w:r w:rsidRPr="005D68FE">
        <w:rPr>
          <w:rFonts w:ascii="Book Antiqua" w:hAnsi="Book Antiqua"/>
          <w:i/>
          <w:sz w:val="24"/>
          <w:szCs w:val="24"/>
        </w:rPr>
        <w:t>Proc Natl Acad Sci U S A</w:t>
      </w:r>
      <w:r w:rsidRPr="005D68FE">
        <w:rPr>
          <w:rFonts w:ascii="Book Antiqua" w:hAnsi="Book Antiqua"/>
          <w:sz w:val="24"/>
          <w:szCs w:val="24"/>
        </w:rPr>
        <w:t xml:space="preserve"> 2018; </w:t>
      </w:r>
      <w:r w:rsidRPr="005D68FE">
        <w:rPr>
          <w:rFonts w:ascii="Book Antiqua" w:hAnsi="Book Antiqua"/>
          <w:b/>
          <w:sz w:val="24"/>
          <w:szCs w:val="24"/>
        </w:rPr>
        <w:t>115</w:t>
      </w:r>
      <w:r w:rsidRPr="005D68FE">
        <w:rPr>
          <w:rFonts w:ascii="Book Antiqua" w:hAnsi="Book Antiqua"/>
          <w:sz w:val="24"/>
          <w:szCs w:val="24"/>
        </w:rPr>
        <w:t>: E3905-E3913 [PMID: 29643075 DOI: 10.1073/pnas.1716164115]</w:t>
      </w:r>
    </w:p>
    <w:p w14:paraId="583CF826"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45 </w:t>
      </w:r>
      <w:r w:rsidRPr="005D68FE">
        <w:rPr>
          <w:rFonts w:ascii="Book Antiqua" w:hAnsi="Book Antiqua"/>
          <w:b/>
          <w:sz w:val="24"/>
          <w:szCs w:val="24"/>
        </w:rPr>
        <w:t>von Meyenn F</w:t>
      </w:r>
      <w:r w:rsidRPr="005D68FE">
        <w:rPr>
          <w:rFonts w:ascii="Book Antiqua" w:hAnsi="Book Antiqua"/>
          <w:sz w:val="24"/>
          <w:szCs w:val="24"/>
        </w:rPr>
        <w:t xml:space="preserve">, Berrens RV, Andrews S, Santos F, Collier AJ, Krueger F, Osorno R, Dean W, Rugg-Gunn PJ, Reik W. Comparative Principles of DNA Methylation Reprogramming during Human and Mouse In Vitro Primordial Germ Cell Specification. </w:t>
      </w:r>
      <w:r w:rsidRPr="005D68FE">
        <w:rPr>
          <w:rFonts w:ascii="Book Antiqua" w:hAnsi="Book Antiqua"/>
          <w:i/>
          <w:sz w:val="24"/>
          <w:szCs w:val="24"/>
        </w:rPr>
        <w:t>Dev Cell</w:t>
      </w:r>
      <w:r w:rsidRPr="005D68FE">
        <w:rPr>
          <w:rFonts w:ascii="Book Antiqua" w:hAnsi="Book Antiqua"/>
          <w:sz w:val="24"/>
          <w:szCs w:val="24"/>
        </w:rPr>
        <w:t xml:space="preserve"> 2016; </w:t>
      </w:r>
      <w:r w:rsidRPr="005D68FE">
        <w:rPr>
          <w:rFonts w:ascii="Book Antiqua" w:hAnsi="Book Antiqua"/>
          <w:b/>
          <w:sz w:val="24"/>
          <w:szCs w:val="24"/>
        </w:rPr>
        <w:t>39</w:t>
      </w:r>
      <w:r w:rsidRPr="005D68FE">
        <w:rPr>
          <w:rFonts w:ascii="Book Antiqua" w:hAnsi="Book Antiqua"/>
          <w:sz w:val="24"/>
          <w:szCs w:val="24"/>
        </w:rPr>
        <w:t>: 104-115 [PMID: 27728778 DOI: 10.1016/j.devcel.2016.09.015]</w:t>
      </w:r>
    </w:p>
    <w:p w14:paraId="3608A2F8"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46 </w:t>
      </w:r>
      <w:r w:rsidRPr="005D68FE">
        <w:rPr>
          <w:rFonts w:ascii="Book Antiqua" w:hAnsi="Book Antiqua"/>
          <w:b/>
          <w:sz w:val="24"/>
          <w:szCs w:val="24"/>
        </w:rPr>
        <w:t>Yun W</w:t>
      </w:r>
      <w:r w:rsidRPr="005D68FE">
        <w:rPr>
          <w:rFonts w:ascii="Book Antiqua" w:hAnsi="Book Antiqua"/>
          <w:sz w:val="24"/>
          <w:szCs w:val="24"/>
        </w:rPr>
        <w:t>, Hong W, Son D, Liu HW, Kim SS, Park M, Kim IY, Kim DS, Song G, You S. Generation of Anterior Hindbrain-Specific, Glial-Restricted Progenitor-</w:t>
      </w:r>
      <w:r w:rsidRPr="005D68FE">
        <w:rPr>
          <w:rFonts w:ascii="Book Antiqua" w:hAnsi="Book Antiqua"/>
          <w:sz w:val="24"/>
          <w:szCs w:val="24"/>
        </w:rPr>
        <w:lastRenderedPageBreak/>
        <w:t xml:space="preserve">Like Cells from Human Pluripotent Stem Cells. </w:t>
      </w:r>
      <w:r w:rsidRPr="005D68FE">
        <w:rPr>
          <w:rFonts w:ascii="Book Antiqua" w:hAnsi="Book Antiqua"/>
          <w:i/>
          <w:sz w:val="24"/>
          <w:szCs w:val="24"/>
        </w:rPr>
        <w:t>Stem Cells Dev</w:t>
      </w:r>
      <w:r w:rsidRPr="005D68FE">
        <w:rPr>
          <w:rFonts w:ascii="Book Antiqua" w:hAnsi="Book Antiqua"/>
          <w:sz w:val="24"/>
          <w:szCs w:val="24"/>
        </w:rPr>
        <w:t xml:space="preserve"> 2019; </w:t>
      </w:r>
      <w:r w:rsidRPr="005D68FE">
        <w:rPr>
          <w:rFonts w:ascii="Book Antiqua" w:hAnsi="Book Antiqua"/>
          <w:b/>
          <w:sz w:val="24"/>
          <w:szCs w:val="24"/>
        </w:rPr>
        <w:t>28</w:t>
      </w:r>
      <w:r w:rsidRPr="005D68FE">
        <w:rPr>
          <w:rFonts w:ascii="Book Antiqua" w:hAnsi="Book Antiqua"/>
          <w:sz w:val="24"/>
          <w:szCs w:val="24"/>
        </w:rPr>
        <w:t>: 633-648 [PMID: 30880587 DOI: 10.1089/scd.2019.0033]</w:t>
      </w:r>
    </w:p>
    <w:p w14:paraId="0460E3C8"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47 </w:t>
      </w:r>
      <w:r w:rsidRPr="005D68FE">
        <w:rPr>
          <w:rFonts w:ascii="Book Antiqua" w:hAnsi="Book Antiqua"/>
          <w:b/>
          <w:sz w:val="24"/>
          <w:szCs w:val="24"/>
        </w:rPr>
        <w:t>Jiang W</w:t>
      </w:r>
      <w:r w:rsidRPr="005D68FE">
        <w:rPr>
          <w:rFonts w:ascii="Book Antiqua" w:hAnsi="Book Antiqua"/>
          <w:sz w:val="24"/>
          <w:szCs w:val="24"/>
        </w:rPr>
        <w:t xml:space="preserve">, Liu Y, Liu R, Zhang K, Zhang Y. The lncRNA DEANR1 facilitates human endoderm differentiation by activating FOXA2 expression. </w:t>
      </w:r>
      <w:r w:rsidRPr="005D68FE">
        <w:rPr>
          <w:rFonts w:ascii="Book Antiqua" w:hAnsi="Book Antiqua"/>
          <w:i/>
          <w:sz w:val="24"/>
          <w:szCs w:val="24"/>
        </w:rPr>
        <w:t>Cell Rep</w:t>
      </w:r>
      <w:r w:rsidRPr="005D68FE">
        <w:rPr>
          <w:rFonts w:ascii="Book Antiqua" w:hAnsi="Book Antiqua"/>
          <w:sz w:val="24"/>
          <w:szCs w:val="24"/>
        </w:rPr>
        <w:t xml:space="preserve"> 2015; </w:t>
      </w:r>
      <w:r w:rsidRPr="005D68FE">
        <w:rPr>
          <w:rFonts w:ascii="Book Antiqua" w:hAnsi="Book Antiqua"/>
          <w:b/>
          <w:sz w:val="24"/>
          <w:szCs w:val="24"/>
        </w:rPr>
        <w:t>11</w:t>
      </w:r>
      <w:r w:rsidRPr="005D68FE">
        <w:rPr>
          <w:rFonts w:ascii="Book Antiqua" w:hAnsi="Book Antiqua"/>
          <w:sz w:val="24"/>
          <w:szCs w:val="24"/>
        </w:rPr>
        <w:t>: 137-148 [PMID: 25843708 DOI: 10.1016/j.celrep.2015.03.008]</w:t>
      </w:r>
    </w:p>
    <w:p w14:paraId="140F2169"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48 </w:t>
      </w:r>
      <w:r w:rsidRPr="005D68FE">
        <w:rPr>
          <w:rFonts w:ascii="Book Antiqua" w:hAnsi="Book Antiqua"/>
          <w:b/>
          <w:sz w:val="24"/>
          <w:szCs w:val="24"/>
        </w:rPr>
        <w:t>Fu GB</w:t>
      </w:r>
      <w:r w:rsidRPr="005D68FE">
        <w:rPr>
          <w:rFonts w:ascii="Book Antiqua" w:hAnsi="Book Antiqua"/>
          <w:sz w:val="24"/>
          <w:szCs w:val="24"/>
        </w:rPr>
        <w:t xml:space="preserve">, Huang WJ, Zeng M, Zhou X, Wu HP, Liu CC, Wu H, Weng J, Zhang HD, Cai YC, Ashton C, Ding M, Tang D, Zhang BH, Gao Y, Yu WF, Zhai B, He ZY, Wang HY, Yan HX. Expansion and differentiation of human hepatocyte-derived liver progenitor-like cells and their use for the study of hepatotropic pathogens. </w:t>
      </w:r>
      <w:r w:rsidRPr="005D68FE">
        <w:rPr>
          <w:rFonts w:ascii="Book Antiqua" w:hAnsi="Book Antiqua"/>
          <w:i/>
          <w:sz w:val="24"/>
          <w:szCs w:val="24"/>
        </w:rPr>
        <w:t>Cell Res</w:t>
      </w:r>
      <w:r w:rsidRPr="005D68FE">
        <w:rPr>
          <w:rFonts w:ascii="Book Antiqua" w:hAnsi="Book Antiqua"/>
          <w:sz w:val="24"/>
          <w:szCs w:val="24"/>
        </w:rPr>
        <w:t xml:space="preserve"> 2019; </w:t>
      </w:r>
      <w:r w:rsidRPr="005D68FE">
        <w:rPr>
          <w:rFonts w:ascii="Book Antiqua" w:hAnsi="Book Antiqua"/>
          <w:b/>
          <w:sz w:val="24"/>
          <w:szCs w:val="24"/>
        </w:rPr>
        <w:t>29</w:t>
      </w:r>
      <w:r w:rsidRPr="005D68FE">
        <w:rPr>
          <w:rFonts w:ascii="Book Antiqua" w:hAnsi="Book Antiqua"/>
          <w:sz w:val="24"/>
          <w:szCs w:val="24"/>
        </w:rPr>
        <w:t>: 8-22 [PMID: 30361550 DOI: 10.1038/s41422-018-0103-x]</w:t>
      </w:r>
    </w:p>
    <w:p w14:paraId="23818400"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49 </w:t>
      </w:r>
      <w:r w:rsidRPr="005D68FE">
        <w:rPr>
          <w:rFonts w:ascii="Book Antiqua" w:hAnsi="Book Antiqua"/>
          <w:b/>
          <w:sz w:val="24"/>
          <w:szCs w:val="24"/>
        </w:rPr>
        <w:t>Aoyama K</w:t>
      </w:r>
      <w:r w:rsidRPr="005D68FE">
        <w:rPr>
          <w:rFonts w:ascii="Book Antiqua" w:hAnsi="Book Antiqua"/>
          <w:sz w:val="24"/>
          <w:szCs w:val="24"/>
        </w:rPr>
        <w:t xml:space="preserve">, Oritani K, Yokota T, Ishikawa J, Nishiura T, Miyake K, Kanakura Y, Tomiyama Y, Kincade PW, Matsuzawa Y. Stromal cell CD9 regulates differentiation of hematopoietic stem/progenitor cells. </w:t>
      </w:r>
      <w:r w:rsidRPr="005D68FE">
        <w:rPr>
          <w:rFonts w:ascii="Book Antiqua" w:hAnsi="Book Antiqua"/>
          <w:i/>
          <w:sz w:val="24"/>
          <w:szCs w:val="24"/>
        </w:rPr>
        <w:t>Blood</w:t>
      </w:r>
      <w:r w:rsidRPr="005D68FE">
        <w:rPr>
          <w:rFonts w:ascii="Book Antiqua" w:hAnsi="Book Antiqua"/>
          <w:sz w:val="24"/>
          <w:szCs w:val="24"/>
        </w:rPr>
        <w:t xml:space="preserve"> 1999; </w:t>
      </w:r>
      <w:r w:rsidRPr="005D68FE">
        <w:rPr>
          <w:rFonts w:ascii="Book Antiqua" w:hAnsi="Book Antiqua"/>
          <w:b/>
          <w:sz w:val="24"/>
          <w:szCs w:val="24"/>
        </w:rPr>
        <w:t>93</w:t>
      </w:r>
      <w:r w:rsidRPr="005D68FE">
        <w:rPr>
          <w:rFonts w:ascii="Book Antiqua" w:hAnsi="Book Antiqua"/>
          <w:sz w:val="24"/>
          <w:szCs w:val="24"/>
        </w:rPr>
        <w:t>: 2586-2594 [PMID: 10194438]</w:t>
      </w:r>
    </w:p>
    <w:p w14:paraId="3AB1B916"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50 </w:t>
      </w:r>
      <w:r w:rsidRPr="005D68FE">
        <w:rPr>
          <w:rFonts w:ascii="Book Antiqua" w:hAnsi="Book Antiqua"/>
          <w:b/>
          <w:sz w:val="24"/>
          <w:szCs w:val="24"/>
        </w:rPr>
        <w:t>Lee SH</w:t>
      </w:r>
      <w:r w:rsidRPr="005D68FE">
        <w:rPr>
          <w:rFonts w:ascii="Book Antiqua" w:hAnsi="Book Antiqua"/>
          <w:sz w:val="24"/>
          <w:szCs w:val="24"/>
        </w:rPr>
        <w:t xml:space="preserve">, Paek AR, Yoon K, Kim SH, Lee SY, You HJ. Tight junction protein 1 is regulated by transforming growth factor-β and contributes to cell motility in NSCLC cells. </w:t>
      </w:r>
      <w:r w:rsidRPr="005D68FE">
        <w:rPr>
          <w:rFonts w:ascii="Book Antiqua" w:hAnsi="Book Antiqua"/>
          <w:i/>
          <w:sz w:val="24"/>
          <w:szCs w:val="24"/>
        </w:rPr>
        <w:t>BMB Rep</w:t>
      </w:r>
      <w:r w:rsidRPr="005D68FE">
        <w:rPr>
          <w:rFonts w:ascii="Book Antiqua" w:hAnsi="Book Antiqua"/>
          <w:sz w:val="24"/>
          <w:szCs w:val="24"/>
        </w:rPr>
        <w:t xml:space="preserve"> 2015; </w:t>
      </w:r>
      <w:r w:rsidRPr="005D68FE">
        <w:rPr>
          <w:rFonts w:ascii="Book Antiqua" w:hAnsi="Book Antiqua"/>
          <w:b/>
          <w:sz w:val="24"/>
          <w:szCs w:val="24"/>
        </w:rPr>
        <w:t>48</w:t>
      </w:r>
      <w:r w:rsidRPr="005D68FE">
        <w:rPr>
          <w:rFonts w:ascii="Book Antiqua" w:hAnsi="Book Antiqua"/>
          <w:sz w:val="24"/>
          <w:szCs w:val="24"/>
        </w:rPr>
        <w:t>: 115-120 [PMID: 25027596 DOI: 10.5483/BMBRep.2015.48.2.035]</w:t>
      </w:r>
    </w:p>
    <w:p w14:paraId="4F16469A" w14:textId="6D11A82D"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51 </w:t>
      </w:r>
      <w:r w:rsidRPr="005D68FE">
        <w:rPr>
          <w:rFonts w:ascii="Book Antiqua" w:hAnsi="Book Antiqua"/>
          <w:b/>
          <w:sz w:val="24"/>
          <w:szCs w:val="24"/>
        </w:rPr>
        <w:t>Rao P</w:t>
      </w:r>
      <w:r w:rsidRPr="005D68FE">
        <w:rPr>
          <w:rFonts w:ascii="Book Antiqua" w:hAnsi="Book Antiqua"/>
          <w:sz w:val="24"/>
          <w:szCs w:val="24"/>
        </w:rPr>
        <w:t xml:space="preserve">, Wang H, Fang H, Gao Q, Zhang J, Song M, Zhou Y, Wang Y, Wang W. Association between IGF2BP2 Polymorphisms and Type 2 Diabetes Mellitus: A Case-Control Study and Meta-Analysis. </w:t>
      </w:r>
      <w:r w:rsidRPr="005D68FE">
        <w:rPr>
          <w:rFonts w:ascii="Book Antiqua" w:hAnsi="Book Antiqua"/>
          <w:i/>
          <w:sz w:val="24"/>
          <w:szCs w:val="24"/>
        </w:rPr>
        <w:t>Int J Environ Res Public Health</w:t>
      </w:r>
      <w:r w:rsidRPr="005D68FE">
        <w:rPr>
          <w:rFonts w:ascii="Book Antiqua" w:hAnsi="Book Antiqua"/>
          <w:sz w:val="24"/>
          <w:szCs w:val="24"/>
        </w:rPr>
        <w:t xml:space="preserve"> 2016; </w:t>
      </w:r>
      <w:r w:rsidRPr="005D68FE">
        <w:rPr>
          <w:rFonts w:ascii="Book Antiqua" w:hAnsi="Book Antiqua"/>
          <w:b/>
          <w:sz w:val="24"/>
          <w:szCs w:val="24"/>
        </w:rPr>
        <w:t>13</w:t>
      </w:r>
      <w:r w:rsidRPr="005D68FE">
        <w:rPr>
          <w:rFonts w:ascii="Book Antiqua" w:hAnsi="Book Antiqua"/>
          <w:sz w:val="24"/>
          <w:szCs w:val="24"/>
        </w:rPr>
        <w:t xml:space="preserve"> [PMID: 27294943 DOI: 10.3390/ijerph13060574]</w:t>
      </w:r>
    </w:p>
    <w:p w14:paraId="249F51F9"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lastRenderedPageBreak/>
        <w:t xml:space="preserve">52 </w:t>
      </w:r>
      <w:r w:rsidRPr="005D68FE">
        <w:rPr>
          <w:rFonts w:ascii="Book Antiqua" w:hAnsi="Book Antiqua"/>
          <w:b/>
          <w:sz w:val="24"/>
          <w:szCs w:val="24"/>
        </w:rPr>
        <w:t>Paudyal P</w:t>
      </w:r>
      <w:r w:rsidRPr="005D68FE">
        <w:rPr>
          <w:rFonts w:ascii="Book Antiqua" w:hAnsi="Book Antiqua"/>
          <w:sz w:val="24"/>
          <w:szCs w:val="24"/>
        </w:rPr>
        <w:t xml:space="preserve">, Shrestha S, Madanayake T, Shuster CB, Rohrschneider LR, Rowland A, Lyons BA. Grb7 and Filamin-a associate and are colocalized to cell membrane ruffles upon EGF stimulation. </w:t>
      </w:r>
      <w:r w:rsidRPr="005D68FE">
        <w:rPr>
          <w:rFonts w:ascii="Book Antiqua" w:hAnsi="Book Antiqua"/>
          <w:i/>
          <w:sz w:val="24"/>
          <w:szCs w:val="24"/>
        </w:rPr>
        <w:t>J Mol Recognit</w:t>
      </w:r>
      <w:r w:rsidRPr="005D68FE">
        <w:rPr>
          <w:rFonts w:ascii="Book Antiqua" w:hAnsi="Book Antiqua"/>
          <w:sz w:val="24"/>
          <w:szCs w:val="24"/>
        </w:rPr>
        <w:t xml:space="preserve"> 2013; </w:t>
      </w:r>
      <w:r w:rsidRPr="005D68FE">
        <w:rPr>
          <w:rFonts w:ascii="Book Antiqua" w:hAnsi="Book Antiqua"/>
          <w:b/>
          <w:sz w:val="24"/>
          <w:szCs w:val="24"/>
        </w:rPr>
        <w:t>26</w:t>
      </w:r>
      <w:r w:rsidRPr="005D68FE">
        <w:rPr>
          <w:rFonts w:ascii="Book Antiqua" w:hAnsi="Book Antiqua"/>
          <w:sz w:val="24"/>
          <w:szCs w:val="24"/>
        </w:rPr>
        <w:t>: 532-541 [PMID: 24089360 DOI: 10.1002/jmr.2297]</w:t>
      </w:r>
    </w:p>
    <w:p w14:paraId="0F1870A3"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53 </w:t>
      </w:r>
      <w:r w:rsidRPr="005D68FE">
        <w:rPr>
          <w:rFonts w:ascii="Book Antiqua" w:hAnsi="Book Antiqua"/>
          <w:b/>
          <w:sz w:val="24"/>
          <w:szCs w:val="24"/>
        </w:rPr>
        <w:t>Liu M</w:t>
      </w:r>
      <w:r w:rsidRPr="005D68FE">
        <w:rPr>
          <w:rFonts w:ascii="Book Antiqua" w:hAnsi="Book Antiqua"/>
          <w:sz w:val="24"/>
          <w:szCs w:val="24"/>
        </w:rPr>
        <w:t xml:space="preserve">, Seo J, Allegood J, Bi X, Zhu X, Boudyguina E, Gebre AK, Avni D, Shah D, Sorci-Thomas MG, Thomas MJ, Shelness GS, Spiegel S, Parks JS. Hepatic apolipoprotein M (apoM) overexpression stimulates formation of larger apoM/sphingosine 1-phosphate-enriched plasma high density lipoprotein. </w:t>
      </w:r>
      <w:r w:rsidRPr="005D68FE">
        <w:rPr>
          <w:rFonts w:ascii="Book Antiqua" w:hAnsi="Book Antiqua"/>
          <w:i/>
          <w:sz w:val="24"/>
          <w:szCs w:val="24"/>
        </w:rPr>
        <w:t>J Biol Chem</w:t>
      </w:r>
      <w:r w:rsidRPr="005D68FE">
        <w:rPr>
          <w:rFonts w:ascii="Book Antiqua" w:hAnsi="Book Antiqua"/>
          <w:sz w:val="24"/>
          <w:szCs w:val="24"/>
        </w:rPr>
        <w:t xml:space="preserve"> 2014; </w:t>
      </w:r>
      <w:r w:rsidRPr="005D68FE">
        <w:rPr>
          <w:rFonts w:ascii="Book Antiqua" w:hAnsi="Book Antiqua"/>
          <w:b/>
          <w:sz w:val="24"/>
          <w:szCs w:val="24"/>
        </w:rPr>
        <w:t>289</w:t>
      </w:r>
      <w:r w:rsidRPr="005D68FE">
        <w:rPr>
          <w:rFonts w:ascii="Book Antiqua" w:hAnsi="Book Antiqua"/>
          <w:sz w:val="24"/>
          <w:szCs w:val="24"/>
        </w:rPr>
        <w:t>: 2801-2814 [PMID: 24318881 DOI: 10.1074/jbc.M113.499913]</w:t>
      </w:r>
    </w:p>
    <w:p w14:paraId="37A5D304"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54 </w:t>
      </w:r>
      <w:r w:rsidRPr="005D68FE">
        <w:rPr>
          <w:rFonts w:ascii="Book Antiqua" w:hAnsi="Book Antiqua"/>
          <w:b/>
          <w:sz w:val="24"/>
          <w:szCs w:val="24"/>
        </w:rPr>
        <w:t>Xu N</w:t>
      </w:r>
      <w:r w:rsidRPr="005D68FE">
        <w:rPr>
          <w:rFonts w:ascii="Book Antiqua" w:hAnsi="Book Antiqua"/>
          <w:sz w:val="24"/>
          <w:szCs w:val="24"/>
        </w:rPr>
        <w:t xml:space="preserve">, Dahlbäck B. A novel human apolipoprotein (apoM). </w:t>
      </w:r>
      <w:r w:rsidRPr="005D68FE">
        <w:rPr>
          <w:rFonts w:ascii="Book Antiqua" w:hAnsi="Book Antiqua"/>
          <w:i/>
          <w:sz w:val="24"/>
          <w:szCs w:val="24"/>
        </w:rPr>
        <w:t>J Biol Chem</w:t>
      </w:r>
      <w:r w:rsidRPr="005D68FE">
        <w:rPr>
          <w:rFonts w:ascii="Book Antiqua" w:hAnsi="Book Antiqua"/>
          <w:sz w:val="24"/>
          <w:szCs w:val="24"/>
        </w:rPr>
        <w:t xml:space="preserve"> 1999; </w:t>
      </w:r>
      <w:r w:rsidRPr="005D68FE">
        <w:rPr>
          <w:rFonts w:ascii="Book Antiqua" w:hAnsi="Book Antiqua"/>
          <w:b/>
          <w:sz w:val="24"/>
          <w:szCs w:val="24"/>
        </w:rPr>
        <w:t>274</w:t>
      </w:r>
      <w:r w:rsidRPr="005D68FE">
        <w:rPr>
          <w:rFonts w:ascii="Book Antiqua" w:hAnsi="Book Antiqua"/>
          <w:sz w:val="24"/>
          <w:szCs w:val="24"/>
        </w:rPr>
        <w:t>: 31286-31290 [PMID: 10531326 DOI: 10.1074/jbc.274.44.31286]</w:t>
      </w:r>
    </w:p>
    <w:p w14:paraId="6F9D03F6"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55 </w:t>
      </w:r>
      <w:r w:rsidRPr="005D68FE">
        <w:rPr>
          <w:rFonts w:ascii="Book Antiqua" w:hAnsi="Book Antiqua"/>
          <w:b/>
          <w:sz w:val="24"/>
          <w:szCs w:val="24"/>
        </w:rPr>
        <w:t>Chen Z</w:t>
      </w:r>
      <w:r w:rsidRPr="005D68FE">
        <w:rPr>
          <w:rFonts w:ascii="Book Antiqua" w:hAnsi="Book Antiqua"/>
          <w:sz w:val="24"/>
          <w:szCs w:val="24"/>
        </w:rPr>
        <w:t xml:space="preserve">, Tang N, Wang X, Chen Y. The activity of the carbamoyl phosphate synthase 1 promoter in human liver-derived cells is dependent on hepatocyte nuclear factor 3-beta. </w:t>
      </w:r>
      <w:r w:rsidRPr="005D68FE">
        <w:rPr>
          <w:rFonts w:ascii="Book Antiqua" w:hAnsi="Book Antiqua"/>
          <w:i/>
          <w:sz w:val="24"/>
          <w:szCs w:val="24"/>
        </w:rPr>
        <w:t>J Cell Mol Med</w:t>
      </w:r>
      <w:r w:rsidRPr="005D68FE">
        <w:rPr>
          <w:rFonts w:ascii="Book Antiqua" w:hAnsi="Book Antiqua"/>
          <w:sz w:val="24"/>
          <w:szCs w:val="24"/>
        </w:rPr>
        <w:t xml:space="preserve"> 2017; </w:t>
      </w:r>
      <w:r w:rsidRPr="005D68FE">
        <w:rPr>
          <w:rFonts w:ascii="Book Antiqua" w:hAnsi="Book Antiqua"/>
          <w:b/>
          <w:sz w:val="24"/>
          <w:szCs w:val="24"/>
        </w:rPr>
        <w:t>21</w:t>
      </w:r>
      <w:r w:rsidRPr="005D68FE">
        <w:rPr>
          <w:rFonts w:ascii="Book Antiqua" w:hAnsi="Book Antiqua"/>
          <w:sz w:val="24"/>
          <w:szCs w:val="24"/>
        </w:rPr>
        <w:t>: 2036-2045 [PMID: 28272778 DOI: 10.1111/jcmm.13123]</w:t>
      </w:r>
    </w:p>
    <w:p w14:paraId="75ADE774"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56 </w:t>
      </w:r>
      <w:r w:rsidRPr="005D68FE">
        <w:rPr>
          <w:rFonts w:ascii="Book Antiqua" w:hAnsi="Book Antiqua"/>
          <w:b/>
          <w:sz w:val="24"/>
          <w:szCs w:val="24"/>
        </w:rPr>
        <w:t>Schaffner CA</w:t>
      </w:r>
      <w:r w:rsidRPr="005D68FE">
        <w:rPr>
          <w:rFonts w:ascii="Book Antiqua" w:hAnsi="Book Antiqua"/>
          <w:sz w:val="24"/>
          <w:szCs w:val="24"/>
        </w:rPr>
        <w:t xml:space="preserve">, Mwinyi J, Gai Z, Thasler WE, Eloranta JJ, Kullak-Ublick GA. The organic solute transporters alpha and beta are induced by hypoxia in human hepatocytes. </w:t>
      </w:r>
      <w:r w:rsidRPr="005D68FE">
        <w:rPr>
          <w:rFonts w:ascii="Book Antiqua" w:hAnsi="Book Antiqua"/>
          <w:i/>
          <w:sz w:val="24"/>
          <w:szCs w:val="24"/>
        </w:rPr>
        <w:t>Liver Int</w:t>
      </w:r>
      <w:r w:rsidRPr="005D68FE">
        <w:rPr>
          <w:rFonts w:ascii="Book Antiqua" w:hAnsi="Book Antiqua"/>
          <w:sz w:val="24"/>
          <w:szCs w:val="24"/>
        </w:rPr>
        <w:t xml:space="preserve"> 2015; </w:t>
      </w:r>
      <w:r w:rsidRPr="005D68FE">
        <w:rPr>
          <w:rFonts w:ascii="Book Antiqua" w:hAnsi="Book Antiqua"/>
          <w:b/>
          <w:sz w:val="24"/>
          <w:szCs w:val="24"/>
        </w:rPr>
        <w:t>35</w:t>
      </w:r>
      <w:r w:rsidRPr="005D68FE">
        <w:rPr>
          <w:rFonts w:ascii="Book Antiqua" w:hAnsi="Book Antiqua"/>
          <w:sz w:val="24"/>
          <w:szCs w:val="24"/>
        </w:rPr>
        <w:t>: 1152-1161 [PMID: 24703425 DOI: 10.1111/liv.12558]</w:t>
      </w:r>
    </w:p>
    <w:p w14:paraId="2B954D58"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57 </w:t>
      </w:r>
      <w:r w:rsidRPr="005D68FE">
        <w:rPr>
          <w:rFonts w:ascii="Book Antiqua" w:hAnsi="Book Antiqua"/>
          <w:b/>
          <w:sz w:val="24"/>
          <w:szCs w:val="24"/>
        </w:rPr>
        <w:t>Schwerd T</w:t>
      </w:r>
      <w:r w:rsidRPr="005D68FE">
        <w:rPr>
          <w:rFonts w:ascii="Book Antiqua" w:hAnsi="Book Antiqua"/>
          <w:sz w:val="24"/>
          <w:szCs w:val="24"/>
        </w:rPr>
        <w:t xml:space="preserve">, Twigg SRF, Aschenbrenner D, Manrique S, Miller KA, Taylor IB, Capitani M, McGowan SJ, Sweeney E, Weber A, Chen L, Bowness P, Riordan A, Cant A, Freeman AF, Milner JD, Holland SM, Frede N, Müller M, Schmidt-Arras D, Grimbacher B, Wall SA, Jones EY, Wilkie AOM, Uhlig HH. A biallelic mutation in &lt;i&gt;IL6ST&lt;/i&gt; encoding the GP130 co-receptor causes </w:t>
      </w:r>
      <w:r w:rsidRPr="005D68FE">
        <w:rPr>
          <w:rFonts w:ascii="Book Antiqua" w:hAnsi="Book Antiqua"/>
          <w:sz w:val="24"/>
          <w:szCs w:val="24"/>
        </w:rPr>
        <w:lastRenderedPageBreak/>
        <w:t xml:space="preserve">immunodeficiency and craniosynostosis. </w:t>
      </w:r>
      <w:r w:rsidRPr="005D68FE">
        <w:rPr>
          <w:rFonts w:ascii="Book Antiqua" w:hAnsi="Book Antiqua"/>
          <w:i/>
          <w:sz w:val="24"/>
          <w:szCs w:val="24"/>
        </w:rPr>
        <w:t>J Exp Med</w:t>
      </w:r>
      <w:r w:rsidRPr="005D68FE">
        <w:rPr>
          <w:rFonts w:ascii="Book Antiqua" w:hAnsi="Book Antiqua"/>
          <w:sz w:val="24"/>
          <w:szCs w:val="24"/>
        </w:rPr>
        <w:t xml:space="preserve"> 2017; </w:t>
      </w:r>
      <w:r w:rsidRPr="005D68FE">
        <w:rPr>
          <w:rFonts w:ascii="Book Antiqua" w:hAnsi="Book Antiqua"/>
          <w:b/>
          <w:sz w:val="24"/>
          <w:szCs w:val="24"/>
        </w:rPr>
        <w:t>214</w:t>
      </w:r>
      <w:r w:rsidRPr="005D68FE">
        <w:rPr>
          <w:rFonts w:ascii="Book Antiqua" w:hAnsi="Book Antiqua"/>
          <w:sz w:val="24"/>
          <w:szCs w:val="24"/>
        </w:rPr>
        <w:t>: 2547-2562 [PMID: 28747427 DOI: 10.1084/jem.20161810]</w:t>
      </w:r>
    </w:p>
    <w:p w14:paraId="19C4FAB8"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58 </w:t>
      </w:r>
      <w:r w:rsidRPr="005D68FE">
        <w:rPr>
          <w:rFonts w:ascii="Book Antiqua" w:hAnsi="Book Antiqua"/>
          <w:b/>
          <w:sz w:val="24"/>
          <w:szCs w:val="24"/>
        </w:rPr>
        <w:t>Oaxaca-Castillo D</w:t>
      </w:r>
      <w:r w:rsidRPr="005D68FE">
        <w:rPr>
          <w:rFonts w:ascii="Book Antiqua" w:hAnsi="Book Antiqua"/>
          <w:sz w:val="24"/>
          <w:szCs w:val="24"/>
        </w:rPr>
        <w:t xml:space="preserve">, Andreoletti P, Vluggens A, Yu S, van Veldhoven PP, Reddy JK, Cherkaoui-Malki M. Biochemical characterization of two functional human liver acyl-CoA oxidase isoforms 1a and 1b encoded by a single gene. </w:t>
      </w:r>
      <w:r w:rsidRPr="005D68FE">
        <w:rPr>
          <w:rFonts w:ascii="Book Antiqua" w:hAnsi="Book Antiqua"/>
          <w:i/>
          <w:sz w:val="24"/>
          <w:szCs w:val="24"/>
        </w:rPr>
        <w:t>Biochem Biophys Res Commun</w:t>
      </w:r>
      <w:r w:rsidRPr="005D68FE">
        <w:rPr>
          <w:rFonts w:ascii="Book Antiqua" w:hAnsi="Book Antiqua"/>
          <w:sz w:val="24"/>
          <w:szCs w:val="24"/>
        </w:rPr>
        <w:t xml:space="preserve"> 2007; </w:t>
      </w:r>
      <w:r w:rsidRPr="005D68FE">
        <w:rPr>
          <w:rFonts w:ascii="Book Antiqua" w:hAnsi="Book Antiqua"/>
          <w:b/>
          <w:sz w:val="24"/>
          <w:szCs w:val="24"/>
        </w:rPr>
        <w:t>360</w:t>
      </w:r>
      <w:r w:rsidRPr="005D68FE">
        <w:rPr>
          <w:rFonts w:ascii="Book Antiqua" w:hAnsi="Book Antiqua"/>
          <w:sz w:val="24"/>
          <w:szCs w:val="24"/>
        </w:rPr>
        <w:t>: 314-319 [PMID: 17603022 DOI: 10.1016/j.bbrc.2007.06.059]</w:t>
      </w:r>
    </w:p>
    <w:p w14:paraId="34D31ED7"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59 </w:t>
      </w:r>
      <w:r w:rsidRPr="005D68FE">
        <w:rPr>
          <w:rFonts w:ascii="Book Antiqua" w:hAnsi="Book Antiqua"/>
          <w:b/>
          <w:sz w:val="24"/>
          <w:szCs w:val="24"/>
        </w:rPr>
        <w:t>Kölsch H</w:t>
      </w:r>
      <w:r w:rsidRPr="005D68FE">
        <w:rPr>
          <w:rFonts w:ascii="Book Antiqua" w:hAnsi="Book Antiqua"/>
          <w:sz w:val="24"/>
          <w:szCs w:val="24"/>
        </w:rPr>
        <w:t xml:space="preserve">, Lütjohann D, Jessen F, Popp J, Hentschel F, Kelemen P, Friedrichs S, Maier TA, Heun R. RXRA gene variations influence Alzheimer's disease risk and cholesterol metabolism. </w:t>
      </w:r>
      <w:r w:rsidRPr="005D68FE">
        <w:rPr>
          <w:rFonts w:ascii="Book Antiqua" w:hAnsi="Book Antiqua"/>
          <w:i/>
          <w:sz w:val="24"/>
          <w:szCs w:val="24"/>
        </w:rPr>
        <w:t>J Cell Mol Med</w:t>
      </w:r>
      <w:r w:rsidRPr="005D68FE">
        <w:rPr>
          <w:rFonts w:ascii="Book Antiqua" w:hAnsi="Book Antiqua"/>
          <w:sz w:val="24"/>
          <w:szCs w:val="24"/>
        </w:rPr>
        <w:t xml:space="preserve"> 2009; </w:t>
      </w:r>
      <w:r w:rsidRPr="005D68FE">
        <w:rPr>
          <w:rFonts w:ascii="Book Antiqua" w:hAnsi="Book Antiqua"/>
          <w:b/>
          <w:sz w:val="24"/>
          <w:szCs w:val="24"/>
        </w:rPr>
        <w:t>13</w:t>
      </w:r>
      <w:r w:rsidRPr="005D68FE">
        <w:rPr>
          <w:rFonts w:ascii="Book Antiqua" w:hAnsi="Book Antiqua"/>
          <w:sz w:val="24"/>
          <w:szCs w:val="24"/>
        </w:rPr>
        <w:t>: 589-598 [PMID: 19374686 DOI: 10.1111/j.1582-4934.2009.00383.x]</w:t>
      </w:r>
    </w:p>
    <w:p w14:paraId="2252E836"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60 </w:t>
      </w:r>
      <w:r w:rsidRPr="005D68FE">
        <w:rPr>
          <w:rFonts w:ascii="Book Antiqua" w:hAnsi="Book Antiqua"/>
          <w:b/>
          <w:sz w:val="24"/>
          <w:szCs w:val="24"/>
        </w:rPr>
        <w:t>Wen X</w:t>
      </w:r>
      <w:r w:rsidRPr="005D68FE">
        <w:rPr>
          <w:rFonts w:ascii="Book Antiqua" w:hAnsi="Book Antiqua"/>
          <w:sz w:val="24"/>
          <w:szCs w:val="24"/>
        </w:rPr>
        <w:t xml:space="preserve">, Joy MS, Aleksunes LM. In Vitro Transport Activity and Trafficking of MRP2/ABCC2 Polymorphic Variants. </w:t>
      </w:r>
      <w:r w:rsidRPr="005D68FE">
        <w:rPr>
          <w:rFonts w:ascii="Book Antiqua" w:hAnsi="Book Antiqua"/>
          <w:i/>
          <w:sz w:val="24"/>
          <w:szCs w:val="24"/>
        </w:rPr>
        <w:t>Pharm Res</w:t>
      </w:r>
      <w:r w:rsidRPr="005D68FE">
        <w:rPr>
          <w:rFonts w:ascii="Book Antiqua" w:hAnsi="Book Antiqua"/>
          <w:sz w:val="24"/>
          <w:szCs w:val="24"/>
        </w:rPr>
        <w:t xml:space="preserve"> 2017; </w:t>
      </w:r>
      <w:r w:rsidRPr="005D68FE">
        <w:rPr>
          <w:rFonts w:ascii="Book Antiqua" w:hAnsi="Book Antiqua"/>
          <w:b/>
          <w:sz w:val="24"/>
          <w:szCs w:val="24"/>
        </w:rPr>
        <w:t>34</w:t>
      </w:r>
      <w:r w:rsidRPr="005D68FE">
        <w:rPr>
          <w:rFonts w:ascii="Book Antiqua" w:hAnsi="Book Antiqua"/>
          <w:sz w:val="24"/>
          <w:szCs w:val="24"/>
        </w:rPr>
        <w:t>: 1637-1647 [PMID: 28405913 DOI: 10.1007/s11095-017-2160-0]</w:t>
      </w:r>
    </w:p>
    <w:p w14:paraId="61A32BBE" w14:textId="77777777" w:rsidR="005D68FE" w:rsidRPr="005D68FE" w:rsidRDefault="005D68FE" w:rsidP="005D68FE">
      <w:pPr>
        <w:spacing w:line="360" w:lineRule="auto"/>
        <w:jc w:val="both"/>
        <w:rPr>
          <w:rFonts w:ascii="Book Antiqua" w:hAnsi="Book Antiqua"/>
          <w:sz w:val="24"/>
          <w:szCs w:val="24"/>
        </w:rPr>
      </w:pPr>
      <w:r w:rsidRPr="005D68FE">
        <w:rPr>
          <w:rFonts w:ascii="Book Antiqua" w:hAnsi="Book Antiqua"/>
          <w:sz w:val="24"/>
          <w:szCs w:val="24"/>
        </w:rPr>
        <w:t xml:space="preserve">61 </w:t>
      </w:r>
      <w:r w:rsidRPr="005D68FE">
        <w:rPr>
          <w:rFonts w:ascii="Book Antiqua" w:hAnsi="Book Antiqua"/>
          <w:b/>
          <w:sz w:val="24"/>
          <w:szCs w:val="24"/>
        </w:rPr>
        <w:t>Yu HJ</w:t>
      </w:r>
      <w:r w:rsidRPr="005D68FE">
        <w:rPr>
          <w:rFonts w:ascii="Book Antiqua" w:hAnsi="Book Antiqua"/>
          <w:sz w:val="24"/>
          <w:szCs w:val="24"/>
        </w:rPr>
        <w:t xml:space="preserve">, Lee SH, Lee S, Choi YJ, Oh D, Nam KH, Yun Y, Ryu DY. Biochemical characterization of variants of canine CYP1A1 using heterologous expression. </w:t>
      </w:r>
      <w:r w:rsidRPr="005D68FE">
        <w:rPr>
          <w:rFonts w:ascii="Book Antiqua" w:hAnsi="Book Antiqua"/>
          <w:i/>
          <w:sz w:val="24"/>
          <w:szCs w:val="24"/>
        </w:rPr>
        <w:t>J Vet Med Sci</w:t>
      </w:r>
      <w:r w:rsidRPr="005D68FE">
        <w:rPr>
          <w:rFonts w:ascii="Book Antiqua" w:hAnsi="Book Antiqua"/>
          <w:sz w:val="24"/>
          <w:szCs w:val="24"/>
        </w:rPr>
        <w:t xml:space="preserve"> 2017; </w:t>
      </w:r>
      <w:r w:rsidRPr="005D68FE">
        <w:rPr>
          <w:rFonts w:ascii="Book Antiqua" w:hAnsi="Book Antiqua"/>
          <w:b/>
          <w:sz w:val="24"/>
          <w:szCs w:val="24"/>
        </w:rPr>
        <w:t>79</w:t>
      </w:r>
      <w:r w:rsidRPr="005D68FE">
        <w:rPr>
          <w:rFonts w:ascii="Book Antiqua" w:hAnsi="Book Antiqua"/>
          <w:sz w:val="24"/>
          <w:szCs w:val="24"/>
        </w:rPr>
        <w:t>: 1327-1334 [PMID: 28652520 DOI: 10.1292/jvms.17-0192]</w:t>
      </w:r>
    </w:p>
    <w:p w14:paraId="450AE690" w14:textId="77777777" w:rsidR="001B5C16" w:rsidRPr="005D68FE" w:rsidRDefault="001B5C16" w:rsidP="005D68FE">
      <w:pPr>
        <w:autoSpaceDE/>
        <w:autoSpaceDN/>
        <w:snapToGrid w:val="0"/>
        <w:spacing w:line="360" w:lineRule="auto"/>
        <w:jc w:val="both"/>
        <w:rPr>
          <w:rFonts w:ascii="Book Antiqua" w:hAnsi="Book Antiqua"/>
          <w:color w:val="000000" w:themeColor="text1"/>
          <w:sz w:val="24"/>
          <w:szCs w:val="24"/>
        </w:rPr>
      </w:pPr>
    </w:p>
    <w:p w14:paraId="6C3FCD1E" w14:textId="6722CB7D" w:rsidR="001B5C16" w:rsidRPr="005D68FE" w:rsidRDefault="001B5C16" w:rsidP="00336BFC">
      <w:pPr>
        <w:snapToGrid w:val="0"/>
        <w:spacing w:line="360" w:lineRule="auto"/>
        <w:ind w:left="360" w:hangingChars="150" w:hanging="360"/>
        <w:jc w:val="both"/>
        <w:rPr>
          <w:rFonts w:ascii="Book Antiqua" w:hAnsi="Book Antiqua"/>
          <w:color w:val="000000"/>
          <w:sz w:val="24"/>
          <w:szCs w:val="24"/>
          <w:lang w:eastAsia="zh-CN"/>
        </w:rPr>
      </w:pPr>
      <w:r w:rsidRPr="005D68FE">
        <w:rPr>
          <w:rFonts w:ascii="Book Antiqua" w:hAnsi="Book Antiqua"/>
          <w:b/>
          <w:bCs/>
          <w:color w:val="000000"/>
          <w:sz w:val="24"/>
          <w:szCs w:val="24"/>
        </w:rPr>
        <w:t xml:space="preserve">P-Reviewer: </w:t>
      </w:r>
      <w:r w:rsidR="00C76C6A" w:rsidRPr="005D68FE">
        <w:rPr>
          <w:rFonts w:ascii="Book Antiqua" w:eastAsia="DengXian" w:hAnsi="Book Antiqua"/>
          <w:color w:val="000000"/>
          <w:sz w:val="24"/>
          <w:szCs w:val="24"/>
          <w:shd w:val="clear" w:color="auto" w:fill="FFFFFF"/>
          <w:lang w:eastAsia="zh-CN"/>
        </w:rPr>
        <w:t>Li W</w:t>
      </w:r>
      <w:r w:rsidRPr="005D68FE">
        <w:rPr>
          <w:rFonts w:ascii="Book Antiqua" w:hAnsi="Book Antiqua"/>
          <w:bCs/>
          <w:color w:val="000000"/>
          <w:sz w:val="24"/>
          <w:szCs w:val="24"/>
          <w:lang w:eastAsia="zh-CN"/>
        </w:rPr>
        <w:t xml:space="preserve">, </w:t>
      </w:r>
      <w:r w:rsidRPr="005D68FE">
        <w:rPr>
          <w:rFonts w:ascii="Book Antiqua" w:hAnsi="Book Antiqua"/>
          <w:color w:val="000000"/>
          <w:sz w:val="24"/>
          <w:szCs w:val="24"/>
          <w:shd w:val="clear" w:color="auto" w:fill="FFFFFF"/>
        </w:rPr>
        <w:t>Ku SY</w:t>
      </w:r>
      <w:r w:rsidRPr="005D68FE">
        <w:rPr>
          <w:rFonts w:ascii="Book Antiqua" w:hAnsi="Book Antiqua"/>
          <w:bCs/>
          <w:color w:val="000000"/>
          <w:sz w:val="24"/>
          <w:szCs w:val="24"/>
          <w:lang w:eastAsia="zh-CN"/>
        </w:rPr>
        <w:t xml:space="preserve">, </w:t>
      </w:r>
      <w:r w:rsidRPr="005D68FE">
        <w:rPr>
          <w:rFonts w:ascii="Book Antiqua" w:hAnsi="Book Antiqua"/>
          <w:color w:val="000000"/>
          <w:sz w:val="24"/>
          <w:szCs w:val="24"/>
          <w:shd w:val="clear" w:color="auto" w:fill="FFFFFF"/>
        </w:rPr>
        <w:t>Vagholkar KR</w:t>
      </w:r>
      <w:r w:rsidRPr="005D68FE">
        <w:rPr>
          <w:rFonts w:ascii="Book Antiqua" w:hAnsi="Book Antiqua"/>
          <w:b/>
          <w:bCs/>
          <w:color w:val="000000"/>
          <w:sz w:val="24"/>
          <w:szCs w:val="24"/>
          <w:lang w:eastAsia="zh-CN"/>
        </w:rPr>
        <w:t xml:space="preserve"> </w:t>
      </w:r>
      <w:r w:rsidRPr="005D68FE">
        <w:rPr>
          <w:rFonts w:ascii="Book Antiqua" w:hAnsi="Book Antiqua"/>
          <w:b/>
          <w:bCs/>
          <w:color w:val="000000"/>
          <w:sz w:val="24"/>
          <w:szCs w:val="24"/>
        </w:rPr>
        <w:t>S-Editor:</w:t>
      </w:r>
      <w:r w:rsidRPr="005D68FE">
        <w:rPr>
          <w:rFonts w:ascii="Book Antiqua" w:hAnsi="Book Antiqua"/>
          <w:color w:val="000000"/>
          <w:sz w:val="24"/>
          <w:szCs w:val="24"/>
        </w:rPr>
        <w:t xml:space="preserve"> </w:t>
      </w:r>
      <w:r w:rsidR="00EB41F5" w:rsidRPr="005D68FE">
        <w:rPr>
          <w:rFonts w:ascii="Book Antiqua" w:hAnsi="Book Antiqua"/>
          <w:color w:val="000000"/>
          <w:sz w:val="24"/>
          <w:szCs w:val="24"/>
        </w:rPr>
        <w:t>Dou Y</w:t>
      </w:r>
      <w:r w:rsidR="00EB41F5" w:rsidRPr="005D68FE">
        <w:rPr>
          <w:rFonts w:ascii="Book Antiqua" w:eastAsia="DengXian" w:hAnsi="Book Antiqua"/>
          <w:color w:val="000000"/>
          <w:sz w:val="24"/>
          <w:szCs w:val="24"/>
          <w:lang w:eastAsia="zh-CN"/>
        </w:rPr>
        <w:t xml:space="preserve"> </w:t>
      </w:r>
      <w:r w:rsidRPr="005D68FE">
        <w:rPr>
          <w:rFonts w:ascii="Book Antiqua" w:hAnsi="Book Antiqua"/>
          <w:b/>
          <w:bCs/>
          <w:color w:val="000000"/>
          <w:sz w:val="24"/>
          <w:szCs w:val="24"/>
        </w:rPr>
        <w:t>L-Editor:</w:t>
      </w:r>
      <w:r w:rsidRPr="005D68FE">
        <w:rPr>
          <w:rFonts w:ascii="Book Antiqua" w:hAnsi="Book Antiqua"/>
          <w:color w:val="000000"/>
          <w:sz w:val="24"/>
          <w:szCs w:val="24"/>
        </w:rPr>
        <w:t xml:space="preserve"> </w:t>
      </w:r>
      <w:r w:rsidRPr="005D68FE">
        <w:rPr>
          <w:rFonts w:ascii="Book Antiqua" w:hAnsi="Book Antiqua"/>
          <w:b/>
          <w:bCs/>
          <w:color w:val="000000"/>
          <w:sz w:val="24"/>
          <w:szCs w:val="24"/>
        </w:rPr>
        <w:t>E-Editor:</w:t>
      </w:r>
    </w:p>
    <w:p w14:paraId="3B39AF0A" w14:textId="77777777" w:rsidR="001B5C16" w:rsidRPr="005D68FE" w:rsidRDefault="001B5C16" w:rsidP="005D68FE">
      <w:pPr>
        <w:shd w:val="clear" w:color="auto" w:fill="FFFFFF"/>
        <w:snapToGrid w:val="0"/>
        <w:spacing w:line="360" w:lineRule="auto"/>
        <w:jc w:val="both"/>
        <w:rPr>
          <w:rFonts w:ascii="Book Antiqua" w:hAnsi="Book Antiqua" w:cs="Helvetica"/>
          <w:b/>
          <w:sz w:val="24"/>
          <w:szCs w:val="24"/>
        </w:rPr>
      </w:pPr>
    </w:p>
    <w:p w14:paraId="66F3464D" w14:textId="1BB5339E" w:rsidR="001B5C16" w:rsidRPr="005D68FE" w:rsidRDefault="001B5C16" w:rsidP="005D68FE">
      <w:pPr>
        <w:shd w:val="clear" w:color="auto" w:fill="FFFFFF"/>
        <w:snapToGrid w:val="0"/>
        <w:spacing w:line="360" w:lineRule="auto"/>
        <w:jc w:val="both"/>
        <w:rPr>
          <w:rFonts w:ascii="Book Antiqua" w:hAnsi="Book Antiqua" w:cs="Helvetica"/>
          <w:b/>
          <w:sz w:val="24"/>
          <w:szCs w:val="24"/>
        </w:rPr>
      </w:pPr>
      <w:r w:rsidRPr="005D68FE">
        <w:rPr>
          <w:rFonts w:ascii="Book Antiqua" w:hAnsi="Book Antiqua" w:cs="Helvetica"/>
          <w:b/>
          <w:sz w:val="24"/>
          <w:szCs w:val="24"/>
        </w:rPr>
        <w:t xml:space="preserve">Specialty type: </w:t>
      </w:r>
      <w:r w:rsidRPr="005D68FE">
        <w:rPr>
          <w:rFonts w:ascii="Book Antiqua" w:eastAsia="Microsoft YaHei" w:hAnsi="Book Antiqua" w:cs="SimSun"/>
          <w:sz w:val="24"/>
          <w:szCs w:val="24"/>
        </w:rPr>
        <w:t>Cell and tissue engineering</w:t>
      </w:r>
    </w:p>
    <w:p w14:paraId="03D3CB95" w14:textId="3CE56662" w:rsidR="001B5C16" w:rsidRPr="005D68FE" w:rsidRDefault="001B5C16" w:rsidP="005D68FE">
      <w:pPr>
        <w:shd w:val="clear" w:color="auto" w:fill="FFFFFF"/>
        <w:snapToGrid w:val="0"/>
        <w:spacing w:line="360" w:lineRule="auto"/>
        <w:jc w:val="both"/>
        <w:rPr>
          <w:rFonts w:ascii="Book Antiqua" w:hAnsi="Book Antiqua" w:cs="Helvetica"/>
          <w:sz w:val="24"/>
          <w:szCs w:val="24"/>
        </w:rPr>
      </w:pPr>
      <w:r w:rsidRPr="005D68FE">
        <w:rPr>
          <w:rFonts w:ascii="Book Antiqua" w:hAnsi="Book Antiqua" w:cs="Helvetica"/>
          <w:b/>
          <w:sz w:val="24"/>
          <w:szCs w:val="24"/>
        </w:rPr>
        <w:t xml:space="preserve">Country of origin: </w:t>
      </w:r>
      <w:r w:rsidRPr="005D68FE">
        <w:rPr>
          <w:rFonts w:ascii="Book Antiqua" w:hAnsi="Book Antiqua" w:cs="Helvetica"/>
          <w:sz w:val="24"/>
          <w:szCs w:val="24"/>
        </w:rPr>
        <w:t>Japan</w:t>
      </w:r>
    </w:p>
    <w:p w14:paraId="631E9A89" w14:textId="45FFDD26" w:rsidR="001B5C16" w:rsidRPr="005D68FE" w:rsidRDefault="001B5C16" w:rsidP="005D68FE">
      <w:pPr>
        <w:shd w:val="clear" w:color="auto" w:fill="FFFFFF"/>
        <w:snapToGrid w:val="0"/>
        <w:spacing w:line="360" w:lineRule="auto"/>
        <w:jc w:val="both"/>
        <w:rPr>
          <w:rFonts w:ascii="Book Antiqua" w:hAnsi="Book Antiqua" w:cs="Helvetica"/>
          <w:b/>
          <w:sz w:val="24"/>
          <w:szCs w:val="24"/>
        </w:rPr>
      </w:pPr>
      <w:r w:rsidRPr="005D68FE">
        <w:rPr>
          <w:rFonts w:ascii="Book Antiqua" w:hAnsi="Book Antiqua" w:cs="Helvetica"/>
          <w:b/>
          <w:sz w:val="24"/>
          <w:szCs w:val="24"/>
        </w:rPr>
        <w:t>Peer-review report classification</w:t>
      </w:r>
    </w:p>
    <w:p w14:paraId="281B6B83" w14:textId="77777777" w:rsidR="001B5C16" w:rsidRPr="005D68FE" w:rsidRDefault="001B5C16" w:rsidP="005D68FE">
      <w:pPr>
        <w:shd w:val="clear" w:color="auto" w:fill="FFFFFF"/>
        <w:snapToGrid w:val="0"/>
        <w:spacing w:line="360" w:lineRule="auto"/>
        <w:jc w:val="both"/>
        <w:rPr>
          <w:rFonts w:ascii="Book Antiqua" w:hAnsi="Book Antiqua" w:cs="Helvetica"/>
          <w:sz w:val="24"/>
          <w:szCs w:val="24"/>
        </w:rPr>
      </w:pPr>
      <w:r w:rsidRPr="005D68FE">
        <w:rPr>
          <w:rFonts w:ascii="Book Antiqua" w:hAnsi="Book Antiqua" w:cs="Helvetica"/>
          <w:sz w:val="24"/>
          <w:szCs w:val="24"/>
        </w:rPr>
        <w:t>Grade A (Excellent): 0</w:t>
      </w:r>
    </w:p>
    <w:p w14:paraId="3EF85017" w14:textId="0428BEA1" w:rsidR="001B5C16" w:rsidRPr="005D68FE" w:rsidRDefault="001B5C16" w:rsidP="005D68FE">
      <w:pPr>
        <w:shd w:val="clear" w:color="auto" w:fill="FFFFFF"/>
        <w:snapToGrid w:val="0"/>
        <w:spacing w:line="360" w:lineRule="auto"/>
        <w:jc w:val="both"/>
        <w:rPr>
          <w:rFonts w:ascii="Book Antiqua" w:hAnsi="Book Antiqua" w:cs="Helvetica"/>
          <w:sz w:val="24"/>
          <w:szCs w:val="24"/>
        </w:rPr>
      </w:pPr>
      <w:r w:rsidRPr="005D68FE">
        <w:rPr>
          <w:rFonts w:ascii="Book Antiqua" w:hAnsi="Book Antiqua" w:cs="Helvetica"/>
          <w:sz w:val="24"/>
          <w:szCs w:val="24"/>
        </w:rPr>
        <w:t>Grade B (Very good): B, B, B</w:t>
      </w:r>
    </w:p>
    <w:p w14:paraId="5725517B" w14:textId="07AC3B7A" w:rsidR="001B5C16" w:rsidRPr="005D68FE" w:rsidRDefault="001B5C16" w:rsidP="005D68FE">
      <w:pPr>
        <w:shd w:val="clear" w:color="auto" w:fill="FFFFFF"/>
        <w:snapToGrid w:val="0"/>
        <w:spacing w:line="360" w:lineRule="auto"/>
        <w:jc w:val="both"/>
        <w:rPr>
          <w:rFonts w:ascii="Book Antiqua" w:hAnsi="Book Antiqua" w:cs="Helvetica"/>
          <w:sz w:val="24"/>
          <w:szCs w:val="24"/>
        </w:rPr>
      </w:pPr>
      <w:r w:rsidRPr="005D68FE">
        <w:rPr>
          <w:rFonts w:ascii="Book Antiqua" w:hAnsi="Book Antiqua" w:cs="Helvetica"/>
          <w:sz w:val="24"/>
          <w:szCs w:val="24"/>
        </w:rPr>
        <w:t>Grade C (Good): 0</w:t>
      </w:r>
    </w:p>
    <w:p w14:paraId="4DB3AE54" w14:textId="426F1AA9" w:rsidR="001B5C16" w:rsidRPr="005D68FE" w:rsidRDefault="001B5C16" w:rsidP="005D68FE">
      <w:pPr>
        <w:shd w:val="clear" w:color="auto" w:fill="FFFFFF"/>
        <w:snapToGrid w:val="0"/>
        <w:spacing w:line="360" w:lineRule="auto"/>
        <w:jc w:val="both"/>
        <w:rPr>
          <w:rFonts w:ascii="Book Antiqua" w:hAnsi="Book Antiqua" w:cs="Helvetica"/>
          <w:sz w:val="24"/>
          <w:szCs w:val="24"/>
        </w:rPr>
      </w:pPr>
      <w:r w:rsidRPr="005D68FE">
        <w:rPr>
          <w:rFonts w:ascii="Book Antiqua" w:hAnsi="Book Antiqua" w:cs="Helvetica"/>
          <w:sz w:val="24"/>
          <w:szCs w:val="24"/>
        </w:rPr>
        <w:lastRenderedPageBreak/>
        <w:t>Grade D (Fair): 0</w:t>
      </w:r>
    </w:p>
    <w:p w14:paraId="0133B3C5" w14:textId="77777777" w:rsidR="001B5C16" w:rsidRPr="005D68FE" w:rsidRDefault="001B5C16" w:rsidP="005D68FE">
      <w:pPr>
        <w:shd w:val="clear" w:color="auto" w:fill="FFFFFF"/>
        <w:snapToGrid w:val="0"/>
        <w:spacing w:line="360" w:lineRule="auto"/>
        <w:jc w:val="both"/>
        <w:rPr>
          <w:rFonts w:ascii="Book Antiqua" w:hAnsi="Book Antiqua" w:cs="Helvetica"/>
          <w:sz w:val="24"/>
          <w:szCs w:val="24"/>
        </w:rPr>
      </w:pPr>
      <w:r w:rsidRPr="005D68FE">
        <w:rPr>
          <w:rFonts w:ascii="Book Antiqua" w:hAnsi="Book Antiqua" w:cs="Helvetica"/>
          <w:sz w:val="24"/>
          <w:szCs w:val="24"/>
        </w:rPr>
        <w:t>Grade E (Poor): 0</w:t>
      </w:r>
    </w:p>
    <w:p w14:paraId="087C1F42" w14:textId="10068412" w:rsidR="00977E81" w:rsidRPr="005D68FE" w:rsidRDefault="001B5C16" w:rsidP="005D68FE">
      <w:pPr>
        <w:autoSpaceDE/>
        <w:autoSpaceDN/>
        <w:adjustRightInd/>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br w:type="page"/>
      </w:r>
    </w:p>
    <w:p w14:paraId="1F7170A6" w14:textId="2BCF8F0D" w:rsidR="00977E81" w:rsidRPr="005D68FE" w:rsidRDefault="00AE23E5"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lang w:eastAsia="zh-CN"/>
        </w:rPr>
        <w:lastRenderedPageBreak/>
        <w:drawing>
          <wp:anchor distT="0" distB="0" distL="114300" distR="114300" simplePos="0" relativeHeight="251663360" behindDoc="0" locked="0" layoutInCell="1" allowOverlap="1" wp14:anchorId="48D09157" wp14:editId="32FFE0F1">
            <wp:simplePos x="0" y="0"/>
            <wp:positionH relativeFrom="margin">
              <wp:align>left</wp:align>
            </wp:positionH>
            <wp:positionV relativeFrom="paragraph">
              <wp:posOffset>139700</wp:posOffset>
            </wp:positionV>
            <wp:extent cx="5229225" cy="3917299"/>
            <wp:effectExtent l="0" t="0" r="0" b="762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0607" cy="392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FB443A" w14:textId="158509A4" w:rsidR="00977E81" w:rsidRPr="005D68FE" w:rsidRDefault="00977E81" w:rsidP="005D68FE">
      <w:pPr>
        <w:snapToGrid w:val="0"/>
        <w:spacing w:line="360" w:lineRule="auto"/>
        <w:jc w:val="both"/>
        <w:rPr>
          <w:rFonts w:ascii="Book Antiqua" w:hAnsi="Book Antiqua"/>
          <w:color w:val="000000" w:themeColor="text1"/>
          <w:sz w:val="24"/>
          <w:szCs w:val="24"/>
        </w:rPr>
      </w:pPr>
    </w:p>
    <w:p w14:paraId="0B75608E" w14:textId="2A432116" w:rsidR="00977E81" w:rsidRPr="005D68FE" w:rsidRDefault="00977E81" w:rsidP="005D68FE">
      <w:pPr>
        <w:snapToGrid w:val="0"/>
        <w:spacing w:line="360" w:lineRule="auto"/>
        <w:jc w:val="both"/>
        <w:rPr>
          <w:rFonts w:ascii="Book Antiqua" w:hAnsi="Book Antiqua"/>
          <w:color w:val="000000" w:themeColor="text1"/>
          <w:sz w:val="24"/>
          <w:szCs w:val="24"/>
        </w:rPr>
      </w:pPr>
    </w:p>
    <w:p w14:paraId="3105E840" w14:textId="4224693F" w:rsidR="00977E81" w:rsidRPr="005D68FE" w:rsidRDefault="00977E81" w:rsidP="005D68FE">
      <w:pPr>
        <w:snapToGrid w:val="0"/>
        <w:spacing w:line="360" w:lineRule="auto"/>
        <w:jc w:val="both"/>
        <w:rPr>
          <w:rFonts w:ascii="Book Antiqua" w:hAnsi="Book Antiqua"/>
          <w:color w:val="000000" w:themeColor="text1"/>
          <w:sz w:val="24"/>
          <w:szCs w:val="24"/>
        </w:rPr>
      </w:pPr>
    </w:p>
    <w:p w14:paraId="4AABAFB9" w14:textId="3A8DEA79" w:rsidR="00977E81" w:rsidRPr="005D68FE" w:rsidRDefault="00977E81" w:rsidP="005D68FE">
      <w:pPr>
        <w:snapToGrid w:val="0"/>
        <w:spacing w:line="360" w:lineRule="auto"/>
        <w:jc w:val="both"/>
        <w:rPr>
          <w:rFonts w:ascii="Book Antiqua" w:hAnsi="Book Antiqua"/>
          <w:color w:val="000000" w:themeColor="text1"/>
          <w:sz w:val="24"/>
          <w:szCs w:val="24"/>
        </w:rPr>
      </w:pPr>
    </w:p>
    <w:p w14:paraId="37812932" w14:textId="4932E14F" w:rsidR="00977E81" w:rsidRPr="005D68FE" w:rsidRDefault="00977E81" w:rsidP="005D68FE">
      <w:pPr>
        <w:snapToGrid w:val="0"/>
        <w:spacing w:line="360" w:lineRule="auto"/>
        <w:jc w:val="both"/>
        <w:rPr>
          <w:rFonts w:ascii="Book Antiqua" w:hAnsi="Book Antiqua"/>
          <w:color w:val="000000" w:themeColor="text1"/>
          <w:sz w:val="24"/>
          <w:szCs w:val="24"/>
        </w:rPr>
      </w:pPr>
    </w:p>
    <w:p w14:paraId="71162699" w14:textId="7E3C63FF" w:rsidR="00977E81" w:rsidRPr="005D68FE" w:rsidRDefault="00977E81" w:rsidP="005D68FE">
      <w:pPr>
        <w:snapToGrid w:val="0"/>
        <w:spacing w:line="360" w:lineRule="auto"/>
        <w:jc w:val="both"/>
        <w:rPr>
          <w:rFonts w:ascii="Book Antiqua" w:hAnsi="Book Antiqua"/>
          <w:color w:val="000000" w:themeColor="text1"/>
          <w:sz w:val="24"/>
          <w:szCs w:val="24"/>
        </w:rPr>
      </w:pPr>
    </w:p>
    <w:p w14:paraId="79D3A7B3" w14:textId="7AD90A8D" w:rsidR="00977E81" w:rsidRPr="005D68FE" w:rsidRDefault="00977E81" w:rsidP="005D68FE">
      <w:pPr>
        <w:snapToGrid w:val="0"/>
        <w:spacing w:line="360" w:lineRule="auto"/>
        <w:jc w:val="both"/>
        <w:rPr>
          <w:rFonts w:ascii="Book Antiqua" w:hAnsi="Book Antiqua"/>
          <w:color w:val="000000" w:themeColor="text1"/>
          <w:sz w:val="24"/>
          <w:szCs w:val="24"/>
        </w:rPr>
      </w:pPr>
    </w:p>
    <w:p w14:paraId="47D5826D" w14:textId="180BD775" w:rsidR="00977E81" w:rsidRPr="005D68FE" w:rsidRDefault="00977E81" w:rsidP="005D68FE">
      <w:pPr>
        <w:snapToGrid w:val="0"/>
        <w:spacing w:line="360" w:lineRule="auto"/>
        <w:jc w:val="both"/>
        <w:rPr>
          <w:rFonts w:ascii="Book Antiqua" w:hAnsi="Book Antiqua"/>
          <w:color w:val="000000" w:themeColor="text1"/>
          <w:sz w:val="24"/>
          <w:szCs w:val="24"/>
        </w:rPr>
      </w:pPr>
    </w:p>
    <w:p w14:paraId="64F967F0" w14:textId="47090168" w:rsidR="00977E81" w:rsidRPr="005D68FE" w:rsidRDefault="00977E81" w:rsidP="005D68FE">
      <w:pPr>
        <w:snapToGrid w:val="0"/>
        <w:spacing w:line="360" w:lineRule="auto"/>
        <w:jc w:val="both"/>
        <w:rPr>
          <w:rFonts w:ascii="Book Antiqua" w:hAnsi="Book Antiqua"/>
          <w:color w:val="000000" w:themeColor="text1"/>
          <w:sz w:val="24"/>
          <w:szCs w:val="24"/>
        </w:rPr>
      </w:pPr>
    </w:p>
    <w:p w14:paraId="4F1541F2" w14:textId="141033CA" w:rsidR="00977E81" w:rsidRPr="005D68FE" w:rsidRDefault="00977E81" w:rsidP="005D68FE">
      <w:pPr>
        <w:snapToGrid w:val="0"/>
        <w:spacing w:line="360" w:lineRule="auto"/>
        <w:jc w:val="both"/>
        <w:rPr>
          <w:rFonts w:ascii="Book Antiqua" w:hAnsi="Book Antiqua"/>
          <w:color w:val="000000" w:themeColor="text1"/>
          <w:sz w:val="24"/>
          <w:szCs w:val="24"/>
        </w:rPr>
      </w:pPr>
    </w:p>
    <w:p w14:paraId="7D8FBFFF" w14:textId="208ECA31" w:rsidR="00977E81" w:rsidRPr="005D68FE" w:rsidRDefault="00977E81" w:rsidP="005D68FE">
      <w:pPr>
        <w:snapToGrid w:val="0"/>
        <w:spacing w:line="360" w:lineRule="auto"/>
        <w:jc w:val="both"/>
        <w:rPr>
          <w:rFonts w:ascii="Book Antiqua" w:hAnsi="Book Antiqua"/>
          <w:color w:val="000000" w:themeColor="text1"/>
          <w:sz w:val="24"/>
          <w:szCs w:val="24"/>
        </w:rPr>
      </w:pPr>
    </w:p>
    <w:p w14:paraId="0EC586BC" w14:textId="72E825F8" w:rsidR="00977E81" w:rsidRPr="005D68FE" w:rsidRDefault="00977E81" w:rsidP="005D68FE">
      <w:pPr>
        <w:snapToGrid w:val="0"/>
        <w:spacing w:line="360" w:lineRule="auto"/>
        <w:jc w:val="both"/>
        <w:rPr>
          <w:rFonts w:ascii="Book Antiqua" w:hAnsi="Book Antiqua"/>
          <w:color w:val="000000" w:themeColor="text1"/>
          <w:sz w:val="24"/>
          <w:szCs w:val="24"/>
        </w:rPr>
      </w:pPr>
    </w:p>
    <w:p w14:paraId="4ACE9FC1" w14:textId="35C635B0" w:rsidR="00977E81" w:rsidRPr="005D68FE" w:rsidRDefault="001B5C16"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lang w:eastAsia="zh-CN"/>
        </w:rPr>
        <w:drawing>
          <wp:anchor distT="0" distB="0" distL="114300" distR="114300" simplePos="0" relativeHeight="251662336" behindDoc="0" locked="0" layoutInCell="1" allowOverlap="1" wp14:anchorId="0AB2897A" wp14:editId="635A0641">
            <wp:simplePos x="0" y="0"/>
            <wp:positionH relativeFrom="margin">
              <wp:posOffset>5715</wp:posOffset>
            </wp:positionH>
            <wp:positionV relativeFrom="paragraph">
              <wp:posOffset>270019</wp:posOffset>
            </wp:positionV>
            <wp:extent cx="5257800" cy="3938706"/>
            <wp:effectExtent l="0" t="0" r="0" b="508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8382" cy="39391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D3978F" w14:textId="2D94852F" w:rsidR="00977E81" w:rsidRPr="005D68FE" w:rsidRDefault="00977E81" w:rsidP="005D68FE">
      <w:pPr>
        <w:snapToGrid w:val="0"/>
        <w:spacing w:line="360" w:lineRule="auto"/>
        <w:jc w:val="both"/>
        <w:rPr>
          <w:rFonts w:ascii="Book Antiqua" w:hAnsi="Book Antiqua"/>
          <w:color w:val="000000" w:themeColor="text1"/>
          <w:sz w:val="24"/>
          <w:szCs w:val="24"/>
        </w:rPr>
      </w:pPr>
    </w:p>
    <w:p w14:paraId="176A5119"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64B5E134"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308D7FC7"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3F6BC0BF"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23CE35DB"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38F4DD90"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24E4B056"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744D909B"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5EB18171"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53916C1A" w14:textId="77777777" w:rsidR="0081087E" w:rsidRPr="005D68FE" w:rsidRDefault="0081087E" w:rsidP="005D68FE">
      <w:pPr>
        <w:snapToGrid w:val="0"/>
        <w:spacing w:line="360" w:lineRule="auto"/>
        <w:jc w:val="both"/>
        <w:rPr>
          <w:rFonts w:ascii="Book Antiqua" w:hAnsi="Book Antiqua"/>
          <w:b/>
          <w:color w:val="000000" w:themeColor="text1"/>
          <w:sz w:val="24"/>
          <w:szCs w:val="24"/>
        </w:rPr>
      </w:pPr>
    </w:p>
    <w:p w14:paraId="7DB28BAF" w14:textId="77777777" w:rsidR="0081087E" w:rsidRPr="005D68FE" w:rsidRDefault="0081087E" w:rsidP="005D68FE">
      <w:pPr>
        <w:snapToGrid w:val="0"/>
        <w:spacing w:line="360" w:lineRule="auto"/>
        <w:jc w:val="both"/>
        <w:rPr>
          <w:rFonts w:ascii="Book Antiqua" w:hAnsi="Book Antiqua"/>
          <w:b/>
          <w:color w:val="000000" w:themeColor="text1"/>
          <w:sz w:val="24"/>
          <w:szCs w:val="24"/>
        </w:rPr>
      </w:pPr>
    </w:p>
    <w:p w14:paraId="00BD06E8" w14:textId="77777777" w:rsidR="0081087E" w:rsidRPr="005D68FE" w:rsidRDefault="0081087E" w:rsidP="005D68FE">
      <w:pPr>
        <w:snapToGrid w:val="0"/>
        <w:spacing w:line="360" w:lineRule="auto"/>
        <w:jc w:val="both"/>
        <w:rPr>
          <w:rFonts w:ascii="Book Antiqua" w:hAnsi="Book Antiqua"/>
          <w:b/>
          <w:color w:val="000000" w:themeColor="text1"/>
          <w:sz w:val="24"/>
          <w:szCs w:val="24"/>
        </w:rPr>
      </w:pPr>
    </w:p>
    <w:p w14:paraId="24066859" w14:textId="77777777" w:rsidR="0081087E" w:rsidRPr="005D68FE" w:rsidRDefault="0081087E" w:rsidP="005D68FE">
      <w:pPr>
        <w:snapToGrid w:val="0"/>
        <w:spacing w:line="360" w:lineRule="auto"/>
        <w:jc w:val="both"/>
        <w:rPr>
          <w:rFonts w:ascii="Book Antiqua" w:hAnsi="Book Antiqua"/>
          <w:b/>
          <w:color w:val="000000" w:themeColor="text1"/>
          <w:sz w:val="24"/>
          <w:szCs w:val="24"/>
        </w:rPr>
      </w:pPr>
    </w:p>
    <w:p w14:paraId="2879AE85" w14:textId="77777777" w:rsidR="00843CCC" w:rsidRDefault="00843CCC" w:rsidP="005D68FE">
      <w:pPr>
        <w:snapToGrid w:val="0"/>
        <w:spacing w:line="360" w:lineRule="auto"/>
        <w:jc w:val="both"/>
        <w:rPr>
          <w:rFonts w:ascii="Book Antiqua" w:hAnsi="Book Antiqua"/>
          <w:b/>
          <w:color w:val="000000" w:themeColor="text1"/>
          <w:sz w:val="24"/>
          <w:szCs w:val="24"/>
        </w:rPr>
      </w:pPr>
    </w:p>
    <w:p w14:paraId="09F7B7B4" w14:textId="1C8B5647" w:rsidR="00977E81" w:rsidRPr="005D68FE" w:rsidRDefault="00977E81" w:rsidP="005D68FE">
      <w:pPr>
        <w:snapToGrid w:val="0"/>
        <w:spacing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lastRenderedPageBreak/>
        <w:t>Figure 1</w:t>
      </w:r>
      <w:r w:rsidR="0081087E" w:rsidRPr="005D68FE">
        <w:rPr>
          <w:rFonts w:ascii="Book Antiqua" w:hAnsi="Book Antiqua"/>
          <w:b/>
          <w:color w:val="000000" w:themeColor="text1"/>
          <w:sz w:val="24"/>
          <w:szCs w:val="24"/>
        </w:rPr>
        <w:t xml:space="preserve"> </w:t>
      </w:r>
      <w:r w:rsidRPr="005D68FE">
        <w:rPr>
          <w:rFonts w:ascii="Book Antiqua" w:hAnsi="Book Antiqua"/>
          <w:b/>
          <w:color w:val="000000" w:themeColor="text1"/>
          <w:sz w:val="24"/>
          <w:szCs w:val="24"/>
        </w:rPr>
        <w:t xml:space="preserve">Characteristics of human amniotic membrane and </w:t>
      </w:r>
      <w:r w:rsidR="005110AD" w:rsidRPr="005D68FE">
        <w:rPr>
          <w:rFonts w:ascii="Book Antiqua" w:hAnsi="Book Antiqua"/>
          <w:b/>
          <w:color w:val="000000" w:themeColor="text1"/>
          <w:sz w:val="24"/>
          <w:szCs w:val="24"/>
        </w:rPr>
        <w:t>amniotic epithelial cells</w:t>
      </w:r>
      <w:r w:rsidRPr="005D68FE">
        <w:rPr>
          <w:rFonts w:ascii="Book Antiqua" w:hAnsi="Book Antiqua"/>
          <w:b/>
          <w:color w:val="000000" w:themeColor="text1"/>
          <w:sz w:val="24"/>
          <w:szCs w:val="24"/>
        </w:rPr>
        <w:t>.</w:t>
      </w:r>
      <w:r w:rsidR="00C76C6A" w:rsidRPr="005D68FE">
        <w:rPr>
          <w:rFonts w:ascii="Book Antiqua" w:hAnsi="Book Antiqua"/>
          <w:b/>
          <w:color w:val="000000" w:themeColor="text1"/>
          <w:sz w:val="24"/>
          <w:szCs w:val="24"/>
        </w:rPr>
        <w:t xml:space="preserve"> </w:t>
      </w:r>
      <w:r w:rsidRPr="005D68FE">
        <w:rPr>
          <w:rFonts w:ascii="Book Antiqua" w:hAnsi="Book Antiqua"/>
          <w:color w:val="000000" w:themeColor="text1"/>
          <w:sz w:val="24"/>
          <w:szCs w:val="24"/>
        </w:rPr>
        <w:t>A: H</w:t>
      </w:r>
      <w:r w:rsidR="00C76C6A" w:rsidRPr="005D68FE">
        <w:rPr>
          <w:rFonts w:ascii="Book Antiqua" w:hAnsi="Book Antiqua"/>
          <w:color w:val="000000" w:themeColor="text1"/>
          <w:sz w:val="24"/>
          <w:szCs w:val="24"/>
        </w:rPr>
        <w:t xml:space="preserve"> and </w:t>
      </w:r>
      <w:r w:rsidRPr="005D68FE">
        <w:rPr>
          <w:rFonts w:ascii="Book Antiqua" w:hAnsi="Book Antiqua"/>
          <w:color w:val="000000" w:themeColor="text1"/>
          <w:sz w:val="24"/>
          <w:szCs w:val="24"/>
        </w:rPr>
        <w:t>E staining of amniotic membrane. Bar, 50 µ</w:t>
      </w:r>
      <w:r w:rsidR="006F49F9" w:rsidRPr="005D68FE">
        <w:rPr>
          <w:rFonts w:ascii="Book Antiqua" w:hAnsi="Book Antiqua"/>
          <w:color w:val="000000" w:themeColor="text1"/>
          <w:sz w:val="24"/>
          <w:szCs w:val="24"/>
        </w:rPr>
        <w:t>m</w:t>
      </w:r>
      <w:r w:rsidRPr="005D68FE">
        <w:rPr>
          <w:rFonts w:ascii="Book Antiqua" w:hAnsi="Book Antiqua"/>
          <w:color w:val="000000" w:themeColor="text1"/>
          <w:sz w:val="24"/>
          <w:szCs w:val="24"/>
        </w:rPr>
        <w:t>; B: AP staining of amniotic membrane. Positive cells are indicated with arrows. Bar, 100 µm. In A and B, the amniotic membrane was rolled before embedding. Therefore, many layers can be seen in one picture</w:t>
      </w:r>
      <w:r w:rsidR="00C76C6A"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C: </w:t>
      </w:r>
      <w:r w:rsidR="00C76C6A" w:rsidRPr="005D68FE">
        <w:rPr>
          <w:rFonts w:ascii="Book Antiqua" w:hAnsi="Book Antiqua"/>
          <w:color w:val="000000" w:themeColor="text1"/>
          <w:sz w:val="24"/>
          <w:szCs w:val="24"/>
        </w:rPr>
        <w:t xml:space="preserve">Immunofluorescent </w:t>
      </w:r>
      <w:r w:rsidRPr="005D68FE">
        <w:rPr>
          <w:rFonts w:ascii="Book Antiqua" w:hAnsi="Book Antiqua"/>
          <w:color w:val="000000" w:themeColor="text1"/>
          <w:sz w:val="24"/>
          <w:szCs w:val="24"/>
        </w:rPr>
        <w:t>staining of frozen section of amniotic membrane. Anti-SSEA4 antibody (green), E-cadherin antibody (red), and DAPI were used</w:t>
      </w:r>
      <w:r w:rsidR="00C76C6A"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D: </w:t>
      </w:r>
      <w:r w:rsidR="00C76C6A" w:rsidRPr="005D68FE">
        <w:rPr>
          <w:rFonts w:ascii="Book Antiqua" w:hAnsi="Book Antiqua"/>
          <w:color w:val="000000" w:themeColor="text1"/>
          <w:sz w:val="24"/>
          <w:szCs w:val="24"/>
        </w:rPr>
        <w:t xml:space="preserve">Same </w:t>
      </w:r>
      <w:r w:rsidRPr="005D68FE">
        <w:rPr>
          <w:rFonts w:ascii="Book Antiqua" w:hAnsi="Book Antiqua"/>
          <w:color w:val="000000" w:themeColor="text1"/>
          <w:sz w:val="24"/>
          <w:szCs w:val="24"/>
        </w:rPr>
        <w:t>as C. Anti-TRA-1-81 antibody (green), anti-EPCAM antibody (red), and DAPI were used</w:t>
      </w:r>
      <w:r w:rsidR="00C76C6A"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E: </w:t>
      </w:r>
      <w:r w:rsidR="00C76C6A" w:rsidRPr="005D68FE">
        <w:rPr>
          <w:rFonts w:ascii="Book Antiqua" w:hAnsi="Book Antiqua"/>
          <w:color w:val="000000" w:themeColor="text1"/>
          <w:sz w:val="24"/>
          <w:szCs w:val="24"/>
        </w:rPr>
        <w:t xml:space="preserve">Direct </w:t>
      </w:r>
      <w:r w:rsidRPr="005D68FE">
        <w:rPr>
          <w:rFonts w:ascii="Book Antiqua" w:hAnsi="Book Antiqua"/>
          <w:color w:val="000000" w:themeColor="text1"/>
          <w:sz w:val="24"/>
          <w:szCs w:val="24"/>
        </w:rPr>
        <w:t>tissue staining of amniotic membrane. Anti-TRA-1-60 antibody (green) and DAPI were used. Bars in C, D, and E represent 100 µm</w:t>
      </w:r>
      <w:r w:rsidR="00C76C6A"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F: </w:t>
      </w:r>
      <w:r w:rsidR="00C76C6A" w:rsidRPr="005D68FE">
        <w:rPr>
          <w:rFonts w:ascii="Book Antiqua" w:hAnsi="Book Antiqua"/>
          <w:color w:val="000000" w:themeColor="text1"/>
          <w:sz w:val="24"/>
          <w:szCs w:val="24"/>
        </w:rPr>
        <w:t xml:space="preserve">Colonies </w:t>
      </w:r>
      <w:r w:rsidRPr="005D68FE">
        <w:rPr>
          <w:rFonts w:ascii="Book Antiqua" w:hAnsi="Book Antiqua"/>
          <w:color w:val="000000" w:themeColor="text1"/>
          <w:sz w:val="24"/>
          <w:szCs w:val="24"/>
        </w:rPr>
        <w:t xml:space="preserve">formed from cultured </w:t>
      </w:r>
      <w:r w:rsidR="005110AD" w:rsidRPr="005D68FE">
        <w:rPr>
          <w:rFonts w:ascii="Book Antiqua" w:hAnsi="Book Antiqua"/>
          <w:color w:val="000000" w:themeColor="text1"/>
          <w:sz w:val="24"/>
          <w:szCs w:val="24"/>
        </w:rPr>
        <w:t>amniotic epithelial cells (</w:t>
      </w:r>
      <w:r w:rsidRPr="005D68FE">
        <w:rPr>
          <w:rFonts w:ascii="Book Antiqua" w:hAnsi="Book Antiqua"/>
          <w:color w:val="000000" w:themeColor="text1"/>
          <w:sz w:val="24"/>
          <w:szCs w:val="24"/>
        </w:rPr>
        <w:t>AECs</w:t>
      </w:r>
      <w:r w:rsidR="005110AD" w:rsidRPr="005D68FE">
        <w:rPr>
          <w:rFonts w:ascii="Book Antiqua" w:hAnsi="Book Antiqua"/>
          <w:color w:val="000000" w:themeColor="text1"/>
          <w:sz w:val="24"/>
          <w:szCs w:val="24"/>
        </w:rPr>
        <w:t>)</w:t>
      </w:r>
      <w:r w:rsidRPr="005D68FE">
        <w:rPr>
          <w:rFonts w:ascii="Book Antiqua" w:hAnsi="Book Antiqua"/>
          <w:color w:val="000000" w:themeColor="text1"/>
          <w:sz w:val="24"/>
          <w:szCs w:val="24"/>
        </w:rPr>
        <w:t xml:space="preserve"> and observed by phase-contrast microscopy. Bar to left of F represents 200 µ</w:t>
      </w:r>
      <w:r w:rsidR="006F49F9" w:rsidRPr="005D68FE">
        <w:rPr>
          <w:rFonts w:ascii="Book Antiqua" w:hAnsi="Book Antiqua"/>
          <w:color w:val="000000" w:themeColor="text1"/>
          <w:sz w:val="24"/>
          <w:szCs w:val="24"/>
        </w:rPr>
        <w:t>m</w:t>
      </w:r>
      <w:r w:rsidRPr="005D68FE">
        <w:rPr>
          <w:rFonts w:ascii="Book Antiqua" w:hAnsi="Book Antiqua"/>
          <w:color w:val="000000" w:themeColor="text1"/>
          <w:sz w:val="24"/>
          <w:szCs w:val="24"/>
        </w:rPr>
        <w:t>. Bar to right of F represents 500 µ</w:t>
      </w:r>
      <w:r w:rsidR="006F49F9" w:rsidRPr="005D68FE">
        <w:rPr>
          <w:rFonts w:ascii="Book Antiqua" w:hAnsi="Book Antiqua"/>
          <w:color w:val="000000" w:themeColor="text1"/>
          <w:sz w:val="24"/>
          <w:szCs w:val="24"/>
        </w:rPr>
        <w:t>m</w:t>
      </w:r>
      <w:r w:rsidR="00F91038"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G: </w:t>
      </w:r>
      <w:r w:rsidR="00F91038" w:rsidRPr="005D68FE">
        <w:rPr>
          <w:rFonts w:ascii="Book Antiqua" w:hAnsi="Book Antiqua"/>
          <w:color w:val="000000" w:themeColor="text1"/>
          <w:sz w:val="24"/>
          <w:szCs w:val="24"/>
        </w:rPr>
        <w:t xml:space="preserve">Frequency </w:t>
      </w:r>
      <w:r w:rsidRPr="005D68FE">
        <w:rPr>
          <w:rFonts w:ascii="Book Antiqua" w:hAnsi="Book Antiqua"/>
          <w:color w:val="000000" w:themeColor="text1"/>
          <w:sz w:val="24"/>
          <w:szCs w:val="24"/>
        </w:rPr>
        <w:t xml:space="preserve">of colony formation from primary AECs and </w:t>
      </w:r>
      <w:r w:rsidR="00287650" w:rsidRPr="005D68FE">
        <w:rPr>
          <w:rFonts w:ascii="Book Antiqua" w:hAnsi="Book Antiqua"/>
          <w:color w:val="000000" w:themeColor="text1"/>
          <w:sz w:val="24"/>
          <w:szCs w:val="24"/>
        </w:rPr>
        <w:t>adherent AECs</w:t>
      </w:r>
      <w:r w:rsidRPr="005D68FE">
        <w:rPr>
          <w:rFonts w:ascii="Book Antiqua" w:hAnsi="Book Antiqua"/>
          <w:color w:val="000000" w:themeColor="text1"/>
          <w:sz w:val="24"/>
          <w:szCs w:val="24"/>
        </w:rPr>
        <w:t xml:space="preserve">. Cells which did not attach to the well surface were removed to purify the </w:t>
      </w:r>
      <w:r w:rsidR="005110AD" w:rsidRPr="005D68FE">
        <w:rPr>
          <w:rFonts w:ascii="Book Antiqua" w:hAnsi="Book Antiqua"/>
          <w:color w:val="000000" w:themeColor="text1"/>
          <w:sz w:val="24"/>
          <w:szCs w:val="24"/>
        </w:rPr>
        <w:t>amniotic stem cells</w:t>
      </w:r>
      <w:r w:rsidR="00F91038"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H: </w:t>
      </w:r>
      <w:r w:rsidR="00F91038" w:rsidRPr="005D68FE">
        <w:rPr>
          <w:rFonts w:ascii="Book Antiqua" w:hAnsi="Book Antiqua"/>
          <w:color w:val="000000" w:themeColor="text1"/>
          <w:sz w:val="24"/>
          <w:szCs w:val="24"/>
        </w:rPr>
        <w:t xml:space="preserve">Gene </w:t>
      </w:r>
      <w:r w:rsidRPr="005D68FE">
        <w:rPr>
          <w:rFonts w:ascii="Book Antiqua" w:hAnsi="Book Antiqua"/>
          <w:color w:val="000000" w:themeColor="text1"/>
          <w:sz w:val="24"/>
          <w:szCs w:val="24"/>
        </w:rPr>
        <w:t xml:space="preserve">expression of primary AECs, </w:t>
      </w:r>
      <w:r w:rsidR="005110AD" w:rsidRPr="005D68FE">
        <w:rPr>
          <w:rFonts w:ascii="Book Antiqua" w:hAnsi="Book Antiqua"/>
          <w:color w:val="000000" w:themeColor="text1"/>
          <w:sz w:val="24"/>
          <w:szCs w:val="24"/>
        </w:rPr>
        <w:t>mesenchymal stem cells</w:t>
      </w:r>
      <w:r w:rsidRPr="005D68FE">
        <w:rPr>
          <w:rFonts w:ascii="Book Antiqua" w:hAnsi="Book Antiqua"/>
          <w:color w:val="000000" w:themeColor="text1"/>
          <w:sz w:val="24"/>
          <w:szCs w:val="24"/>
        </w:rPr>
        <w:t>, and</w:t>
      </w:r>
      <w:r w:rsidR="006F49F9" w:rsidRPr="005D68FE">
        <w:rPr>
          <w:rFonts w:ascii="Book Antiqua" w:hAnsi="Book Antiqua"/>
          <w:sz w:val="24"/>
          <w:szCs w:val="24"/>
        </w:rPr>
        <w:t xml:space="preserve"> </w:t>
      </w:r>
      <w:r w:rsidR="006F49F9" w:rsidRPr="005D68FE">
        <w:rPr>
          <w:rFonts w:ascii="Book Antiqua" w:hAnsi="Book Antiqua"/>
          <w:color w:val="000000" w:themeColor="text1"/>
          <w:sz w:val="24"/>
          <w:szCs w:val="24"/>
        </w:rPr>
        <w:t>induced pluripotent stem cells</w:t>
      </w:r>
      <w:r w:rsidRPr="005D68FE">
        <w:rPr>
          <w:rFonts w:ascii="Book Antiqua" w:hAnsi="Book Antiqua"/>
          <w:color w:val="000000" w:themeColor="text1"/>
          <w:sz w:val="24"/>
          <w:szCs w:val="24"/>
        </w:rPr>
        <w:t xml:space="preserve"> detected by qRT-PCR</w:t>
      </w:r>
      <w:r w:rsidR="00F91038"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I: surface markers of primary AECs verified by flow cytometry. </w:t>
      </w:r>
    </w:p>
    <w:p w14:paraId="7F4F3367" w14:textId="77777777" w:rsidR="00977E81" w:rsidRPr="005D68FE" w:rsidRDefault="00977E81" w:rsidP="005D68FE">
      <w:pPr>
        <w:autoSpaceDE/>
        <w:autoSpaceDN/>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br w:type="page"/>
      </w:r>
    </w:p>
    <w:p w14:paraId="1C73ED68"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lang w:eastAsia="zh-CN"/>
        </w:rPr>
        <w:lastRenderedPageBreak/>
        <w:drawing>
          <wp:anchor distT="0" distB="0" distL="114300" distR="114300" simplePos="0" relativeHeight="251659264" behindDoc="0" locked="0" layoutInCell="1" allowOverlap="1" wp14:anchorId="3200B622" wp14:editId="56DDFC9B">
            <wp:simplePos x="0" y="0"/>
            <wp:positionH relativeFrom="margin">
              <wp:align>left</wp:align>
            </wp:positionH>
            <wp:positionV relativeFrom="paragraph">
              <wp:posOffset>-1270</wp:posOffset>
            </wp:positionV>
            <wp:extent cx="5762625" cy="5293480"/>
            <wp:effectExtent l="0" t="0" r="0" b="254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947" r="9409"/>
                    <a:stretch/>
                  </pic:blipFill>
                  <pic:spPr bwMode="auto">
                    <a:xfrm>
                      <a:off x="0" y="0"/>
                      <a:ext cx="5773391" cy="53033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677358"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69C0B229"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207FBBC5"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5F53251E"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13C3E4B7"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5D29FAC6"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2E8663E9"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74B39D49"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29A5E9D7"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5D089B5F"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2E3D632E"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0412A31F"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5A0893B5"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62638A22" w14:textId="77777777" w:rsidR="006F49F9" w:rsidRPr="005D68FE" w:rsidRDefault="006F49F9" w:rsidP="005D68FE">
      <w:pPr>
        <w:snapToGrid w:val="0"/>
        <w:spacing w:line="360" w:lineRule="auto"/>
        <w:jc w:val="both"/>
        <w:rPr>
          <w:rFonts w:ascii="Book Antiqua" w:hAnsi="Book Antiqua"/>
          <w:b/>
          <w:color w:val="000000" w:themeColor="text1"/>
          <w:sz w:val="24"/>
          <w:szCs w:val="24"/>
        </w:rPr>
      </w:pPr>
    </w:p>
    <w:p w14:paraId="51BE9D3C" w14:textId="77777777" w:rsidR="006F49F9" w:rsidRPr="005D68FE" w:rsidRDefault="006F49F9" w:rsidP="005D68FE">
      <w:pPr>
        <w:snapToGrid w:val="0"/>
        <w:spacing w:line="360" w:lineRule="auto"/>
        <w:jc w:val="both"/>
        <w:rPr>
          <w:rFonts w:ascii="Book Antiqua" w:hAnsi="Book Antiqua"/>
          <w:b/>
          <w:color w:val="000000" w:themeColor="text1"/>
          <w:sz w:val="24"/>
          <w:szCs w:val="24"/>
        </w:rPr>
      </w:pPr>
    </w:p>
    <w:p w14:paraId="3B1AC431" w14:textId="77777777" w:rsidR="006F49F9" w:rsidRPr="005D68FE" w:rsidRDefault="006F49F9" w:rsidP="005D68FE">
      <w:pPr>
        <w:snapToGrid w:val="0"/>
        <w:spacing w:line="360" w:lineRule="auto"/>
        <w:jc w:val="both"/>
        <w:rPr>
          <w:rFonts w:ascii="Book Antiqua" w:hAnsi="Book Antiqua"/>
          <w:b/>
          <w:color w:val="000000" w:themeColor="text1"/>
          <w:sz w:val="24"/>
          <w:szCs w:val="24"/>
        </w:rPr>
      </w:pPr>
    </w:p>
    <w:p w14:paraId="53FB1E78" w14:textId="77777777" w:rsidR="006F49F9" w:rsidRPr="005D68FE" w:rsidRDefault="006F49F9" w:rsidP="005D68FE">
      <w:pPr>
        <w:snapToGrid w:val="0"/>
        <w:spacing w:line="360" w:lineRule="auto"/>
        <w:jc w:val="both"/>
        <w:rPr>
          <w:rFonts w:ascii="Book Antiqua" w:hAnsi="Book Antiqua"/>
          <w:b/>
          <w:color w:val="000000" w:themeColor="text1"/>
          <w:sz w:val="24"/>
          <w:szCs w:val="24"/>
        </w:rPr>
      </w:pPr>
    </w:p>
    <w:p w14:paraId="4286E8BE" w14:textId="77777777" w:rsidR="006F49F9" w:rsidRPr="005D68FE" w:rsidRDefault="006F49F9" w:rsidP="005D68FE">
      <w:pPr>
        <w:snapToGrid w:val="0"/>
        <w:spacing w:line="360" w:lineRule="auto"/>
        <w:jc w:val="both"/>
        <w:rPr>
          <w:rFonts w:ascii="Book Antiqua" w:hAnsi="Book Antiqua"/>
          <w:b/>
          <w:color w:val="000000" w:themeColor="text1"/>
          <w:sz w:val="24"/>
          <w:szCs w:val="24"/>
        </w:rPr>
      </w:pPr>
    </w:p>
    <w:p w14:paraId="717374A4" w14:textId="781BFEC5" w:rsidR="00FF19EB" w:rsidRPr="005D68FE" w:rsidRDefault="00977E81" w:rsidP="005D68FE">
      <w:pPr>
        <w:snapToGrid w:val="0"/>
        <w:spacing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t xml:space="preserve">Figure 2 Characteristics of primary </w:t>
      </w:r>
      <w:r w:rsidR="005110AD" w:rsidRPr="005D68FE">
        <w:rPr>
          <w:rFonts w:ascii="Book Antiqua" w:hAnsi="Book Antiqua"/>
          <w:b/>
          <w:color w:val="000000" w:themeColor="text1"/>
          <w:sz w:val="24"/>
          <w:szCs w:val="24"/>
        </w:rPr>
        <w:t>amniotic epithelial cell</w:t>
      </w:r>
      <w:r w:rsidRPr="005D68FE">
        <w:rPr>
          <w:rFonts w:ascii="Book Antiqua" w:hAnsi="Book Antiqua"/>
          <w:b/>
          <w:color w:val="000000" w:themeColor="text1"/>
          <w:sz w:val="24"/>
          <w:szCs w:val="24"/>
        </w:rPr>
        <w:t>s and other cell sources verified by bioinformatics.</w:t>
      </w:r>
      <w:r w:rsidR="00F91038" w:rsidRPr="005D68FE">
        <w:rPr>
          <w:rFonts w:ascii="Book Antiqua" w:hAnsi="Book Antiqua"/>
          <w:b/>
          <w:color w:val="000000" w:themeColor="text1"/>
          <w:sz w:val="24"/>
          <w:szCs w:val="24"/>
        </w:rPr>
        <w:t xml:space="preserve"> </w:t>
      </w:r>
      <w:r w:rsidR="005F564E" w:rsidRPr="005D68FE">
        <w:rPr>
          <w:rFonts w:ascii="Book Antiqua" w:hAnsi="Book Antiqua"/>
          <w:color w:val="000000" w:themeColor="text1"/>
          <w:sz w:val="24"/>
          <w:szCs w:val="24"/>
        </w:rPr>
        <w:t xml:space="preserve">A: </w:t>
      </w:r>
      <w:r w:rsidR="00F91038" w:rsidRPr="005D68FE">
        <w:rPr>
          <w:rFonts w:ascii="Book Antiqua" w:hAnsi="Book Antiqua"/>
          <w:color w:val="000000" w:themeColor="text1"/>
          <w:sz w:val="24"/>
          <w:szCs w:val="24"/>
        </w:rPr>
        <w:t xml:space="preserve">Principal </w:t>
      </w:r>
      <w:r w:rsidR="005F564E" w:rsidRPr="005D68FE">
        <w:rPr>
          <w:rFonts w:ascii="Book Antiqua" w:hAnsi="Book Antiqua"/>
          <w:color w:val="000000" w:themeColor="text1"/>
          <w:sz w:val="24"/>
          <w:szCs w:val="24"/>
        </w:rPr>
        <w:t>component analysis of all cell sources used in this assay</w:t>
      </w:r>
      <w:r w:rsidR="00F91038" w:rsidRPr="005D68FE">
        <w:rPr>
          <w:rFonts w:ascii="Book Antiqua" w:hAnsi="Book Antiqua"/>
          <w:color w:val="000000" w:themeColor="text1"/>
          <w:sz w:val="24"/>
          <w:szCs w:val="24"/>
        </w:rPr>
        <w:t xml:space="preserve">; </w:t>
      </w:r>
      <w:r w:rsidR="005F564E" w:rsidRPr="005D68FE">
        <w:rPr>
          <w:rFonts w:ascii="Book Antiqua" w:hAnsi="Book Antiqua"/>
          <w:color w:val="000000" w:themeColor="text1"/>
          <w:sz w:val="24"/>
          <w:szCs w:val="24"/>
        </w:rPr>
        <w:t xml:space="preserve">B: </w:t>
      </w:r>
      <w:r w:rsidR="001B68A3" w:rsidRPr="005D68FE">
        <w:rPr>
          <w:rFonts w:ascii="Book Antiqua" w:hAnsi="Book Antiqua"/>
          <w:color w:val="000000" w:themeColor="text1"/>
          <w:sz w:val="24"/>
          <w:szCs w:val="24"/>
        </w:rPr>
        <w:t>G</w:t>
      </w:r>
      <w:r w:rsidR="005F564E" w:rsidRPr="005D68FE">
        <w:rPr>
          <w:rFonts w:ascii="Book Antiqua" w:hAnsi="Book Antiqua"/>
          <w:color w:val="000000" w:themeColor="text1"/>
          <w:sz w:val="24"/>
          <w:szCs w:val="24"/>
        </w:rPr>
        <w:t>eneral heatmap for each cell source</w:t>
      </w:r>
      <w:r w:rsidR="00F91038" w:rsidRPr="005D68FE">
        <w:rPr>
          <w:rFonts w:ascii="Book Antiqua" w:hAnsi="Book Antiqua"/>
          <w:color w:val="000000" w:themeColor="text1"/>
          <w:sz w:val="24"/>
          <w:szCs w:val="24"/>
        </w:rPr>
        <w:t xml:space="preserve">; </w:t>
      </w:r>
      <w:r w:rsidR="005F564E" w:rsidRPr="005D68FE">
        <w:rPr>
          <w:rFonts w:ascii="Book Antiqua" w:hAnsi="Book Antiqua"/>
          <w:color w:val="000000" w:themeColor="text1"/>
          <w:sz w:val="24"/>
          <w:szCs w:val="24"/>
        </w:rPr>
        <w:t xml:space="preserve">C: </w:t>
      </w:r>
      <w:r w:rsidR="001B68A3" w:rsidRPr="005D68FE">
        <w:rPr>
          <w:rFonts w:ascii="Book Antiqua" w:hAnsi="Book Antiqua"/>
          <w:color w:val="000000" w:themeColor="text1"/>
          <w:sz w:val="24"/>
          <w:szCs w:val="24"/>
        </w:rPr>
        <w:t>S</w:t>
      </w:r>
      <w:r w:rsidR="005F564E" w:rsidRPr="005D68FE">
        <w:rPr>
          <w:rFonts w:ascii="Book Antiqua" w:hAnsi="Book Antiqua"/>
          <w:color w:val="000000" w:themeColor="text1"/>
          <w:sz w:val="24"/>
          <w:szCs w:val="24"/>
        </w:rPr>
        <w:t>pecific heatmap of stemness and hepatic markers.</w:t>
      </w:r>
      <w:r w:rsidR="00F91038" w:rsidRPr="005D68FE">
        <w:rPr>
          <w:rFonts w:ascii="Book Antiqua" w:hAnsi="Book Antiqua"/>
          <w:color w:val="000000" w:themeColor="text1"/>
          <w:sz w:val="24"/>
          <w:szCs w:val="24"/>
        </w:rPr>
        <w:t xml:space="preserve"> </w:t>
      </w:r>
      <w:r w:rsidR="00FF19EB" w:rsidRPr="005D68FE">
        <w:rPr>
          <w:rFonts w:ascii="Book Antiqua" w:hAnsi="Book Antiqua"/>
          <w:color w:val="000000" w:themeColor="text1"/>
          <w:sz w:val="24"/>
          <w:szCs w:val="24"/>
        </w:rPr>
        <w:t>AEC</w:t>
      </w:r>
      <w:r w:rsidR="00F91038" w:rsidRPr="005D68FE">
        <w:rPr>
          <w:rFonts w:ascii="Book Antiqua" w:hAnsi="Book Antiqua"/>
          <w:color w:val="000000" w:themeColor="text1"/>
          <w:sz w:val="24"/>
          <w:szCs w:val="24"/>
        </w:rPr>
        <w:t xml:space="preserve">: Amniotic </w:t>
      </w:r>
      <w:r w:rsidR="00FF19EB" w:rsidRPr="005D68FE">
        <w:rPr>
          <w:rFonts w:ascii="Book Antiqua" w:hAnsi="Book Antiqua"/>
          <w:color w:val="000000" w:themeColor="text1"/>
          <w:sz w:val="24"/>
          <w:szCs w:val="24"/>
        </w:rPr>
        <w:t>epithelial cell; Hepa</w:t>
      </w:r>
      <w:r w:rsidR="00F91038" w:rsidRPr="005D68FE">
        <w:rPr>
          <w:rFonts w:ascii="Book Antiqua" w:hAnsi="Book Antiqua"/>
          <w:color w:val="000000" w:themeColor="text1"/>
          <w:sz w:val="24"/>
          <w:szCs w:val="24"/>
        </w:rPr>
        <w:t>: Hepatocyte</w:t>
      </w:r>
      <w:r w:rsidR="00FF19EB" w:rsidRPr="005D68FE">
        <w:rPr>
          <w:rFonts w:ascii="Book Antiqua" w:hAnsi="Book Antiqua"/>
          <w:color w:val="000000" w:themeColor="text1"/>
          <w:sz w:val="24"/>
          <w:szCs w:val="24"/>
        </w:rPr>
        <w:t>; hiHep</w:t>
      </w:r>
      <w:r w:rsidR="00F91038" w:rsidRPr="005D68FE">
        <w:rPr>
          <w:rFonts w:ascii="Book Antiqua" w:hAnsi="Book Antiqua"/>
          <w:color w:val="000000" w:themeColor="text1"/>
          <w:sz w:val="24"/>
          <w:szCs w:val="24"/>
        </w:rPr>
        <w:t xml:space="preserve">: Human </w:t>
      </w:r>
      <w:r w:rsidR="00FF19EB" w:rsidRPr="005D68FE">
        <w:rPr>
          <w:rFonts w:ascii="Book Antiqua" w:hAnsi="Book Antiqua"/>
          <w:color w:val="000000" w:themeColor="text1"/>
          <w:sz w:val="24"/>
          <w:szCs w:val="24"/>
        </w:rPr>
        <w:t>fibroblast-derived hepatocyte-like cell; MSC</w:t>
      </w:r>
      <w:r w:rsidR="00F91038" w:rsidRPr="005D68FE">
        <w:rPr>
          <w:rFonts w:ascii="Book Antiqua" w:hAnsi="Book Antiqua"/>
          <w:color w:val="000000" w:themeColor="text1"/>
          <w:sz w:val="24"/>
          <w:szCs w:val="24"/>
        </w:rPr>
        <w:t xml:space="preserve">: Mesenchymal </w:t>
      </w:r>
      <w:r w:rsidR="00FF19EB" w:rsidRPr="005D68FE">
        <w:rPr>
          <w:rFonts w:ascii="Book Antiqua" w:hAnsi="Book Antiqua"/>
          <w:color w:val="000000" w:themeColor="text1"/>
          <w:sz w:val="24"/>
          <w:szCs w:val="24"/>
        </w:rPr>
        <w:t>stem cell; DE</w:t>
      </w:r>
      <w:r w:rsidR="00F91038" w:rsidRPr="005D68FE">
        <w:rPr>
          <w:rFonts w:ascii="Book Antiqua" w:hAnsi="Book Antiqua"/>
          <w:color w:val="000000" w:themeColor="text1"/>
          <w:sz w:val="24"/>
          <w:szCs w:val="24"/>
        </w:rPr>
        <w:t xml:space="preserve">: Definitive </w:t>
      </w:r>
      <w:r w:rsidR="00FF19EB" w:rsidRPr="005D68FE">
        <w:rPr>
          <w:rFonts w:ascii="Book Antiqua" w:hAnsi="Book Antiqua"/>
          <w:color w:val="000000" w:themeColor="text1"/>
          <w:sz w:val="24"/>
          <w:szCs w:val="24"/>
        </w:rPr>
        <w:t>endoderm; hESC</w:t>
      </w:r>
      <w:r w:rsidR="00F91038" w:rsidRPr="005D68FE">
        <w:rPr>
          <w:rFonts w:ascii="Book Antiqua" w:hAnsi="Book Antiqua"/>
          <w:color w:val="000000" w:themeColor="text1"/>
          <w:sz w:val="24"/>
          <w:szCs w:val="24"/>
        </w:rPr>
        <w:t xml:space="preserve">: Human </w:t>
      </w:r>
      <w:r w:rsidR="00FF19EB" w:rsidRPr="005D68FE">
        <w:rPr>
          <w:rFonts w:ascii="Book Antiqua" w:hAnsi="Book Antiqua"/>
          <w:color w:val="000000" w:themeColor="text1"/>
          <w:sz w:val="24"/>
          <w:szCs w:val="24"/>
        </w:rPr>
        <w:t>embryonic stem cell; iPSCHLC, iPSC-derived hepatocyte-like cell; NiPS</w:t>
      </w:r>
      <w:r w:rsidR="00F91038" w:rsidRPr="005D68FE">
        <w:rPr>
          <w:rFonts w:ascii="Book Antiqua" w:hAnsi="Book Antiqua"/>
          <w:color w:val="000000" w:themeColor="text1"/>
          <w:sz w:val="24"/>
          <w:szCs w:val="24"/>
        </w:rPr>
        <w:t xml:space="preserve">: Normal </w:t>
      </w:r>
      <w:r w:rsidR="00FF19EB" w:rsidRPr="005D68FE">
        <w:rPr>
          <w:rFonts w:ascii="Book Antiqua" w:hAnsi="Book Antiqua"/>
          <w:color w:val="000000" w:themeColor="text1"/>
          <w:sz w:val="24"/>
          <w:szCs w:val="24"/>
        </w:rPr>
        <w:t>human iPSC.</w:t>
      </w:r>
    </w:p>
    <w:p w14:paraId="4C374D0A" w14:textId="77777777" w:rsidR="00977E81" w:rsidRPr="005D68FE" w:rsidRDefault="00977E81" w:rsidP="005D68FE">
      <w:pPr>
        <w:autoSpaceDE/>
        <w:autoSpaceDN/>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br w:type="page"/>
      </w:r>
    </w:p>
    <w:p w14:paraId="0093498F"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lang w:eastAsia="zh-CN"/>
        </w:rPr>
        <w:lastRenderedPageBreak/>
        <w:drawing>
          <wp:anchor distT="0" distB="0" distL="114300" distR="114300" simplePos="0" relativeHeight="251660288" behindDoc="0" locked="0" layoutInCell="1" allowOverlap="1" wp14:anchorId="2C7DA478" wp14:editId="192151C5">
            <wp:simplePos x="0" y="0"/>
            <wp:positionH relativeFrom="margin">
              <wp:align>left</wp:align>
            </wp:positionH>
            <wp:positionV relativeFrom="paragraph">
              <wp:posOffset>-3174</wp:posOffset>
            </wp:positionV>
            <wp:extent cx="5553075" cy="3522155"/>
            <wp:effectExtent l="0" t="0" r="0" b="25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5427"/>
                    <a:stretch/>
                  </pic:blipFill>
                  <pic:spPr bwMode="auto">
                    <a:xfrm>
                      <a:off x="0" y="0"/>
                      <a:ext cx="5575079" cy="35361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79AD05"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2FEF69E4"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0EBE2357"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2F5E71B9"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553D8F60"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35B22ACF"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0F210997"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017996CA"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309A67F3"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709E9F64" w14:textId="77777777" w:rsidR="006F49F9" w:rsidRPr="005D68FE" w:rsidRDefault="006F49F9" w:rsidP="005D68FE">
      <w:pPr>
        <w:snapToGrid w:val="0"/>
        <w:spacing w:line="360" w:lineRule="auto"/>
        <w:jc w:val="both"/>
        <w:rPr>
          <w:rFonts w:ascii="Book Antiqua" w:hAnsi="Book Antiqua"/>
          <w:b/>
          <w:color w:val="000000" w:themeColor="text1"/>
          <w:sz w:val="24"/>
          <w:szCs w:val="24"/>
        </w:rPr>
      </w:pPr>
    </w:p>
    <w:p w14:paraId="44BB74EA" w14:textId="77777777" w:rsidR="006F49F9" w:rsidRPr="005D68FE" w:rsidRDefault="006F49F9" w:rsidP="005D68FE">
      <w:pPr>
        <w:snapToGrid w:val="0"/>
        <w:spacing w:line="360" w:lineRule="auto"/>
        <w:jc w:val="both"/>
        <w:rPr>
          <w:rFonts w:ascii="Book Antiqua" w:hAnsi="Book Antiqua"/>
          <w:b/>
          <w:color w:val="000000" w:themeColor="text1"/>
          <w:sz w:val="24"/>
          <w:szCs w:val="24"/>
        </w:rPr>
      </w:pPr>
    </w:p>
    <w:p w14:paraId="00430B16" w14:textId="77777777" w:rsidR="006F49F9" w:rsidRPr="005D68FE" w:rsidRDefault="006F49F9" w:rsidP="005D68FE">
      <w:pPr>
        <w:snapToGrid w:val="0"/>
        <w:spacing w:line="360" w:lineRule="auto"/>
        <w:jc w:val="both"/>
        <w:rPr>
          <w:rFonts w:ascii="Book Antiqua" w:hAnsi="Book Antiqua"/>
          <w:b/>
          <w:color w:val="000000" w:themeColor="text1"/>
          <w:sz w:val="24"/>
          <w:szCs w:val="24"/>
        </w:rPr>
      </w:pPr>
    </w:p>
    <w:p w14:paraId="7683F14A" w14:textId="77777777" w:rsidR="006F49F9" w:rsidRPr="005D68FE" w:rsidRDefault="006F49F9" w:rsidP="005D68FE">
      <w:pPr>
        <w:snapToGrid w:val="0"/>
        <w:spacing w:line="360" w:lineRule="auto"/>
        <w:jc w:val="both"/>
        <w:rPr>
          <w:rFonts w:ascii="Book Antiqua" w:hAnsi="Book Antiqua"/>
          <w:b/>
          <w:color w:val="000000" w:themeColor="text1"/>
          <w:sz w:val="24"/>
          <w:szCs w:val="24"/>
        </w:rPr>
      </w:pPr>
    </w:p>
    <w:p w14:paraId="4A4406DE" w14:textId="7FF5ED5B" w:rsidR="00977E81" w:rsidRPr="005D68FE" w:rsidRDefault="00977E81" w:rsidP="005D68FE">
      <w:pPr>
        <w:snapToGrid w:val="0"/>
        <w:spacing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t xml:space="preserve">Figure 3 Characteristics of </w:t>
      </w:r>
      <w:r w:rsidR="00B40ACF" w:rsidRPr="005D68FE">
        <w:rPr>
          <w:rFonts w:ascii="Book Antiqua" w:hAnsi="Book Antiqua"/>
          <w:b/>
          <w:color w:val="000000" w:themeColor="text1"/>
          <w:sz w:val="24"/>
          <w:szCs w:val="24"/>
        </w:rPr>
        <w:t>amniotic epithelial cell</w:t>
      </w:r>
      <w:r w:rsidRPr="005D68FE">
        <w:rPr>
          <w:rFonts w:ascii="Book Antiqua" w:hAnsi="Book Antiqua"/>
          <w:b/>
          <w:color w:val="000000" w:themeColor="text1"/>
          <w:sz w:val="24"/>
          <w:szCs w:val="24"/>
        </w:rPr>
        <w:t xml:space="preserve"> spheres formed on 3D-micropattern plate.</w:t>
      </w:r>
      <w:r w:rsidR="00F91038" w:rsidRPr="005D68FE">
        <w:rPr>
          <w:rFonts w:ascii="Book Antiqua" w:hAnsi="Book Antiqua"/>
          <w:b/>
          <w:color w:val="000000" w:themeColor="text1"/>
          <w:sz w:val="24"/>
          <w:szCs w:val="24"/>
        </w:rPr>
        <w:t xml:space="preserve"> </w:t>
      </w:r>
      <w:r w:rsidRPr="005D68FE">
        <w:rPr>
          <w:rFonts w:ascii="Book Antiqua" w:hAnsi="Book Antiqua"/>
          <w:color w:val="000000" w:themeColor="text1"/>
          <w:sz w:val="24"/>
          <w:szCs w:val="24"/>
        </w:rPr>
        <w:t>A: 3D-micropattern plate used in the present study. Round pits 500 µ</w:t>
      </w:r>
      <w:r w:rsidR="006F49F9" w:rsidRPr="005D68FE">
        <w:rPr>
          <w:rFonts w:ascii="Book Antiqua" w:hAnsi="Book Antiqua"/>
          <w:color w:val="000000" w:themeColor="text1"/>
          <w:sz w:val="24"/>
          <w:szCs w:val="24"/>
        </w:rPr>
        <w:t>m</w:t>
      </w:r>
      <w:r w:rsidRPr="005D68FE">
        <w:rPr>
          <w:rFonts w:ascii="Book Antiqua" w:hAnsi="Book Antiqua"/>
          <w:color w:val="000000" w:themeColor="text1"/>
          <w:sz w:val="24"/>
          <w:szCs w:val="24"/>
        </w:rPr>
        <w:t xml:space="preserve"> in diameter are clustered on the surface. After culture, the </w:t>
      </w:r>
      <w:r w:rsidR="00B40ACF" w:rsidRPr="005D68FE">
        <w:rPr>
          <w:rFonts w:ascii="Book Antiqua" w:hAnsi="Book Antiqua"/>
          <w:color w:val="000000" w:themeColor="text1"/>
          <w:sz w:val="24"/>
          <w:szCs w:val="24"/>
        </w:rPr>
        <w:t>amniotic epithelial cells (</w:t>
      </w:r>
      <w:r w:rsidRPr="005D68FE">
        <w:rPr>
          <w:rFonts w:ascii="Book Antiqua" w:hAnsi="Book Antiqua"/>
          <w:color w:val="000000" w:themeColor="text1"/>
          <w:sz w:val="24"/>
          <w:szCs w:val="24"/>
        </w:rPr>
        <w:t>AECs</w:t>
      </w:r>
      <w:r w:rsidR="00B40ACF" w:rsidRPr="005D68FE">
        <w:rPr>
          <w:rFonts w:ascii="Book Antiqua" w:hAnsi="Book Antiqua"/>
          <w:color w:val="000000" w:themeColor="text1"/>
          <w:sz w:val="24"/>
          <w:szCs w:val="24"/>
        </w:rPr>
        <w:t>)</w:t>
      </w:r>
      <w:r w:rsidRPr="005D68FE">
        <w:rPr>
          <w:rFonts w:ascii="Book Antiqua" w:hAnsi="Book Antiqua"/>
          <w:color w:val="000000" w:themeColor="text1"/>
          <w:sz w:val="24"/>
          <w:szCs w:val="24"/>
        </w:rPr>
        <w:t xml:space="preserve"> formed a sphere</w:t>
      </w:r>
      <w:r w:rsidR="00F91038"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B: </w:t>
      </w:r>
      <w:r w:rsidR="00F91038" w:rsidRPr="005D68FE">
        <w:rPr>
          <w:rFonts w:ascii="Book Antiqua" w:hAnsi="Book Antiqua"/>
          <w:color w:val="000000" w:themeColor="text1"/>
          <w:sz w:val="24"/>
          <w:szCs w:val="24"/>
        </w:rPr>
        <w:t xml:space="preserve">Gene </w:t>
      </w:r>
      <w:r w:rsidRPr="005D68FE">
        <w:rPr>
          <w:rFonts w:ascii="Book Antiqua" w:hAnsi="Book Antiqua"/>
          <w:color w:val="000000" w:themeColor="text1"/>
          <w:sz w:val="24"/>
          <w:szCs w:val="24"/>
        </w:rPr>
        <w:t>expression in the AEC sphere verified by qRT-PCR</w:t>
      </w:r>
      <w:r w:rsidR="00F91038"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C: </w:t>
      </w:r>
      <w:r w:rsidR="00F91038" w:rsidRPr="005D68FE">
        <w:rPr>
          <w:rFonts w:ascii="Book Antiqua" w:hAnsi="Book Antiqua"/>
          <w:color w:val="000000" w:themeColor="text1"/>
          <w:sz w:val="24"/>
          <w:szCs w:val="24"/>
        </w:rPr>
        <w:t xml:space="preserve">After </w:t>
      </w:r>
      <w:r w:rsidRPr="005D68FE">
        <w:rPr>
          <w:rFonts w:ascii="Book Antiqua" w:hAnsi="Book Antiqua"/>
          <w:color w:val="000000" w:themeColor="text1"/>
          <w:sz w:val="24"/>
          <w:szCs w:val="24"/>
        </w:rPr>
        <w:t>reseeding AEC sphere onto 2D culture dish, AEC proliferation was verified by phase-contrast microscopy. Bar, 500 µ</w:t>
      </w:r>
      <w:r w:rsidR="006F49F9" w:rsidRPr="005D68FE">
        <w:rPr>
          <w:rFonts w:ascii="Book Antiqua" w:hAnsi="Book Antiqua"/>
          <w:color w:val="000000" w:themeColor="text1"/>
          <w:sz w:val="24"/>
          <w:szCs w:val="24"/>
        </w:rPr>
        <w:t>m</w:t>
      </w:r>
      <w:r w:rsidRPr="005D68FE">
        <w:rPr>
          <w:rFonts w:ascii="Book Antiqua" w:hAnsi="Book Antiqua"/>
          <w:color w:val="000000" w:themeColor="text1"/>
          <w:sz w:val="24"/>
          <w:szCs w:val="24"/>
        </w:rPr>
        <w:t>.</w:t>
      </w:r>
    </w:p>
    <w:p w14:paraId="2EC851B2"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55F2F021" w14:textId="77777777" w:rsidR="00977E81" w:rsidRPr="005D68FE" w:rsidRDefault="00977E81" w:rsidP="005D68FE">
      <w:pPr>
        <w:autoSpaceDE/>
        <w:autoSpaceDN/>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br w:type="page"/>
      </w:r>
    </w:p>
    <w:p w14:paraId="63F3135A"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lang w:eastAsia="zh-CN"/>
        </w:rPr>
        <w:lastRenderedPageBreak/>
        <w:drawing>
          <wp:anchor distT="0" distB="0" distL="114300" distR="114300" simplePos="0" relativeHeight="251661312" behindDoc="0" locked="0" layoutInCell="1" allowOverlap="1" wp14:anchorId="10983353" wp14:editId="4011DCDA">
            <wp:simplePos x="0" y="0"/>
            <wp:positionH relativeFrom="margin">
              <wp:align>left</wp:align>
            </wp:positionH>
            <wp:positionV relativeFrom="paragraph">
              <wp:posOffset>-3174</wp:posOffset>
            </wp:positionV>
            <wp:extent cx="5816829" cy="43624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0253" cy="43650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3A5D13"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7D11ABFE"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2A00267C"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62D13C96"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100E22A8"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09544A8C"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01BC833A"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3802FB8C"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6578FB88"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6D5680CC"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2A97FDA2"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31E2E0F3" w14:textId="77777777" w:rsidR="0081087E" w:rsidRPr="005D68FE" w:rsidRDefault="0081087E" w:rsidP="005D68FE">
      <w:pPr>
        <w:snapToGrid w:val="0"/>
        <w:spacing w:line="360" w:lineRule="auto"/>
        <w:jc w:val="both"/>
        <w:rPr>
          <w:rFonts w:ascii="Book Antiqua" w:hAnsi="Book Antiqua"/>
          <w:b/>
          <w:color w:val="000000" w:themeColor="text1"/>
          <w:sz w:val="24"/>
          <w:szCs w:val="24"/>
        </w:rPr>
      </w:pPr>
    </w:p>
    <w:p w14:paraId="15AAEEEB" w14:textId="77777777" w:rsidR="0081087E" w:rsidRPr="005D68FE" w:rsidRDefault="0081087E" w:rsidP="005D68FE">
      <w:pPr>
        <w:snapToGrid w:val="0"/>
        <w:spacing w:line="360" w:lineRule="auto"/>
        <w:jc w:val="both"/>
        <w:rPr>
          <w:rFonts w:ascii="Book Antiqua" w:hAnsi="Book Antiqua"/>
          <w:b/>
          <w:color w:val="000000" w:themeColor="text1"/>
          <w:sz w:val="24"/>
          <w:szCs w:val="24"/>
        </w:rPr>
      </w:pPr>
    </w:p>
    <w:p w14:paraId="6294CFF7" w14:textId="77777777" w:rsidR="0081087E" w:rsidRPr="005D68FE" w:rsidRDefault="0081087E" w:rsidP="005D68FE">
      <w:pPr>
        <w:snapToGrid w:val="0"/>
        <w:spacing w:line="360" w:lineRule="auto"/>
        <w:jc w:val="both"/>
        <w:rPr>
          <w:rFonts w:ascii="Book Antiqua" w:hAnsi="Book Antiqua"/>
          <w:b/>
          <w:color w:val="000000" w:themeColor="text1"/>
          <w:sz w:val="24"/>
          <w:szCs w:val="24"/>
        </w:rPr>
      </w:pPr>
    </w:p>
    <w:p w14:paraId="17950444" w14:textId="77777777" w:rsidR="0081087E" w:rsidRPr="005D68FE" w:rsidRDefault="0081087E" w:rsidP="005D68FE">
      <w:pPr>
        <w:snapToGrid w:val="0"/>
        <w:spacing w:line="360" w:lineRule="auto"/>
        <w:jc w:val="both"/>
        <w:rPr>
          <w:rFonts w:ascii="Book Antiqua" w:hAnsi="Book Antiqua"/>
          <w:b/>
          <w:color w:val="000000" w:themeColor="text1"/>
          <w:sz w:val="24"/>
          <w:szCs w:val="24"/>
        </w:rPr>
      </w:pPr>
    </w:p>
    <w:p w14:paraId="5DC8F305" w14:textId="77777777" w:rsidR="0081087E" w:rsidRPr="005D68FE" w:rsidRDefault="0081087E" w:rsidP="005D68FE">
      <w:pPr>
        <w:snapToGrid w:val="0"/>
        <w:spacing w:line="360" w:lineRule="auto"/>
        <w:jc w:val="both"/>
        <w:rPr>
          <w:rFonts w:ascii="Book Antiqua" w:hAnsi="Book Antiqua"/>
          <w:b/>
          <w:color w:val="000000" w:themeColor="text1"/>
          <w:sz w:val="24"/>
          <w:szCs w:val="24"/>
        </w:rPr>
      </w:pPr>
    </w:p>
    <w:p w14:paraId="6288B3BB" w14:textId="44EBF228" w:rsidR="00977E81" w:rsidRPr="005D68FE" w:rsidRDefault="00977E81" w:rsidP="005D68FE">
      <w:pPr>
        <w:snapToGrid w:val="0"/>
        <w:spacing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t>Figure 4</w:t>
      </w:r>
      <w:r w:rsidR="0081087E" w:rsidRPr="005D68FE">
        <w:rPr>
          <w:rFonts w:ascii="Book Antiqua" w:hAnsi="Book Antiqua"/>
          <w:b/>
          <w:color w:val="000000" w:themeColor="text1"/>
          <w:sz w:val="24"/>
          <w:szCs w:val="24"/>
        </w:rPr>
        <w:t xml:space="preserve"> </w:t>
      </w:r>
      <w:r w:rsidRPr="005D68FE">
        <w:rPr>
          <w:rFonts w:ascii="Book Antiqua" w:hAnsi="Book Antiqua"/>
          <w:b/>
          <w:color w:val="000000" w:themeColor="text1"/>
          <w:sz w:val="24"/>
          <w:szCs w:val="24"/>
        </w:rPr>
        <w:t>Organoid morphology and hepatic function.</w:t>
      </w:r>
      <w:r w:rsidR="00F91038" w:rsidRPr="005D68FE">
        <w:rPr>
          <w:rFonts w:ascii="Book Antiqua" w:hAnsi="Book Antiqua"/>
          <w:b/>
          <w:color w:val="000000" w:themeColor="text1"/>
          <w:sz w:val="24"/>
          <w:szCs w:val="24"/>
        </w:rPr>
        <w:t xml:space="preserve"> </w:t>
      </w:r>
      <w:r w:rsidRPr="005D68FE">
        <w:rPr>
          <w:rFonts w:ascii="Book Antiqua" w:hAnsi="Book Antiqua"/>
          <w:color w:val="000000" w:themeColor="text1"/>
          <w:sz w:val="24"/>
          <w:szCs w:val="24"/>
        </w:rPr>
        <w:t>A</w:t>
      </w:r>
      <w:r w:rsidR="00B40ACF" w:rsidRPr="005D68FE">
        <w:rPr>
          <w:rFonts w:ascii="Book Antiqua" w:hAnsi="Book Antiqua"/>
          <w:color w:val="000000" w:themeColor="text1"/>
          <w:sz w:val="24"/>
          <w:szCs w:val="24"/>
        </w:rPr>
        <w:t xml:space="preserve"> and C</w:t>
      </w:r>
      <w:r w:rsidRPr="005D68FE">
        <w:rPr>
          <w:rFonts w:ascii="Book Antiqua" w:hAnsi="Book Antiqua"/>
          <w:color w:val="000000" w:themeColor="text1"/>
          <w:sz w:val="24"/>
          <w:szCs w:val="24"/>
        </w:rPr>
        <w:t xml:space="preserve">: </w:t>
      </w:r>
      <w:r w:rsidR="00F91038" w:rsidRPr="005D68FE">
        <w:rPr>
          <w:rFonts w:ascii="Book Antiqua" w:hAnsi="Book Antiqua"/>
          <w:color w:val="000000" w:themeColor="text1"/>
          <w:sz w:val="24"/>
          <w:szCs w:val="24"/>
        </w:rPr>
        <w:t xml:space="preserve">Frozen </w:t>
      </w:r>
      <w:r w:rsidRPr="005D68FE">
        <w:rPr>
          <w:rFonts w:ascii="Book Antiqua" w:hAnsi="Book Antiqua"/>
          <w:color w:val="000000" w:themeColor="text1"/>
          <w:sz w:val="24"/>
          <w:szCs w:val="24"/>
        </w:rPr>
        <w:t xml:space="preserve">sections of </w:t>
      </w:r>
      <w:r w:rsidR="00B40ACF" w:rsidRPr="005D68FE">
        <w:rPr>
          <w:rFonts w:ascii="Book Antiqua" w:hAnsi="Book Antiqua"/>
          <w:color w:val="000000" w:themeColor="text1"/>
          <w:sz w:val="24"/>
          <w:szCs w:val="24"/>
        </w:rPr>
        <w:t>amniotic epithelial cell (</w:t>
      </w:r>
      <w:r w:rsidRPr="005D68FE">
        <w:rPr>
          <w:rFonts w:ascii="Book Antiqua" w:hAnsi="Book Antiqua"/>
          <w:color w:val="000000" w:themeColor="text1"/>
          <w:sz w:val="24"/>
          <w:szCs w:val="24"/>
        </w:rPr>
        <w:t>AEC</w:t>
      </w:r>
      <w:r w:rsidR="00B40ACF" w:rsidRPr="005D68FE">
        <w:rPr>
          <w:rFonts w:ascii="Book Antiqua" w:hAnsi="Book Antiqua"/>
          <w:color w:val="000000" w:themeColor="text1"/>
          <w:sz w:val="24"/>
          <w:szCs w:val="24"/>
        </w:rPr>
        <w:t>)</w:t>
      </w:r>
      <w:r w:rsidRPr="005D68FE">
        <w:rPr>
          <w:rFonts w:ascii="Book Antiqua" w:hAnsi="Book Antiqua"/>
          <w:color w:val="000000" w:themeColor="text1"/>
          <w:sz w:val="24"/>
          <w:szCs w:val="24"/>
        </w:rPr>
        <w:t xml:space="preserve"> sphere and organoid. The AEC sphere was placed in the upper layer and the organoid was placed in the lower layer. </w:t>
      </w:r>
      <w:r w:rsidR="005110AD" w:rsidRPr="005D68FE">
        <w:rPr>
          <w:rFonts w:ascii="Book Antiqua" w:hAnsi="Book Antiqua"/>
          <w:color w:val="000000" w:themeColor="text1"/>
          <w:sz w:val="24"/>
          <w:szCs w:val="24"/>
        </w:rPr>
        <w:t xml:space="preserve">H&amp;E staining is used in A, and </w:t>
      </w:r>
      <w:r w:rsidR="00C164AF" w:rsidRPr="005D68FE">
        <w:rPr>
          <w:rFonts w:ascii="Book Antiqua" w:hAnsi="Book Antiqua"/>
          <w:color w:val="000000" w:themeColor="text1"/>
          <w:sz w:val="24"/>
          <w:szCs w:val="24"/>
        </w:rPr>
        <w:t>Periodic acid Schiff</w:t>
      </w:r>
      <w:r w:rsidR="005110AD" w:rsidRPr="005D68FE">
        <w:rPr>
          <w:rFonts w:ascii="Book Antiqua" w:hAnsi="Book Antiqua"/>
          <w:color w:val="000000" w:themeColor="text1"/>
          <w:sz w:val="24"/>
          <w:szCs w:val="24"/>
        </w:rPr>
        <w:t xml:space="preserve"> staining is used in C</w:t>
      </w:r>
      <w:r w:rsidR="00F91038" w:rsidRPr="005D68FE">
        <w:rPr>
          <w:rFonts w:ascii="Book Antiqua" w:hAnsi="Book Antiqua"/>
          <w:color w:val="000000" w:themeColor="text1"/>
          <w:sz w:val="24"/>
          <w:szCs w:val="24"/>
        </w:rPr>
        <w:t xml:space="preserve">; </w:t>
      </w:r>
      <w:r w:rsidRPr="005D68FE">
        <w:rPr>
          <w:rFonts w:ascii="Book Antiqua" w:hAnsi="Book Antiqua"/>
          <w:color w:val="000000" w:themeColor="text1"/>
          <w:sz w:val="24"/>
          <w:szCs w:val="24"/>
        </w:rPr>
        <w:t xml:space="preserve">B: </w:t>
      </w:r>
      <w:r w:rsidR="00F91038" w:rsidRPr="005D68FE">
        <w:rPr>
          <w:rFonts w:ascii="Book Antiqua" w:hAnsi="Book Antiqua"/>
          <w:color w:val="000000" w:themeColor="text1"/>
          <w:sz w:val="24"/>
          <w:szCs w:val="24"/>
        </w:rPr>
        <w:t xml:space="preserve">Immunofluorescent </w:t>
      </w:r>
      <w:r w:rsidRPr="005D68FE">
        <w:rPr>
          <w:rFonts w:ascii="Book Antiqua" w:hAnsi="Book Antiqua"/>
          <w:color w:val="000000" w:themeColor="text1"/>
          <w:sz w:val="24"/>
          <w:szCs w:val="24"/>
        </w:rPr>
        <w:t xml:space="preserve">organoid staining observed under confocal microscopy. Anti-SSEA4 antibody (green) representing AECs; anti-CD90 antibody (red) representing </w:t>
      </w:r>
      <w:r w:rsidR="00B40ACF" w:rsidRPr="005D68FE">
        <w:rPr>
          <w:rFonts w:ascii="Book Antiqua" w:hAnsi="Book Antiqua"/>
          <w:color w:val="000000" w:themeColor="text1"/>
          <w:sz w:val="24"/>
          <w:szCs w:val="24"/>
        </w:rPr>
        <w:t>mesenchymal stem cells</w:t>
      </w:r>
      <w:r w:rsidRPr="005D68FE">
        <w:rPr>
          <w:rFonts w:ascii="Book Antiqua" w:hAnsi="Book Antiqua"/>
          <w:color w:val="000000" w:themeColor="text1"/>
          <w:sz w:val="24"/>
          <w:szCs w:val="24"/>
        </w:rPr>
        <w:t xml:space="preserve"> and DAPI. Bars in A</w:t>
      </w:r>
      <w:r w:rsidR="005110AD" w:rsidRPr="005D68FE">
        <w:rPr>
          <w:rFonts w:ascii="Book Antiqua" w:hAnsi="Book Antiqua"/>
          <w:color w:val="000000" w:themeColor="text1"/>
          <w:sz w:val="24"/>
          <w:szCs w:val="24"/>
        </w:rPr>
        <w:t>, B</w:t>
      </w:r>
      <w:r w:rsidR="00FF19EB" w:rsidRPr="005D68FE">
        <w:rPr>
          <w:rFonts w:ascii="Book Antiqua" w:hAnsi="Book Antiqua"/>
          <w:color w:val="000000" w:themeColor="text1"/>
          <w:sz w:val="24"/>
          <w:szCs w:val="24"/>
        </w:rPr>
        <w:t>,</w:t>
      </w:r>
      <w:r w:rsidRPr="005D68FE">
        <w:rPr>
          <w:rFonts w:ascii="Book Antiqua" w:hAnsi="Book Antiqua"/>
          <w:color w:val="000000" w:themeColor="text1"/>
          <w:sz w:val="24"/>
          <w:szCs w:val="24"/>
        </w:rPr>
        <w:t xml:space="preserve"> and </w:t>
      </w:r>
      <w:r w:rsidR="005110AD" w:rsidRPr="005D68FE">
        <w:rPr>
          <w:rFonts w:ascii="Book Antiqua" w:hAnsi="Book Antiqua"/>
          <w:color w:val="000000" w:themeColor="text1"/>
          <w:sz w:val="24"/>
          <w:szCs w:val="24"/>
        </w:rPr>
        <w:t>C</w:t>
      </w:r>
      <w:r w:rsidRPr="005D68FE">
        <w:rPr>
          <w:rFonts w:ascii="Book Antiqua" w:hAnsi="Book Antiqua"/>
          <w:color w:val="000000" w:themeColor="text1"/>
          <w:sz w:val="24"/>
          <w:szCs w:val="24"/>
        </w:rPr>
        <w:t xml:space="preserve">, 50 µm; </w:t>
      </w:r>
      <w:r w:rsidR="005110AD" w:rsidRPr="005D68FE">
        <w:rPr>
          <w:rFonts w:ascii="Book Antiqua" w:hAnsi="Book Antiqua"/>
          <w:color w:val="000000" w:themeColor="text1"/>
          <w:sz w:val="24"/>
          <w:szCs w:val="24"/>
        </w:rPr>
        <w:t>D</w:t>
      </w:r>
      <w:r w:rsidRPr="005D68FE">
        <w:rPr>
          <w:rFonts w:ascii="Book Antiqua" w:hAnsi="Book Antiqua"/>
          <w:color w:val="000000" w:themeColor="text1"/>
          <w:sz w:val="24"/>
          <w:szCs w:val="24"/>
        </w:rPr>
        <w:t>: ICG tests on AEC sphere and organoid. The AEC sphere was placed in the upper layer and the organoid was placed in the lower layer.</w:t>
      </w:r>
    </w:p>
    <w:p w14:paraId="31640917" w14:textId="77777777" w:rsidR="00977E81" w:rsidRPr="005D68FE" w:rsidRDefault="00977E81" w:rsidP="005D68FE">
      <w:pPr>
        <w:autoSpaceDE/>
        <w:autoSpaceDN/>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br w:type="page"/>
      </w:r>
    </w:p>
    <w:p w14:paraId="65BD905E" w14:textId="2AB5BC01" w:rsidR="00977E81" w:rsidRPr="005D68FE" w:rsidRDefault="00977E81" w:rsidP="005D68FE">
      <w:pPr>
        <w:snapToGrid w:val="0"/>
        <w:spacing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lastRenderedPageBreak/>
        <w:t xml:space="preserve">Table 1 List of </w:t>
      </w:r>
      <w:bookmarkStart w:id="32" w:name="OLE_LINK2"/>
      <w:r w:rsidRPr="005D68FE">
        <w:rPr>
          <w:rFonts w:ascii="Book Antiqua" w:hAnsi="Book Antiqua"/>
          <w:b/>
          <w:color w:val="000000" w:themeColor="text1"/>
          <w:sz w:val="24"/>
          <w:szCs w:val="24"/>
        </w:rPr>
        <w:t>primers</w:t>
      </w:r>
      <w:bookmarkEnd w:id="32"/>
      <w:r w:rsidRPr="005D68FE">
        <w:rPr>
          <w:rFonts w:ascii="Book Antiqua" w:hAnsi="Book Antiqua"/>
          <w:color w:val="000000" w:themeColor="text1"/>
          <w:sz w:val="24"/>
          <w:szCs w:val="24"/>
        </w:rPr>
        <w:fldChar w:fldCharType="begin"/>
      </w:r>
      <w:r w:rsidRPr="005D68FE">
        <w:rPr>
          <w:rFonts w:ascii="Book Antiqua" w:hAnsi="Book Antiqua"/>
          <w:color w:val="000000" w:themeColor="text1"/>
          <w:sz w:val="24"/>
          <w:szCs w:val="24"/>
        </w:rPr>
        <w:instrText xml:space="preserve"> LINK Excel.Sheet.12 "https://d.docs.live.net/4947f20398f41c1a/</w:instrText>
      </w:r>
      <w:r w:rsidRPr="005D68FE">
        <w:rPr>
          <w:rFonts w:ascii="Book Antiqua" w:hAnsi="Book Antiqua"/>
          <w:color w:val="000000" w:themeColor="text1"/>
          <w:sz w:val="24"/>
          <w:szCs w:val="24"/>
        </w:rPr>
        <w:instrText>ドキュメント</w:instrText>
      </w:r>
      <w:r w:rsidRPr="005D68FE">
        <w:rPr>
          <w:rFonts w:ascii="Book Antiqua" w:hAnsi="Book Antiqua"/>
          <w:color w:val="000000" w:themeColor="text1"/>
          <w:sz w:val="24"/>
          <w:szCs w:val="24"/>
        </w:rPr>
        <w:instrText>/</w:instrText>
      </w:r>
      <w:r w:rsidRPr="005D68FE">
        <w:rPr>
          <w:rFonts w:ascii="Book Antiqua" w:hAnsi="Book Antiqua"/>
          <w:color w:val="000000" w:themeColor="text1"/>
          <w:sz w:val="24"/>
          <w:szCs w:val="24"/>
        </w:rPr>
        <w:instrText>大学院</w:instrText>
      </w:r>
      <w:r w:rsidRPr="005D68FE">
        <w:rPr>
          <w:rFonts w:ascii="Book Antiqua" w:hAnsi="Book Antiqua"/>
          <w:color w:val="000000" w:themeColor="text1"/>
          <w:sz w:val="24"/>
          <w:szCs w:val="24"/>
        </w:rPr>
        <w:instrText xml:space="preserve">/World journal of stem cells/Table.xlsx" "Table 1!R2C1:R19C3" \a \f 5 \h  \* MERGEFORMAT </w:instrText>
      </w:r>
      <w:r w:rsidRPr="005D68FE">
        <w:rPr>
          <w:rFonts w:ascii="Book Antiqua" w:hAnsi="Book Antiqua"/>
          <w:color w:val="000000" w:themeColor="text1"/>
          <w:sz w:val="24"/>
          <w:szCs w:val="24"/>
        </w:rPr>
        <w:fldChar w:fldCharType="separate"/>
      </w:r>
    </w:p>
    <w:tbl>
      <w:tblPr>
        <w:tblStyle w:val="TableGrid"/>
        <w:tblW w:w="504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377"/>
        <w:gridCol w:w="4395"/>
      </w:tblGrid>
      <w:tr w:rsidR="00F91038" w:rsidRPr="005D68FE" w14:paraId="379F4A13" w14:textId="77777777" w:rsidTr="005E7A99">
        <w:trPr>
          <w:trHeight w:val="390"/>
        </w:trPr>
        <w:tc>
          <w:tcPr>
            <w:tcW w:w="1000" w:type="dxa"/>
            <w:tcBorders>
              <w:top w:val="single" w:sz="4" w:space="0" w:color="auto"/>
              <w:bottom w:val="single" w:sz="4" w:space="0" w:color="auto"/>
            </w:tcBorders>
          </w:tcPr>
          <w:p w14:paraId="33BE468E" w14:textId="63A85865" w:rsidR="00F91038" w:rsidRPr="005D68FE" w:rsidRDefault="00F91038" w:rsidP="005D68FE">
            <w:pPr>
              <w:snapToGrid w:val="0"/>
              <w:spacing w:line="360" w:lineRule="auto"/>
              <w:jc w:val="both"/>
              <w:rPr>
                <w:rFonts w:ascii="Book Antiqua" w:eastAsia="DengXian" w:hAnsi="Book Antiqua"/>
                <w:b/>
                <w:bCs/>
                <w:color w:val="000000" w:themeColor="text1"/>
                <w:sz w:val="24"/>
                <w:szCs w:val="24"/>
                <w:lang w:eastAsia="zh-CN"/>
              </w:rPr>
            </w:pPr>
            <w:r w:rsidRPr="005D68FE">
              <w:rPr>
                <w:rFonts w:ascii="Book Antiqua" w:eastAsia="DengXian" w:hAnsi="Book Antiqua"/>
                <w:b/>
                <w:bCs/>
                <w:color w:val="000000" w:themeColor="text1"/>
                <w:sz w:val="24"/>
                <w:szCs w:val="24"/>
                <w:lang w:eastAsia="zh-CN"/>
              </w:rPr>
              <w:t>Name</w:t>
            </w:r>
          </w:p>
        </w:tc>
        <w:tc>
          <w:tcPr>
            <w:tcW w:w="320" w:type="dxa"/>
            <w:tcBorders>
              <w:top w:val="single" w:sz="4" w:space="0" w:color="auto"/>
              <w:bottom w:val="single" w:sz="4" w:space="0" w:color="auto"/>
            </w:tcBorders>
          </w:tcPr>
          <w:p w14:paraId="25A57F3E" w14:textId="77777777" w:rsidR="00F91038" w:rsidRPr="005D68FE" w:rsidRDefault="00F91038" w:rsidP="005D68FE">
            <w:pPr>
              <w:snapToGrid w:val="0"/>
              <w:spacing w:line="360" w:lineRule="auto"/>
              <w:jc w:val="both"/>
              <w:rPr>
                <w:rFonts w:ascii="Book Antiqua" w:hAnsi="Book Antiqua"/>
                <w:color w:val="000000" w:themeColor="text1"/>
                <w:sz w:val="24"/>
                <w:szCs w:val="24"/>
              </w:rPr>
            </w:pPr>
          </w:p>
        </w:tc>
        <w:tc>
          <w:tcPr>
            <w:tcW w:w="3720" w:type="dxa"/>
            <w:tcBorders>
              <w:top w:val="single" w:sz="4" w:space="0" w:color="auto"/>
              <w:bottom w:val="single" w:sz="4" w:space="0" w:color="auto"/>
            </w:tcBorders>
          </w:tcPr>
          <w:p w14:paraId="590F3634" w14:textId="5D872848" w:rsidR="00F91038" w:rsidRPr="005D68FE" w:rsidRDefault="00F91038" w:rsidP="005D68FE">
            <w:pPr>
              <w:snapToGrid w:val="0"/>
              <w:spacing w:line="360" w:lineRule="auto"/>
              <w:jc w:val="both"/>
              <w:rPr>
                <w:rFonts w:ascii="Book Antiqua" w:hAnsi="Book Antiqua"/>
                <w:color w:val="000000" w:themeColor="text1"/>
                <w:sz w:val="24"/>
                <w:szCs w:val="24"/>
              </w:rPr>
            </w:pPr>
            <w:r w:rsidRPr="005D68FE">
              <w:rPr>
                <w:rFonts w:ascii="Book Antiqua" w:hAnsi="Book Antiqua"/>
                <w:b/>
                <w:color w:val="000000" w:themeColor="text1"/>
                <w:sz w:val="24"/>
                <w:szCs w:val="24"/>
              </w:rPr>
              <w:t>Primer sequence</w:t>
            </w:r>
          </w:p>
        </w:tc>
      </w:tr>
      <w:tr w:rsidR="00977E81" w:rsidRPr="005D68FE" w14:paraId="1BD9B576" w14:textId="77777777" w:rsidTr="005E7A99">
        <w:trPr>
          <w:trHeight w:val="390"/>
        </w:trPr>
        <w:tc>
          <w:tcPr>
            <w:tcW w:w="1000" w:type="dxa"/>
            <w:vMerge w:val="restart"/>
            <w:tcBorders>
              <w:top w:val="single" w:sz="4" w:space="0" w:color="auto"/>
            </w:tcBorders>
            <w:hideMark/>
          </w:tcPr>
          <w:p w14:paraId="34585E42"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r w:rsidRPr="005D68FE">
              <w:rPr>
                <w:rFonts w:ascii="Book Antiqua" w:hAnsi="Book Antiqua"/>
                <w:i/>
                <w:iCs/>
                <w:color w:val="000000" w:themeColor="text1"/>
                <w:sz w:val="24"/>
                <w:szCs w:val="24"/>
              </w:rPr>
              <w:t>SOX2</w:t>
            </w:r>
          </w:p>
        </w:tc>
        <w:tc>
          <w:tcPr>
            <w:tcW w:w="320" w:type="dxa"/>
            <w:tcBorders>
              <w:top w:val="single" w:sz="4" w:space="0" w:color="auto"/>
            </w:tcBorders>
            <w:hideMark/>
          </w:tcPr>
          <w:p w14:paraId="3D24EA56"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F</w:t>
            </w:r>
          </w:p>
        </w:tc>
        <w:tc>
          <w:tcPr>
            <w:tcW w:w="3720" w:type="dxa"/>
            <w:tcBorders>
              <w:top w:val="single" w:sz="4" w:space="0" w:color="auto"/>
            </w:tcBorders>
            <w:hideMark/>
          </w:tcPr>
          <w:p w14:paraId="4C3EAF59"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TGCACCGCTACGACGTGA</w:t>
            </w:r>
          </w:p>
        </w:tc>
      </w:tr>
      <w:tr w:rsidR="00F8075E" w:rsidRPr="005D68FE" w14:paraId="59296518" w14:textId="77777777" w:rsidTr="0095681D">
        <w:trPr>
          <w:trHeight w:val="390"/>
        </w:trPr>
        <w:tc>
          <w:tcPr>
            <w:tcW w:w="1000" w:type="dxa"/>
            <w:vMerge/>
            <w:hideMark/>
          </w:tcPr>
          <w:p w14:paraId="0A133854"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p>
        </w:tc>
        <w:tc>
          <w:tcPr>
            <w:tcW w:w="320" w:type="dxa"/>
            <w:hideMark/>
          </w:tcPr>
          <w:p w14:paraId="1E64946F"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R</w:t>
            </w:r>
          </w:p>
        </w:tc>
        <w:tc>
          <w:tcPr>
            <w:tcW w:w="3720" w:type="dxa"/>
            <w:hideMark/>
          </w:tcPr>
          <w:p w14:paraId="139F165B"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GGAGCCAAGAGCCATGCC</w:t>
            </w:r>
          </w:p>
        </w:tc>
      </w:tr>
      <w:tr w:rsidR="00977E81" w:rsidRPr="005D68FE" w14:paraId="728F5E17" w14:textId="77777777" w:rsidTr="0095681D">
        <w:trPr>
          <w:trHeight w:val="390"/>
        </w:trPr>
        <w:tc>
          <w:tcPr>
            <w:tcW w:w="1000" w:type="dxa"/>
            <w:vMerge w:val="restart"/>
            <w:hideMark/>
          </w:tcPr>
          <w:p w14:paraId="241820DD"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r w:rsidRPr="005D68FE">
              <w:rPr>
                <w:rFonts w:ascii="Book Antiqua" w:hAnsi="Book Antiqua"/>
                <w:i/>
                <w:iCs/>
                <w:color w:val="000000" w:themeColor="text1"/>
                <w:sz w:val="24"/>
                <w:szCs w:val="24"/>
              </w:rPr>
              <w:t>NANOG</w:t>
            </w:r>
          </w:p>
        </w:tc>
        <w:tc>
          <w:tcPr>
            <w:tcW w:w="320" w:type="dxa"/>
            <w:hideMark/>
          </w:tcPr>
          <w:p w14:paraId="4CB17B47"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F</w:t>
            </w:r>
          </w:p>
        </w:tc>
        <w:tc>
          <w:tcPr>
            <w:tcW w:w="3720" w:type="dxa"/>
            <w:hideMark/>
          </w:tcPr>
          <w:p w14:paraId="4FD32716"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TGCTGAGATGCCTCACACG</w:t>
            </w:r>
          </w:p>
        </w:tc>
      </w:tr>
      <w:tr w:rsidR="00F8075E" w:rsidRPr="005D68FE" w14:paraId="51765D42" w14:textId="77777777" w:rsidTr="0095681D">
        <w:trPr>
          <w:trHeight w:val="390"/>
        </w:trPr>
        <w:tc>
          <w:tcPr>
            <w:tcW w:w="1000" w:type="dxa"/>
            <w:vMerge/>
            <w:hideMark/>
          </w:tcPr>
          <w:p w14:paraId="0119962A"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p>
        </w:tc>
        <w:tc>
          <w:tcPr>
            <w:tcW w:w="320" w:type="dxa"/>
            <w:hideMark/>
          </w:tcPr>
          <w:p w14:paraId="4DA27BD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R</w:t>
            </w:r>
          </w:p>
        </w:tc>
        <w:tc>
          <w:tcPr>
            <w:tcW w:w="3720" w:type="dxa"/>
            <w:hideMark/>
          </w:tcPr>
          <w:p w14:paraId="6D758B8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TGCAGAAGTGGGTTGTTTGC</w:t>
            </w:r>
          </w:p>
        </w:tc>
      </w:tr>
      <w:tr w:rsidR="00977E81" w:rsidRPr="005D68FE" w14:paraId="1B764C9E" w14:textId="77777777" w:rsidTr="0095681D">
        <w:trPr>
          <w:trHeight w:val="390"/>
        </w:trPr>
        <w:tc>
          <w:tcPr>
            <w:tcW w:w="1000" w:type="dxa"/>
            <w:vMerge w:val="restart"/>
            <w:hideMark/>
          </w:tcPr>
          <w:p w14:paraId="44E49534" w14:textId="0FC014B5" w:rsidR="00977E81" w:rsidRPr="005D68FE" w:rsidRDefault="00977E81" w:rsidP="005D68FE">
            <w:pPr>
              <w:snapToGrid w:val="0"/>
              <w:spacing w:line="360" w:lineRule="auto"/>
              <w:jc w:val="both"/>
              <w:rPr>
                <w:rFonts w:ascii="Book Antiqua" w:hAnsi="Book Antiqua"/>
                <w:i/>
                <w:iCs/>
                <w:color w:val="000000" w:themeColor="text1"/>
                <w:sz w:val="24"/>
                <w:szCs w:val="24"/>
              </w:rPr>
            </w:pPr>
            <w:r w:rsidRPr="005D68FE">
              <w:rPr>
                <w:rFonts w:ascii="Book Antiqua" w:hAnsi="Book Antiqua"/>
                <w:i/>
                <w:iCs/>
                <w:color w:val="000000" w:themeColor="text1"/>
                <w:sz w:val="24"/>
                <w:szCs w:val="24"/>
              </w:rPr>
              <w:t>O</w:t>
            </w:r>
            <w:r w:rsidR="001B68A3" w:rsidRPr="005D68FE">
              <w:rPr>
                <w:rFonts w:ascii="Book Antiqua" w:hAnsi="Book Antiqua"/>
                <w:i/>
                <w:iCs/>
                <w:color w:val="000000" w:themeColor="text1"/>
                <w:sz w:val="24"/>
                <w:szCs w:val="24"/>
              </w:rPr>
              <w:t>CT4</w:t>
            </w:r>
          </w:p>
        </w:tc>
        <w:tc>
          <w:tcPr>
            <w:tcW w:w="320" w:type="dxa"/>
            <w:hideMark/>
          </w:tcPr>
          <w:p w14:paraId="103CB8C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F</w:t>
            </w:r>
          </w:p>
        </w:tc>
        <w:tc>
          <w:tcPr>
            <w:tcW w:w="3720" w:type="dxa"/>
            <w:hideMark/>
          </w:tcPr>
          <w:p w14:paraId="04891EFC"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GAAACCCACACTGCAGCAG</w:t>
            </w:r>
          </w:p>
        </w:tc>
      </w:tr>
      <w:tr w:rsidR="00F8075E" w:rsidRPr="005D68FE" w14:paraId="338B6CDD" w14:textId="77777777" w:rsidTr="0095681D">
        <w:trPr>
          <w:trHeight w:val="390"/>
        </w:trPr>
        <w:tc>
          <w:tcPr>
            <w:tcW w:w="1000" w:type="dxa"/>
            <w:vMerge/>
            <w:hideMark/>
          </w:tcPr>
          <w:p w14:paraId="2465FD2D"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p>
        </w:tc>
        <w:tc>
          <w:tcPr>
            <w:tcW w:w="320" w:type="dxa"/>
            <w:hideMark/>
          </w:tcPr>
          <w:p w14:paraId="77AE6E87"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R</w:t>
            </w:r>
          </w:p>
        </w:tc>
        <w:tc>
          <w:tcPr>
            <w:tcW w:w="3720" w:type="dxa"/>
            <w:hideMark/>
          </w:tcPr>
          <w:p w14:paraId="79D3204F"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GACCCAGCAGCCTCAAAATC</w:t>
            </w:r>
          </w:p>
        </w:tc>
      </w:tr>
      <w:tr w:rsidR="00977E81" w:rsidRPr="005D68FE" w14:paraId="5582E70B" w14:textId="77777777" w:rsidTr="0095681D">
        <w:trPr>
          <w:trHeight w:val="390"/>
        </w:trPr>
        <w:tc>
          <w:tcPr>
            <w:tcW w:w="1000" w:type="dxa"/>
            <w:vMerge w:val="restart"/>
            <w:hideMark/>
          </w:tcPr>
          <w:p w14:paraId="06DC1F00"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r w:rsidRPr="005D68FE">
              <w:rPr>
                <w:rFonts w:ascii="Book Antiqua" w:hAnsi="Book Antiqua"/>
                <w:i/>
                <w:iCs/>
                <w:color w:val="000000" w:themeColor="text1"/>
                <w:sz w:val="24"/>
                <w:szCs w:val="24"/>
              </w:rPr>
              <w:t>LIN28</w:t>
            </w:r>
          </w:p>
        </w:tc>
        <w:tc>
          <w:tcPr>
            <w:tcW w:w="320" w:type="dxa"/>
            <w:hideMark/>
          </w:tcPr>
          <w:p w14:paraId="459DE5C4"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F</w:t>
            </w:r>
          </w:p>
        </w:tc>
        <w:tc>
          <w:tcPr>
            <w:tcW w:w="3720" w:type="dxa"/>
            <w:hideMark/>
          </w:tcPr>
          <w:p w14:paraId="558474D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GGATGTCTTTGTGCACCAGAGTA</w:t>
            </w:r>
          </w:p>
        </w:tc>
      </w:tr>
      <w:tr w:rsidR="00F8075E" w:rsidRPr="005D68FE" w14:paraId="5ED1D7B7" w14:textId="77777777" w:rsidTr="0095681D">
        <w:trPr>
          <w:trHeight w:val="390"/>
        </w:trPr>
        <w:tc>
          <w:tcPr>
            <w:tcW w:w="1000" w:type="dxa"/>
            <w:vMerge/>
            <w:hideMark/>
          </w:tcPr>
          <w:p w14:paraId="19E67EC5"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p>
        </w:tc>
        <w:tc>
          <w:tcPr>
            <w:tcW w:w="320" w:type="dxa"/>
            <w:hideMark/>
          </w:tcPr>
          <w:p w14:paraId="3A9A0304"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R</w:t>
            </w:r>
          </w:p>
        </w:tc>
        <w:tc>
          <w:tcPr>
            <w:tcW w:w="3720" w:type="dxa"/>
            <w:hideMark/>
          </w:tcPr>
          <w:p w14:paraId="417273D0"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TGGATTCCAGACCCTTGGCT</w:t>
            </w:r>
          </w:p>
        </w:tc>
      </w:tr>
      <w:tr w:rsidR="00977E81" w:rsidRPr="005D68FE" w14:paraId="4418A882" w14:textId="77777777" w:rsidTr="0095681D">
        <w:trPr>
          <w:trHeight w:val="390"/>
        </w:trPr>
        <w:tc>
          <w:tcPr>
            <w:tcW w:w="1000" w:type="dxa"/>
            <w:vMerge w:val="restart"/>
            <w:hideMark/>
          </w:tcPr>
          <w:p w14:paraId="334D6990"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r w:rsidRPr="005D68FE">
              <w:rPr>
                <w:rFonts w:ascii="Book Antiqua" w:hAnsi="Book Antiqua"/>
                <w:i/>
                <w:iCs/>
                <w:color w:val="000000" w:themeColor="text1"/>
                <w:sz w:val="24"/>
                <w:szCs w:val="24"/>
              </w:rPr>
              <w:t>ALB</w:t>
            </w:r>
          </w:p>
        </w:tc>
        <w:tc>
          <w:tcPr>
            <w:tcW w:w="320" w:type="dxa"/>
            <w:hideMark/>
          </w:tcPr>
          <w:p w14:paraId="3BD78A3C"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F</w:t>
            </w:r>
          </w:p>
        </w:tc>
        <w:tc>
          <w:tcPr>
            <w:tcW w:w="3720" w:type="dxa"/>
            <w:hideMark/>
          </w:tcPr>
          <w:p w14:paraId="56DF003B"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TGCCTGTTGCCAAAGCTCG</w:t>
            </w:r>
          </w:p>
        </w:tc>
      </w:tr>
      <w:tr w:rsidR="00F8075E" w:rsidRPr="005D68FE" w14:paraId="7C0DD022" w14:textId="77777777" w:rsidTr="0095681D">
        <w:trPr>
          <w:trHeight w:val="390"/>
        </w:trPr>
        <w:tc>
          <w:tcPr>
            <w:tcW w:w="1000" w:type="dxa"/>
            <w:vMerge/>
            <w:hideMark/>
          </w:tcPr>
          <w:p w14:paraId="01054B3D"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p>
        </w:tc>
        <w:tc>
          <w:tcPr>
            <w:tcW w:w="320" w:type="dxa"/>
            <w:hideMark/>
          </w:tcPr>
          <w:p w14:paraId="432405A1"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R</w:t>
            </w:r>
          </w:p>
        </w:tc>
        <w:tc>
          <w:tcPr>
            <w:tcW w:w="3720" w:type="dxa"/>
            <w:hideMark/>
          </w:tcPr>
          <w:p w14:paraId="57F8BA3E"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GCTACTGCCCATGCTTTGAAAG</w:t>
            </w:r>
          </w:p>
        </w:tc>
      </w:tr>
      <w:tr w:rsidR="00977E81" w:rsidRPr="005D68FE" w14:paraId="62B3D67D" w14:textId="77777777" w:rsidTr="0095681D">
        <w:trPr>
          <w:trHeight w:val="390"/>
        </w:trPr>
        <w:tc>
          <w:tcPr>
            <w:tcW w:w="1000" w:type="dxa"/>
            <w:vMerge w:val="restart"/>
            <w:hideMark/>
          </w:tcPr>
          <w:p w14:paraId="38F6B2F8"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r w:rsidRPr="005D68FE">
              <w:rPr>
                <w:rFonts w:ascii="Book Antiqua" w:hAnsi="Book Antiqua"/>
                <w:i/>
                <w:iCs/>
                <w:color w:val="000000" w:themeColor="text1"/>
                <w:sz w:val="24"/>
                <w:szCs w:val="24"/>
              </w:rPr>
              <w:t>AFP</w:t>
            </w:r>
          </w:p>
        </w:tc>
        <w:tc>
          <w:tcPr>
            <w:tcW w:w="320" w:type="dxa"/>
            <w:hideMark/>
          </w:tcPr>
          <w:p w14:paraId="6B3CAF6E"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F</w:t>
            </w:r>
          </w:p>
        </w:tc>
        <w:tc>
          <w:tcPr>
            <w:tcW w:w="3720" w:type="dxa"/>
            <w:hideMark/>
          </w:tcPr>
          <w:p w14:paraId="1222F8EA"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GCAAACGATGAAGCAAGAGTTTC</w:t>
            </w:r>
          </w:p>
        </w:tc>
      </w:tr>
      <w:tr w:rsidR="00F8075E" w:rsidRPr="005D68FE" w14:paraId="6E1DE669" w14:textId="77777777" w:rsidTr="0095681D">
        <w:trPr>
          <w:trHeight w:val="390"/>
        </w:trPr>
        <w:tc>
          <w:tcPr>
            <w:tcW w:w="1000" w:type="dxa"/>
            <w:vMerge/>
            <w:hideMark/>
          </w:tcPr>
          <w:p w14:paraId="28385D11"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p>
        </w:tc>
        <w:tc>
          <w:tcPr>
            <w:tcW w:w="320" w:type="dxa"/>
            <w:hideMark/>
          </w:tcPr>
          <w:p w14:paraId="15571EFC"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R</w:t>
            </w:r>
          </w:p>
        </w:tc>
        <w:tc>
          <w:tcPr>
            <w:tcW w:w="3720" w:type="dxa"/>
            <w:hideMark/>
          </w:tcPr>
          <w:p w14:paraId="4A4C59CD"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GCAGCATTTCTCCAACAGGC</w:t>
            </w:r>
          </w:p>
        </w:tc>
      </w:tr>
      <w:tr w:rsidR="00977E81" w:rsidRPr="005D68FE" w14:paraId="2DD2125D" w14:textId="77777777" w:rsidTr="0095681D">
        <w:trPr>
          <w:trHeight w:val="390"/>
        </w:trPr>
        <w:tc>
          <w:tcPr>
            <w:tcW w:w="1000" w:type="dxa"/>
            <w:vMerge w:val="restart"/>
            <w:hideMark/>
          </w:tcPr>
          <w:p w14:paraId="0C1D3B4A"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r w:rsidRPr="005D68FE">
              <w:rPr>
                <w:rFonts w:ascii="Book Antiqua" w:hAnsi="Book Antiqua"/>
                <w:i/>
                <w:iCs/>
                <w:color w:val="000000" w:themeColor="text1"/>
                <w:sz w:val="24"/>
                <w:szCs w:val="24"/>
              </w:rPr>
              <w:t>AAT</w:t>
            </w:r>
          </w:p>
        </w:tc>
        <w:tc>
          <w:tcPr>
            <w:tcW w:w="320" w:type="dxa"/>
            <w:hideMark/>
          </w:tcPr>
          <w:p w14:paraId="58784426"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F</w:t>
            </w:r>
          </w:p>
        </w:tc>
        <w:tc>
          <w:tcPr>
            <w:tcW w:w="3720" w:type="dxa"/>
            <w:hideMark/>
          </w:tcPr>
          <w:p w14:paraId="18DB3D79"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ACTGGAACCTATGATCTGAAGAGC</w:t>
            </w:r>
          </w:p>
        </w:tc>
      </w:tr>
      <w:tr w:rsidR="00F8075E" w:rsidRPr="005D68FE" w14:paraId="56A6586B" w14:textId="77777777" w:rsidTr="0095681D">
        <w:trPr>
          <w:trHeight w:val="390"/>
        </w:trPr>
        <w:tc>
          <w:tcPr>
            <w:tcW w:w="1000" w:type="dxa"/>
            <w:vMerge/>
            <w:hideMark/>
          </w:tcPr>
          <w:p w14:paraId="6F175798"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p>
        </w:tc>
        <w:tc>
          <w:tcPr>
            <w:tcW w:w="320" w:type="dxa"/>
            <w:hideMark/>
          </w:tcPr>
          <w:p w14:paraId="6D884BF1"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R</w:t>
            </w:r>
          </w:p>
        </w:tc>
        <w:tc>
          <w:tcPr>
            <w:tcW w:w="3720" w:type="dxa"/>
            <w:hideMark/>
          </w:tcPr>
          <w:p w14:paraId="20D641C8"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GCCTTATGCACGGCCTTGG</w:t>
            </w:r>
          </w:p>
        </w:tc>
      </w:tr>
      <w:tr w:rsidR="00977E81" w:rsidRPr="005D68FE" w14:paraId="72EE50BA" w14:textId="77777777" w:rsidTr="0095681D">
        <w:trPr>
          <w:trHeight w:val="390"/>
        </w:trPr>
        <w:tc>
          <w:tcPr>
            <w:tcW w:w="1000" w:type="dxa"/>
            <w:vMerge w:val="restart"/>
            <w:hideMark/>
          </w:tcPr>
          <w:p w14:paraId="469AD4A4"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r w:rsidRPr="005D68FE">
              <w:rPr>
                <w:rFonts w:ascii="Book Antiqua" w:hAnsi="Book Antiqua"/>
                <w:i/>
                <w:iCs/>
                <w:color w:val="000000" w:themeColor="text1"/>
                <w:sz w:val="24"/>
                <w:szCs w:val="24"/>
              </w:rPr>
              <w:t>CYP3A4</w:t>
            </w:r>
          </w:p>
        </w:tc>
        <w:tc>
          <w:tcPr>
            <w:tcW w:w="320" w:type="dxa"/>
            <w:hideMark/>
          </w:tcPr>
          <w:p w14:paraId="3CDC7444"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F</w:t>
            </w:r>
          </w:p>
        </w:tc>
        <w:tc>
          <w:tcPr>
            <w:tcW w:w="3720" w:type="dxa"/>
            <w:hideMark/>
          </w:tcPr>
          <w:p w14:paraId="706522A0"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GGATGAAAGAAAGTCGCCTCGA</w:t>
            </w:r>
          </w:p>
        </w:tc>
      </w:tr>
      <w:tr w:rsidR="00F8075E" w:rsidRPr="005D68FE" w14:paraId="20BF4BA9" w14:textId="77777777" w:rsidTr="0095681D">
        <w:trPr>
          <w:trHeight w:val="390"/>
        </w:trPr>
        <w:tc>
          <w:tcPr>
            <w:tcW w:w="1000" w:type="dxa"/>
            <w:vMerge/>
            <w:hideMark/>
          </w:tcPr>
          <w:p w14:paraId="3B9BF278"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p>
        </w:tc>
        <w:tc>
          <w:tcPr>
            <w:tcW w:w="320" w:type="dxa"/>
            <w:hideMark/>
          </w:tcPr>
          <w:p w14:paraId="68B1CC0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R</w:t>
            </w:r>
          </w:p>
        </w:tc>
        <w:tc>
          <w:tcPr>
            <w:tcW w:w="3720" w:type="dxa"/>
            <w:hideMark/>
          </w:tcPr>
          <w:p w14:paraId="07ECC146"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TCCAGATCGGACAGAGCTTTG</w:t>
            </w:r>
          </w:p>
        </w:tc>
      </w:tr>
      <w:tr w:rsidR="00F8075E" w:rsidRPr="005D68FE" w14:paraId="7F020408" w14:textId="77777777" w:rsidTr="0095681D">
        <w:trPr>
          <w:trHeight w:val="390"/>
        </w:trPr>
        <w:tc>
          <w:tcPr>
            <w:tcW w:w="1000" w:type="dxa"/>
            <w:vMerge w:val="restart"/>
            <w:hideMark/>
          </w:tcPr>
          <w:p w14:paraId="65C652D5"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r w:rsidRPr="005D68FE">
              <w:rPr>
                <w:rFonts w:ascii="Book Antiqua" w:hAnsi="Book Antiqua"/>
                <w:i/>
                <w:iCs/>
                <w:color w:val="000000" w:themeColor="text1"/>
                <w:sz w:val="24"/>
                <w:szCs w:val="24"/>
              </w:rPr>
              <w:t>ACTB</w:t>
            </w:r>
          </w:p>
        </w:tc>
        <w:tc>
          <w:tcPr>
            <w:tcW w:w="320" w:type="dxa"/>
            <w:hideMark/>
          </w:tcPr>
          <w:p w14:paraId="04649750"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F</w:t>
            </w:r>
          </w:p>
        </w:tc>
        <w:tc>
          <w:tcPr>
            <w:tcW w:w="3720" w:type="dxa"/>
            <w:hideMark/>
          </w:tcPr>
          <w:p w14:paraId="220D9B0D"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CCTCGCCTTTGCCGATCC</w:t>
            </w:r>
          </w:p>
        </w:tc>
      </w:tr>
      <w:tr w:rsidR="00977E81" w:rsidRPr="005D68FE" w14:paraId="42DB9565" w14:textId="77777777" w:rsidTr="0095681D">
        <w:trPr>
          <w:trHeight w:val="390"/>
        </w:trPr>
        <w:tc>
          <w:tcPr>
            <w:tcW w:w="1000" w:type="dxa"/>
            <w:vMerge/>
            <w:hideMark/>
          </w:tcPr>
          <w:p w14:paraId="0B619D99" w14:textId="77777777" w:rsidR="00977E81" w:rsidRPr="005D68FE" w:rsidRDefault="00977E81" w:rsidP="005D68FE">
            <w:pPr>
              <w:snapToGrid w:val="0"/>
              <w:spacing w:line="360" w:lineRule="auto"/>
              <w:jc w:val="both"/>
              <w:rPr>
                <w:rFonts w:ascii="Book Antiqua" w:hAnsi="Book Antiqua"/>
                <w:i/>
                <w:iCs/>
                <w:color w:val="000000" w:themeColor="text1"/>
                <w:sz w:val="24"/>
                <w:szCs w:val="24"/>
              </w:rPr>
            </w:pPr>
          </w:p>
        </w:tc>
        <w:tc>
          <w:tcPr>
            <w:tcW w:w="320" w:type="dxa"/>
            <w:hideMark/>
          </w:tcPr>
          <w:p w14:paraId="3AE79F4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R</w:t>
            </w:r>
          </w:p>
        </w:tc>
        <w:tc>
          <w:tcPr>
            <w:tcW w:w="3720" w:type="dxa"/>
            <w:hideMark/>
          </w:tcPr>
          <w:p w14:paraId="62D5E5BE"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CATGCCGGAGCCGTTGT</w:t>
            </w:r>
          </w:p>
        </w:tc>
      </w:tr>
    </w:tbl>
    <w:p w14:paraId="7CFF28B1"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fldChar w:fldCharType="end"/>
      </w:r>
    </w:p>
    <w:p w14:paraId="63C908CF" w14:textId="77777777" w:rsidR="00977E81" w:rsidRPr="005D68FE" w:rsidRDefault="00977E81" w:rsidP="005D68FE">
      <w:pPr>
        <w:autoSpaceDE/>
        <w:autoSpaceDN/>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br w:type="page"/>
      </w:r>
    </w:p>
    <w:p w14:paraId="3263C671" w14:textId="18FA332E"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b/>
          <w:color w:val="000000" w:themeColor="text1"/>
          <w:sz w:val="24"/>
          <w:szCs w:val="24"/>
        </w:rPr>
        <w:lastRenderedPageBreak/>
        <w:t>Table 2</w:t>
      </w:r>
      <w:r w:rsidR="0081087E" w:rsidRPr="005D68FE">
        <w:rPr>
          <w:rFonts w:ascii="Book Antiqua" w:hAnsi="Book Antiqua"/>
          <w:b/>
          <w:color w:val="000000" w:themeColor="text1"/>
          <w:sz w:val="24"/>
          <w:szCs w:val="24"/>
        </w:rPr>
        <w:t xml:space="preserve"> </w:t>
      </w:r>
      <w:r w:rsidRPr="005D68FE">
        <w:rPr>
          <w:rFonts w:ascii="Book Antiqua" w:hAnsi="Book Antiqua"/>
          <w:b/>
          <w:color w:val="000000" w:themeColor="text1"/>
          <w:sz w:val="24"/>
          <w:szCs w:val="24"/>
        </w:rPr>
        <w:t>RNAseq data sources used in the bioinformatics 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1503"/>
        <w:gridCol w:w="1506"/>
        <w:gridCol w:w="2802"/>
        <w:gridCol w:w="1310"/>
      </w:tblGrid>
      <w:tr w:rsidR="00977E81" w:rsidRPr="005D68FE" w14:paraId="30D596FD" w14:textId="77777777" w:rsidTr="0095681D">
        <w:trPr>
          <w:trHeight w:val="315"/>
        </w:trPr>
        <w:tc>
          <w:tcPr>
            <w:tcW w:w="1384" w:type="dxa"/>
            <w:tcBorders>
              <w:top w:val="single" w:sz="4" w:space="0" w:color="auto"/>
              <w:bottom w:val="single" w:sz="4" w:space="0" w:color="auto"/>
            </w:tcBorders>
            <w:hideMark/>
          </w:tcPr>
          <w:p w14:paraId="38C09D57" w14:textId="6951E8E7" w:rsidR="00977E81" w:rsidRPr="005D68FE" w:rsidRDefault="00F91038" w:rsidP="005D68FE">
            <w:pPr>
              <w:snapToGrid w:val="0"/>
              <w:spacing w:line="360" w:lineRule="auto"/>
              <w:jc w:val="both"/>
              <w:rPr>
                <w:rFonts w:ascii="Book Antiqua" w:hAnsi="Book Antiqua"/>
                <w:b/>
                <w:bCs/>
                <w:color w:val="000000" w:themeColor="text1"/>
                <w:sz w:val="24"/>
                <w:szCs w:val="24"/>
              </w:rPr>
            </w:pPr>
            <w:r w:rsidRPr="005D68FE">
              <w:rPr>
                <w:rFonts w:ascii="Book Antiqua" w:hAnsi="Book Antiqua"/>
                <w:b/>
                <w:bCs/>
                <w:color w:val="000000" w:themeColor="text1"/>
                <w:sz w:val="24"/>
                <w:szCs w:val="24"/>
              </w:rPr>
              <w:t xml:space="preserve">Sample </w:t>
            </w:r>
            <w:r w:rsidR="00977E81" w:rsidRPr="005D68FE">
              <w:rPr>
                <w:rFonts w:ascii="Book Antiqua" w:hAnsi="Book Antiqua"/>
                <w:b/>
                <w:bCs/>
                <w:color w:val="000000" w:themeColor="text1"/>
                <w:sz w:val="24"/>
                <w:szCs w:val="24"/>
              </w:rPr>
              <w:t>name</w:t>
            </w:r>
          </w:p>
        </w:tc>
        <w:tc>
          <w:tcPr>
            <w:tcW w:w="1503" w:type="dxa"/>
            <w:tcBorders>
              <w:top w:val="single" w:sz="4" w:space="0" w:color="auto"/>
              <w:bottom w:val="single" w:sz="4" w:space="0" w:color="auto"/>
            </w:tcBorders>
            <w:hideMark/>
          </w:tcPr>
          <w:p w14:paraId="5060E699" w14:textId="77777777" w:rsidR="00977E81" w:rsidRPr="005D68FE" w:rsidRDefault="00977E81" w:rsidP="005D68FE">
            <w:pPr>
              <w:snapToGrid w:val="0"/>
              <w:spacing w:line="360" w:lineRule="auto"/>
              <w:jc w:val="both"/>
              <w:rPr>
                <w:rFonts w:ascii="Book Antiqua" w:hAnsi="Book Antiqua"/>
                <w:b/>
                <w:bCs/>
                <w:color w:val="000000" w:themeColor="text1"/>
                <w:sz w:val="24"/>
                <w:szCs w:val="24"/>
              </w:rPr>
            </w:pPr>
            <w:r w:rsidRPr="005D68FE">
              <w:rPr>
                <w:rFonts w:ascii="Book Antiqua" w:hAnsi="Book Antiqua"/>
                <w:b/>
                <w:bCs/>
                <w:color w:val="000000" w:themeColor="text1"/>
                <w:sz w:val="24"/>
                <w:szCs w:val="24"/>
              </w:rPr>
              <w:t>SRA number</w:t>
            </w:r>
          </w:p>
        </w:tc>
        <w:tc>
          <w:tcPr>
            <w:tcW w:w="1508" w:type="dxa"/>
            <w:tcBorders>
              <w:top w:val="single" w:sz="4" w:space="0" w:color="auto"/>
              <w:bottom w:val="single" w:sz="4" w:space="0" w:color="auto"/>
            </w:tcBorders>
            <w:hideMark/>
          </w:tcPr>
          <w:p w14:paraId="307B6D2D" w14:textId="4AD6EE0F" w:rsidR="00977E81" w:rsidRPr="005D68FE" w:rsidRDefault="00F91038" w:rsidP="005D68FE">
            <w:pPr>
              <w:snapToGrid w:val="0"/>
              <w:spacing w:line="360" w:lineRule="auto"/>
              <w:jc w:val="both"/>
              <w:rPr>
                <w:rFonts w:ascii="Book Antiqua" w:hAnsi="Book Antiqua"/>
                <w:b/>
                <w:bCs/>
                <w:color w:val="000000" w:themeColor="text1"/>
                <w:sz w:val="24"/>
                <w:szCs w:val="24"/>
              </w:rPr>
            </w:pPr>
            <w:r w:rsidRPr="005D68FE">
              <w:rPr>
                <w:rFonts w:ascii="Book Antiqua" w:hAnsi="Book Antiqua"/>
                <w:b/>
                <w:bCs/>
                <w:color w:val="000000" w:themeColor="text1"/>
                <w:sz w:val="24"/>
                <w:szCs w:val="24"/>
              </w:rPr>
              <w:t>Instrument</w:t>
            </w:r>
          </w:p>
        </w:tc>
        <w:tc>
          <w:tcPr>
            <w:tcW w:w="2835" w:type="dxa"/>
            <w:tcBorders>
              <w:top w:val="single" w:sz="4" w:space="0" w:color="auto"/>
              <w:bottom w:val="single" w:sz="4" w:space="0" w:color="auto"/>
            </w:tcBorders>
            <w:hideMark/>
          </w:tcPr>
          <w:p w14:paraId="0A1818EA" w14:textId="309B51BA" w:rsidR="00977E81" w:rsidRPr="005D68FE" w:rsidRDefault="00F91038" w:rsidP="005D68FE">
            <w:pPr>
              <w:snapToGrid w:val="0"/>
              <w:spacing w:line="360" w:lineRule="auto"/>
              <w:jc w:val="both"/>
              <w:rPr>
                <w:rFonts w:ascii="Book Antiqua" w:hAnsi="Book Antiqua"/>
                <w:b/>
                <w:bCs/>
                <w:color w:val="000000" w:themeColor="text1"/>
                <w:sz w:val="24"/>
                <w:szCs w:val="24"/>
              </w:rPr>
            </w:pPr>
            <w:r w:rsidRPr="005D68FE">
              <w:rPr>
                <w:rFonts w:ascii="Book Antiqua" w:hAnsi="Book Antiqua"/>
                <w:b/>
                <w:bCs/>
                <w:color w:val="000000" w:themeColor="text1"/>
                <w:sz w:val="24"/>
                <w:szCs w:val="24"/>
              </w:rPr>
              <w:t>Memo</w:t>
            </w:r>
          </w:p>
        </w:tc>
        <w:tc>
          <w:tcPr>
            <w:tcW w:w="1273" w:type="dxa"/>
            <w:tcBorders>
              <w:top w:val="single" w:sz="4" w:space="0" w:color="auto"/>
              <w:bottom w:val="single" w:sz="4" w:space="0" w:color="auto"/>
            </w:tcBorders>
            <w:hideMark/>
          </w:tcPr>
          <w:p w14:paraId="59807A02" w14:textId="471AA775" w:rsidR="00977E81" w:rsidRPr="005D68FE" w:rsidRDefault="00F91038" w:rsidP="005D68FE">
            <w:pPr>
              <w:snapToGrid w:val="0"/>
              <w:spacing w:line="360" w:lineRule="auto"/>
              <w:jc w:val="both"/>
              <w:rPr>
                <w:rFonts w:ascii="Book Antiqua" w:hAnsi="Book Antiqua"/>
                <w:b/>
                <w:bCs/>
                <w:color w:val="000000" w:themeColor="text1"/>
                <w:sz w:val="24"/>
                <w:szCs w:val="24"/>
              </w:rPr>
            </w:pPr>
            <w:r w:rsidRPr="005D68FE">
              <w:rPr>
                <w:rFonts w:ascii="Book Antiqua" w:hAnsi="Book Antiqua"/>
                <w:b/>
                <w:bCs/>
                <w:color w:val="000000" w:themeColor="text1"/>
                <w:sz w:val="24"/>
                <w:szCs w:val="24"/>
              </w:rPr>
              <w:t>Reference</w:t>
            </w:r>
          </w:p>
        </w:tc>
      </w:tr>
      <w:tr w:rsidR="00977E81" w:rsidRPr="005D68FE" w14:paraId="216F10C5" w14:textId="77777777" w:rsidTr="0095681D">
        <w:trPr>
          <w:trHeight w:val="315"/>
        </w:trPr>
        <w:tc>
          <w:tcPr>
            <w:tcW w:w="1384" w:type="dxa"/>
            <w:tcBorders>
              <w:top w:val="single" w:sz="4" w:space="0" w:color="auto"/>
            </w:tcBorders>
            <w:hideMark/>
          </w:tcPr>
          <w:p w14:paraId="0D0E2FD8"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AEC-1</w:t>
            </w:r>
          </w:p>
        </w:tc>
        <w:tc>
          <w:tcPr>
            <w:tcW w:w="1503" w:type="dxa"/>
            <w:tcBorders>
              <w:top w:val="single" w:sz="4" w:space="0" w:color="auto"/>
            </w:tcBorders>
            <w:hideMark/>
          </w:tcPr>
          <w:p w14:paraId="744E3354" w14:textId="2D3CEE52" w:rsidR="00977E81" w:rsidRPr="005D68FE" w:rsidRDefault="00694BA6"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SRR9643783</w:t>
            </w:r>
          </w:p>
        </w:tc>
        <w:tc>
          <w:tcPr>
            <w:tcW w:w="1508" w:type="dxa"/>
            <w:tcBorders>
              <w:top w:val="single" w:sz="4" w:space="0" w:color="auto"/>
            </w:tcBorders>
            <w:hideMark/>
          </w:tcPr>
          <w:p w14:paraId="771410C1"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Illumina HiSeq 2500</w:t>
            </w:r>
          </w:p>
        </w:tc>
        <w:tc>
          <w:tcPr>
            <w:tcW w:w="2835" w:type="dxa"/>
            <w:tcBorders>
              <w:top w:val="single" w:sz="4" w:space="0" w:color="auto"/>
            </w:tcBorders>
            <w:hideMark/>
          </w:tcPr>
          <w:p w14:paraId="57D3A40A" w14:textId="2A9E1AA2" w:rsidR="00977E81" w:rsidRPr="005D68FE" w:rsidRDefault="00F91038"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Primary </w:t>
            </w:r>
            <w:r w:rsidR="00977E81" w:rsidRPr="005D68FE">
              <w:rPr>
                <w:rFonts w:ascii="Book Antiqua" w:hAnsi="Book Antiqua"/>
                <w:color w:val="000000" w:themeColor="text1"/>
                <w:sz w:val="24"/>
                <w:szCs w:val="24"/>
              </w:rPr>
              <w:t>AEC</w:t>
            </w:r>
          </w:p>
        </w:tc>
        <w:tc>
          <w:tcPr>
            <w:tcW w:w="1273" w:type="dxa"/>
            <w:tcBorders>
              <w:top w:val="single" w:sz="4" w:space="0" w:color="auto"/>
            </w:tcBorders>
            <w:hideMark/>
          </w:tcPr>
          <w:p w14:paraId="6D48EB12"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tc>
      </w:tr>
      <w:tr w:rsidR="00977E81" w:rsidRPr="005D68FE" w14:paraId="0CD4315F" w14:textId="77777777" w:rsidTr="0095681D">
        <w:trPr>
          <w:trHeight w:val="315"/>
        </w:trPr>
        <w:tc>
          <w:tcPr>
            <w:tcW w:w="1384" w:type="dxa"/>
            <w:hideMark/>
          </w:tcPr>
          <w:p w14:paraId="3CE31987"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AEC-2</w:t>
            </w:r>
          </w:p>
        </w:tc>
        <w:tc>
          <w:tcPr>
            <w:tcW w:w="1503" w:type="dxa"/>
            <w:hideMark/>
          </w:tcPr>
          <w:p w14:paraId="6F572037" w14:textId="29378139" w:rsidR="00977E81" w:rsidRPr="005D68FE" w:rsidRDefault="00694BA6"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SRR9643784</w:t>
            </w:r>
          </w:p>
        </w:tc>
        <w:tc>
          <w:tcPr>
            <w:tcW w:w="1508" w:type="dxa"/>
            <w:hideMark/>
          </w:tcPr>
          <w:p w14:paraId="7C7BC574"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Illumina HiSeq 2500</w:t>
            </w:r>
          </w:p>
        </w:tc>
        <w:tc>
          <w:tcPr>
            <w:tcW w:w="2835" w:type="dxa"/>
            <w:hideMark/>
          </w:tcPr>
          <w:p w14:paraId="3352ED80" w14:textId="0E81EFF1" w:rsidR="00977E81" w:rsidRPr="005D68FE" w:rsidRDefault="00F91038"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Primary </w:t>
            </w:r>
            <w:r w:rsidR="00977E81" w:rsidRPr="005D68FE">
              <w:rPr>
                <w:rFonts w:ascii="Book Antiqua" w:hAnsi="Book Antiqua"/>
                <w:color w:val="000000" w:themeColor="text1"/>
                <w:sz w:val="24"/>
                <w:szCs w:val="24"/>
              </w:rPr>
              <w:t>AEC</w:t>
            </w:r>
          </w:p>
        </w:tc>
        <w:tc>
          <w:tcPr>
            <w:tcW w:w="1273" w:type="dxa"/>
            <w:hideMark/>
          </w:tcPr>
          <w:p w14:paraId="0F6E12CE"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tc>
      </w:tr>
      <w:tr w:rsidR="00F8075E" w:rsidRPr="005D68FE" w14:paraId="52E1C2EC" w14:textId="77777777" w:rsidTr="0095681D">
        <w:trPr>
          <w:trHeight w:val="315"/>
        </w:trPr>
        <w:tc>
          <w:tcPr>
            <w:tcW w:w="1384" w:type="dxa"/>
            <w:hideMark/>
          </w:tcPr>
          <w:p w14:paraId="4376B66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MSC-1</w:t>
            </w:r>
          </w:p>
        </w:tc>
        <w:tc>
          <w:tcPr>
            <w:tcW w:w="1503" w:type="dxa"/>
            <w:hideMark/>
          </w:tcPr>
          <w:p w14:paraId="3C4012F7"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SRR6431450</w:t>
            </w:r>
          </w:p>
        </w:tc>
        <w:tc>
          <w:tcPr>
            <w:tcW w:w="1508" w:type="dxa"/>
            <w:hideMark/>
          </w:tcPr>
          <w:p w14:paraId="0124522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Illumina HiSeq 2000</w:t>
            </w:r>
          </w:p>
        </w:tc>
        <w:tc>
          <w:tcPr>
            <w:tcW w:w="2835" w:type="dxa"/>
            <w:hideMark/>
          </w:tcPr>
          <w:p w14:paraId="697002B2"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tc>
        <w:tc>
          <w:tcPr>
            <w:tcW w:w="1273" w:type="dxa"/>
            <w:hideMark/>
          </w:tcPr>
          <w:p w14:paraId="09245BC8"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[44]</w:t>
            </w:r>
          </w:p>
        </w:tc>
      </w:tr>
      <w:tr w:rsidR="00F8075E" w:rsidRPr="005D68FE" w14:paraId="7D04DE92" w14:textId="77777777" w:rsidTr="0095681D">
        <w:trPr>
          <w:trHeight w:val="315"/>
        </w:trPr>
        <w:tc>
          <w:tcPr>
            <w:tcW w:w="1384" w:type="dxa"/>
            <w:hideMark/>
          </w:tcPr>
          <w:p w14:paraId="39FFCB93"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MSC-2</w:t>
            </w:r>
          </w:p>
        </w:tc>
        <w:tc>
          <w:tcPr>
            <w:tcW w:w="1503" w:type="dxa"/>
            <w:hideMark/>
          </w:tcPr>
          <w:p w14:paraId="25319933"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SRR6431451</w:t>
            </w:r>
          </w:p>
        </w:tc>
        <w:tc>
          <w:tcPr>
            <w:tcW w:w="1508" w:type="dxa"/>
            <w:hideMark/>
          </w:tcPr>
          <w:p w14:paraId="7ACF0859"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Illumina HiSeq 2000</w:t>
            </w:r>
          </w:p>
        </w:tc>
        <w:tc>
          <w:tcPr>
            <w:tcW w:w="2835" w:type="dxa"/>
            <w:hideMark/>
          </w:tcPr>
          <w:p w14:paraId="738041D4"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tc>
        <w:tc>
          <w:tcPr>
            <w:tcW w:w="1273" w:type="dxa"/>
            <w:hideMark/>
          </w:tcPr>
          <w:p w14:paraId="1A6A59D4"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[44]</w:t>
            </w:r>
          </w:p>
        </w:tc>
      </w:tr>
      <w:tr w:rsidR="00F8075E" w:rsidRPr="005D68FE" w14:paraId="1E744B82" w14:textId="77777777" w:rsidTr="0095681D">
        <w:trPr>
          <w:trHeight w:val="315"/>
        </w:trPr>
        <w:tc>
          <w:tcPr>
            <w:tcW w:w="1384" w:type="dxa"/>
            <w:hideMark/>
          </w:tcPr>
          <w:p w14:paraId="3EDB8EF6"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hESC-1</w:t>
            </w:r>
          </w:p>
        </w:tc>
        <w:tc>
          <w:tcPr>
            <w:tcW w:w="1503" w:type="dxa"/>
            <w:hideMark/>
          </w:tcPr>
          <w:p w14:paraId="08083A07"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SRR4241924</w:t>
            </w:r>
          </w:p>
        </w:tc>
        <w:tc>
          <w:tcPr>
            <w:tcW w:w="1508" w:type="dxa"/>
            <w:hideMark/>
          </w:tcPr>
          <w:p w14:paraId="3EA6DD09"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Illumina HiSeq 4000</w:t>
            </w:r>
          </w:p>
        </w:tc>
        <w:tc>
          <w:tcPr>
            <w:tcW w:w="2835" w:type="dxa"/>
            <w:hideMark/>
          </w:tcPr>
          <w:p w14:paraId="227A687B"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H9</w:t>
            </w:r>
          </w:p>
        </w:tc>
        <w:tc>
          <w:tcPr>
            <w:tcW w:w="1273" w:type="dxa"/>
            <w:hideMark/>
          </w:tcPr>
          <w:p w14:paraId="4D06F1BA"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[45]</w:t>
            </w:r>
          </w:p>
        </w:tc>
      </w:tr>
      <w:tr w:rsidR="00F8075E" w:rsidRPr="005D68FE" w14:paraId="0205FD1A" w14:textId="77777777" w:rsidTr="0095681D">
        <w:trPr>
          <w:trHeight w:val="315"/>
        </w:trPr>
        <w:tc>
          <w:tcPr>
            <w:tcW w:w="1384" w:type="dxa"/>
            <w:hideMark/>
          </w:tcPr>
          <w:p w14:paraId="6E81730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hESC-2</w:t>
            </w:r>
          </w:p>
        </w:tc>
        <w:tc>
          <w:tcPr>
            <w:tcW w:w="1503" w:type="dxa"/>
            <w:hideMark/>
          </w:tcPr>
          <w:p w14:paraId="77267AE1"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SRR4241926</w:t>
            </w:r>
          </w:p>
        </w:tc>
        <w:tc>
          <w:tcPr>
            <w:tcW w:w="1508" w:type="dxa"/>
            <w:hideMark/>
          </w:tcPr>
          <w:p w14:paraId="1A44F184"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Illumina HiSeq 4000</w:t>
            </w:r>
          </w:p>
        </w:tc>
        <w:tc>
          <w:tcPr>
            <w:tcW w:w="2835" w:type="dxa"/>
            <w:hideMark/>
          </w:tcPr>
          <w:p w14:paraId="61F21E7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H9</w:t>
            </w:r>
          </w:p>
        </w:tc>
        <w:tc>
          <w:tcPr>
            <w:tcW w:w="1273" w:type="dxa"/>
            <w:hideMark/>
          </w:tcPr>
          <w:p w14:paraId="20874F9D"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[45]</w:t>
            </w:r>
          </w:p>
        </w:tc>
      </w:tr>
      <w:tr w:rsidR="00F8075E" w:rsidRPr="005D68FE" w14:paraId="6DD0F86A" w14:textId="77777777" w:rsidTr="0095681D">
        <w:trPr>
          <w:trHeight w:val="315"/>
        </w:trPr>
        <w:tc>
          <w:tcPr>
            <w:tcW w:w="1384" w:type="dxa"/>
            <w:hideMark/>
          </w:tcPr>
          <w:p w14:paraId="3ACB715D"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NiPS-1</w:t>
            </w:r>
          </w:p>
        </w:tc>
        <w:tc>
          <w:tcPr>
            <w:tcW w:w="1503" w:type="dxa"/>
            <w:hideMark/>
          </w:tcPr>
          <w:p w14:paraId="29C8C8FE"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SRR7592168</w:t>
            </w:r>
          </w:p>
        </w:tc>
        <w:tc>
          <w:tcPr>
            <w:tcW w:w="1508" w:type="dxa"/>
            <w:hideMark/>
          </w:tcPr>
          <w:p w14:paraId="16D37857"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Illumina HiSeq 2500</w:t>
            </w:r>
          </w:p>
        </w:tc>
        <w:tc>
          <w:tcPr>
            <w:tcW w:w="2835" w:type="dxa"/>
            <w:hideMark/>
          </w:tcPr>
          <w:p w14:paraId="49BC60B2" w14:textId="60AB8B28" w:rsidR="007E6FBC" w:rsidRPr="005D68FE" w:rsidRDefault="00F91038"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Normal </w:t>
            </w:r>
            <w:r w:rsidR="007E6FBC" w:rsidRPr="005D68FE">
              <w:rPr>
                <w:rFonts w:ascii="Book Antiqua" w:hAnsi="Book Antiqua"/>
                <w:color w:val="000000" w:themeColor="text1"/>
                <w:sz w:val="24"/>
                <w:szCs w:val="24"/>
              </w:rPr>
              <w:t>human iPSC</w:t>
            </w:r>
          </w:p>
        </w:tc>
        <w:tc>
          <w:tcPr>
            <w:tcW w:w="1273" w:type="dxa"/>
            <w:hideMark/>
          </w:tcPr>
          <w:p w14:paraId="5AD66441" w14:textId="0F9BA9F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[46]</w:t>
            </w:r>
          </w:p>
        </w:tc>
      </w:tr>
      <w:tr w:rsidR="00F8075E" w:rsidRPr="005D68FE" w14:paraId="1B75D889" w14:textId="77777777" w:rsidTr="0095681D">
        <w:trPr>
          <w:trHeight w:val="315"/>
        </w:trPr>
        <w:tc>
          <w:tcPr>
            <w:tcW w:w="1384" w:type="dxa"/>
            <w:hideMark/>
          </w:tcPr>
          <w:p w14:paraId="04D6DC71"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NiPS-2</w:t>
            </w:r>
          </w:p>
        </w:tc>
        <w:tc>
          <w:tcPr>
            <w:tcW w:w="1503" w:type="dxa"/>
            <w:hideMark/>
          </w:tcPr>
          <w:p w14:paraId="41D39E1D"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SRR7592169</w:t>
            </w:r>
          </w:p>
        </w:tc>
        <w:tc>
          <w:tcPr>
            <w:tcW w:w="1508" w:type="dxa"/>
            <w:hideMark/>
          </w:tcPr>
          <w:p w14:paraId="6E6587D0"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Illumina HiSeq 2500</w:t>
            </w:r>
          </w:p>
        </w:tc>
        <w:tc>
          <w:tcPr>
            <w:tcW w:w="2835" w:type="dxa"/>
            <w:hideMark/>
          </w:tcPr>
          <w:p w14:paraId="48182921" w14:textId="017784FA" w:rsidR="007E6FBC" w:rsidRPr="005D68FE" w:rsidRDefault="00F91038"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Normal </w:t>
            </w:r>
            <w:r w:rsidR="007E6FBC" w:rsidRPr="005D68FE">
              <w:rPr>
                <w:rFonts w:ascii="Book Antiqua" w:hAnsi="Book Antiqua"/>
                <w:color w:val="000000" w:themeColor="text1"/>
                <w:sz w:val="24"/>
                <w:szCs w:val="24"/>
              </w:rPr>
              <w:t>human iPSC</w:t>
            </w:r>
          </w:p>
        </w:tc>
        <w:tc>
          <w:tcPr>
            <w:tcW w:w="1273" w:type="dxa"/>
            <w:hideMark/>
          </w:tcPr>
          <w:p w14:paraId="61EEA67C" w14:textId="61D429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[46]</w:t>
            </w:r>
          </w:p>
        </w:tc>
      </w:tr>
      <w:tr w:rsidR="00F8075E" w:rsidRPr="005D68FE" w14:paraId="72A2E368" w14:textId="77777777" w:rsidTr="0095681D">
        <w:trPr>
          <w:trHeight w:val="315"/>
        </w:trPr>
        <w:tc>
          <w:tcPr>
            <w:tcW w:w="1384" w:type="dxa"/>
            <w:hideMark/>
          </w:tcPr>
          <w:p w14:paraId="1300D26B"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DE-1</w:t>
            </w:r>
          </w:p>
        </w:tc>
        <w:tc>
          <w:tcPr>
            <w:tcW w:w="1503" w:type="dxa"/>
            <w:hideMark/>
          </w:tcPr>
          <w:p w14:paraId="219513C3"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SRR771468</w:t>
            </w:r>
          </w:p>
        </w:tc>
        <w:tc>
          <w:tcPr>
            <w:tcW w:w="1508" w:type="dxa"/>
            <w:hideMark/>
          </w:tcPr>
          <w:p w14:paraId="6F23DEDA"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Illumina HiSeq 2000</w:t>
            </w:r>
          </w:p>
        </w:tc>
        <w:tc>
          <w:tcPr>
            <w:tcW w:w="2835" w:type="dxa"/>
            <w:hideMark/>
          </w:tcPr>
          <w:p w14:paraId="4E29482E" w14:textId="4D53E13B" w:rsidR="007E6FBC" w:rsidRPr="005D68FE" w:rsidRDefault="00F91038"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Definitive </w:t>
            </w:r>
            <w:r w:rsidR="007E6FBC" w:rsidRPr="005D68FE">
              <w:rPr>
                <w:rFonts w:ascii="Book Antiqua" w:hAnsi="Book Antiqua"/>
                <w:color w:val="000000" w:themeColor="text1"/>
                <w:sz w:val="24"/>
                <w:szCs w:val="24"/>
              </w:rPr>
              <w:t>endoderm induced from H9</w:t>
            </w:r>
          </w:p>
        </w:tc>
        <w:tc>
          <w:tcPr>
            <w:tcW w:w="1273" w:type="dxa"/>
            <w:hideMark/>
          </w:tcPr>
          <w:p w14:paraId="20C2F7A3" w14:textId="116C0A23"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[47]</w:t>
            </w:r>
          </w:p>
        </w:tc>
      </w:tr>
      <w:tr w:rsidR="00F8075E" w:rsidRPr="005D68FE" w14:paraId="6E75CF79" w14:textId="77777777" w:rsidTr="0095681D">
        <w:trPr>
          <w:trHeight w:val="315"/>
        </w:trPr>
        <w:tc>
          <w:tcPr>
            <w:tcW w:w="1384" w:type="dxa"/>
            <w:hideMark/>
          </w:tcPr>
          <w:p w14:paraId="6DFAF9A6"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DE-2</w:t>
            </w:r>
          </w:p>
        </w:tc>
        <w:tc>
          <w:tcPr>
            <w:tcW w:w="1503" w:type="dxa"/>
            <w:hideMark/>
          </w:tcPr>
          <w:p w14:paraId="504852A9"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SRR771469</w:t>
            </w:r>
          </w:p>
        </w:tc>
        <w:tc>
          <w:tcPr>
            <w:tcW w:w="1508" w:type="dxa"/>
            <w:hideMark/>
          </w:tcPr>
          <w:p w14:paraId="0197F2E4"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Illumina HiSeq 2000</w:t>
            </w:r>
          </w:p>
        </w:tc>
        <w:tc>
          <w:tcPr>
            <w:tcW w:w="2835" w:type="dxa"/>
            <w:hideMark/>
          </w:tcPr>
          <w:p w14:paraId="3D4DD1F8" w14:textId="2E8795F9" w:rsidR="007E6FBC" w:rsidRPr="005D68FE" w:rsidRDefault="00F91038"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Definitive </w:t>
            </w:r>
            <w:r w:rsidR="007E6FBC" w:rsidRPr="005D68FE">
              <w:rPr>
                <w:rFonts w:ascii="Book Antiqua" w:hAnsi="Book Antiqua"/>
                <w:color w:val="000000" w:themeColor="text1"/>
                <w:sz w:val="24"/>
                <w:szCs w:val="24"/>
              </w:rPr>
              <w:t>endoderm induced from H9</w:t>
            </w:r>
          </w:p>
        </w:tc>
        <w:tc>
          <w:tcPr>
            <w:tcW w:w="1273" w:type="dxa"/>
            <w:hideMark/>
          </w:tcPr>
          <w:p w14:paraId="6D7CF953" w14:textId="042D9149"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[47]</w:t>
            </w:r>
          </w:p>
        </w:tc>
      </w:tr>
      <w:tr w:rsidR="00F8075E" w:rsidRPr="005D68FE" w14:paraId="57534B4E" w14:textId="77777777" w:rsidTr="0095681D">
        <w:trPr>
          <w:trHeight w:val="315"/>
        </w:trPr>
        <w:tc>
          <w:tcPr>
            <w:tcW w:w="1384" w:type="dxa"/>
            <w:hideMark/>
          </w:tcPr>
          <w:p w14:paraId="38A54B92"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hiHep-1</w:t>
            </w:r>
          </w:p>
        </w:tc>
        <w:tc>
          <w:tcPr>
            <w:tcW w:w="1503" w:type="dxa"/>
            <w:hideMark/>
          </w:tcPr>
          <w:p w14:paraId="3850E832"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SRR5974291</w:t>
            </w:r>
          </w:p>
        </w:tc>
        <w:tc>
          <w:tcPr>
            <w:tcW w:w="1508" w:type="dxa"/>
            <w:hideMark/>
          </w:tcPr>
          <w:p w14:paraId="12E89CEF"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Illumina HiSeq 2000</w:t>
            </w:r>
          </w:p>
        </w:tc>
        <w:tc>
          <w:tcPr>
            <w:tcW w:w="2835" w:type="dxa"/>
            <w:hideMark/>
          </w:tcPr>
          <w:p w14:paraId="00D93D57" w14:textId="37ACBAB1" w:rsidR="00977E81" w:rsidRPr="005D68FE" w:rsidRDefault="00F91038"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Umbilical </w:t>
            </w:r>
            <w:r w:rsidR="00977E81" w:rsidRPr="005D68FE">
              <w:rPr>
                <w:rFonts w:ascii="Book Antiqua" w:hAnsi="Book Antiqua"/>
                <w:color w:val="000000" w:themeColor="text1"/>
                <w:sz w:val="24"/>
                <w:szCs w:val="24"/>
              </w:rPr>
              <w:t>cord fibroblast derived hepat</w:t>
            </w:r>
            <w:r w:rsidR="00674F50" w:rsidRPr="005D68FE">
              <w:rPr>
                <w:rFonts w:ascii="Book Antiqua" w:hAnsi="Book Antiqua"/>
                <w:color w:val="000000" w:themeColor="text1"/>
                <w:sz w:val="24"/>
                <w:szCs w:val="24"/>
              </w:rPr>
              <w:t>ocyte-like</w:t>
            </w:r>
            <w:r w:rsidR="00977E81" w:rsidRPr="005D68FE">
              <w:rPr>
                <w:rFonts w:ascii="Book Antiqua" w:hAnsi="Book Antiqua"/>
                <w:color w:val="000000" w:themeColor="text1"/>
                <w:sz w:val="24"/>
                <w:szCs w:val="24"/>
              </w:rPr>
              <w:t xml:space="preserve"> like cell</w:t>
            </w:r>
          </w:p>
        </w:tc>
        <w:tc>
          <w:tcPr>
            <w:tcW w:w="1273" w:type="dxa"/>
            <w:hideMark/>
          </w:tcPr>
          <w:p w14:paraId="2912F52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[8]</w:t>
            </w:r>
          </w:p>
        </w:tc>
      </w:tr>
      <w:tr w:rsidR="00F8075E" w:rsidRPr="005D68FE" w14:paraId="4A4D0020" w14:textId="77777777" w:rsidTr="0095681D">
        <w:trPr>
          <w:trHeight w:val="315"/>
        </w:trPr>
        <w:tc>
          <w:tcPr>
            <w:tcW w:w="1384" w:type="dxa"/>
            <w:hideMark/>
          </w:tcPr>
          <w:p w14:paraId="317CE3E3"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hiHep-2</w:t>
            </w:r>
          </w:p>
        </w:tc>
        <w:tc>
          <w:tcPr>
            <w:tcW w:w="1503" w:type="dxa"/>
            <w:hideMark/>
          </w:tcPr>
          <w:p w14:paraId="1F3F56E1"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SRR5974292</w:t>
            </w:r>
          </w:p>
        </w:tc>
        <w:tc>
          <w:tcPr>
            <w:tcW w:w="1508" w:type="dxa"/>
            <w:hideMark/>
          </w:tcPr>
          <w:p w14:paraId="5BF4C04A"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Illumina HiSeq 2000</w:t>
            </w:r>
          </w:p>
        </w:tc>
        <w:tc>
          <w:tcPr>
            <w:tcW w:w="2835" w:type="dxa"/>
            <w:hideMark/>
          </w:tcPr>
          <w:p w14:paraId="5781CCD2" w14:textId="51F207DD" w:rsidR="00977E81" w:rsidRPr="005D68FE" w:rsidRDefault="00F91038"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Umbilical </w:t>
            </w:r>
            <w:r w:rsidR="00977E81" w:rsidRPr="005D68FE">
              <w:rPr>
                <w:rFonts w:ascii="Book Antiqua" w:hAnsi="Book Antiqua"/>
                <w:color w:val="000000" w:themeColor="text1"/>
                <w:sz w:val="24"/>
                <w:szCs w:val="24"/>
              </w:rPr>
              <w:t xml:space="preserve">cord fibroblast derived </w:t>
            </w:r>
            <w:r w:rsidR="00674F50" w:rsidRPr="005D68FE">
              <w:rPr>
                <w:rFonts w:ascii="Book Antiqua" w:hAnsi="Book Antiqua"/>
                <w:color w:val="000000" w:themeColor="text1"/>
                <w:sz w:val="24"/>
                <w:szCs w:val="24"/>
              </w:rPr>
              <w:t>hepatocyte-like</w:t>
            </w:r>
            <w:r w:rsidR="00977E81" w:rsidRPr="005D68FE">
              <w:rPr>
                <w:rFonts w:ascii="Book Antiqua" w:hAnsi="Book Antiqua"/>
                <w:color w:val="000000" w:themeColor="text1"/>
                <w:sz w:val="24"/>
                <w:szCs w:val="24"/>
              </w:rPr>
              <w:t xml:space="preserve"> cell</w:t>
            </w:r>
          </w:p>
        </w:tc>
        <w:tc>
          <w:tcPr>
            <w:tcW w:w="1273" w:type="dxa"/>
            <w:hideMark/>
          </w:tcPr>
          <w:p w14:paraId="299B6A62"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[8]</w:t>
            </w:r>
          </w:p>
        </w:tc>
      </w:tr>
      <w:tr w:rsidR="00F8075E" w:rsidRPr="005D68FE" w14:paraId="6B1C9EF5" w14:textId="77777777" w:rsidTr="0095681D">
        <w:trPr>
          <w:trHeight w:val="315"/>
        </w:trPr>
        <w:tc>
          <w:tcPr>
            <w:tcW w:w="1384" w:type="dxa"/>
            <w:hideMark/>
          </w:tcPr>
          <w:p w14:paraId="070AB341"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lastRenderedPageBreak/>
              <w:t>iPSCHLC-1</w:t>
            </w:r>
          </w:p>
        </w:tc>
        <w:tc>
          <w:tcPr>
            <w:tcW w:w="1503" w:type="dxa"/>
            <w:hideMark/>
          </w:tcPr>
          <w:p w14:paraId="408B801B"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SRR5974295</w:t>
            </w:r>
          </w:p>
        </w:tc>
        <w:tc>
          <w:tcPr>
            <w:tcW w:w="1508" w:type="dxa"/>
            <w:hideMark/>
          </w:tcPr>
          <w:p w14:paraId="42BE6E31"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Illumina HiSeq 2500</w:t>
            </w:r>
          </w:p>
        </w:tc>
        <w:tc>
          <w:tcPr>
            <w:tcW w:w="2835" w:type="dxa"/>
            <w:hideMark/>
          </w:tcPr>
          <w:p w14:paraId="1E96143C" w14:textId="236F427F"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iPSCs</w:t>
            </w:r>
            <w:r w:rsidR="00BE3BF1" w:rsidRPr="005D68FE">
              <w:rPr>
                <w:rFonts w:ascii="Book Antiqua" w:hAnsi="Book Antiqua"/>
                <w:color w:val="000000" w:themeColor="text1"/>
                <w:sz w:val="24"/>
                <w:szCs w:val="24"/>
              </w:rPr>
              <w:t>-</w:t>
            </w:r>
            <w:r w:rsidRPr="005D68FE">
              <w:rPr>
                <w:rFonts w:ascii="Book Antiqua" w:hAnsi="Book Antiqua"/>
                <w:color w:val="000000" w:themeColor="text1"/>
                <w:sz w:val="24"/>
                <w:szCs w:val="24"/>
              </w:rPr>
              <w:t xml:space="preserve">derived </w:t>
            </w:r>
            <w:r w:rsidR="00F91038" w:rsidRPr="005D68FE">
              <w:rPr>
                <w:rFonts w:ascii="Book Antiqua" w:hAnsi="Book Antiqua"/>
                <w:color w:val="000000" w:themeColor="text1"/>
                <w:sz w:val="24"/>
                <w:szCs w:val="24"/>
              </w:rPr>
              <w:t>Hepatocyte</w:t>
            </w:r>
            <w:r w:rsidR="00BE3BF1" w:rsidRPr="005D68FE">
              <w:rPr>
                <w:rFonts w:ascii="Book Antiqua" w:hAnsi="Book Antiqua"/>
                <w:color w:val="000000" w:themeColor="text1"/>
                <w:sz w:val="24"/>
                <w:szCs w:val="24"/>
              </w:rPr>
              <w:t>-</w:t>
            </w:r>
            <w:r w:rsidRPr="005D68FE">
              <w:rPr>
                <w:rFonts w:ascii="Book Antiqua" w:hAnsi="Book Antiqua"/>
                <w:color w:val="000000" w:themeColor="text1"/>
                <w:sz w:val="24"/>
                <w:szCs w:val="24"/>
              </w:rPr>
              <w:t>like cells</w:t>
            </w:r>
          </w:p>
        </w:tc>
        <w:tc>
          <w:tcPr>
            <w:tcW w:w="1273" w:type="dxa"/>
            <w:hideMark/>
          </w:tcPr>
          <w:p w14:paraId="7E9311BE"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[8]</w:t>
            </w:r>
          </w:p>
        </w:tc>
      </w:tr>
      <w:tr w:rsidR="00F8075E" w:rsidRPr="005D68FE" w14:paraId="4DEDC5E4" w14:textId="77777777" w:rsidTr="0095681D">
        <w:trPr>
          <w:trHeight w:val="315"/>
        </w:trPr>
        <w:tc>
          <w:tcPr>
            <w:tcW w:w="1384" w:type="dxa"/>
            <w:hideMark/>
          </w:tcPr>
          <w:p w14:paraId="440AFD70"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iPSCHLC-2</w:t>
            </w:r>
          </w:p>
        </w:tc>
        <w:tc>
          <w:tcPr>
            <w:tcW w:w="1503" w:type="dxa"/>
            <w:hideMark/>
          </w:tcPr>
          <w:p w14:paraId="74A982D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SRR5974296</w:t>
            </w:r>
          </w:p>
        </w:tc>
        <w:tc>
          <w:tcPr>
            <w:tcW w:w="1508" w:type="dxa"/>
            <w:hideMark/>
          </w:tcPr>
          <w:p w14:paraId="260D1AB8"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Illumina HiSeq 2500</w:t>
            </w:r>
          </w:p>
        </w:tc>
        <w:tc>
          <w:tcPr>
            <w:tcW w:w="2835" w:type="dxa"/>
            <w:hideMark/>
          </w:tcPr>
          <w:p w14:paraId="5FC6C9B4" w14:textId="01B114D3"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iPSCs</w:t>
            </w:r>
            <w:r w:rsidR="00BE3BF1" w:rsidRPr="005D68FE">
              <w:rPr>
                <w:rFonts w:ascii="Book Antiqua" w:hAnsi="Book Antiqua"/>
                <w:color w:val="000000" w:themeColor="text1"/>
                <w:sz w:val="24"/>
                <w:szCs w:val="24"/>
              </w:rPr>
              <w:t>-</w:t>
            </w:r>
            <w:r w:rsidRPr="005D68FE">
              <w:rPr>
                <w:rFonts w:ascii="Book Antiqua" w:hAnsi="Book Antiqua"/>
                <w:color w:val="000000" w:themeColor="text1"/>
                <w:sz w:val="24"/>
                <w:szCs w:val="24"/>
              </w:rPr>
              <w:t>derived hepat</w:t>
            </w:r>
            <w:r w:rsidR="00BE3BF1" w:rsidRPr="005D68FE">
              <w:rPr>
                <w:rFonts w:ascii="Book Antiqua" w:hAnsi="Book Antiqua"/>
                <w:color w:val="000000" w:themeColor="text1"/>
                <w:sz w:val="24"/>
                <w:szCs w:val="24"/>
              </w:rPr>
              <w:t>ocyte-like</w:t>
            </w:r>
            <w:r w:rsidRPr="005D68FE">
              <w:rPr>
                <w:rFonts w:ascii="Book Antiqua" w:hAnsi="Book Antiqua"/>
                <w:color w:val="000000" w:themeColor="text1"/>
                <w:sz w:val="24"/>
                <w:szCs w:val="24"/>
              </w:rPr>
              <w:t xml:space="preserve"> cells</w:t>
            </w:r>
          </w:p>
        </w:tc>
        <w:tc>
          <w:tcPr>
            <w:tcW w:w="1273" w:type="dxa"/>
            <w:hideMark/>
          </w:tcPr>
          <w:p w14:paraId="6834D57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[8]</w:t>
            </w:r>
          </w:p>
        </w:tc>
      </w:tr>
      <w:tr w:rsidR="00F8075E" w:rsidRPr="005D68FE" w14:paraId="6C3C2117" w14:textId="77777777" w:rsidTr="0095681D">
        <w:trPr>
          <w:trHeight w:val="315"/>
        </w:trPr>
        <w:tc>
          <w:tcPr>
            <w:tcW w:w="1384" w:type="dxa"/>
            <w:hideMark/>
          </w:tcPr>
          <w:p w14:paraId="35CD943F"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Hepa-1</w:t>
            </w:r>
          </w:p>
        </w:tc>
        <w:tc>
          <w:tcPr>
            <w:tcW w:w="1503" w:type="dxa"/>
            <w:hideMark/>
          </w:tcPr>
          <w:p w14:paraId="2ABCF540"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SRR6176953</w:t>
            </w:r>
          </w:p>
        </w:tc>
        <w:tc>
          <w:tcPr>
            <w:tcW w:w="1508" w:type="dxa"/>
            <w:hideMark/>
          </w:tcPr>
          <w:p w14:paraId="2E197337"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Illumina HiSeq 2500</w:t>
            </w:r>
          </w:p>
        </w:tc>
        <w:tc>
          <w:tcPr>
            <w:tcW w:w="2835" w:type="dxa"/>
            <w:hideMark/>
          </w:tcPr>
          <w:p w14:paraId="2165CC17" w14:textId="0C31BB06" w:rsidR="00977E81" w:rsidRPr="005D68FE" w:rsidRDefault="00F91038"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Hepatocyte </w:t>
            </w:r>
            <w:r w:rsidR="00977E81" w:rsidRPr="005D68FE">
              <w:rPr>
                <w:rFonts w:ascii="Book Antiqua" w:hAnsi="Book Antiqua"/>
                <w:color w:val="000000" w:themeColor="text1"/>
                <w:sz w:val="24"/>
                <w:szCs w:val="24"/>
              </w:rPr>
              <w:t>from clinical sample of adult</w:t>
            </w:r>
          </w:p>
        </w:tc>
        <w:tc>
          <w:tcPr>
            <w:tcW w:w="1273" w:type="dxa"/>
            <w:hideMark/>
          </w:tcPr>
          <w:p w14:paraId="5953504B" w14:textId="0D56B4C3"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[4</w:t>
            </w:r>
            <w:r w:rsidR="007E6FBC" w:rsidRPr="005D68FE">
              <w:rPr>
                <w:rFonts w:ascii="Book Antiqua" w:hAnsi="Book Antiqua"/>
                <w:noProof/>
                <w:color w:val="000000" w:themeColor="text1"/>
                <w:sz w:val="24"/>
                <w:szCs w:val="24"/>
              </w:rPr>
              <w:t>8</w:t>
            </w:r>
            <w:r w:rsidRPr="005D68FE">
              <w:rPr>
                <w:rFonts w:ascii="Book Antiqua" w:hAnsi="Book Antiqua"/>
                <w:noProof/>
                <w:color w:val="000000" w:themeColor="text1"/>
                <w:sz w:val="24"/>
                <w:szCs w:val="24"/>
              </w:rPr>
              <w:t>]</w:t>
            </w:r>
          </w:p>
        </w:tc>
      </w:tr>
      <w:tr w:rsidR="00F8075E" w:rsidRPr="005D68FE" w14:paraId="0AA85BC7" w14:textId="77777777" w:rsidTr="0095681D">
        <w:trPr>
          <w:trHeight w:val="315"/>
        </w:trPr>
        <w:tc>
          <w:tcPr>
            <w:tcW w:w="1384" w:type="dxa"/>
            <w:hideMark/>
          </w:tcPr>
          <w:p w14:paraId="59CE5302"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Hepa-2</w:t>
            </w:r>
          </w:p>
        </w:tc>
        <w:tc>
          <w:tcPr>
            <w:tcW w:w="1503" w:type="dxa"/>
            <w:hideMark/>
          </w:tcPr>
          <w:p w14:paraId="5B53640B"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SRR6176948</w:t>
            </w:r>
          </w:p>
        </w:tc>
        <w:tc>
          <w:tcPr>
            <w:tcW w:w="1508" w:type="dxa"/>
            <w:hideMark/>
          </w:tcPr>
          <w:p w14:paraId="2931DE8D"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Illumina HiSeq 2500</w:t>
            </w:r>
          </w:p>
        </w:tc>
        <w:tc>
          <w:tcPr>
            <w:tcW w:w="2835" w:type="dxa"/>
            <w:hideMark/>
          </w:tcPr>
          <w:p w14:paraId="793397EB" w14:textId="6336AF07" w:rsidR="00977E81" w:rsidRPr="005D68FE" w:rsidRDefault="00F91038"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Hepatocyte </w:t>
            </w:r>
            <w:r w:rsidR="00977E81" w:rsidRPr="005D68FE">
              <w:rPr>
                <w:rFonts w:ascii="Book Antiqua" w:hAnsi="Book Antiqua"/>
                <w:color w:val="000000" w:themeColor="text1"/>
                <w:sz w:val="24"/>
                <w:szCs w:val="24"/>
              </w:rPr>
              <w:t>from clinical sample of adult</w:t>
            </w:r>
          </w:p>
        </w:tc>
        <w:tc>
          <w:tcPr>
            <w:tcW w:w="1273" w:type="dxa"/>
            <w:hideMark/>
          </w:tcPr>
          <w:p w14:paraId="4B580443" w14:textId="7DE51BF8"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[4</w:t>
            </w:r>
            <w:r w:rsidR="007E6FBC" w:rsidRPr="005D68FE">
              <w:rPr>
                <w:rFonts w:ascii="Book Antiqua" w:hAnsi="Book Antiqua"/>
                <w:noProof/>
                <w:color w:val="000000" w:themeColor="text1"/>
                <w:sz w:val="24"/>
                <w:szCs w:val="24"/>
              </w:rPr>
              <w:t>8</w:t>
            </w:r>
            <w:r w:rsidRPr="005D68FE">
              <w:rPr>
                <w:rFonts w:ascii="Book Antiqua" w:hAnsi="Book Antiqua"/>
                <w:noProof/>
                <w:color w:val="000000" w:themeColor="text1"/>
                <w:sz w:val="24"/>
                <w:szCs w:val="24"/>
              </w:rPr>
              <w:t>]</w:t>
            </w:r>
          </w:p>
        </w:tc>
      </w:tr>
      <w:tr w:rsidR="00F8075E" w:rsidRPr="005D68FE" w14:paraId="0CFF5C5C" w14:textId="77777777" w:rsidTr="0095681D">
        <w:trPr>
          <w:trHeight w:val="315"/>
        </w:trPr>
        <w:tc>
          <w:tcPr>
            <w:tcW w:w="1384" w:type="dxa"/>
            <w:hideMark/>
          </w:tcPr>
          <w:p w14:paraId="77D5A82C"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Hepa-3</w:t>
            </w:r>
          </w:p>
        </w:tc>
        <w:tc>
          <w:tcPr>
            <w:tcW w:w="1503" w:type="dxa"/>
            <w:hideMark/>
          </w:tcPr>
          <w:p w14:paraId="5AA199BE"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SRR5974298</w:t>
            </w:r>
          </w:p>
        </w:tc>
        <w:tc>
          <w:tcPr>
            <w:tcW w:w="1508" w:type="dxa"/>
            <w:hideMark/>
          </w:tcPr>
          <w:p w14:paraId="0493EE4F"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Illumina HiSeq 2000</w:t>
            </w:r>
          </w:p>
        </w:tc>
        <w:tc>
          <w:tcPr>
            <w:tcW w:w="2835" w:type="dxa"/>
            <w:hideMark/>
          </w:tcPr>
          <w:p w14:paraId="3A2A0FD6" w14:textId="5887D294" w:rsidR="00977E81" w:rsidRPr="005D68FE" w:rsidRDefault="00F91038"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Primary </w:t>
            </w:r>
            <w:r w:rsidR="00977E81" w:rsidRPr="005D68FE">
              <w:rPr>
                <w:rFonts w:ascii="Book Antiqua" w:hAnsi="Book Antiqua"/>
                <w:color w:val="000000" w:themeColor="text1"/>
                <w:sz w:val="24"/>
                <w:szCs w:val="24"/>
              </w:rPr>
              <w:t>human hepatocyte 2 d</w:t>
            </w:r>
          </w:p>
        </w:tc>
        <w:tc>
          <w:tcPr>
            <w:tcW w:w="1273" w:type="dxa"/>
            <w:hideMark/>
          </w:tcPr>
          <w:p w14:paraId="7AAE54FD"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[8]</w:t>
            </w:r>
          </w:p>
        </w:tc>
      </w:tr>
      <w:tr w:rsidR="00F8075E" w:rsidRPr="005D68FE" w14:paraId="69E3FA5B" w14:textId="77777777" w:rsidTr="005E7A99">
        <w:trPr>
          <w:trHeight w:val="315"/>
        </w:trPr>
        <w:tc>
          <w:tcPr>
            <w:tcW w:w="1384" w:type="dxa"/>
            <w:tcBorders>
              <w:bottom w:val="single" w:sz="4" w:space="0" w:color="auto"/>
            </w:tcBorders>
            <w:hideMark/>
          </w:tcPr>
          <w:p w14:paraId="3B86DF02"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Hepa-4</w:t>
            </w:r>
          </w:p>
        </w:tc>
        <w:tc>
          <w:tcPr>
            <w:tcW w:w="1503" w:type="dxa"/>
            <w:tcBorders>
              <w:bottom w:val="single" w:sz="4" w:space="0" w:color="auto"/>
            </w:tcBorders>
            <w:hideMark/>
          </w:tcPr>
          <w:p w14:paraId="4026224C"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SRR5974299</w:t>
            </w:r>
          </w:p>
        </w:tc>
        <w:tc>
          <w:tcPr>
            <w:tcW w:w="1508" w:type="dxa"/>
            <w:tcBorders>
              <w:bottom w:val="single" w:sz="4" w:space="0" w:color="auto"/>
            </w:tcBorders>
            <w:hideMark/>
          </w:tcPr>
          <w:p w14:paraId="11FE9DE5"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Illumina HiSeq 2000</w:t>
            </w:r>
          </w:p>
        </w:tc>
        <w:tc>
          <w:tcPr>
            <w:tcW w:w="2835" w:type="dxa"/>
            <w:tcBorders>
              <w:bottom w:val="single" w:sz="4" w:space="0" w:color="auto"/>
            </w:tcBorders>
            <w:hideMark/>
          </w:tcPr>
          <w:p w14:paraId="6FFC1D53" w14:textId="2289A27B" w:rsidR="00977E81" w:rsidRPr="005D68FE" w:rsidRDefault="00F91038"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Primary </w:t>
            </w:r>
            <w:r w:rsidR="00977E81" w:rsidRPr="005D68FE">
              <w:rPr>
                <w:rFonts w:ascii="Book Antiqua" w:hAnsi="Book Antiqua"/>
                <w:color w:val="000000" w:themeColor="text1"/>
                <w:sz w:val="24"/>
                <w:szCs w:val="24"/>
              </w:rPr>
              <w:t>human hepatocyte 4 d</w:t>
            </w:r>
          </w:p>
        </w:tc>
        <w:tc>
          <w:tcPr>
            <w:tcW w:w="1273" w:type="dxa"/>
            <w:tcBorders>
              <w:bottom w:val="single" w:sz="4" w:space="0" w:color="auto"/>
            </w:tcBorders>
            <w:hideMark/>
          </w:tcPr>
          <w:p w14:paraId="35FDEFC4"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[8]</w:t>
            </w:r>
          </w:p>
        </w:tc>
      </w:tr>
    </w:tbl>
    <w:p w14:paraId="6A087230" w14:textId="77777777" w:rsidR="00977E81" w:rsidRPr="005D68FE" w:rsidRDefault="00977E81" w:rsidP="005D68FE">
      <w:pPr>
        <w:snapToGrid w:val="0"/>
        <w:spacing w:line="360" w:lineRule="auto"/>
        <w:jc w:val="both"/>
        <w:rPr>
          <w:rFonts w:ascii="Book Antiqua" w:hAnsi="Book Antiqua"/>
          <w:color w:val="000000" w:themeColor="text1"/>
          <w:sz w:val="24"/>
          <w:szCs w:val="24"/>
        </w:rPr>
      </w:pPr>
    </w:p>
    <w:p w14:paraId="61118250" w14:textId="77777777" w:rsidR="00977E81" w:rsidRPr="005D68FE" w:rsidRDefault="00977E81" w:rsidP="005D68FE">
      <w:pPr>
        <w:autoSpaceDE/>
        <w:autoSpaceDN/>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br w:type="page"/>
      </w:r>
    </w:p>
    <w:p w14:paraId="77C11FF6" w14:textId="4E2293EA"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b/>
          <w:color w:val="000000" w:themeColor="text1"/>
          <w:sz w:val="24"/>
          <w:szCs w:val="24"/>
        </w:rPr>
        <w:lastRenderedPageBreak/>
        <w:t xml:space="preserve">Table 3 Stemness (upper)- and hepatic (lower) genes expressed in </w:t>
      </w:r>
      <w:r w:rsidR="00A33F16" w:rsidRPr="005D68FE">
        <w:rPr>
          <w:rFonts w:ascii="Book Antiqua" w:hAnsi="Book Antiqua"/>
          <w:b/>
          <w:color w:val="000000" w:themeColor="text1"/>
          <w:sz w:val="24"/>
          <w:szCs w:val="24"/>
        </w:rPr>
        <w:t>amniotic epithelial cells</w:t>
      </w:r>
      <w:r w:rsidRPr="005D68FE">
        <w:rPr>
          <w:rFonts w:ascii="Book Antiqua" w:hAnsi="Book Antiqua"/>
          <w:b/>
          <w:color w:val="000000" w:themeColor="text1"/>
          <w:sz w:val="24"/>
          <w:szCs w:val="24"/>
        </w:rPr>
        <w:t>.</w:t>
      </w:r>
    </w:p>
    <w:tbl>
      <w:tblPr>
        <w:tblStyle w:val="TableGrid"/>
        <w:tblW w:w="0" w:type="auto"/>
        <w:tblLook w:val="04A0" w:firstRow="1" w:lastRow="0" w:firstColumn="1" w:lastColumn="0" w:noHBand="0" w:noVBand="1"/>
      </w:tblPr>
      <w:tblGrid>
        <w:gridCol w:w="1131"/>
        <w:gridCol w:w="6069"/>
        <w:gridCol w:w="1304"/>
      </w:tblGrid>
      <w:tr w:rsidR="00977E81" w:rsidRPr="005D68FE" w14:paraId="6DAF8F58" w14:textId="77777777" w:rsidTr="007E6FBC">
        <w:trPr>
          <w:trHeight w:val="315"/>
        </w:trPr>
        <w:tc>
          <w:tcPr>
            <w:tcW w:w="1135" w:type="dxa"/>
            <w:tcBorders>
              <w:top w:val="single" w:sz="4" w:space="0" w:color="auto"/>
              <w:left w:val="nil"/>
              <w:bottom w:val="single" w:sz="4" w:space="0" w:color="auto"/>
              <w:right w:val="nil"/>
            </w:tcBorders>
            <w:noWrap/>
            <w:hideMark/>
          </w:tcPr>
          <w:p w14:paraId="46F40598" w14:textId="2ECD6EE9" w:rsidR="00977E81" w:rsidRPr="005D68FE" w:rsidRDefault="00F91038" w:rsidP="005D68FE">
            <w:pPr>
              <w:snapToGrid w:val="0"/>
              <w:spacing w:line="360" w:lineRule="auto"/>
              <w:jc w:val="both"/>
              <w:rPr>
                <w:rFonts w:ascii="Book Antiqua" w:hAnsi="Book Antiqua"/>
                <w:b/>
                <w:bCs/>
                <w:color w:val="000000" w:themeColor="text1"/>
                <w:sz w:val="24"/>
                <w:szCs w:val="24"/>
              </w:rPr>
            </w:pPr>
            <w:r w:rsidRPr="005D68FE">
              <w:rPr>
                <w:rFonts w:ascii="Book Antiqua" w:hAnsi="Book Antiqua"/>
                <w:b/>
                <w:bCs/>
                <w:color w:val="000000" w:themeColor="text1"/>
                <w:sz w:val="24"/>
                <w:szCs w:val="24"/>
              </w:rPr>
              <w:t xml:space="preserve">Gene </w:t>
            </w:r>
            <w:r w:rsidR="00977E81" w:rsidRPr="005D68FE">
              <w:rPr>
                <w:rFonts w:ascii="Book Antiqua" w:hAnsi="Book Antiqua"/>
                <w:b/>
                <w:bCs/>
                <w:color w:val="000000" w:themeColor="text1"/>
                <w:sz w:val="24"/>
                <w:szCs w:val="24"/>
              </w:rPr>
              <w:t>symbol</w:t>
            </w:r>
          </w:p>
        </w:tc>
        <w:tc>
          <w:tcPr>
            <w:tcW w:w="6103" w:type="dxa"/>
            <w:tcBorders>
              <w:top w:val="single" w:sz="4" w:space="0" w:color="auto"/>
              <w:left w:val="nil"/>
              <w:bottom w:val="single" w:sz="4" w:space="0" w:color="auto"/>
              <w:right w:val="nil"/>
            </w:tcBorders>
            <w:noWrap/>
            <w:hideMark/>
          </w:tcPr>
          <w:p w14:paraId="1A878159" w14:textId="0C1ECF3A" w:rsidR="00977E81" w:rsidRPr="005D68FE" w:rsidRDefault="00F91038" w:rsidP="005D68FE">
            <w:pPr>
              <w:snapToGrid w:val="0"/>
              <w:spacing w:line="360" w:lineRule="auto"/>
              <w:jc w:val="both"/>
              <w:rPr>
                <w:rFonts w:ascii="Book Antiqua" w:hAnsi="Book Antiqua"/>
                <w:b/>
                <w:bCs/>
                <w:color w:val="000000" w:themeColor="text1"/>
                <w:sz w:val="24"/>
                <w:szCs w:val="24"/>
              </w:rPr>
            </w:pPr>
            <w:r w:rsidRPr="005D68FE">
              <w:rPr>
                <w:rFonts w:ascii="Book Antiqua" w:hAnsi="Book Antiqua"/>
                <w:b/>
                <w:bCs/>
                <w:color w:val="000000" w:themeColor="text1"/>
                <w:sz w:val="24"/>
                <w:szCs w:val="24"/>
              </w:rPr>
              <w:t>Explanation</w:t>
            </w:r>
          </w:p>
        </w:tc>
        <w:tc>
          <w:tcPr>
            <w:tcW w:w="1266" w:type="dxa"/>
            <w:tcBorders>
              <w:top w:val="single" w:sz="4" w:space="0" w:color="auto"/>
              <w:left w:val="nil"/>
              <w:bottom w:val="single" w:sz="4" w:space="0" w:color="auto"/>
              <w:right w:val="nil"/>
            </w:tcBorders>
            <w:noWrap/>
            <w:hideMark/>
          </w:tcPr>
          <w:p w14:paraId="5B79E0BD" w14:textId="50EB3CBD" w:rsidR="00977E81" w:rsidRPr="005D68FE" w:rsidRDefault="00F91038" w:rsidP="005D68FE">
            <w:pPr>
              <w:snapToGrid w:val="0"/>
              <w:spacing w:line="360" w:lineRule="auto"/>
              <w:jc w:val="both"/>
              <w:rPr>
                <w:rFonts w:ascii="Book Antiqua" w:hAnsi="Book Antiqua"/>
                <w:b/>
                <w:bCs/>
                <w:color w:val="000000" w:themeColor="text1"/>
                <w:sz w:val="24"/>
                <w:szCs w:val="24"/>
              </w:rPr>
            </w:pPr>
            <w:r w:rsidRPr="005D68FE">
              <w:rPr>
                <w:rFonts w:ascii="Book Antiqua" w:hAnsi="Book Antiqua"/>
                <w:b/>
                <w:bCs/>
                <w:color w:val="000000" w:themeColor="text1"/>
                <w:sz w:val="24"/>
                <w:szCs w:val="24"/>
              </w:rPr>
              <w:t>Reference</w:t>
            </w:r>
          </w:p>
        </w:tc>
      </w:tr>
      <w:tr w:rsidR="00F8075E" w:rsidRPr="005D68FE" w14:paraId="1A0D923A" w14:textId="77777777" w:rsidTr="007E6FBC">
        <w:trPr>
          <w:trHeight w:val="623"/>
        </w:trPr>
        <w:tc>
          <w:tcPr>
            <w:tcW w:w="1135" w:type="dxa"/>
            <w:tcBorders>
              <w:top w:val="single" w:sz="4" w:space="0" w:color="auto"/>
              <w:left w:val="nil"/>
              <w:bottom w:val="nil"/>
              <w:right w:val="nil"/>
            </w:tcBorders>
            <w:hideMark/>
          </w:tcPr>
          <w:p w14:paraId="031B1743"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CD9</w:t>
            </w:r>
          </w:p>
        </w:tc>
        <w:tc>
          <w:tcPr>
            <w:tcW w:w="6103" w:type="dxa"/>
            <w:tcBorders>
              <w:top w:val="single" w:sz="4" w:space="0" w:color="auto"/>
              <w:left w:val="nil"/>
              <w:bottom w:val="nil"/>
              <w:right w:val="nil"/>
            </w:tcBorders>
            <w:hideMark/>
          </w:tcPr>
          <w:p w14:paraId="41581538"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CD9 belongs to the transmembrane 4 superfamily. It is associated with cell proliferation, motility, and adhesion and regulates hematopoietic differentiation.</w:t>
            </w:r>
          </w:p>
        </w:tc>
        <w:tc>
          <w:tcPr>
            <w:tcW w:w="1266" w:type="dxa"/>
            <w:tcBorders>
              <w:top w:val="single" w:sz="4" w:space="0" w:color="auto"/>
              <w:left w:val="nil"/>
              <w:bottom w:val="nil"/>
              <w:right w:val="nil"/>
            </w:tcBorders>
            <w:noWrap/>
            <w:hideMark/>
          </w:tcPr>
          <w:p w14:paraId="6B32E1CE" w14:textId="17D2669A"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[49]</w:t>
            </w:r>
          </w:p>
        </w:tc>
      </w:tr>
      <w:tr w:rsidR="00F8075E" w:rsidRPr="005D68FE" w14:paraId="712A8385" w14:textId="77777777" w:rsidTr="007E6FBC">
        <w:trPr>
          <w:trHeight w:val="630"/>
        </w:trPr>
        <w:tc>
          <w:tcPr>
            <w:tcW w:w="1135" w:type="dxa"/>
            <w:tcBorders>
              <w:top w:val="nil"/>
              <w:left w:val="nil"/>
              <w:bottom w:val="nil"/>
              <w:right w:val="nil"/>
            </w:tcBorders>
            <w:hideMark/>
          </w:tcPr>
          <w:p w14:paraId="15AF6E40"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TJP1</w:t>
            </w:r>
          </w:p>
        </w:tc>
        <w:tc>
          <w:tcPr>
            <w:tcW w:w="6103" w:type="dxa"/>
            <w:tcBorders>
              <w:top w:val="nil"/>
              <w:left w:val="nil"/>
              <w:bottom w:val="nil"/>
              <w:right w:val="nil"/>
            </w:tcBorders>
            <w:hideMark/>
          </w:tcPr>
          <w:p w14:paraId="0625430D"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Tight junction protein 1 is a determinant of plasma cell proteasome and is associated with EGFR, JAK1, and STAT3. It is regulated by TGF-b and involved with cell motility.</w:t>
            </w:r>
          </w:p>
        </w:tc>
        <w:tc>
          <w:tcPr>
            <w:tcW w:w="1266" w:type="dxa"/>
            <w:tcBorders>
              <w:top w:val="nil"/>
              <w:left w:val="nil"/>
              <w:bottom w:val="nil"/>
              <w:right w:val="nil"/>
            </w:tcBorders>
            <w:noWrap/>
            <w:hideMark/>
          </w:tcPr>
          <w:p w14:paraId="5E8A0D3B" w14:textId="6DF4D610"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[30, 50]</w:t>
            </w:r>
          </w:p>
        </w:tc>
      </w:tr>
      <w:tr w:rsidR="00F8075E" w:rsidRPr="005D68FE" w14:paraId="38792917" w14:textId="77777777" w:rsidTr="007E6FBC">
        <w:trPr>
          <w:trHeight w:val="630"/>
        </w:trPr>
        <w:tc>
          <w:tcPr>
            <w:tcW w:w="1135" w:type="dxa"/>
            <w:tcBorders>
              <w:top w:val="nil"/>
              <w:left w:val="nil"/>
              <w:bottom w:val="nil"/>
              <w:right w:val="nil"/>
            </w:tcBorders>
            <w:hideMark/>
          </w:tcPr>
          <w:p w14:paraId="07048586"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IGF2BP2</w:t>
            </w:r>
          </w:p>
        </w:tc>
        <w:tc>
          <w:tcPr>
            <w:tcW w:w="6103" w:type="dxa"/>
            <w:tcBorders>
              <w:top w:val="nil"/>
              <w:left w:val="nil"/>
              <w:bottom w:val="nil"/>
              <w:right w:val="nil"/>
            </w:tcBorders>
            <w:hideMark/>
          </w:tcPr>
          <w:p w14:paraId="53831110"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This </w:t>
            </w:r>
            <w:r w:rsidRPr="005D68FE">
              <w:rPr>
                <w:rFonts w:ascii="Book Antiqua" w:hAnsi="Book Antiqua"/>
                <w:color w:val="000000" w:themeColor="text1"/>
                <w:sz w:val="24"/>
                <w:szCs w:val="24"/>
                <w:lang w:val="en-CA"/>
              </w:rPr>
              <w:t xml:space="preserve">member of </w:t>
            </w:r>
            <w:r w:rsidRPr="005D68FE">
              <w:rPr>
                <w:rFonts w:ascii="Book Antiqua" w:hAnsi="Book Antiqua"/>
                <w:color w:val="000000" w:themeColor="text1"/>
                <w:sz w:val="24"/>
                <w:szCs w:val="24"/>
              </w:rPr>
              <w:t>the insulin–like growth factor 2 mRNA-binding protein family participates in normal embryonic growth and development. It is expressed in the pancreas and associated with type 2 diabetes mellitus.</w:t>
            </w:r>
          </w:p>
        </w:tc>
        <w:tc>
          <w:tcPr>
            <w:tcW w:w="1266" w:type="dxa"/>
            <w:tcBorders>
              <w:top w:val="nil"/>
              <w:left w:val="nil"/>
              <w:bottom w:val="nil"/>
              <w:right w:val="nil"/>
            </w:tcBorders>
            <w:noWrap/>
            <w:hideMark/>
          </w:tcPr>
          <w:p w14:paraId="6632732B" w14:textId="7790DB64"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[51]</w:t>
            </w:r>
          </w:p>
        </w:tc>
      </w:tr>
      <w:tr w:rsidR="00F8075E" w:rsidRPr="005D68FE" w14:paraId="5D17EC78" w14:textId="77777777" w:rsidTr="007E6FBC">
        <w:trPr>
          <w:trHeight w:val="630"/>
        </w:trPr>
        <w:tc>
          <w:tcPr>
            <w:tcW w:w="1135" w:type="dxa"/>
            <w:tcBorders>
              <w:top w:val="nil"/>
              <w:left w:val="nil"/>
              <w:bottom w:val="nil"/>
              <w:right w:val="nil"/>
            </w:tcBorders>
            <w:hideMark/>
          </w:tcPr>
          <w:p w14:paraId="1B2A237C"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KRT19</w:t>
            </w:r>
          </w:p>
        </w:tc>
        <w:tc>
          <w:tcPr>
            <w:tcW w:w="6103" w:type="dxa"/>
            <w:tcBorders>
              <w:top w:val="nil"/>
              <w:left w:val="nil"/>
              <w:bottom w:val="nil"/>
              <w:right w:val="nil"/>
            </w:tcBorders>
            <w:hideMark/>
          </w:tcPr>
          <w:p w14:paraId="3AA01481"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Keratin 19 is a cytoplasmic intermediate filament protein and belongs to the type1 keratin family. It is used as a cholangiocyte marker and is not expressed in hepatocytes. It is associated with the progression of several cancers.</w:t>
            </w:r>
          </w:p>
        </w:tc>
        <w:tc>
          <w:tcPr>
            <w:tcW w:w="1266" w:type="dxa"/>
            <w:tcBorders>
              <w:top w:val="nil"/>
              <w:left w:val="nil"/>
              <w:bottom w:val="nil"/>
              <w:right w:val="nil"/>
            </w:tcBorders>
            <w:noWrap/>
            <w:hideMark/>
          </w:tcPr>
          <w:p w14:paraId="2A3F6524" w14:textId="50C02D5D"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[31, 32]</w:t>
            </w:r>
          </w:p>
        </w:tc>
      </w:tr>
      <w:tr w:rsidR="00F8075E" w:rsidRPr="005D68FE" w14:paraId="0C62E774" w14:textId="77777777" w:rsidTr="007E6FBC">
        <w:trPr>
          <w:trHeight w:val="630"/>
        </w:trPr>
        <w:tc>
          <w:tcPr>
            <w:tcW w:w="1135" w:type="dxa"/>
            <w:tcBorders>
              <w:top w:val="nil"/>
              <w:left w:val="nil"/>
              <w:bottom w:val="nil"/>
              <w:right w:val="nil"/>
            </w:tcBorders>
            <w:hideMark/>
          </w:tcPr>
          <w:p w14:paraId="79D7A1FD"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GRB7</w:t>
            </w:r>
          </w:p>
        </w:tc>
        <w:tc>
          <w:tcPr>
            <w:tcW w:w="6103" w:type="dxa"/>
            <w:tcBorders>
              <w:top w:val="nil"/>
              <w:left w:val="nil"/>
              <w:bottom w:val="nil"/>
              <w:right w:val="nil"/>
            </w:tcBorders>
            <w:hideMark/>
          </w:tcPr>
          <w:p w14:paraId="606E646A"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Growth factor receptor-bound protein 7 mediates signal transduction and cell migration. It is associated with the metastasis of several cancers.</w:t>
            </w:r>
          </w:p>
        </w:tc>
        <w:tc>
          <w:tcPr>
            <w:tcW w:w="1266" w:type="dxa"/>
            <w:tcBorders>
              <w:top w:val="nil"/>
              <w:left w:val="nil"/>
              <w:bottom w:val="nil"/>
              <w:right w:val="nil"/>
            </w:tcBorders>
            <w:noWrap/>
            <w:hideMark/>
          </w:tcPr>
          <w:p w14:paraId="060F19F1" w14:textId="4C951A79"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[52]</w:t>
            </w:r>
          </w:p>
        </w:tc>
      </w:tr>
      <w:tr w:rsidR="00F8075E" w:rsidRPr="005D68FE" w14:paraId="71EEE76C" w14:textId="77777777" w:rsidTr="007E6FBC">
        <w:trPr>
          <w:trHeight w:val="630"/>
        </w:trPr>
        <w:tc>
          <w:tcPr>
            <w:tcW w:w="1135" w:type="dxa"/>
            <w:tcBorders>
              <w:top w:val="nil"/>
              <w:left w:val="nil"/>
              <w:bottom w:val="single" w:sz="4" w:space="0" w:color="auto"/>
              <w:right w:val="nil"/>
            </w:tcBorders>
            <w:hideMark/>
          </w:tcPr>
          <w:p w14:paraId="495609C2" w14:textId="77777777" w:rsidR="00977E81" w:rsidRPr="005D68FE" w:rsidRDefault="00977E81"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KRT8</w:t>
            </w:r>
          </w:p>
        </w:tc>
        <w:tc>
          <w:tcPr>
            <w:tcW w:w="6103" w:type="dxa"/>
            <w:tcBorders>
              <w:top w:val="nil"/>
              <w:left w:val="nil"/>
              <w:bottom w:val="single" w:sz="4" w:space="0" w:color="auto"/>
              <w:right w:val="nil"/>
            </w:tcBorders>
            <w:hideMark/>
          </w:tcPr>
          <w:p w14:paraId="04C12F4C"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Keratin 8 is a cytoplasmic intermediate filament protein of the type 2 keratin family. It is expressed in single layered epithelial cells. In cancer cells, it is associated with progression in the form of migration and adhesion.</w:t>
            </w:r>
          </w:p>
        </w:tc>
        <w:tc>
          <w:tcPr>
            <w:tcW w:w="1266" w:type="dxa"/>
            <w:tcBorders>
              <w:top w:val="nil"/>
              <w:left w:val="nil"/>
              <w:bottom w:val="single" w:sz="4" w:space="0" w:color="auto"/>
              <w:right w:val="nil"/>
            </w:tcBorders>
            <w:noWrap/>
            <w:hideMark/>
          </w:tcPr>
          <w:p w14:paraId="02402598" w14:textId="77777777" w:rsidR="00977E81" w:rsidRPr="005D68FE" w:rsidRDefault="00977E81"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[33]</w:t>
            </w:r>
          </w:p>
        </w:tc>
      </w:tr>
      <w:tr w:rsidR="00F8075E" w:rsidRPr="005D68FE" w14:paraId="091B415E" w14:textId="77777777" w:rsidTr="007E6FBC">
        <w:trPr>
          <w:trHeight w:val="315"/>
        </w:trPr>
        <w:tc>
          <w:tcPr>
            <w:tcW w:w="1135" w:type="dxa"/>
            <w:tcBorders>
              <w:top w:val="single" w:sz="4" w:space="0" w:color="auto"/>
              <w:left w:val="nil"/>
              <w:bottom w:val="single" w:sz="4" w:space="0" w:color="auto"/>
              <w:right w:val="nil"/>
            </w:tcBorders>
            <w:noWrap/>
            <w:hideMark/>
          </w:tcPr>
          <w:p w14:paraId="753104B5" w14:textId="11163016" w:rsidR="00977E81" w:rsidRPr="005D68FE" w:rsidRDefault="00F91038" w:rsidP="005D68FE">
            <w:pPr>
              <w:snapToGrid w:val="0"/>
              <w:spacing w:line="360" w:lineRule="auto"/>
              <w:jc w:val="both"/>
              <w:rPr>
                <w:rFonts w:ascii="Book Antiqua" w:hAnsi="Book Antiqua"/>
                <w:b/>
                <w:bCs/>
                <w:color w:val="000000" w:themeColor="text1"/>
                <w:sz w:val="24"/>
                <w:szCs w:val="24"/>
              </w:rPr>
            </w:pPr>
            <w:r w:rsidRPr="005D68FE">
              <w:rPr>
                <w:rFonts w:ascii="Book Antiqua" w:hAnsi="Book Antiqua"/>
                <w:b/>
                <w:bCs/>
                <w:color w:val="000000" w:themeColor="text1"/>
                <w:sz w:val="24"/>
                <w:szCs w:val="24"/>
              </w:rPr>
              <w:lastRenderedPageBreak/>
              <w:t xml:space="preserve">Gene </w:t>
            </w:r>
            <w:r w:rsidR="00977E81" w:rsidRPr="005D68FE">
              <w:rPr>
                <w:rFonts w:ascii="Book Antiqua" w:hAnsi="Book Antiqua"/>
                <w:b/>
                <w:bCs/>
                <w:color w:val="000000" w:themeColor="text1"/>
                <w:sz w:val="24"/>
                <w:szCs w:val="24"/>
              </w:rPr>
              <w:t>symbol</w:t>
            </w:r>
          </w:p>
        </w:tc>
        <w:tc>
          <w:tcPr>
            <w:tcW w:w="6103" w:type="dxa"/>
            <w:tcBorders>
              <w:top w:val="single" w:sz="4" w:space="0" w:color="auto"/>
              <w:left w:val="nil"/>
              <w:bottom w:val="single" w:sz="4" w:space="0" w:color="auto"/>
              <w:right w:val="nil"/>
            </w:tcBorders>
            <w:noWrap/>
            <w:hideMark/>
          </w:tcPr>
          <w:p w14:paraId="748E88DD" w14:textId="5DB60880" w:rsidR="00977E81" w:rsidRPr="005D68FE" w:rsidRDefault="00F91038" w:rsidP="005D68FE">
            <w:pPr>
              <w:snapToGrid w:val="0"/>
              <w:spacing w:line="360" w:lineRule="auto"/>
              <w:jc w:val="both"/>
              <w:rPr>
                <w:rFonts w:ascii="Book Antiqua" w:hAnsi="Book Antiqua"/>
                <w:b/>
                <w:bCs/>
                <w:color w:val="000000" w:themeColor="text1"/>
                <w:sz w:val="24"/>
                <w:szCs w:val="24"/>
              </w:rPr>
            </w:pPr>
            <w:r w:rsidRPr="005D68FE">
              <w:rPr>
                <w:rFonts w:ascii="Book Antiqua" w:hAnsi="Book Antiqua"/>
                <w:b/>
                <w:bCs/>
                <w:color w:val="000000" w:themeColor="text1"/>
                <w:sz w:val="24"/>
                <w:szCs w:val="24"/>
              </w:rPr>
              <w:t>Explanation</w:t>
            </w:r>
          </w:p>
        </w:tc>
        <w:tc>
          <w:tcPr>
            <w:tcW w:w="1266" w:type="dxa"/>
            <w:tcBorders>
              <w:top w:val="single" w:sz="4" w:space="0" w:color="auto"/>
              <w:left w:val="nil"/>
              <w:bottom w:val="single" w:sz="4" w:space="0" w:color="auto"/>
              <w:right w:val="nil"/>
            </w:tcBorders>
            <w:noWrap/>
            <w:hideMark/>
          </w:tcPr>
          <w:p w14:paraId="1B2582E5" w14:textId="69D834F5" w:rsidR="00977E81" w:rsidRPr="005D68FE" w:rsidRDefault="00F91038" w:rsidP="005D68FE">
            <w:pPr>
              <w:snapToGrid w:val="0"/>
              <w:spacing w:line="360" w:lineRule="auto"/>
              <w:jc w:val="both"/>
              <w:rPr>
                <w:rFonts w:ascii="Book Antiqua" w:hAnsi="Book Antiqua"/>
                <w:b/>
                <w:bCs/>
                <w:color w:val="000000" w:themeColor="text1"/>
                <w:sz w:val="24"/>
                <w:szCs w:val="24"/>
              </w:rPr>
            </w:pPr>
            <w:r w:rsidRPr="005D68FE">
              <w:rPr>
                <w:rFonts w:ascii="Book Antiqua" w:hAnsi="Book Antiqua"/>
                <w:b/>
                <w:bCs/>
                <w:color w:val="000000" w:themeColor="text1"/>
                <w:sz w:val="24"/>
                <w:szCs w:val="24"/>
              </w:rPr>
              <w:t>Reference</w:t>
            </w:r>
          </w:p>
        </w:tc>
      </w:tr>
      <w:tr w:rsidR="00F8075E" w:rsidRPr="005D68FE" w14:paraId="274A6E76" w14:textId="77777777" w:rsidTr="007E6FBC">
        <w:trPr>
          <w:trHeight w:val="623"/>
        </w:trPr>
        <w:tc>
          <w:tcPr>
            <w:tcW w:w="1135" w:type="dxa"/>
            <w:tcBorders>
              <w:top w:val="single" w:sz="4" w:space="0" w:color="auto"/>
              <w:left w:val="nil"/>
              <w:bottom w:val="nil"/>
              <w:right w:val="nil"/>
            </w:tcBorders>
            <w:hideMark/>
          </w:tcPr>
          <w:p w14:paraId="75A77322"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ApoM</w:t>
            </w:r>
          </w:p>
        </w:tc>
        <w:tc>
          <w:tcPr>
            <w:tcW w:w="6103" w:type="dxa"/>
            <w:tcBorders>
              <w:top w:val="single" w:sz="4" w:space="0" w:color="auto"/>
              <w:left w:val="nil"/>
              <w:bottom w:val="nil"/>
              <w:right w:val="nil"/>
            </w:tcBorders>
            <w:hideMark/>
          </w:tcPr>
          <w:p w14:paraId="33F8E433" w14:textId="0FCC4CD6"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Apolipoprotein M (apoM) belongs to the lipocalin family. It is expressed in the liver and kidney. Hepatic apoM controls HDL metabolism.</w:t>
            </w:r>
          </w:p>
        </w:tc>
        <w:tc>
          <w:tcPr>
            <w:tcW w:w="1266" w:type="dxa"/>
            <w:tcBorders>
              <w:top w:val="single" w:sz="4" w:space="0" w:color="auto"/>
              <w:left w:val="nil"/>
              <w:bottom w:val="nil"/>
              <w:right w:val="nil"/>
            </w:tcBorders>
            <w:noWrap/>
            <w:hideMark/>
          </w:tcPr>
          <w:p w14:paraId="6E575450" w14:textId="758F28C9"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[53, 54]</w:t>
            </w:r>
          </w:p>
        </w:tc>
      </w:tr>
      <w:tr w:rsidR="00F8075E" w:rsidRPr="005D68FE" w14:paraId="58FCC956" w14:textId="77777777" w:rsidTr="007E6FBC">
        <w:trPr>
          <w:trHeight w:val="623"/>
        </w:trPr>
        <w:tc>
          <w:tcPr>
            <w:tcW w:w="1135" w:type="dxa"/>
            <w:tcBorders>
              <w:top w:val="nil"/>
              <w:left w:val="nil"/>
              <w:bottom w:val="nil"/>
              <w:right w:val="nil"/>
            </w:tcBorders>
            <w:hideMark/>
          </w:tcPr>
          <w:p w14:paraId="6D7C5FD5"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CPS1</w:t>
            </w:r>
          </w:p>
        </w:tc>
        <w:tc>
          <w:tcPr>
            <w:tcW w:w="6103" w:type="dxa"/>
            <w:tcBorders>
              <w:top w:val="nil"/>
              <w:left w:val="nil"/>
              <w:bottom w:val="nil"/>
              <w:right w:val="nil"/>
            </w:tcBorders>
            <w:hideMark/>
          </w:tcPr>
          <w:p w14:paraId="57756CB5"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Carbamoyl phosphate synthase 1 is a mitochondrial enzyme and participates in the first step of the urea cycle in the liver.</w:t>
            </w:r>
          </w:p>
        </w:tc>
        <w:tc>
          <w:tcPr>
            <w:tcW w:w="1266" w:type="dxa"/>
            <w:tcBorders>
              <w:top w:val="nil"/>
              <w:left w:val="nil"/>
              <w:bottom w:val="nil"/>
              <w:right w:val="nil"/>
            </w:tcBorders>
            <w:noWrap/>
            <w:hideMark/>
          </w:tcPr>
          <w:p w14:paraId="4ED83F2F" w14:textId="348D5B5F"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[55]</w:t>
            </w:r>
          </w:p>
        </w:tc>
      </w:tr>
      <w:tr w:rsidR="00F8075E" w:rsidRPr="005D68FE" w14:paraId="5B52A6BF" w14:textId="77777777" w:rsidTr="007E6FBC">
        <w:trPr>
          <w:trHeight w:val="623"/>
        </w:trPr>
        <w:tc>
          <w:tcPr>
            <w:tcW w:w="1135" w:type="dxa"/>
            <w:tcBorders>
              <w:top w:val="nil"/>
              <w:left w:val="nil"/>
              <w:bottom w:val="nil"/>
              <w:right w:val="nil"/>
            </w:tcBorders>
            <w:hideMark/>
          </w:tcPr>
          <w:p w14:paraId="74C4CB38"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SLC51A</w:t>
            </w:r>
          </w:p>
        </w:tc>
        <w:tc>
          <w:tcPr>
            <w:tcW w:w="6103" w:type="dxa"/>
            <w:tcBorders>
              <w:top w:val="nil"/>
              <w:left w:val="nil"/>
              <w:bottom w:val="nil"/>
              <w:right w:val="nil"/>
            </w:tcBorders>
            <w:hideMark/>
          </w:tcPr>
          <w:p w14:paraId="3CB52186"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Organic solute transporter subunit alpha is a bile acid transporter in the liver, small intestine, and kidney. It prevents the bile acid reflux.</w:t>
            </w:r>
          </w:p>
        </w:tc>
        <w:tc>
          <w:tcPr>
            <w:tcW w:w="1266" w:type="dxa"/>
            <w:tcBorders>
              <w:top w:val="nil"/>
              <w:left w:val="nil"/>
              <w:bottom w:val="nil"/>
              <w:right w:val="nil"/>
            </w:tcBorders>
            <w:noWrap/>
            <w:hideMark/>
          </w:tcPr>
          <w:p w14:paraId="0BD3E707" w14:textId="7BBA3260"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[56]</w:t>
            </w:r>
          </w:p>
        </w:tc>
      </w:tr>
      <w:tr w:rsidR="00F8075E" w:rsidRPr="005D68FE" w14:paraId="52F0FCBF" w14:textId="77777777" w:rsidTr="007E6FBC">
        <w:trPr>
          <w:trHeight w:val="623"/>
        </w:trPr>
        <w:tc>
          <w:tcPr>
            <w:tcW w:w="1135" w:type="dxa"/>
            <w:tcBorders>
              <w:top w:val="nil"/>
              <w:left w:val="nil"/>
              <w:bottom w:val="nil"/>
              <w:right w:val="nil"/>
            </w:tcBorders>
            <w:hideMark/>
          </w:tcPr>
          <w:p w14:paraId="0CD3D7DD"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IL6ST</w:t>
            </w:r>
          </w:p>
        </w:tc>
        <w:tc>
          <w:tcPr>
            <w:tcW w:w="6103" w:type="dxa"/>
            <w:tcBorders>
              <w:top w:val="nil"/>
              <w:left w:val="nil"/>
              <w:bottom w:val="nil"/>
              <w:right w:val="nil"/>
            </w:tcBorders>
            <w:hideMark/>
          </w:tcPr>
          <w:p w14:paraId="360CF108"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IL6 signal transducer controls IL-6 and other cytokines such as IL-11, IL-27, oncostatin M, and leukemia inhibitory factor.</w:t>
            </w:r>
          </w:p>
        </w:tc>
        <w:tc>
          <w:tcPr>
            <w:tcW w:w="1266" w:type="dxa"/>
            <w:tcBorders>
              <w:top w:val="nil"/>
              <w:left w:val="nil"/>
              <w:bottom w:val="nil"/>
              <w:right w:val="nil"/>
            </w:tcBorders>
            <w:noWrap/>
            <w:hideMark/>
          </w:tcPr>
          <w:p w14:paraId="29879F24" w14:textId="6D8B38B3"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[57]</w:t>
            </w:r>
          </w:p>
        </w:tc>
      </w:tr>
      <w:tr w:rsidR="00F8075E" w:rsidRPr="005D68FE" w14:paraId="40627719" w14:textId="77777777" w:rsidTr="007E6FBC">
        <w:trPr>
          <w:trHeight w:val="623"/>
        </w:trPr>
        <w:tc>
          <w:tcPr>
            <w:tcW w:w="1135" w:type="dxa"/>
            <w:tcBorders>
              <w:top w:val="nil"/>
              <w:left w:val="nil"/>
              <w:bottom w:val="nil"/>
              <w:right w:val="nil"/>
            </w:tcBorders>
            <w:hideMark/>
          </w:tcPr>
          <w:p w14:paraId="021D0EF8"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ACOX1</w:t>
            </w:r>
          </w:p>
        </w:tc>
        <w:tc>
          <w:tcPr>
            <w:tcW w:w="6103" w:type="dxa"/>
            <w:tcBorders>
              <w:top w:val="nil"/>
              <w:left w:val="nil"/>
              <w:bottom w:val="nil"/>
              <w:right w:val="nil"/>
            </w:tcBorders>
            <w:hideMark/>
          </w:tcPr>
          <w:p w14:paraId="2FD402EE"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Acyl-CoA oxidase 1 is a rate-limiting enzyme in fatty acid β-oxidation.</w:t>
            </w:r>
          </w:p>
        </w:tc>
        <w:tc>
          <w:tcPr>
            <w:tcW w:w="1266" w:type="dxa"/>
            <w:tcBorders>
              <w:top w:val="nil"/>
              <w:left w:val="nil"/>
              <w:bottom w:val="nil"/>
              <w:right w:val="nil"/>
            </w:tcBorders>
            <w:noWrap/>
            <w:hideMark/>
          </w:tcPr>
          <w:p w14:paraId="73813F33" w14:textId="71980A02"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[58]</w:t>
            </w:r>
          </w:p>
        </w:tc>
      </w:tr>
      <w:tr w:rsidR="00F8075E" w:rsidRPr="005D68FE" w14:paraId="7612E7B9" w14:textId="77777777" w:rsidTr="007E6FBC">
        <w:trPr>
          <w:trHeight w:val="623"/>
        </w:trPr>
        <w:tc>
          <w:tcPr>
            <w:tcW w:w="1135" w:type="dxa"/>
            <w:tcBorders>
              <w:top w:val="nil"/>
              <w:left w:val="nil"/>
              <w:bottom w:val="nil"/>
              <w:right w:val="nil"/>
            </w:tcBorders>
            <w:hideMark/>
          </w:tcPr>
          <w:p w14:paraId="1C7FBF65"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RXRa</w:t>
            </w:r>
          </w:p>
        </w:tc>
        <w:tc>
          <w:tcPr>
            <w:tcW w:w="6103" w:type="dxa"/>
            <w:tcBorders>
              <w:top w:val="nil"/>
              <w:left w:val="nil"/>
              <w:bottom w:val="nil"/>
              <w:right w:val="nil"/>
            </w:tcBorders>
            <w:hideMark/>
          </w:tcPr>
          <w:p w14:paraId="6BDE39D7"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The nuclear hormone receptor retinoid X receptor belongs to the steroid hormone receptor family. It is a key factor of cholesterol synthesis.</w:t>
            </w:r>
          </w:p>
        </w:tc>
        <w:tc>
          <w:tcPr>
            <w:tcW w:w="1266" w:type="dxa"/>
            <w:tcBorders>
              <w:top w:val="nil"/>
              <w:left w:val="nil"/>
              <w:bottom w:val="nil"/>
              <w:right w:val="nil"/>
            </w:tcBorders>
            <w:noWrap/>
            <w:hideMark/>
          </w:tcPr>
          <w:p w14:paraId="475DD721" w14:textId="4A8B3AC3"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[59]</w:t>
            </w:r>
          </w:p>
        </w:tc>
      </w:tr>
      <w:tr w:rsidR="00F8075E" w:rsidRPr="005D68FE" w14:paraId="7138F9FC" w14:textId="77777777" w:rsidTr="007E6FBC">
        <w:trPr>
          <w:trHeight w:val="623"/>
        </w:trPr>
        <w:tc>
          <w:tcPr>
            <w:tcW w:w="1135" w:type="dxa"/>
            <w:tcBorders>
              <w:top w:val="nil"/>
              <w:left w:val="nil"/>
              <w:bottom w:val="nil"/>
              <w:right w:val="nil"/>
            </w:tcBorders>
            <w:hideMark/>
          </w:tcPr>
          <w:p w14:paraId="4E50A323"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MET</w:t>
            </w:r>
          </w:p>
        </w:tc>
        <w:tc>
          <w:tcPr>
            <w:tcW w:w="6103" w:type="dxa"/>
            <w:tcBorders>
              <w:top w:val="nil"/>
              <w:left w:val="nil"/>
              <w:bottom w:val="nil"/>
              <w:right w:val="nil"/>
            </w:tcBorders>
            <w:hideMark/>
          </w:tcPr>
          <w:p w14:paraId="068F442B" w14:textId="5D4E36A5"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MET is the hepatocyte growth factor (HGF) receptor and the key factor of hepatic regeneration. It activates epithelial migration and 3D morphogenesis.</w:t>
            </w:r>
          </w:p>
        </w:tc>
        <w:tc>
          <w:tcPr>
            <w:tcW w:w="1266" w:type="dxa"/>
            <w:tcBorders>
              <w:top w:val="nil"/>
              <w:left w:val="nil"/>
              <w:bottom w:val="nil"/>
              <w:right w:val="nil"/>
            </w:tcBorders>
            <w:noWrap/>
            <w:hideMark/>
          </w:tcPr>
          <w:p w14:paraId="4136DFEA" w14:textId="4F1B7A6F"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[35, 36]</w:t>
            </w:r>
          </w:p>
        </w:tc>
      </w:tr>
      <w:tr w:rsidR="007E6FBC" w:rsidRPr="005D68FE" w14:paraId="28E915A3" w14:textId="77777777" w:rsidTr="007E6FBC">
        <w:trPr>
          <w:trHeight w:val="623"/>
        </w:trPr>
        <w:tc>
          <w:tcPr>
            <w:tcW w:w="1135" w:type="dxa"/>
            <w:tcBorders>
              <w:top w:val="nil"/>
              <w:left w:val="nil"/>
              <w:bottom w:val="nil"/>
              <w:right w:val="nil"/>
            </w:tcBorders>
            <w:hideMark/>
          </w:tcPr>
          <w:p w14:paraId="31DB1A8E"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ABCC2</w:t>
            </w:r>
          </w:p>
        </w:tc>
        <w:tc>
          <w:tcPr>
            <w:tcW w:w="6103" w:type="dxa"/>
            <w:tcBorders>
              <w:top w:val="nil"/>
              <w:left w:val="nil"/>
              <w:bottom w:val="nil"/>
              <w:right w:val="nil"/>
            </w:tcBorders>
            <w:hideMark/>
          </w:tcPr>
          <w:p w14:paraId="3D96838A" w14:textId="77777777"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ATP binding cassette subfamily C member 2 is expressed in the hepatocytes and is a biliary transporter. It is also related to drug elimination and multidrug resistance in several cancers.</w:t>
            </w:r>
          </w:p>
        </w:tc>
        <w:tc>
          <w:tcPr>
            <w:tcW w:w="1266" w:type="dxa"/>
            <w:tcBorders>
              <w:top w:val="nil"/>
              <w:left w:val="nil"/>
              <w:bottom w:val="nil"/>
              <w:right w:val="nil"/>
            </w:tcBorders>
            <w:noWrap/>
            <w:hideMark/>
          </w:tcPr>
          <w:p w14:paraId="524129B0" w14:textId="426E2091"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t>[60]</w:t>
            </w:r>
          </w:p>
        </w:tc>
      </w:tr>
      <w:tr w:rsidR="00F8075E" w:rsidRPr="005D68FE" w14:paraId="0DC1DD26" w14:textId="77777777" w:rsidTr="005E7A99">
        <w:trPr>
          <w:trHeight w:val="623"/>
        </w:trPr>
        <w:tc>
          <w:tcPr>
            <w:tcW w:w="1135" w:type="dxa"/>
            <w:tcBorders>
              <w:top w:val="nil"/>
              <w:left w:val="nil"/>
              <w:bottom w:val="single" w:sz="4" w:space="0" w:color="auto"/>
              <w:right w:val="nil"/>
            </w:tcBorders>
            <w:hideMark/>
          </w:tcPr>
          <w:p w14:paraId="10EFD9BF" w14:textId="77777777" w:rsidR="007E6FBC" w:rsidRPr="005D68FE" w:rsidRDefault="007E6FBC" w:rsidP="005D68FE">
            <w:pPr>
              <w:snapToGrid w:val="0"/>
              <w:spacing w:line="360" w:lineRule="auto"/>
              <w:jc w:val="both"/>
              <w:rPr>
                <w:rFonts w:ascii="Book Antiqua" w:hAnsi="Book Antiqua"/>
                <w:i/>
                <w:color w:val="000000" w:themeColor="text1"/>
                <w:sz w:val="24"/>
                <w:szCs w:val="24"/>
              </w:rPr>
            </w:pPr>
            <w:r w:rsidRPr="005D68FE">
              <w:rPr>
                <w:rFonts w:ascii="Book Antiqua" w:hAnsi="Book Antiqua"/>
                <w:i/>
                <w:color w:val="000000" w:themeColor="text1"/>
                <w:sz w:val="24"/>
                <w:szCs w:val="24"/>
              </w:rPr>
              <w:t>CYP1A1</w:t>
            </w:r>
          </w:p>
        </w:tc>
        <w:tc>
          <w:tcPr>
            <w:tcW w:w="6103" w:type="dxa"/>
            <w:tcBorders>
              <w:top w:val="nil"/>
              <w:left w:val="nil"/>
              <w:bottom w:val="single" w:sz="4" w:space="0" w:color="auto"/>
              <w:right w:val="nil"/>
            </w:tcBorders>
            <w:hideMark/>
          </w:tcPr>
          <w:p w14:paraId="5C812B75" w14:textId="35FBB6FB"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color w:val="000000" w:themeColor="text1"/>
                <w:sz w:val="24"/>
                <w:szCs w:val="24"/>
              </w:rPr>
              <w:t xml:space="preserve">This member of the cytochrome P450 enzyme superfamily participates in fatty acid and steroid metabolism. It is associated with the detoxification of </w:t>
            </w:r>
            <w:r w:rsidRPr="005D68FE">
              <w:rPr>
                <w:rFonts w:ascii="Book Antiqua" w:hAnsi="Book Antiqua"/>
                <w:color w:val="000000" w:themeColor="text1"/>
                <w:sz w:val="24"/>
                <w:szCs w:val="24"/>
              </w:rPr>
              <w:lastRenderedPageBreak/>
              <w:t>anthropogenic chemicals such as polycyclic aromatic hydrocarbons.</w:t>
            </w:r>
          </w:p>
        </w:tc>
        <w:tc>
          <w:tcPr>
            <w:tcW w:w="1266" w:type="dxa"/>
            <w:tcBorders>
              <w:top w:val="nil"/>
              <w:left w:val="nil"/>
              <w:bottom w:val="single" w:sz="4" w:space="0" w:color="auto"/>
              <w:right w:val="nil"/>
            </w:tcBorders>
            <w:noWrap/>
            <w:hideMark/>
          </w:tcPr>
          <w:p w14:paraId="626D14BF" w14:textId="6D388F36" w:rsidR="007E6FBC" w:rsidRPr="005D68FE" w:rsidRDefault="007E6FBC" w:rsidP="005D68FE">
            <w:pPr>
              <w:snapToGrid w:val="0"/>
              <w:spacing w:line="360" w:lineRule="auto"/>
              <w:jc w:val="both"/>
              <w:rPr>
                <w:rFonts w:ascii="Book Antiqua" w:hAnsi="Book Antiqua"/>
                <w:color w:val="000000" w:themeColor="text1"/>
                <w:sz w:val="24"/>
                <w:szCs w:val="24"/>
              </w:rPr>
            </w:pPr>
            <w:r w:rsidRPr="005D68FE">
              <w:rPr>
                <w:rFonts w:ascii="Book Antiqua" w:hAnsi="Book Antiqua"/>
                <w:noProof/>
                <w:color w:val="000000" w:themeColor="text1"/>
                <w:sz w:val="24"/>
                <w:szCs w:val="24"/>
              </w:rPr>
              <w:lastRenderedPageBreak/>
              <w:t>[61]</w:t>
            </w:r>
          </w:p>
        </w:tc>
      </w:tr>
    </w:tbl>
    <w:p w14:paraId="614DB4A6" w14:textId="79DD7690" w:rsidR="00977E81" w:rsidRPr="005D68FE" w:rsidRDefault="00977E81" w:rsidP="005D68FE">
      <w:pPr>
        <w:autoSpaceDE/>
        <w:autoSpaceDN/>
        <w:snapToGrid w:val="0"/>
        <w:spacing w:line="360" w:lineRule="auto"/>
        <w:jc w:val="both"/>
        <w:rPr>
          <w:rFonts w:ascii="Book Antiqua" w:hAnsi="Book Antiqua"/>
          <w:color w:val="000000" w:themeColor="text1"/>
          <w:sz w:val="24"/>
          <w:szCs w:val="24"/>
        </w:rPr>
      </w:pPr>
    </w:p>
    <w:sectPr w:rsidR="00977E81" w:rsidRPr="005D68FE" w:rsidSect="0095681D">
      <w:footerReference w:type="default" r:id="rId1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FC38EC" w14:textId="77777777" w:rsidR="00F35C88" w:rsidRDefault="00F35C88">
      <w:r>
        <w:separator/>
      </w:r>
    </w:p>
  </w:endnote>
  <w:endnote w:type="continuationSeparator" w:id="0">
    <w:p w14:paraId="5056D86F" w14:textId="77777777" w:rsidR="00F35C88" w:rsidRDefault="00F35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2" w:usb2="00000016" w:usb3="00000000" w:csb0="0004001F" w:csb1="00000000"/>
  </w:font>
  <w:font w:name="Segoe UI">
    <w:altName w:val="Sylfaen"/>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notTrueType/>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2BF06" w14:textId="77777777" w:rsidR="00843CCC" w:rsidRDefault="00843CCC">
    <w:pPr>
      <w:jc w:val="center"/>
      <w:rPr>
        <w:sz w:val="28"/>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9AD7DB" w14:textId="77777777" w:rsidR="00F35C88" w:rsidRDefault="00F35C88">
      <w:r>
        <w:separator/>
      </w:r>
    </w:p>
  </w:footnote>
  <w:footnote w:type="continuationSeparator" w:id="0">
    <w:p w14:paraId="39777ED8" w14:textId="77777777" w:rsidR="00F35C88" w:rsidRDefault="00F35C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B0890"/>
    <w:multiLevelType w:val="hybridMultilevel"/>
    <w:tmpl w:val="5D68F898"/>
    <w:lvl w:ilvl="0" w:tplc="67D4BCB0">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2B1823"/>
    <w:multiLevelType w:val="multilevel"/>
    <w:tmpl w:val="ED4E71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977E81"/>
    <w:rsid w:val="00000B63"/>
    <w:rsid w:val="00006EDF"/>
    <w:rsid w:val="00010B0C"/>
    <w:rsid w:val="00034A9B"/>
    <w:rsid w:val="00053F1C"/>
    <w:rsid w:val="000664C7"/>
    <w:rsid w:val="00071209"/>
    <w:rsid w:val="00093CDA"/>
    <w:rsid w:val="000B5A24"/>
    <w:rsid w:val="000C6A91"/>
    <w:rsid w:val="000D375C"/>
    <w:rsid w:val="000D55A4"/>
    <w:rsid w:val="000E34C7"/>
    <w:rsid w:val="000E73B7"/>
    <w:rsid w:val="000F7594"/>
    <w:rsid w:val="00105DEB"/>
    <w:rsid w:val="001131C4"/>
    <w:rsid w:val="001219E9"/>
    <w:rsid w:val="00124D59"/>
    <w:rsid w:val="00177033"/>
    <w:rsid w:val="00191B4A"/>
    <w:rsid w:val="00191EEA"/>
    <w:rsid w:val="00192685"/>
    <w:rsid w:val="001A010A"/>
    <w:rsid w:val="001A08D2"/>
    <w:rsid w:val="001A141C"/>
    <w:rsid w:val="001B4FED"/>
    <w:rsid w:val="001B5C16"/>
    <w:rsid w:val="001B68A3"/>
    <w:rsid w:val="001C545D"/>
    <w:rsid w:val="001C6529"/>
    <w:rsid w:val="001E281C"/>
    <w:rsid w:val="00200473"/>
    <w:rsid w:val="00203FB0"/>
    <w:rsid w:val="00225D0F"/>
    <w:rsid w:val="00244801"/>
    <w:rsid w:val="00244F96"/>
    <w:rsid w:val="00245E6F"/>
    <w:rsid w:val="002473A1"/>
    <w:rsid w:val="00256BC8"/>
    <w:rsid w:val="002770A2"/>
    <w:rsid w:val="00286D94"/>
    <w:rsid w:val="00287650"/>
    <w:rsid w:val="002934CA"/>
    <w:rsid w:val="00296A85"/>
    <w:rsid w:val="002A091E"/>
    <w:rsid w:val="002A10CE"/>
    <w:rsid w:val="002A73D0"/>
    <w:rsid w:val="002C082C"/>
    <w:rsid w:val="002C4604"/>
    <w:rsid w:val="002D1D04"/>
    <w:rsid w:val="002E598F"/>
    <w:rsid w:val="003123E9"/>
    <w:rsid w:val="00322A85"/>
    <w:rsid w:val="00327C8D"/>
    <w:rsid w:val="00334637"/>
    <w:rsid w:val="00336BFC"/>
    <w:rsid w:val="003431C4"/>
    <w:rsid w:val="003462E6"/>
    <w:rsid w:val="00351A14"/>
    <w:rsid w:val="00356A1B"/>
    <w:rsid w:val="00361694"/>
    <w:rsid w:val="003647A7"/>
    <w:rsid w:val="00370726"/>
    <w:rsid w:val="00383161"/>
    <w:rsid w:val="003B59EE"/>
    <w:rsid w:val="003D2A5F"/>
    <w:rsid w:val="003E2DA1"/>
    <w:rsid w:val="003E7E59"/>
    <w:rsid w:val="0040112A"/>
    <w:rsid w:val="00401624"/>
    <w:rsid w:val="004119B7"/>
    <w:rsid w:val="00444920"/>
    <w:rsid w:val="00477B95"/>
    <w:rsid w:val="004C7ECA"/>
    <w:rsid w:val="004D59D7"/>
    <w:rsid w:val="004D5D0B"/>
    <w:rsid w:val="004D7C4A"/>
    <w:rsid w:val="004E1B05"/>
    <w:rsid w:val="004E2EBC"/>
    <w:rsid w:val="004E3253"/>
    <w:rsid w:val="004F4F00"/>
    <w:rsid w:val="005110AD"/>
    <w:rsid w:val="0052627F"/>
    <w:rsid w:val="00547EF6"/>
    <w:rsid w:val="005511C6"/>
    <w:rsid w:val="00554642"/>
    <w:rsid w:val="00564639"/>
    <w:rsid w:val="00595F1E"/>
    <w:rsid w:val="005978EF"/>
    <w:rsid w:val="005A3D98"/>
    <w:rsid w:val="005A4C90"/>
    <w:rsid w:val="005B2BBA"/>
    <w:rsid w:val="005B4A7D"/>
    <w:rsid w:val="005D087F"/>
    <w:rsid w:val="005D68FE"/>
    <w:rsid w:val="005E3C84"/>
    <w:rsid w:val="005E475D"/>
    <w:rsid w:val="005E7A99"/>
    <w:rsid w:val="005F4BEA"/>
    <w:rsid w:val="005F564E"/>
    <w:rsid w:val="00620227"/>
    <w:rsid w:val="00625795"/>
    <w:rsid w:val="00634E12"/>
    <w:rsid w:val="006462AA"/>
    <w:rsid w:val="00674F50"/>
    <w:rsid w:val="006800FB"/>
    <w:rsid w:val="00694BA6"/>
    <w:rsid w:val="006A3E38"/>
    <w:rsid w:val="006D0AD6"/>
    <w:rsid w:val="006E28ED"/>
    <w:rsid w:val="006E51E8"/>
    <w:rsid w:val="006F49F9"/>
    <w:rsid w:val="006F4DCF"/>
    <w:rsid w:val="007165E3"/>
    <w:rsid w:val="00724DE8"/>
    <w:rsid w:val="00725F67"/>
    <w:rsid w:val="00764CD1"/>
    <w:rsid w:val="0077544F"/>
    <w:rsid w:val="00790DCC"/>
    <w:rsid w:val="007C1766"/>
    <w:rsid w:val="007E6FBC"/>
    <w:rsid w:val="007F392D"/>
    <w:rsid w:val="0081087E"/>
    <w:rsid w:val="0081458B"/>
    <w:rsid w:val="008376DB"/>
    <w:rsid w:val="00843CCC"/>
    <w:rsid w:val="00872F92"/>
    <w:rsid w:val="0088071A"/>
    <w:rsid w:val="00881EC2"/>
    <w:rsid w:val="00890BDE"/>
    <w:rsid w:val="008B29CB"/>
    <w:rsid w:val="008C3AD1"/>
    <w:rsid w:val="008C4D75"/>
    <w:rsid w:val="008E6F9E"/>
    <w:rsid w:val="008F7830"/>
    <w:rsid w:val="00912D00"/>
    <w:rsid w:val="0091598A"/>
    <w:rsid w:val="00940312"/>
    <w:rsid w:val="0095681D"/>
    <w:rsid w:val="009570F1"/>
    <w:rsid w:val="0096513E"/>
    <w:rsid w:val="00973D08"/>
    <w:rsid w:val="00977E81"/>
    <w:rsid w:val="009831D0"/>
    <w:rsid w:val="0099190D"/>
    <w:rsid w:val="00995C23"/>
    <w:rsid w:val="00997F74"/>
    <w:rsid w:val="009A3125"/>
    <w:rsid w:val="009C1A70"/>
    <w:rsid w:val="009F1AD9"/>
    <w:rsid w:val="00A01730"/>
    <w:rsid w:val="00A01E2C"/>
    <w:rsid w:val="00A33AAA"/>
    <w:rsid w:val="00A33F16"/>
    <w:rsid w:val="00A524C8"/>
    <w:rsid w:val="00A52A5A"/>
    <w:rsid w:val="00A8105C"/>
    <w:rsid w:val="00AA47AE"/>
    <w:rsid w:val="00AE23E5"/>
    <w:rsid w:val="00AF1318"/>
    <w:rsid w:val="00AF5540"/>
    <w:rsid w:val="00B02B70"/>
    <w:rsid w:val="00B0362E"/>
    <w:rsid w:val="00B12BDC"/>
    <w:rsid w:val="00B13278"/>
    <w:rsid w:val="00B25BE7"/>
    <w:rsid w:val="00B305AF"/>
    <w:rsid w:val="00B32488"/>
    <w:rsid w:val="00B40ACF"/>
    <w:rsid w:val="00B478C9"/>
    <w:rsid w:val="00B50819"/>
    <w:rsid w:val="00B72F86"/>
    <w:rsid w:val="00B768D3"/>
    <w:rsid w:val="00B86E9F"/>
    <w:rsid w:val="00BC3CCE"/>
    <w:rsid w:val="00BE3BF1"/>
    <w:rsid w:val="00BE6667"/>
    <w:rsid w:val="00C03A00"/>
    <w:rsid w:val="00C03E84"/>
    <w:rsid w:val="00C04A1E"/>
    <w:rsid w:val="00C064E4"/>
    <w:rsid w:val="00C15E65"/>
    <w:rsid w:val="00C164AF"/>
    <w:rsid w:val="00C26224"/>
    <w:rsid w:val="00C336EE"/>
    <w:rsid w:val="00C62A86"/>
    <w:rsid w:val="00C76C6A"/>
    <w:rsid w:val="00C87AC0"/>
    <w:rsid w:val="00CB1640"/>
    <w:rsid w:val="00CB3A9B"/>
    <w:rsid w:val="00CC6D1D"/>
    <w:rsid w:val="00CD332E"/>
    <w:rsid w:val="00CE1287"/>
    <w:rsid w:val="00D05711"/>
    <w:rsid w:val="00D06F83"/>
    <w:rsid w:val="00D13F87"/>
    <w:rsid w:val="00D27BCA"/>
    <w:rsid w:val="00D5695C"/>
    <w:rsid w:val="00D622CC"/>
    <w:rsid w:val="00D63401"/>
    <w:rsid w:val="00D63661"/>
    <w:rsid w:val="00D66366"/>
    <w:rsid w:val="00D83E07"/>
    <w:rsid w:val="00DA5EC0"/>
    <w:rsid w:val="00DB2F1C"/>
    <w:rsid w:val="00DD4FA0"/>
    <w:rsid w:val="00DD5182"/>
    <w:rsid w:val="00DE3DC8"/>
    <w:rsid w:val="00E0228B"/>
    <w:rsid w:val="00E049FF"/>
    <w:rsid w:val="00E251A5"/>
    <w:rsid w:val="00E324B0"/>
    <w:rsid w:val="00E41AA9"/>
    <w:rsid w:val="00E62396"/>
    <w:rsid w:val="00E8376D"/>
    <w:rsid w:val="00EB41F5"/>
    <w:rsid w:val="00EC46AC"/>
    <w:rsid w:val="00EE6CD6"/>
    <w:rsid w:val="00F06FC4"/>
    <w:rsid w:val="00F07C6D"/>
    <w:rsid w:val="00F11399"/>
    <w:rsid w:val="00F11EB9"/>
    <w:rsid w:val="00F17EFF"/>
    <w:rsid w:val="00F2154B"/>
    <w:rsid w:val="00F320FC"/>
    <w:rsid w:val="00F35C88"/>
    <w:rsid w:val="00F47F83"/>
    <w:rsid w:val="00F6061E"/>
    <w:rsid w:val="00F640B1"/>
    <w:rsid w:val="00F67B47"/>
    <w:rsid w:val="00F72B53"/>
    <w:rsid w:val="00F77933"/>
    <w:rsid w:val="00F77F9E"/>
    <w:rsid w:val="00F8075E"/>
    <w:rsid w:val="00F821E8"/>
    <w:rsid w:val="00F83FFB"/>
    <w:rsid w:val="00F9084F"/>
    <w:rsid w:val="00F91038"/>
    <w:rsid w:val="00FA2222"/>
    <w:rsid w:val="00FC06F4"/>
    <w:rsid w:val="00FC258A"/>
    <w:rsid w:val="00FD0DE2"/>
    <w:rsid w:val="00FD32E4"/>
    <w:rsid w:val="00FE47E2"/>
    <w:rsid w:val="00FF19EB"/>
    <w:rsid w:val="00FF2E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7FE0BF"/>
  <w15:docId w15:val="{71B0111B-F702-F747-B963-8DBC1559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99"/>
    <w:rsid w:val="00977E81"/>
    <w:pPr>
      <w:autoSpaceDE w:val="0"/>
      <w:autoSpaceDN w:val="0"/>
      <w:adjustRightInd w:val="0"/>
    </w:pPr>
    <w:rPr>
      <w:rFonts w:ascii="Century" w:hAnsi="Century" w:cs="Century"/>
      <w:kern w:val="0"/>
      <w:sz w:val="20"/>
      <w:szCs w:val="20"/>
    </w:rPr>
  </w:style>
  <w:style w:type="paragraph" w:styleId="Heading1">
    <w:name w:val="heading 1"/>
    <w:basedOn w:val="Normal"/>
    <w:next w:val="Normal"/>
    <w:link w:val="Heading1Char"/>
    <w:uiPriority w:val="9"/>
    <w:qFormat/>
    <w:rsid w:val="00E0228B"/>
    <w:pPr>
      <w:keepNext/>
      <w:keepLines/>
      <w:numPr>
        <w:numId w:val="2"/>
      </w:numPr>
      <w:autoSpaceDE/>
      <w:autoSpaceDN/>
      <w:adjustRightInd/>
      <w:spacing w:before="480" w:line="276" w:lineRule="auto"/>
      <w:outlineLvl w:val="0"/>
    </w:pPr>
    <w:rPr>
      <w:rFonts w:ascii="Times New Roman" w:eastAsiaTheme="majorEastAsia" w:hAnsi="Times New Roman" w:cstheme="majorBidi"/>
      <w:b/>
      <w:bCs/>
      <w:color w:val="000000" w:themeColor="text1"/>
      <w:sz w:val="28"/>
      <w:szCs w:val="28"/>
      <w:lang w:eastAsia="zh-CN"/>
    </w:rPr>
  </w:style>
  <w:style w:type="paragraph" w:styleId="Heading2">
    <w:name w:val="heading 2"/>
    <w:basedOn w:val="Normal"/>
    <w:next w:val="Normal"/>
    <w:link w:val="Heading2Char"/>
    <w:uiPriority w:val="9"/>
    <w:unhideWhenUsed/>
    <w:qFormat/>
    <w:rsid w:val="00E0228B"/>
    <w:pPr>
      <w:keepNext/>
      <w:keepLines/>
      <w:numPr>
        <w:ilvl w:val="1"/>
        <w:numId w:val="2"/>
      </w:numPr>
      <w:autoSpaceDE/>
      <w:autoSpaceDN/>
      <w:adjustRightInd/>
      <w:spacing w:before="200" w:line="276" w:lineRule="auto"/>
      <w:outlineLvl w:val="1"/>
    </w:pPr>
    <w:rPr>
      <w:rFonts w:ascii="Times New Roman" w:eastAsiaTheme="majorEastAsia" w:hAnsi="Times New Roman" w:cstheme="majorBidi"/>
      <w:b/>
      <w:bCs/>
      <w:i/>
      <w:color w:val="000000" w:themeColor="text1"/>
      <w:sz w:val="24"/>
      <w:szCs w:val="26"/>
      <w:lang w:eastAsia="zh-CN"/>
    </w:rPr>
  </w:style>
  <w:style w:type="paragraph" w:styleId="Heading3">
    <w:name w:val="heading 3"/>
    <w:basedOn w:val="Normal"/>
    <w:next w:val="Normal"/>
    <w:link w:val="Heading3Char"/>
    <w:uiPriority w:val="9"/>
    <w:unhideWhenUsed/>
    <w:qFormat/>
    <w:rsid w:val="00E0228B"/>
    <w:pPr>
      <w:keepNext/>
      <w:keepLines/>
      <w:numPr>
        <w:ilvl w:val="2"/>
        <w:numId w:val="2"/>
      </w:numPr>
      <w:autoSpaceDE/>
      <w:autoSpaceDN/>
      <w:adjustRightInd/>
      <w:spacing w:before="200" w:line="276" w:lineRule="auto"/>
      <w:outlineLvl w:val="2"/>
    </w:pPr>
    <w:rPr>
      <w:rFonts w:ascii="Times New Roman" w:eastAsiaTheme="majorEastAsia" w:hAnsi="Times New Roman" w:cstheme="majorBidi"/>
      <w:b/>
      <w:bCs/>
      <w:i/>
      <w:color w:val="000000" w:themeColor="text1"/>
      <w:sz w:val="24"/>
      <w:szCs w:val="22"/>
      <w:lang w:eastAsia="zh-CN"/>
    </w:rPr>
  </w:style>
  <w:style w:type="paragraph" w:styleId="Heading4">
    <w:name w:val="heading 4"/>
    <w:basedOn w:val="Normal"/>
    <w:next w:val="Normal"/>
    <w:link w:val="Heading4Char"/>
    <w:autoRedefine/>
    <w:uiPriority w:val="9"/>
    <w:unhideWhenUsed/>
    <w:qFormat/>
    <w:rsid w:val="00E0228B"/>
    <w:pPr>
      <w:keepNext/>
      <w:keepLines/>
      <w:numPr>
        <w:ilvl w:val="3"/>
        <w:numId w:val="2"/>
      </w:numPr>
      <w:autoSpaceDE/>
      <w:autoSpaceDN/>
      <w:adjustRightInd/>
      <w:spacing w:before="200" w:line="276" w:lineRule="auto"/>
      <w:outlineLvl w:val="3"/>
    </w:pPr>
    <w:rPr>
      <w:rFonts w:asciiTheme="majorHAnsi" w:eastAsiaTheme="majorEastAsia" w:hAnsiTheme="majorHAnsi" w:cstheme="majorBidi"/>
      <w:b/>
      <w:bCs/>
      <w:i/>
      <w:iCs/>
      <w:color w:val="8496B0" w:themeColor="text2" w:themeTint="99"/>
      <w:sz w:val="22"/>
      <w:szCs w:val="22"/>
      <w:lang w:eastAsia="zh-CN"/>
    </w:rPr>
  </w:style>
  <w:style w:type="paragraph" w:styleId="Heading5">
    <w:name w:val="heading 5"/>
    <w:basedOn w:val="Normal"/>
    <w:next w:val="Normal"/>
    <w:link w:val="Heading5Char"/>
    <w:uiPriority w:val="9"/>
    <w:unhideWhenUsed/>
    <w:qFormat/>
    <w:rsid w:val="00E0228B"/>
    <w:pPr>
      <w:keepNext/>
      <w:keepLines/>
      <w:numPr>
        <w:ilvl w:val="4"/>
        <w:numId w:val="2"/>
      </w:numPr>
      <w:autoSpaceDE/>
      <w:autoSpaceDN/>
      <w:adjustRightInd/>
      <w:spacing w:before="200" w:line="276" w:lineRule="auto"/>
      <w:outlineLvl w:val="4"/>
    </w:pPr>
    <w:rPr>
      <w:rFonts w:asciiTheme="majorHAnsi" w:eastAsiaTheme="majorEastAsia" w:hAnsiTheme="majorHAnsi" w:cstheme="majorBidi"/>
      <w:color w:val="1F3763" w:themeColor="accent1" w:themeShade="7F"/>
      <w:sz w:val="22"/>
      <w:szCs w:val="22"/>
      <w:lang w:eastAsia="zh-CN"/>
    </w:rPr>
  </w:style>
  <w:style w:type="paragraph" w:styleId="Heading6">
    <w:name w:val="heading 6"/>
    <w:basedOn w:val="Normal"/>
    <w:next w:val="Normal"/>
    <w:link w:val="Heading6Char"/>
    <w:uiPriority w:val="9"/>
    <w:unhideWhenUsed/>
    <w:qFormat/>
    <w:rsid w:val="00E0228B"/>
    <w:pPr>
      <w:keepNext/>
      <w:keepLines/>
      <w:numPr>
        <w:ilvl w:val="5"/>
        <w:numId w:val="2"/>
      </w:numPr>
      <w:autoSpaceDE/>
      <w:autoSpaceDN/>
      <w:adjustRightInd/>
      <w:spacing w:before="200" w:line="276" w:lineRule="auto"/>
      <w:outlineLvl w:val="5"/>
    </w:pPr>
    <w:rPr>
      <w:rFonts w:asciiTheme="majorHAnsi" w:eastAsiaTheme="majorEastAsia" w:hAnsiTheme="majorHAnsi" w:cstheme="majorBidi"/>
      <w:i/>
      <w:iCs/>
      <w:color w:val="1F3763" w:themeColor="accent1" w:themeShade="7F"/>
      <w:sz w:val="22"/>
      <w:szCs w:val="22"/>
      <w:lang w:eastAsia="zh-CN"/>
    </w:rPr>
  </w:style>
  <w:style w:type="paragraph" w:styleId="Heading7">
    <w:name w:val="heading 7"/>
    <w:basedOn w:val="Normal"/>
    <w:next w:val="Normal"/>
    <w:link w:val="Heading7Char"/>
    <w:uiPriority w:val="9"/>
    <w:semiHidden/>
    <w:unhideWhenUsed/>
    <w:qFormat/>
    <w:rsid w:val="00E0228B"/>
    <w:pPr>
      <w:keepNext/>
      <w:keepLines/>
      <w:numPr>
        <w:ilvl w:val="6"/>
        <w:numId w:val="2"/>
      </w:numPr>
      <w:autoSpaceDE/>
      <w:autoSpaceDN/>
      <w:adjustRightInd/>
      <w:spacing w:before="200" w:line="276" w:lineRule="auto"/>
      <w:outlineLvl w:val="6"/>
    </w:pPr>
    <w:rPr>
      <w:rFonts w:asciiTheme="majorHAnsi" w:eastAsiaTheme="majorEastAsia" w:hAnsiTheme="majorHAnsi" w:cstheme="majorBidi"/>
      <w:i/>
      <w:iCs/>
      <w:color w:val="404040" w:themeColor="text1" w:themeTint="BF"/>
      <w:sz w:val="22"/>
      <w:szCs w:val="22"/>
      <w:lang w:eastAsia="zh-CN"/>
    </w:rPr>
  </w:style>
  <w:style w:type="paragraph" w:styleId="Heading8">
    <w:name w:val="heading 8"/>
    <w:basedOn w:val="Normal"/>
    <w:next w:val="Normal"/>
    <w:link w:val="Heading8Char"/>
    <w:uiPriority w:val="9"/>
    <w:semiHidden/>
    <w:unhideWhenUsed/>
    <w:qFormat/>
    <w:rsid w:val="00E0228B"/>
    <w:pPr>
      <w:keepNext/>
      <w:keepLines/>
      <w:numPr>
        <w:ilvl w:val="7"/>
        <w:numId w:val="2"/>
      </w:numPr>
      <w:autoSpaceDE/>
      <w:autoSpaceDN/>
      <w:adjustRightInd/>
      <w:spacing w:before="200" w:line="276" w:lineRule="auto"/>
      <w:outlineLvl w:val="7"/>
    </w:pPr>
    <w:rPr>
      <w:rFonts w:asciiTheme="majorHAnsi" w:eastAsiaTheme="majorEastAsia" w:hAnsiTheme="majorHAnsi" w:cstheme="majorBidi"/>
      <w:color w:val="404040" w:themeColor="text1" w:themeTint="BF"/>
      <w:lang w:eastAsia="zh-CN"/>
    </w:rPr>
  </w:style>
  <w:style w:type="paragraph" w:styleId="Heading9">
    <w:name w:val="heading 9"/>
    <w:basedOn w:val="Normal"/>
    <w:next w:val="Normal"/>
    <w:link w:val="Heading9Char"/>
    <w:uiPriority w:val="9"/>
    <w:semiHidden/>
    <w:unhideWhenUsed/>
    <w:qFormat/>
    <w:rsid w:val="00E0228B"/>
    <w:pPr>
      <w:keepNext/>
      <w:keepLines/>
      <w:numPr>
        <w:ilvl w:val="8"/>
        <w:numId w:val="2"/>
      </w:numPr>
      <w:autoSpaceDE/>
      <w:autoSpaceDN/>
      <w:adjustRightInd/>
      <w:spacing w:before="200" w:line="276" w:lineRule="auto"/>
      <w:outlineLvl w:val="8"/>
    </w:pPr>
    <w:rPr>
      <w:rFonts w:asciiTheme="majorHAnsi" w:eastAsiaTheme="majorEastAsia" w:hAnsiTheme="majorHAnsi" w:cstheme="majorBidi"/>
      <w:i/>
      <w:iCs/>
      <w:color w:val="404040" w:themeColor="text1" w:themeTint="BF"/>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sid w:val="00977E81"/>
  </w:style>
  <w:style w:type="character" w:customStyle="1" w:styleId="CommentTextChar">
    <w:name w:val="Comment Text Char"/>
    <w:basedOn w:val="DefaultParagraphFont"/>
    <w:link w:val="CommentText"/>
    <w:uiPriority w:val="99"/>
    <w:semiHidden/>
    <w:rsid w:val="00977E81"/>
    <w:rPr>
      <w:rFonts w:ascii="Century" w:hAnsi="Century" w:cs="Century"/>
      <w:kern w:val="0"/>
      <w:sz w:val="20"/>
      <w:szCs w:val="20"/>
    </w:rPr>
  </w:style>
  <w:style w:type="character" w:styleId="CommentReference">
    <w:name w:val="annotation reference"/>
    <w:basedOn w:val="DefaultParagraphFont"/>
    <w:uiPriority w:val="99"/>
    <w:unhideWhenUsed/>
    <w:qFormat/>
    <w:rsid w:val="00977E81"/>
    <w:rPr>
      <w:sz w:val="18"/>
      <w:szCs w:val="18"/>
    </w:rPr>
  </w:style>
  <w:style w:type="paragraph" w:styleId="Header">
    <w:name w:val="header"/>
    <w:basedOn w:val="Normal"/>
    <w:link w:val="HeaderChar"/>
    <w:uiPriority w:val="99"/>
    <w:unhideWhenUsed/>
    <w:rsid w:val="00977E81"/>
    <w:pPr>
      <w:tabs>
        <w:tab w:val="center" w:pos="4252"/>
        <w:tab w:val="right" w:pos="8504"/>
      </w:tabs>
      <w:snapToGrid w:val="0"/>
    </w:pPr>
  </w:style>
  <w:style w:type="character" w:customStyle="1" w:styleId="HeaderChar">
    <w:name w:val="Header Char"/>
    <w:basedOn w:val="DefaultParagraphFont"/>
    <w:link w:val="Header"/>
    <w:uiPriority w:val="99"/>
    <w:rsid w:val="00977E81"/>
    <w:rPr>
      <w:rFonts w:ascii="Century" w:hAnsi="Century" w:cs="Century"/>
      <w:kern w:val="0"/>
      <w:sz w:val="20"/>
      <w:szCs w:val="20"/>
    </w:rPr>
  </w:style>
  <w:style w:type="paragraph" w:styleId="Footer">
    <w:name w:val="footer"/>
    <w:basedOn w:val="Normal"/>
    <w:link w:val="FooterChar"/>
    <w:uiPriority w:val="99"/>
    <w:unhideWhenUsed/>
    <w:rsid w:val="00977E81"/>
    <w:pPr>
      <w:tabs>
        <w:tab w:val="center" w:pos="4252"/>
        <w:tab w:val="right" w:pos="8504"/>
      </w:tabs>
      <w:snapToGrid w:val="0"/>
    </w:pPr>
  </w:style>
  <w:style w:type="character" w:customStyle="1" w:styleId="FooterChar">
    <w:name w:val="Footer Char"/>
    <w:basedOn w:val="DefaultParagraphFont"/>
    <w:link w:val="Footer"/>
    <w:uiPriority w:val="99"/>
    <w:rsid w:val="00977E81"/>
    <w:rPr>
      <w:rFonts w:ascii="Century" w:hAnsi="Century" w:cs="Century"/>
      <w:kern w:val="0"/>
      <w:sz w:val="20"/>
      <w:szCs w:val="20"/>
    </w:rPr>
  </w:style>
  <w:style w:type="paragraph" w:styleId="BalloonText">
    <w:name w:val="Balloon Text"/>
    <w:basedOn w:val="Normal"/>
    <w:link w:val="BalloonTextChar"/>
    <w:uiPriority w:val="99"/>
    <w:semiHidden/>
    <w:unhideWhenUsed/>
    <w:rsid w:val="00977E81"/>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77E81"/>
    <w:rPr>
      <w:rFonts w:asciiTheme="majorHAnsi" w:eastAsiaTheme="majorEastAsia" w:hAnsiTheme="majorHAnsi" w:cstheme="majorBidi"/>
      <w:kern w:val="0"/>
      <w:sz w:val="18"/>
      <w:szCs w:val="18"/>
    </w:rPr>
  </w:style>
  <w:style w:type="character" w:styleId="Hyperlink">
    <w:name w:val="Hyperlink"/>
    <w:basedOn w:val="DefaultParagraphFont"/>
    <w:uiPriority w:val="99"/>
    <w:unhideWhenUsed/>
    <w:rsid w:val="00977E81"/>
    <w:rPr>
      <w:color w:val="0563C1" w:themeColor="hyperlink"/>
      <w:u w:val="single"/>
    </w:rPr>
  </w:style>
  <w:style w:type="character" w:customStyle="1" w:styleId="1">
    <w:name w:val="未解決のメンション1"/>
    <w:basedOn w:val="DefaultParagraphFont"/>
    <w:uiPriority w:val="99"/>
    <w:semiHidden/>
    <w:unhideWhenUsed/>
    <w:rsid w:val="00977E81"/>
    <w:rPr>
      <w:color w:val="605E5C"/>
      <w:shd w:val="clear" w:color="auto" w:fill="E1DFDD"/>
    </w:rPr>
  </w:style>
  <w:style w:type="paragraph" w:styleId="Date">
    <w:name w:val="Date"/>
    <w:basedOn w:val="Normal"/>
    <w:next w:val="Normal"/>
    <w:link w:val="DateChar"/>
    <w:uiPriority w:val="99"/>
    <w:semiHidden/>
    <w:unhideWhenUsed/>
    <w:rsid w:val="00977E81"/>
  </w:style>
  <w:style w:type="character" w:customStyle="1" w:styleId="DateChar">
    <w:name w:val="Date Char"/>
    <w:basedOn w:val="DefaultParagraphFont"/>
    <w:link w:val="Date"/>
    <w:uiPriority w:val="99"/>
    <w:semiHidden/>
    <w:rsid w:val="00977E81"/>
    <w:rPr>
      <w:rFonts w:ascii="Century" w:hAnsi="Century" w:cs="Century"/>
      <w:kern w:val="0"/>
      <w:sz w:val="20"/>
      <w:szCs w:val="20"/>
    </w:rPr>
  </w:style>
  <w:style w:type="paragraph" w:styleId="ListParagraph">
    <w:name w:val="List Paragraph"/>
    <w:basedOn w:val="Normal"/>
    <w:uiPriority w:val="34"/>
    <w:qFormat/>
    <w:rsid w:val="00977E81"/>
    <w:pPr>
      <w:ind w:leftChars="400" w:left="840"/>
    </w:pPr>
  </w:style>
  <w:style w:type="paragraph" w:styleId="CommentSubject">
    <w:name w:val="annotation subject"/>
    <w:basedOn w:val="CommentText"/>
    <w:next w:val="CommentText"/>
    <w:link w:val="CommentSubjectChar"/>
    <w:uiPriority w:val="99"/>
    <w:semiHidden/>
    <w:unhideWhenUsed/>
    <w:rsid w:val="00977E81"/>
    <w:rPr>
      <w:b/>
      <w:bCs/>
    </w:rPr>
  </w:style>
  <w:style w:type="character" w:customStyle="1" w:styleId="CommentSubjectChar">
    <w:name w:val="Comment Subject Char"/>
    <w:basedOn w:val="CommentTextChar"/>
    <w:link w:val="CommentSubject"/>
    <w:uiPriority w:val="99"/>
    <w:semiHidden/>
    <w:rsid w:val="00977E81"/>
    <w:rPr>
      <w:rFonts w:ascii="Century" w:hAnsi="Century" w:cs="Century"/>
      <w:b/>
      <w:bCs/>
      <w:kern w:val="0"/>
      <w:sz w:val="20"/>
      <w:szCs w:val="20"/>
    </w:rPr>
  </w:style>
  <w:style w:type="character" w:customStyle="1" w:styleId="2">
    <w:name w:val="未解決のメンション2"/>
    <w:basedOn w:val="DefaultParagraphFont"/>
    <w:uiPriority w:val="99"/>
    <w:semiHidden/>
    <w:unhideWhenUsed/>
    <w:rsid w:val="00977E81"/>
    <w:rPr>
      <w:color w:val="605E5C"/>
      <w:shd w:val="clear" w:color="auto" w:fill="E1DFDD"/>
    </w:rPr>
  </w:style>
  <w:style w:type="character" w:customStyle="1" w:styleId="orcid-id-https">
    <w:name w:val="orcid-id-https"/>
    <w:basedOn w:val="DefaultParagraphFont"/>
    <w:rsid w:val="00977E81"/>
  </w:style>
  <w:style w:type="paragraph" w:customStyle="1" w:styleId="EndNoteBibliographyTitle">
    <w:name w:val="EndNote Bibliography Title"/>
    <w:basedOn w:val="Normal"/>
    <w:link w:val="EndNoteBibliographyTitle0"/>
    <w:rsid w:val="00977E81"/>
    <w:pPr>
      <w:jc w:val="center"/>
    </w:pPr>
    <w:rPr>
      <w:noProof/>
    </w:rPr>
  </w:style>
  <w:style w:type="character" w:customStyle="1" w:styleId="EndNoteBibliographyTitle0">
    <w:name w:val="EndNote Bibliography Title (文字)"/>
    <w:basedOn w:val="DefaultParagraphFont"/>
    <w:link w:val="EndNoteBibliographyTitle"/>
    <w:rsid w:val="00977E81"/>
    <w:rPr>
      <w:rFonts w:ascii="Century" w:hAnsi="Century" w:cs="Century"/>
      <w:noProof/>
      <w:kern w:val="0"/>
      <w:sz w:val="20"/>
      <w:szCs w:val="20"/>
    </w:rPr>
  </w:style>
  <w:style w:type="paragraph" w:customStyle="1" w:styleId="EndNoteBibliography">
    <w:name w:val="EndNote Bibliography"/>
    <w:basedOn w:val="Normal"/>
    <w:link w:val="EndNoteBibliography0"/>
    <w:rsid w:val="00977E81"/>
    <w:pPr>
      <w:jc w:val="both"/>
    </w:pPr>
    <w:rPr>
      <w:noProof/>
    </w:rPr>
  </w:style>
  <w:style w:type="character" w:customStyle="1" w:styleId="EndNoteBibliography0">
    <w:name w:val="EndNote Bibliography (文字)"/>
    <w:basedOn w:val="DefaultParagraphFont"/>
    <w:link w:val="EndNoteBibliography"/>
    <w:rsid w:val="00977E81"/>
    <w:rPr>
      <w:rFonts w:ascii="Century" w:hAnsi="Century" w:cs="Century"/>
      <w:noProof/>
      <w:kern w:val="0"/>
      <w:sz w:val="20"/>
      <w:szCs w:val="20"/>
    </w:rPr>
  </w:style>
  <w:style w:type="character" w:customStyle="1" w:styleId="3">
    <w:name w:val="未解決のメンション3"/>
    <w:basedOn w:val="DefaultParagraphFont"/>
    <w:uiPriority w:val="99"/>
    <w:semiHidden/>
    <w:unhideWhenUsed/>
    <w:rsid w:val="00977E81"/>
    <w:rPr>
      <w:color w:val="605E5C"/>
      <w:shd w:val="clear" w:color="auto" w:fill="E1DFDD"/>
    </w:rPr>
  </w:style>
  <w:style w:type="table" w:styleId="TableGrid">
    <w:name w:val="Table Grid"/>
    <w:basedOn w:val="TableNormal"/>
    <w:uiPriority w:val="59"/>
    <w:rsid w:val="00977E81"/>
    <w:rPr>
      <w:rFonts w:ascii="Century"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正文1"/>
    <w:uiPriority w:val="99"/>
    <w:rsid w:val="00E0228B"/>
    <w:pPr>
      <w:spacing w:line="276" w:lineRule="auto"/>
    </w:pPr>
    <w:rPr>
      <w:rFonts w:ascii="Arial" w:eastAsia="SimSun" w:hAnsi="Arial" w:cs="Arial"/>
      <w:color w:val="000000"/>
      <w:kern w:val="0"/>
      <w:sz w:val="22"/>
      <w:szCs w:val="20"/>
      <w:lang w:val="pl-PL" w:eastAsia="pl-PL"/>
    </w:rPr>
  </w:style>
  <w:style w:type="character" w:customStyle="1" w:styleId="Heading1Char">
    <w:name w:val="Heading 1 Char"/>
    <w:basedOn w:val="DefaultParagraphFont"/>
    <w:link w:val="Heading1"/>
    <w:uiPriority w:val="9"/>
    <w:rsid w:val="00E0228B"/>
    <w:rPr>
      <w:rFonts w:ascii="Times New Roman" w:eastAsiaTheme="majorEastAsia" w:hAnsi="Times New Roman" w:cstheme="majorBidi"/>
      <w:b/>
      <w:bCs/>
      <w:color w:val="000000" w:themeColor="text1"/>
      <w:kern w:val="0"/>
      <w:sz w:val="28"/>
      <w:szCs w:val="28"/>
      <w:lang w:eastAsia="zh-CN"/>
    </w:rPr>
  </w:style>
  <w:style w:type="character" w:customStyle="1" w:styleId="Heading2Char">
    <w:name w:val="Heading 2 Char"/>
    <w:basedOn w:val="DefaultParagraphFont"/>
    <w:link w:val="Heading2"/>
    <w:uiPriority w:val="9"/>
    <w:rsid w:val="00E0228B"/>
    <w:rPr>
      <w:rFonts w:ascii="Times New Roman" w:eastAsiaTheme="majorEastAsia" w:hAnsi="Times New Roman" w:cstheme="majorBidi"/>
      <w:b/>
      <w:bCs/>
      <w:i/>
      <w:color w:val="000000" w:themeColor="text1"/>
      <w:kern w:val="0"/>
      <w:sz w:val="24"/>
      <w:szCs w:val="26"/>
      <w:lang w:eastAsia="zh-CN"/>
    </w:rPr>
  </w:style>
  <w:style w:type="character" w:customStyle="1" w:styleId="Heading3Char">
    <w:name w:val="Heading 3 Char"/>
    <w:basedOn w:val="DefaultParagraphFont"/>
    <w:link w:val="Heading3"/>
    <w:uiPriority w:val="9"/>
    <w:rsid w:val="00E0228B"/>
    <w:rPr>
      <w:rFonts w:ascii="Times New Roman" w:eastAsiaTheme="majorEastAsia" w:hAnsi="Times New Roman" w:cstheme="majorBidi"/>
      <w:b/>
      <w:bCs/>
      <w:i/>
      <w:color w:val="000000" w:themeColor="text1"/>
      <w:kern w:val="0"/>
      <w:sz w:val="24"/>
      <w:lang w:eastAsia="zh-CN"/>
    </w:rPr>
  </w:style>
  <w:style w:type="character" w:customStyle="1" w:styleId="Heading4Char">
    <w:name w:val="Heading 4 Char"/>
    <w:basedOn w:val="DefaultParagraphFont"/>
    <w:link w:val="Heading4"/>
    <w:uiPriority w:val="9"/>
    <w:rsid w:val="00E0228B"/>
    <w:rPr>
      <w:rFonts w:asciiTheme="majorHAnsi" w:eastAsiaTheme="majorEastAsia" w:hAnsiTheme="majorHAnsi" w:cstheme="majorBidi"/>
      <w:b/>
      <w:bCs/>
      <w:i/>
      <w:iCs/>
      <w:color w:val="8496B0" w:themeColor="text2" w:themeTint="99"/>
      <w:kern w:val="0"/>
      <w:sz w:val="22"/>
      <w:lang w:eastAsia="zh-CN"/>
    </w:rPr>
  </w:style>
  <w:style w:type="character" w:customStyle="1" w:styleId="Heading5Char">
    <w:name w:val="Heading 5 Char"/>
    <w:basedOn w:val="DefaultParagraphFont"/>
    <w:link w:val="Heading5"/>
    <w:uiPriority w:val="9"/>
    <w:rsid w:val="00E0228B"/>
    <w:rPr>
      <w:rFonts w:asciiTheme="majorHAnsi" w:eastAsiaTheme="majorEastAsia" w:hAnsiTheme="majorHAnsi" w:cstheme="majorBidi"/>
      <w:color w:val="1F3763" w:themeColor="accent1" w:themeShade="7F"/>
      <w:kern w:val="0"/>
      <w:sz w:val="22"/>
      <w:lang w:eastAsia="zh-CN"/>
    </w:rPr>
  </w:style>
  <w:style w:type="character" w:customStyle="1" w:styleId="Heading6Char">
    <w:name w:val="Heading 6 Char"/>
    <w:basedOn w:val="DefaultParagraphFont"/>
    <w:link w:val="Heading6"/>
    <w:uiPriority w:val="9"/>
    <w:rsid w:val="00E0228B"/>
    <w:rPr>
      <w:rFonts w:asciiTheme="majorHAnsi" w:eastAsiaTheme="majorEastAsia" w:hAnsiTheme="majorHAnsi" w:cstheme="majorBidi"/>
      <w:i/>
      <w:iCs/>
      <w:color w:val="1F3763" w:themeColor="accent1" w:themeShade="7F"/>
      <w:kern w:val="0"/>
      <w:sz w:val="22"/>
      <w:lang w:eastAsia="zh-CN"/>
    </w:rPr>
  </w:style>
  <w:style w:type="character" w:customStyle="1" w:styleId="Heading7Char">
    <w:name w:val="Heading 7 Char"/>
    <w:basedOn w:val="DefaultParagraphFont"/>
    <w:link w:val="Heading7"/>
    <w:uiPriority w:val="9"/>
    <w:semiHidden/>
    <w:rsid w:val="00E0228B"/>
    <w:rPr>
      <w:rFonts w:asciiTheme="majorHAnsi" w:eastAsiaTheme="majorEastAsia" w:hAnsiTheme="majorHAnsi" w:cstheme="majorBidi"/>
      <w:i/>
      <w:iCs/>
      <w:color w:val="404040" w:themeColor="text1" w:themeTint="BF"/>
      <w:kern w:val="0"/>
      <w:sz w:val="22"/>
      <w:lang w:eastAsia="zh-CN"/>
    </w:rPr>
  </w:style>
  <w:style w:type="character" w:customStyle="1" w:styleId="Heading8Char">
    <w:name w:val="Heading 8 Char"/>
    <w:basedOn w:val="DefaultParagraphFont"/>
    <w:link w:val="Heading8"/>
    <w:uiPriority w:val="9"/>
    <w:semiHidden/>
    <w:rsid w:val="00E0228B"/>
    <w:rPr>
      <w:rFonts w:asciiTheme="majorHAnsi" w:eastAsiaTheme="majorEastAsia" w:hAnsiTheme="majorHAnsi" w:cstheme="majorBidi"/>
      <w:color w:val="404040" w:themeColor="text1" w:themeTint="BF"/>
      <w:kern w:val="0"/>
      <w:sz w:val="20"/>
      <w:szCs w:val="20"/>
      <w:lang w:eastAsia="zh-CN"/>
    </w:rPr>
  </w:style>
  <w:style w:type="character" w:customStyle="1" w:styleId="Heading9Char">
    <w:name w:val="Heading 9 Char"/>
    <w:basedOn w:val="DefaultParagraphFont"/>
    <w:link w:val="Heading9"/>
    <w:uiPriority w:val="9"/>
    <w:semiHidden/>
    <w:rsid w:val="00E0228B"/>
    <w:rPr>
      <w:rFonts w:asciiTheme="majorHAnsi" w:eastAsiaTheme="majorEastAsia" w:hAnsiTheme="majorHAnsi" w:cstheme="majorBidi"/>
      <w:i/>
      <w:iCs/>
      <w:color w:val="404040" w:themeColor="text1" w:themeTint="BF"/>
      <w:kern w:val="0"/>
      <w:sz w:val="20"/>
      <w:szCs w:val="20"/>
      <w:lang w:eastAsia="zh-CN"/>
    </w:rPr>
  </w:style>
  <w:style w:type="character" w:customStyle="1" w:styleId="11">
    <w:name w:val="批注文字 字符1"/>
    <w:basedOn w:val="DefaultParagraphFont"/>
    <w:uiPriority w:val="99"/>
    <w:qFormat/>
    <w:rsid w:val="00E0228B"/>
    <w:rPr>
      <w:rFonts w:eastAsiaTheme="minorEastAsia"/>
      <w:kern w:val="2"/>
      <w:sz w:val="21"/>
    </w:rPr>
  </w:style>
  <w:style w:type="character" w:styleId="Emphasis">
    <w:name w:val="Emphasis"/>
    <w:basedOn w:val="DefaultParagraphFont"/>
    <w:uiPriority w:val="20"/>
    <w:qFormat/>
    <w:rsid w:val="00E0228B"/>
    <w:rPr>
      <w:i/>
      <w:iCs/>
    </w:rPr>
  </w:style>
  <w:style w:type="paragraph" w:styleId="NormalWeb">
    <w:name w:val="Normal (Web)"/>
    <w:basedOn w:val="Normal"/>
    <w:uiPriority w:val="99"/>
    <w:semiHidden/>
    <w:unhideWhenUsed/>
    <w:rsid w:val="00E0228B"/>
    <w:pPr>
      <w:autoSpaceDE/>
      <w:autoSpaceDN/>
      <w:adjustRightInd/>
      <w:spacing w:before="100" w:beforeAutospacing="1" w:after="100" w:afterAutospacing="1"/>
    </w:pPr>
    <w:rPr>
      <w:rFonts w:ascii="SimSun" w:eastAsia="SimSun" w:hAnsi="SimSun" w:cs="SimSun"/>
      <w:sz w:val="24"/>
      <w:szCs w:val="24"/>
      <w:lang w:eastAsia="zh-CN"/>
    </w:rPr>
  </w:style>
  <w:style w:type="character" w:customStyle="1" w:styleId="12">
    <w:name w:val="未处理的提及1"/>
    <w:basedOn w:val="DefaultParagraphFont"/>
    <w:uiPriority w:val="99"/>
    <w:semiHidden/>
    <w:unhideWhenUsed/>
    <w:rsid w:val="00547EF6"/>
    <w:rPr>
      <w:color w:val="605E5C"/>
      <w:shd w:val="clear" w:color="auto" w:fill="E1DFDD"/>
    </w:rPr>
  </w:style>
  <w:style w:type="character" w:styleId="UnresolvedMention">
    <w:name w:val="Unresolved Mention"/>
    <w:basedOn w:val="DefaultParagraphFont"/>
    <w:uiPriority w:val="99"/>
    <w:semiHidden/>
    <w:unhideWhenUsed/>
    <w:rsid w:val="00843C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91926">
      <w:bodyDiv w:val="1"/>
      <w:marLeft w:val="0"/>
      <w:marRight w:val="0"/>
      <w:marTop w:val="0"/>
      <w:marBottom w:val="0"/>
      <w:divBdr>
        <w:top w:val="none" w:sz="0" w:space="0" w:color="auto"/>
        <w:left w:val="none" w:sz="0" w:space="0" w:color="auto"/>
        <w:bottom w:val="none" w:sz="0" w:space="0" w:color="auto"/>
        <w:right w:val="none" w:sz="0" w:space="0" w:color="auto"/>
      </w:divBdr>
    </w:div>
    <w:div w:id="973678361">
      <w:bodyDiv w:val="1"/>
      <w:marLeft w:val="0"/>
      <w:marRight w:val="0"/>
      <w:marTop w:val="0"/>
      <w:marBottom w:val="0"/>
      <w:divBdr>
        <w:top w:val="none" w:sz="0" w:space="0" w:color="auto"/>
        <w:left w:val="none" w:sz="0" w:space="0" w:color="auto"/>
        <w:bottom w:val="none" w:sz="0" w:space="0" w:color="auto"/>
        <w:right w:val="none" w:sz="0" w:space="0" w:color="auto"/>
      </w:divBdr>
    </w:div>
    <w:div w:id="1138913699">
      <w:bodyDiv w:val="1"/>
      <w:marLeft w:val="0"/>
      <w:marRight w:val="0"/>
      <w:marTop w:val="0"/>
      <w:marBottom w:val="0"/>
      <w:divBdr>
        <w:top w:val="none" w:sz="0" w:space="0" w:color="auto"/>
        <w:left w:val="none" w:sz="0" w:space="0" w:color="auto"/>
        <w:bottom w:val="none" w:sz="0" w:space="0" w:color="auto"/>
        <w:right w:val="none" w:sz="0" w:space="0" w:color="auto"/>
      </w:divBdr>
    </w:div>
    <w:div w:id="209925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ncbi.nlm.nih.gov/sra" TargetMode="External"/><Relationship Id="rId12" Type="http://schemas.openxmlformats.org/officeDocument/2006/relationships/image" Target="media/image5.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46</Pages>
  <Words>9650</Words>
  <Characters>55006</Characters>
  <Application>Microsoft Office Word</Application>
  <DocSecurity>0</DocSecurity>
  <Lines>458</Lines>
  <Paragraphs>129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64527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欽司 古屋</dc:creator>
  <cp:keywords/>
  <dc:description/>
  <cp:lastModifiedBy>Li Ma</cp:lastModifiedBy>
  <cp:revision>5</cp:revision>
  <dcterms:created xsi:type="dcterms:W3CDTF">2019-08-27T22:39:00Z</dcterms:created>
  <dcterms:modified xsi:type="dcterms:W3CDTF">2019-08-27T23:10:00Z</dcterms:modified>
</cp:coreProperties>
</file>