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033" w:rsidRDefault="0035424A">
      <w:pPr>
        <w:widowControl w:val="0"/>
        <w:kinsoku w:val="0"/>
        <w:overflowPunct w:val="0"/>
        <w:autoSpaceDE w:val="0"/>
        <w:autoSpaceDN w:val="0"/>
        <w:snapToGrid w:val="0"/>
        <w:spacing w:line="360" w:lineRule="auto"/>
        <w:rPr>
          <w:rFonts w:ascii="Book Antiqua" w:hAnsi="Book Antiqua" w:cs="宋体"/>
          <w:color w:val="000000" w:themeColor="text1"/>
          <w:sz w:val="24"/>
          <w:szCs w:val="24"/>
        </w:rPr>
      </w:pPr>
      <w:r>
        <w:rPr>
          <w:rFonts w:ascii="Book Antiqua" w:hAnsi="Book Antiqua" w:cs="宋体"/>
          <w:b/>
          <w:color w:val="000000" w:themeColor="text1"/>
          <w:sz w:val="24"/>
          <w:szCs w:val="24"/>
        </w:rPr>
        <w:t xml:space="preserve">Name of Journal: </w:t>
      </w:r>
      <w:bookmarkStart w:id="0" w:name="OLE_LINK16"/>
      <w:r>
        <w:rPr>
          <w:rFonts w:ascii="Book Antiqua" w:hAnsi="Book Antiqua" w:cs="宋体"/>
          <w:i/>
          <w:iCs/>
          <w:color w:val="000000" w:themeColor="text1"/>
          <w:sz w:val="24"/>
          <w:szCs w:val="24"/>
        </w:rPr>
        <w:t>World Journal of Gastroenterology</w:t>
      </w:r>
    </w:p>
    <w:p w:rsidR="00EF7033" w:rsidRDefault="0035424A">
      <w:pPr>
        <w:adjustRightInd w:val="0"/>
        <w:snapToGrid w:val="0"/>
        <w:spacing w:line="360" w:lineRule="auto"/>
        <w:rPr>
          <w:rFonts w:ascii="Book Antiqua" w:hAnsi="Book Antiqua" w:cs="Arial"/>
          <w:color w:val="000000" w:themeColor="text1"/>
          <w:sz w:val="24"/>
          <w:szCs w:val="24"/>
          <w:lang w:val="en"/>
        </w:rPr>
      </w:pPr>
      <w:bookmarkStart w:id="1" w:name="_Hlk5632321"/>
      <w:bookmarkEnd w:id="0"/>
      <w:r>
        <w:rPr>
          <w:rFonts w:ascii="Book Antiqua" w:eastAsia="Times New Roman" w:hAnsi="Book Antiqua"/>
          <w:b/>
          <w:bCs/>
          <w:color w:val="000000" w:themeColor="text1"/>
          <w:sz w:val="24"/>
          <w:szCs w:val="24"/>
        </w:rPr>
        <w:t>Manuscript NO</w:t>
      </w:r>
      <w:r>
        <w:rPr>
          <w:rFonts w:ascii="Book Antiqua" w:hAnsi="Book Antiqua" w:cs="Arial"/>
          <w:b/>
          <w:color w:val="000000" w:themeColor="text1"/>
          <w:sz w:val="24"/>
          <w:szCs w:val="24"/>
          <w:lang w:val="en"/>
        </w:rPr>
        <w:t xml:space="preserve">: </w:t>
      </w:r>
      <w:bookmarkEnd w:id="1"/>
      <w:r>
        <w:rPr>
          <w:rFonts w:ascii="Book Antiqua" w:hAnsi="Book Antiqua" w:cs="Arial"/>
          <w:color w:val="000000" w:themeColor="text1"/>
          <w:sz w:val="24"/>
          <w:szCs w:val="24"/>
          <w:lang w:val="en"/>
        </w:rPr>
        <w:t>46893</w:t>
      </w:r>
    </w:p>
    <w:p w:rsidR="00EF7033" w:rsidRDefault="0035424A">
      <w:pPr>
        <w:widowControl w:val="0"/>
        <w:kinsoku w:val="0"/>
        <w:overflowPunct w:val="0"/>
        <w:autoSpaceDE w:val="0"/>
        <w:autoSpaceDN w:val="0"/>
        <w:snapToGrid w:val="0"/>
        <w:spacing w:line="360" w:lineRule="auto"/>
        <w:rPr>
          <w:rFonts w:ascii="Book Antiqua" w:eastAsiaTheme="minorEastAsia" w:hAnsi="Book Antiqua"/>
          <w:color w:val="000000" w:themeColor="text1"/>
          <w:sz w:val="24"/>
          <w:szCs w:val="24"/>
        </w:rPr>
      </w:pPr>
      <w:r>
        <w:rPr>
          <w:rFonts w:ascii="Book Antiqua" w:eastAsiaTheme="minorEastAsia" w:hAnsi="Book Antiqua"/>
          <w:b/>
          <w:color w:val="000000" w:themeColor="text1"/>
          <w:sz w:val="24"/>
          <w:szCs w:val="24"/>
        </w:rPr>
        <w:t xml:space="preserve">Manuscript Type: </w:t>
      </w:r>
      <w:r>
        <w:rPr>
          <w:rFonts w:ascii="Book Antiqua" w:eastAsiaTheme="minorEastAsia" w:hAnsi="Book Antiqua"/>
          <w:bCs/>
          <w:color w:val="000000" w:themeColor="text1"/>
          <w:sz w:val="24"/>
          <w:szCs w:val="24"/>
        </w:rPr>
        <w:t>ORIGINAL ARTICLE</w:t>
      </w:r>
    </w:p>
    <w:p w:rsidR="00EF7033" w:rsidRDefault="00EF7033">
      <w:pPr>
        <w:widowControl w:val="0"/>
        <w:kinsoku w:val="0"/>
        <w:overflowPunct w:val="0"/>
        <w:autoSpaceDE w:val="0"/>
        <w:autoSpaceDN w:val="0"/>
        <w:spacing w:line="360" w:lineRule="auto"/>
        <w:rPr>
          <w:rFonts w:ascii="Book Antiqua" w:hAnsi="Book Antiqua"/>
          <w:b/>
          <w:color w:val="000000" w:themeColor="text1"/>
          <w:sz w:val="24"/>
          <w:szCs w:val="24"/>
        </w:rPr>
      </w:pPr>
    </w:p>
    <w:p w:rsidR="00EF7033" w:rsidRDefault="0035424A">
      <w:pPr>
        <w:widowControl w:val="0"/>
        <w:kinsoku w:val="0"/>
        <w:overflowPunct w:val="0"/>
        <w:autoSpaceDE w:val="0"/>
        <w:autoSpaceDN w:val="0"/>
        <w:spacing w:line="360" w:lineRule="auto"/>
        <w:rPr>
          <w:rFonts w:ascii="Book Antiqua" w:hAnsi="Book Antiqua"/>
          <w:b/>
          <w:bCs/>
          <w:i/>
          <w:iCs/>
          <w:color w:val="000000" w:themeColor="text1"/>
          <w:sz w:val="24"/>
          <w:szCs w:val="24"/>
        </w:rPr>
      </w:pPr>
      <w:r>
        <w:rPr>
          <w:rFonts w:ascii="Book Antiqua" w:eastAsiaTheme="minorEastAsia" w:hAnsi="Book Antiqua"/>
          <w:b/>
          <w:bCs/>
          <w:i/>
          <w:iCs/>
          <w:color w:val="000000" w:themeColor="text1"/>
          <w:sz w:val="24"/>
          <w:szCs w:val="24"/>
        </w:rPr>
        <w:t>Basic Study</w:t>
      </w:r>
    </w:p>
    <w:p w:rsidR="00EF7033" w:rsidRDefault="0035424A">
      <w:pPr>
        <w:widowControl w:val="0"/>
        <w:kinsoku w:val="0"/>
        <w:overflowPunct w:val="0"/>
        <w:autoSpaceDE w:val="0"/>
        <w:autoSpaceDN w:val="0"/>
        <w:spacing w:line="360" w:lineRule="auto"/>
        <w:rPr>
          <w:rFonts w:ascii="Book Antiqua" w:eastAsiaTheme="minorEastAsia" w:hAnsi="Book Antiqua"/>
          <w:b/>
          <w:color w:val="000000" w:themeColor="text1"/>
          <w:sz w:val="24"/>
          <w:szCs w:val="24"/>
        </w:rPr>
      </w:pPr>
      <w:bookmarkStart w:id="2" w:name="OLE_LINK26"/>
      <w:proofErr w:type="spellStart"/>
      <w:r>
        <w:rPr>
          <w:rFonts w:ascii="Book Antiqua" w:eastAsia="Arial" w:hAnsi="Book Antiqua"/>
          <w:b/>
          <w:color w:val="000000" w:themeColor="text1"/>
          <w:sz w:val="24"/>
          <w:szCs w:val="24"/>
        </w:rPr>
        <w:t>Berberine</w:t>
      </w:r>
      <w:proofErr w:type="spellEnd"/>
      <w:r>
        <w:rPr>
          <w:rFonts w:ascii="Book Antiqua" w:eastAsia="Arial" w:hAnsi="Book Antiqua"/>
          <w:b/>
          <w:color w:val="000000" w:themeColor="text1"/>
          <w:sz w:val="24"/>
          <w:szCs w:val="24"/>
        </w:rPr>
        <w:t xml:space="preserve"> prevents stress-induced gut inflammation and visceral hypersensitivity and reduces intestinal motility in rats</w:t>
      </w:r>
    </w:p>
    <w:bookmarkEnd w:id="2"/>
    <w:p w:rsidR="00EF7033" w:rsidRDefault="00EF7033">
      <w:pPr>
        <w:widowControl w:val="0"/>
        <w:kinsoku w:val="0"/>
        <w:overflowPunct w:val="0"/>
        <w:autoSpaceDE w:val="0"/>
        <w:autoSpaceDN w:val="0"/>
        <w:spacing w:line="360" w:lineRule="auto"/>
        <w:rPr>
          <w:rFonts w:ascii="Book Antiqua" w:eastAsiaTheme="minorEastAsia" w:hAnsi="Book Antiqua"/>
          <w:b/>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heme="minorEastAsia" w:hAnsi="Book Antiqua"/>
          <w:b/>
          <w:color w:val="000000" w:themeColor="text1"/>
          <w:sz w:val="24"/>
          <w:szCs w:val="24"/>
        </w:rPr>
      </w:pPr>
      <w:r>
        <w:rPr>
          <w:rFonts w:ascii="Book Antiqua" w:eastAsia="Times New Roman" w:hAnsi="Book Antiqua"/>
          <w:color w:val="000000" w:themeColor="text1"/>
          <w:sz w:val="24"/>
          <w:szCs w:val="24"/>
        </w:rPr>
        <w:t>Yu</w:t>
      </w:r>
      <w:r>
        <w:rPr>
          <w:rFonts w:ascii="Book Antiqua" w:eastAsiaTheme="minorEastAsia" w:hAnsi="Book Antiqua"/>
          <w:color w:val="000000" w:themeColor="text1"/>
          <w:sz w:val="24"/>
          <w:szCs w:val="24"/>
        </w:rPr>
        <w:t xml:space="preserve"> Z </w:t>
      </w:r>
      <w:r>
        <w:rPr>
          <w:rFonts w:ascii="Book Antiqua" w:eastAsiaTheme="minorEastAsia" w:hAnsi="Book Antiqua"/>
          <w:i/>
          <w:color w:val="000000" w:themeColor="text1"/>
          <w:sz w:val="24"/>
          <w:szCs w:val="24"/>
        </w:rPr>
        <w:t>et al</w:t>
      </w:r>
      <w:r>
        <w:rPr>
          <w:rFonts w:ascii="Book Antiqua" w:eastAsiaTheme="minorEastAsia" w:hAnsi="Book Antiqua"/>
          <w:color w:val="000000" w:themeColor="text1"/>
          <w:sz w:val="24"/>
          <w:szCs w:val="24"/>
        </w:rPr>
        <w:t xml:space="preserve">. </w:t>
      </w:r>
      <w:bookmarkStart w:id="3" w:name="OLE_LINK27"/>
      <w:bookmarkStart w:id="4" w:name="OLE_LINK34"/>
      <w:proofErr w:type="spellStart"/>
      <w:r>
        <w:rPr>
          <w:rFonts w:ascii="Book Antiqua" w:eastAsiaTheme="minorEastAsia" w:hAnsi="Book Antiqua"/>
          <w:color w:val="000000" w:themeColor="text1"/>
          <w:sz w:val="24"/>
          <w:szCs w:val="24"/>
        </w:rPr>
        <w:t>Berberine</w:t>
      </w:r>
      <w:proofErr w:type="spellEnd"/>
      <w:r>
        <w:rPr>
          <w:rFonts w:ascii="Book Antiqua" w:eastAsiaTheme="minorEastAsia" w:hAnsi="Book Antiqua"/>
          <w:color w:val="000000" w:themeColor="text1"/>
          <w:sz w:val="24"/>
          <w:szCs w:val="24"/>
        </w:rPr>
        <w:t xml:space="preserve"> prevents stress-induced gut inflammation</w:t>
      </w:r>
      <w:bookmarkEnd w:id="3"/>
    </w:p>
    <w:bookmarkEnd w:id="4"/>
    <w:p w:rsidR="00EF7033" w:rsidRDefault="00EF7033">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heme="minorEastAsia" w:hAnsi="Book Antiqua"/>
          <w:bCs/>
          <w:color w:val="000000" w:themeColor="text1"/>
          <w:sz w:val="24"/>
          <w:szCs w:val="24"/>
        </w:rPr>
      </w:pPr>
      <w:proofErr w:type="spellStart"/>
      <w:r>
        <w:rPr>
          <w:rFonts w:ascii="Book Antiqua" w:eastAsia="Times New Roman" w:hAnsi="Book Antiqua"/>
          <w:bCs/>
          <w:color w:val="000000" w:themeColor="text1"/>
          <w:sz w:val="24"/>
          <w:szCs w:val="24"/>
        </w:rPr>
        <w:t>Zhi</w:t>
      </w:r>
      <w:proofErr w:type="spellEnd"/>
      <w:r>
        <w:rPr>
          <w:rFonts w:ascii="Book Antiqua" w:eastAsia="Times New Roman" w:hAnsi="Book Antiqua"/>
          <w:bCs/>
          <w:color w:val="000000" w:themeColor="text1"/>
          <w:sz w:val="24"/>
          <w:szCs w:val="24"/>
        </w:rPr>
        <w:t>-Chao Yu, Yong-</w:t>
      </w:r>
      <w:proofErr w:type="spellStart"/>
      <w:r>
        <w:rPr>
          <w:rFonts w:ascii="Book Antiqua" w:eastAsia="Times New Roman" w:hAnsi="Book Antiqua"/>
          <w:bCs/>
          <w:color w:val="000000" w:themeColor="text1"/>
          <w:sz w:val="24"/>
          <w:szCs w:val="24"/>
        </w:rPr>
        <w:t>Xin</w:t>
      </w:r>
      <w:proofErr w:type="spellEnd"/>
      <w:r>
        <w:rPr>
          <w:rFonts w:ascii="Book Antiqua" w:eastAsia="Times New Roman" w:hAnsi="Book Antiqua"/>
          <w:bCs/>
          <w:color w:val="000000" w:themeColor="text1"/>
          <w:sz w:val="24"/>
          <w:szCs w:val="24"/>
        </w:rPr>
        <w:t xml:space="preserve"> Cen, </w:t>
      </w:r>
      <w:bookmarkStart w:id="5" w:name="OLE_LINK17"/>
      <w:r>
        <w:rPr>
          <w:rFonts w:ascii="Book Antiqua" w:eastAsia="Times New Roman" w:hAnsi="Book Antiqua"/>
          <w:bCs/>
          <w:color w:val="000000" w:themeColor="text1"/>
          <w:sz w:val="24"/>
          <w:szCs w:val="24"/>
        </w:rPr>
        <w:t>Ben-Hua Wu</w:t>
      </w:r>
      <w:bookmarkEnd w:id="5"/>
      <w:r>
        <w:rPr>
          <w:rFonts w:ascii="Book Antiqua" w:eastAsia="宋体" w:hAnsi="Book Antiqua"/>
          <w:bCs/>
          <w:color w:val="000000" w:themeColor="text1"/>
          <w:sz w:val="24"/>
          <w:szCs w:val="24"/>
        </w:rPr>
        <w:t xml:space="preserve">, </w:t>
      </w:r>
      <w:r>
        <w:rPr>
          <w:rFonts w:ascii="Book Antiqua" w:eastAsia="Times New Roman" w:hAnsi="Book Antiqua"/>
          <w:bCs/>
          <w:color w:val="000000" w:themeColor="text1"/>
          <w:sz w:val="24"/>
          <w:szCs w:val="24"/>
        </w:rPr>
        <w:t xml:space="preserve">Cheng Wei, </w:t>
      </w:r>
      <w:proofErr w:type="spellStart"/>
      <w:r>
        <w:rPr>
          <w:rFonts w:ascii="Book Antiqua" w:eastAsia="Times New Roman" w:hAnsi="Book Antiqua"/>
          <w:bCs/>
          <w:color w:val="000000" w:themeColor="text1"/>
          <w:sz w:val="24"/>
          <w:szCs w:val="24"/>
        </w:rPr>
        <w:t>Feng</w:t>
      </w:r>
      <w:proofErr w:type="spellEnd"/>
      <w:r>
        <w:rPr>
          <w:rFonts w:ascii="Book Antiqua" w:eastAsia="Times New Roman" w:hAnsi="Book Antiqua"/>
          <w:bCs/>
          <w:color w:val="000000" w:themeColor="text1"/>
          <w:sz w:val="24"/>
          <w:szCs w:val="24"/>
        </w:rPr>
        <w:t xml:space="preserve"> </w:t>
      </w:r>
      <w:proofErr w:type="spellStart"/>
      <w:r>
        <w:rPr>
          <w:rFonts w:ascii="Book Antiqua" w:eastAsia="Times New Roman" w:hAnsi="Book Antiqua"/>
          <w:bCs/>
          <w:color w:val="000000" w:themeColor="text1"/>
          <w:sz w:val="24"/>
          <w:szCs w:val="24"/>
        </w:rPr>
        <w:t>Xiong</w:t>
      </w:r>
      <w:proofErr w:type="spellEnd"/>
      <w:r>
        <w:rPr>
          <w:rFonts w:ascii="Book Antiqua" w:eastAsia="Times New Roman" w:hAnsi="Book Antiqua"/>
          <w:bCs/>
          <w:color w:val="000000" w:themeColor="text1"/>
          <w:sz w:val="24"/>
          <w:szCs w:val="24"/>
        </w:rPr>
        <w:t>, De-</w:t>
      </w:r>
      <w:proofErr w:type="spellStart"/>
      <w:r>
        <w:rPr>
          <w:rFonts w:ascii="Book Antiqua" w:eastAsia="Times New Roman" w:hAnsi="Book Antiqua"/>
          <w:bCs/>
          <w:color w:val="000000" w:themeColor="text1"/>
          <w:sz w:val="24"/>
          <w:szCs w:val="24"/>
        </w:rPr>
        <w:t>Feng</w:t>
      </w:r>
      <w:proofErr w:type="spellEnd"/>
      <w:r>
        <w:rPr>
          <w:rFonts w:ascii="Book Antiqua" w:eastAsia="Times New Roman" w:hAnsi="Book Antiqua"/>
          <w:bCs/>
          <w:color w:val="000000" w:themeColor="text1"/>
          <w:sz w:val="24"/>
          <w:szCs w:val="24"/>
        </w:rPr>
        <w:t xml:space="preserve"> Li, Ting-Ting Liu, Ming-Han </w:t>
      </w:r>
      <w:proofErr w:type="spellStart"/>
      <w:r>
        <w:rPr>
          <w:rFonts w:ascii="Book Antiqua" w:eastAsia="Times New Roman" w:hAnsi="Book Antiqua"/>
          <w:bCs/>
          <w:color w:val="000000" w:themeColor="text1"/>
          <w:sz w:val="24"/>
          <w:szCs w:val="24"/>
        </w:rPr>
        <w:t>Luo</w:t>
      </w:r>
      <w:proofErr w:type="spellEnd"/>
      <w:r>
        <w:rPr>
          <w:rFonts w:ascii="Book Antiqua" w:eastAsia="Times New Roman" w:hAnsi="Book Antiqua"/>
          <w:bCs/>
          <w:color w:val="000000" w:themeColor="text1"/>
          <w:sz w:val="24"/>
          <w:szCs w:val="24"/>
        </w:rPr>
        <w:t>, Li-</w:t>
      </w:r>
      <w:proofErr w:type="spellStart"/>
      <w:r>
        <w:rPr>
          <w:rFonts w:ascii="Book Antiqua" w:eastAsia="Times New Roman" w:hAnsi="Book Antiqua"/>
          <w:bCs/>
          <w:color w:val="000000" w:themeColor="text1"/>
          <w:sz w:val="24"/>
          <w:szCs w:val="24"/>
        </w:rPr>
        <w:t>Liangzi</w:t>
      </w:r>
      <w:proofErr w:type="spellEnd"/>
      <w:r>
        <w:rPr>
          <w:rFonts w:ascii="Book Antiqua" w:eastAsia="Times New Roman" w:hAnsi="Book Antiqua"/>
          <w:bCs/>
          <w:color w:val="000000" w:themeColor="text1"/>
          <w:sz w:val="24"/>
          <w:szCs w:val="24"/>
        </w:rPr>
        <w:t xml:space="preserve"> </w:t>
      </w:r>
      <w:proofErr w:type="spellStart"/>
      <w:r>
        <w:rPr>
          <w:rFonts w:ascii="Book Antiqua" w:eastAsia="Times New Roman" w:hAnsi="Book Antiqua"/>
          <w:bCs/>
          <w:color w:val="000000" w:themeColor="text1"/>
          <w:sz w:val="24"/>
          <w:szCs w:val="24"/>
        </w:rPr>
        <w:t>Guo</w:t>
      </w:r>
      <w:proofErr w:type="spellEnd"/>
      <w:r>
        <w:rPr>
          <w:rFonts w:ascii="Book Antiqua" w:eastAsia="Times New Roman" w:hAnsi="Book Antiqua"/>
          <w:bCs/>
          <w:color w:val="000000" w:themeColor="text1"/>
          <w:sz w:val="24"/>
          <w:szCs w:val="24"/>
        </w:rPr>
        <w:t>, Ying-</w:t>
      </w:r>
      <w:proofErr w:type="spellStart"/>
      <w:r>
        <w:rPr>
          <w:rFonts w:ascii="Book Antiqua" w:eastAsia="Times New Roman" w:hAnsi="Book Antiqua"/>
          <w:bCs/>
          <w:color w:val="000000" w:themeColor="text1"/>
          <w:sz w:val="24"/>
          <w:szCs w:val="24"/>
        </w:rPr>
        <w:t>Xue</w:t>
      </w:r>
      <w:proofErr w:type="spellEnd"/>
      <w:r>
        <w:rPr>
          <w:rFonts w:ascii="Book Antiqua" w:eastAsia="Times New Roman" w:hAnsi="Book Antiqua"/>
          <w:bCs/>
          <w:color w:val="000000" w:themeColor="text1"/>
          <w:sz w:val="24"/>
          <w:szCs w:val="24"/>
        </w:rPr>
        <w:t xml:space="preserve"> Li, Li-Sheng Wang, Jian-Yao Wang, </w:t>
      </w:r>
      <w:bookmarkStart w:id="6" w:name="OLE_LINK18"/>
      <w:r>
        <w:rPr>
          <w:rFonts w:ascii="Book Antiqua" w:eastAsia="Times New Roman" w:hAnsi="Book Antiqua"/>
          <w:bCs/>
          <w:color w:val="000000" w:themeColor="text1"/>
          <w:sz w:val="24"/>
          <w:szCs w:val="24"/>
        </w:rPr>
        <w:t>Jun Yao</w:t>
      </w:r>
      <w:bookmarkEnd w:id="6"/>
    </w:p>
    <w:p w:rsidR="00EF7033" w:rsidRDefault="00EF7033">
      <w:pPr>
        <w:widowControl w:val="0"/>
        <w:kinsoku w:val="0"/>
        <w:overflowPunct w:val="0"/>
        <w:autoSpaceDE w:val="0"/>
        <w:autoSpaceDN w:val="0"/>
        <w:spacing w:line="360" w:lineRule="auto"/>
        <w:rPr>
          <w:rFonts w:ascii="Book Antiqua" w:eastAsia="Times New Roman"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roofErr w:type="spellStart"/>
      <w:r>
        <w:rPr>
          <w:rFonts w:ascii="Book Antiqua" w:eastAsia="Times New Roman" w:hAnsi="Book Antiqua"/>
          <w:b/>
          <w:color w:val="000000" w:themeColor="text1"/>
          <w:sz w:val="24"/>
          <w:szCs w:val="24"/>
        </w:rPr>
        <w:t>Zhi</w:t>
      </w:r>
      <w:proofErr w:type="spellEnd"/>
      <w:r>
        <w:rPr>
          <w:rFonts w:ascii="Book Antiqua" w:eastAsia="Times New Roman" w:hAnsi="Book Antiqua"/>
          <w:b/>
          <w:color w:val="000000" w:themeColor="text1"/>
          <w:sz w:val="24"/>
          <w:szCs w:val="24"/>
        </w:rPr>
        <w:t>-Chao Yu, Ben-</w:t>
      </w:r>
      <w:proofErr w:type="spellStart"/>
      <w:r>
        <w:rPr>
          <w:rFonts w:ascii="Book Antiqua" w:eastAsia="Times New Roman" w:hAnsi="Book Antiqua"/>
          <w:b/>
          <w:color w:val="000000" w:themeColor="text1"/>
          <w:sz w:val="24"/>
          <w:szCs w:val="24"/>
        </w:rPr>
        <w:t>Hua</w:t>
      </w:r>
      <w:proofErr w:type="spellEnd"/>
      <w:r>
        <w:rPr>
          <w:rFonts w:ascii="Book Antiqua" w:eastAsia="Times New Roman" w:hAnsi="Book Antiqua"/>
          <w:b/>
          <w:color w:val="000000" w:themeColor="text1"/>
          <w:sz w:val="24"/>
          <w:szCs w:val="24"/>
        </w:rPr>
        <w:t xml:space="preserve"> Wu</w:t>
      </w:r>
      <w:r>
        <w:rPr>
          <w:rFonts w:ascii="Book Antiqua" w:eastAsia="宋体" w:hAnsi="Book Antiqua"/>
          <w:b/>
          <w:color w:val="000000" w:themeColor="text1"/>
          <w:sz w:val="24"/>
          <w:szCs w:val="24"/>
        </w:rPr>
        <w:t xml:space="preserve">, </w:t>
      </w:r>
      <w:r>
        <w:rPr>
          <w:rFonts w:ascii="Book Antiqua" w:eastAsia="Times New Roman" w:hAnsi="Book Antiqua"/>
          <w:b/>
          <w:color w:val="000000" w:themeColor="text1"/>
          <w:sz w:val="24"/>
          <w:szCs w:val="24"/>
        </w:rPr>
        <w:t xml:space="preserve">Cheng Wei, </w:t>
      </w:r>
      <w:proofErr w:type="spellStart"/>
      <w:r>
        <w:rPr>
          <w:rFonts w:ascii="Book Antiqua" w:eastAsia="Times New Roman" w:hAnsi="Book Antiqua"/>
          <w:b/>
          <w:color w:val="000000" w:themeColor="text1"/>
          <w:sz w:val="24"/>
          <w:szCs w:val="24"/>
        </w:rPr>
        <w:t>Feng</w:t>
      </w:r>
      <w:proofErr w:type="spellEnd"/>
      <w:r>
        <w:rPr>
          <w:rFonts w:ascii="Book Antiqua" w:eastAsia="Times New Roman" w:hAnsi="Book Antiqua"/>
          <w:b/>
          <w:color w:val="000000" w:themeColor="text1"/>
          <w:sz w:val="24"/>
          <w:szCs w:val="24"/>
        </w:rPr>
        <w:t xml:space="preserve"> </w:t>
      </w:r>
      <w:proofErr w:type="spellStart"/>
      <w:r>
        <w:rPr>
          <w:rFonts w:ascii="Book Antiqua" w:eastAsia="Times New Roman" w:hAnsi="Book Antiqua"/>
          <w:b/>
          <w:color w:val="000000" w:themeColor="text1"/>
          <w:sz w:val="24"/>
          <w:szCs w:val="24"/>
        </w:rPr>
        <w:t>Xiong</w:t>
      </w:r>
      <w:proofErr w:type="spellEnd"/>
      <w:r>
        <w:rPr>
          <w:rFonts w:ascii="Book Antiqua" w:eastAsia="Times New Roman" w:hAnsi="Book Antiqua"/>
          <w:b/>
          <w:color w:val="000000" w:themeColor="text1"/>
          <w:sz w:val="24"/>
          <w:szCs w:val="24"/>
        </w:rPr>
        <w:t>, De-</w:t>
      </w:r>
      <w:proofErr w:type="spellStart"/>
      <w:r>
        <w:rPr>
          <w:rFonts w:ascii="Book Antiqua" w:eastAsia="Times New Roman" w:hAnsi="Book Antiqua"/>
          <w:b/>
          <w:color w:val="000000" w:themeColor="text1"/>
          <w:sz w:val="24"/>
          <w:szCs w:val="24"/>
        </w:rPr>
        <w:t>Feng</w:t>
      </w:r>
      <w:proofErr w:type="spellEnd"/>
      <w:r>
        <w:rPr>
          <w:rFonts w:ascii="Book Antiqua" w:eastAsia="Times New Roman" w:hAnsi="Book Antiqua"/>
          <w:b/>
          <w:color w:val="000000" w:themeColor="text1"/>
          <w:sz w:val="24"/>
          <w:szCs w:val="24"/>
        </w:rPr>
        <w:t xml:space="preserve"> Li, Ting-Ting Liu, Ming-Han </w:t>
      </w:r>
      <w:proofErr w:type="spellStart"/>
      <w:r>
        <w:rPr>
          <w:rFonts w:ascii="Book Antiqua" w:eastAsia="Times New Roman" w:hAnsi="Book Antiqua"/>
          <w:b/>
          <w:color w:val="000000" w:themeColor="text1"/>
          <w:sz w:val="24"/>
          <w:szCs w:val="24"/>
        </w:rPr>
        <w:t>Luo</w:t>
      </w:r>
      <w:proofErr w:type="spellEnd"/>
      <w:r>
        <w:rPr>
          <w:rFonts w:ascii="Book Antiqua" w:eastAsia="Times New Roman" w:hAnsi="Book Antiqua"/>
          <w:b/>
          <w:color w:val="000000" w:themeColor="text1"/>
          <w:sz w:val="24"/>
          <w:szCs w:val="24"/>
        </w:rPr>
        <w:t>, Li-</w:t>
      </w:r>
      <w:proofErr w:type="spellStart"/>
      <w:r>
        <w:rPr>
          <w:rFonts w:ascii="Book Antiqua" w:eastAsia="Times New Roman" w:hAnsi="Book Antiqua"/>
          <w:b/>
          <w:color w:val="000000" w:themeColor="text1"/>
          <w:sz w:val="24"/>
          <w:szCs w:val="24"/>
        </w:rPr>
        <w:t>Liangzi</w:t>
      </w:r>
      <w:proofErr w:type="spellEnd"/>
      <w:r>
        <w:rPr>
          <w:rFonts w:ascii="Book Antiqua" w:eastAsia="Times New Roman" w:hAnsi="Book Antiqua"/>
          <w:b/>
          <w:color w:val="000000" w:themeColor="text1"/>
          <w:sz w:val="24"/>
          <w:szCs w:val="24"/>
        </w:rPr>
        <w:t xml:space="preserve"> </w:t>
      </w:r>
      <w:proofErr w:type="spellStart"/>
      <w:r>
        <w:rPr>
          <w:rFonts w:ascii="Book Antiqua" w:eastAsia="Times New Roman" w:hAnsi="Book Antiqua"/>
          <w:b/>
          <w:color w:val="000000" w:themeColor="text1"/>
          <w:sz w:val="24"/>
          <w:szCs w:val="24"/>
        </w:rPr>
        <w:t>Guo</w:t>
      </w:r>
      <w:proofErr w:type="spellEnd"/>
      <w:r>
        <w:rPr>
          <w:rFonts w:ascii="Book Antiqua" w:eastAsia="Times New Roman" w:hAnsi="Book Antiqua"/>
          <w:b/>
          <w:color w:val="000000" w:themeColor="text1"/>
          <w:sz w:val="24"/>
          <w:szCs w:val="24"/>
        </w:rPr>
        <w:t>, Ying-</w:t>
      </w:r>
      <w:proofErr w:type="spellStart"/>
      <w:r>
        <w:rPr>
          <w:rFonts w:ascii="Book Antiqua" w:eastAsia="Times New Roman" w:hAnsi="Book Antiqua"/>
          <w:b/>
          <w:color w:val="000000" w:themeColor="text1"/>
          <w:sz w:val="24"/>
          <w:szCs w:val="24"/>
        </w:rPr>
        <w:t>Xue</w:t>
      </w:r>
      <w:proofErr w:type="spellEnd"/>
      <w:r>
        <w:rPr>
          <w:rFonts w:ascii="Book Antiqua" w:eastAsia="Times New Roman" w:hAnsi="Book Antiqua"/>
          <w:b/>
          <w:color w:val="000000" w:themeColor="text1"/>
          <w:sz w:val="24"/>
          <w:szCs w:val="24"/>
        </w:rPr>
        <w:t xml:space="preserve"> Li, Li-Sheng Wang, Jun Yao</w:t>
      </w:r>
      <w:r>
        <w:rPr>
          <w:rFonts w:ascii="Book Antiqua" w:eastAsiaTheme="minorEastAsia" w:hAnsi="Book Antiqua"/>
          <w:b/>
          <w:color w:val="000000" w:themeColor="text1"/>
          <w:sz w:val="24"/>
          <w:szCs w:val="24"/>
        </w:rPr>
        <w:t xml:space="preserve">, </w:t>
      </w:r>
      <w:r>
        <w:rPr>
          <w:rFonts w:ascii="Book Antiqua" w:eastAsia="Times New Roman" w:hAnsi="Book Antiqua"/>
          <w:color w:val="000000" w:themeColor="text1"/>
          <w:sz w:val="24"/>
          <w:szCs w:val="24"/>
        </w:rPr>
        <w:t>Department of Gastroenterology, Jinan University of Second Clinical Medical Sciences, Shenzhen Municipal People’s Hospital, Shenzhen 518020, Guangdong Province, China</w:t>
      </w:r>
    </w:p>
    <w:p w:rsidR="00EF7033" w:rsidRPr="0035424A" w:rsidRDefault="00EF7033">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Pr>
          <w:rFonts w:ascii="Book Antiqua" w:eastAsia="Times New Roman" w:hAnsi="Book Antiqua"/>
          <w:b/>
          <w:color w:val="000000" w:themeColor="text1"/>
          <w:sz w:val="24"/>
          <w:szCs w:val="24"/>
        </w:rPr>
        <w:t>Yong-Xin Cen</w:t>
      </w:r>
      <w:r>
        <w:rPr>
          <w:rFonts w:ascii="Book Antiqua" w:eastAsiaTheme="minorEastAsia" w:hAnsi="Book Antiqua"/>
          <w:b/>
          <w:color w:val="000000" w:themeColor="text1"/>
          <w:sz w:val="24"/>
          <w:szCs w:val="24"/>
        </w:rPr>
        <w:t>,</w:t>
      </w:r>
      <w:r>
        <w:rPr>
          <w:rFonts w:ascii="Book Antiqua" w:eastAsia="Times New Roman" w:hAnsi="Book Antiqua"/>
          <w:color w:val="000000" w:themeColor="text1"/>
          <w:sz w:val="24"/>
          <w:szCs w:val="24"/>
        </w:rPr>
        <w:t xml:space="preserve"> Department of Gastroenterology, </w:t>
      </w:r>
      <w:proofErr w:type="spellStart"/>
      <w:r>
        <w:rPr>
          <w:rFonts w:ascii="Book Antiqua" w:eastAsia="Times New Roman" w:hAnsi="Book Antiqua"/>
          <w:color w:val="000000" w:themeColor="text1"/>
          <w:sz w:val="24"/>
          <w:szCs w:val="24"/>
        </w:rPr>
        <w:t>Foshan</w:t>
      </w:r>
      <w:proofErr w:type="spellEnd"/>
      <w:r>
        <w:rPr>
          <w:rFonts w:ascii="Book Antiqua" w:eastAsia="Times New Roman" w:hAnsi="Book Antiqua"/>
          <w:color w:val="000000" w:themeColor="text1"/>
          <w:sz w:val="24"/>
          <w:szCs w:val="24"/>
        </w:rPr>
        <w:t xml:space="preserve"> </w:t>
      </w:r>
      <w:proofErr w:type="spellStart"/>
      <w:r>
        <w:rPr>
          <w:rFonts w:ascii="Book Antiqua" w:eastAsia="Times New Roman" w:hAnsi="Book Antiqua"/>
          <w:color w:val="000000" w:themeColor="text1"/>
          <w:sz w:val="24"/>
          <w:szCs w:val="24"/>
        </w:rPr>
        <w:t>Gaoming</w:t>
      </w:r>
      <w:proofErr w:type="spellEnd"/>
      <w:r>
        <w:rPr>
          <w:rFonts w:ascii="Book Antiqua" w:eastAsia="Times New Roman" w:hAnsi="Book Antiqua"/>
          <w:color w:val="000000" w:themeColor="text1"/>
          <w:sz w:val="24"/>
          <w:szCs w:val="24"/>
        </w:rPr>
        <w:t xml:space="preserve"> Affiliated Hospital of Guangdong Medical University, Foshan 528500, Guangdong Province, China</w:t>
      </w:r>
    </w:p>
    <w:p w:rsidR="00EF7033" w:rsidRDefault="00EF7033">
      <w:pPr>
        <w:widowControl w:val="0"/>
        <w:kinsoku w:val="0"/>
        <w:overflowPunct w:val="0"/>
        <w:autoSpaceDE w:val="0"/>
        <w:autoSpaceDN w:val="0"/>
        <w:spacing w:line="360" w:lineRule="auto"/>
        <w:rPr>
          <w:rFonts w:ascii="Book Antiqua" w:eastAsia="Times New Roman"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b/>
          <w:color w:val="000000" w:themeColor="text1"/>
          <w:sz w:val="24"/>
          <w:szCs w:val="24"/>
        </w:rPr>
        <w:t>Jian-Yao Wang</w:t>
      </w:r>
      <w:r>
        <w:rPr>
          <w:rFonts w:ascii="Book Antiqua" w:eastAsiaTheme="minorEastAsia" w:hAnsi="Book Antiqua"/>
          <w:b/>
          <w:color w:val="000000" w:themeColor="text1"/>
          <w:sz w:val="24"/>
          <w:szCs w:val="24"/>
        </w:rPr>
        <w:t>,</w:t>
      </w:r>
      <w:r>
        <w:rPr>
          <w:rFonts w:ascii="Book Antiqua" w:eastAsia="Times New Roman" w:hAnsi="Book Antiqua"/>
          <w:color w:val="000000" w:themeColor="text1"/>
          <w:sz w:val="24"/>
          <w:szCs w:val="24"/>
        </w:rPr>
        <w:t xml:space="preserve"> Department of General Surgery, Shenzhen Children’s Hospital, Shenzhen 518026, Guangdong Province, China</w:t>
      </w:r>
    </w:p>
    <w:p w:rsidR="00EF7033" w:rsidRDefault="00EF7033">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Pr>
          <w:rFonts w:ascii="Book Antiqua" w:eastAsia="宋体" w:hAnsi="Book Antiqua"/>
          <w:b/>
          <w:bCs/>
          <w:color w:val="000000" w:themeColor="text1"/>
          <w:sz w:val="24"/>
          <w:szCs w:val="24"/>
          <w:shd w:val="clear" w:color="auto" w:fill="FFFFFF"/>
          <w:lang w:val="hu-HU" w:eastAsia="en-US"/>
        </w:rPr>
        <w:t>ORCID number</w:t>
      </w:r>
      <w:r>
        <w:rPr>
          <w:rFonts w:ascii="Book Antiqua" w:eastAsia="宋体" w:hAnsi="Book Antiqua"/>
          <w:b/>
          <w:color w:val="000000" w:themeColor="text1"/>
          <w:sz w:val="24"/>
          <w:szCs w:val="24"/>
          <w:lang w:val="en-GB" w:eastAsia="en-US"/>
        </w:rPr>
        <w:t xml:space="preserve">: </w:t>
      </w:r>
      <w:proofErr w:type="spellStart"/>
      <w:r>
        <w:rPr>
          <w:rFonts w:ascii="Book Antiqua" w:eastAsiaTheme="minorEastAsia" w:hAnsi="Book Antiqua"/>
          <w:color w:val="000000" w:themeColor="text1"/>
          <w:sz w:val="24"/>
          <w:szCs w:val="24"/>
        </w:rPr>
        <w:t>Zhi</w:t>
      </w:r>
      <w:proofErr w:type="spellEnd"/>
      <w:r>
        <w:rPr>
          <w:rFonts w:ascii="Book Antiqua" w:eastAsiaTheme="minorEastAsia" w:hAnsi="Book Antiqua"/>
          <w:color w:val="000000" w:themeColor="text1"/>
          <w:sz w:val="24"/>
          <w:szCs w:val="24"/>
        </w:rPr>
        <w:t>-Chao Yu (0000-0001-5123-9191); Yong-</w:t>
      </w:r>
      <w:proofErr w:type="spellStart"/>
      <w:r>
        <w:rPr>
          <w:rFonts w:ascii="Book Antiqua" w:eastAsiaTheme="minorEastAsia" w:hAnsi="Book Antiqua"/>
          <w:color w:val="000000" w:themeColor="text1"/>
          <w:sz w:val="24"/>
          <w:szCs w:val="24"/>
        </w:rPr>
        <w:t>Xin</w:t>
      </w:r>
      <w:proofErr w:type="spellEnd"/>
      <w:r>
        <w:rPr>
          <w:rFonts w:ascii="Book Antiqua" w:eastAsiaTheme="minorEastAsia" w:hAnsi="Book Antiqua"/>
          <w:color w:val="000000" w:themeColor="text1"/>
          <w:sz w:val="24"/>
          <w:szCs w:val="24"/>
        </w:rPr>
        <w:t xml:space="preserve"> Cen (0000-0003-0793-7261); Ben-Hua Wu (0000-0002-9392-9470); Cheng Wei </w:t>
      </w:r>
      <w:r>
        <w:rPr>
          <w:rFonts w:ascii="Book Antiqua" w:eastAsiaTheme="minorEastAsia" w:hAnsi="Book Antiqua"/>
          <w:color w:val="000000" w:themeColor="text1"/>
          <w:sz w:val="24"/>
          <w:szCs w:val="24"/>
        </w:rPr>
        <w:lastRenderedPageBreak/>
        <w:t xml:space="preserve">(0000-0002-6373-1826); </w:t>
      </w:r>
      <w:proofErr w:type="spellStart"/>
      <w:r>
        <w:rPr>
          <w:rFonts w:ascii="Book Antiqua" w:eastAsiaTheme="minorEastAsia" w:hAnsi="Book Antiqua"/>
          <w:color w:val="000000" w:themeColor="text1"/>
          <w:sz w:val="24"/>
          <w:szCs w:val="24"/>
        </w:rPr>
        <w:t>Feng</w:t>
      </w:r>
      <w:proofErr w:type="spellEnd"/>
      <w:r>
        <w:rPr>
          <w:rFonts w:ascii="Book Antiqua" w:eastAsiaTheme="minorEastAsia" w:hAnsi="Book Antiqua"/>
          <w:color w:val="000000" w:themeColor="text1"/>
          <w:sz w:val="24"/>
          <w:szCs w:val="24"/>
        </w:rPr>
        <w:t xml:space="preserve"> </w:t>
      </w:r>
      <w:proofErr w:type="spellStart"/>
      <w:r>
        <w:rPr>
          <w:rFonts w:ascii="Book Antiqua" w:eastAsiaTheme="minorEastAsia" w:hAnsi="Book Antiqua"/>
          <w:color w:val="000000" w:themeColor="text1"/>
          <w:sz w:val="24"/>
          <w:szCs w:val="24"/>
        </w:rPr>
        <w:t>Xiong</w:t>
      </w:r>
      <w:proofErr w:type="spellEnd"/>
      <w:r>
        <w:rPr>
          <w:rFonts w:ascii="Book Antiqua" w:eastAsiaTheme="minorEastAsia" w:hAnsi="Book Antiqua"/>
          <w:color w:val="000000" w:themeColor="text1"/>
          <w:sz w:val="24"/>
          <w:szCs w:val="24"/>
        </w:rPr>
        <w:t xml:space="preserve"> (0000-0002-4021-0817); De-</w:t>
      </w:r>
      <w:proofErr w:type="spellStart"/>
      <w:r>
        <w:rPr>
          <w:rFonts w:ascii="Book Antiqua" w:eastAsiaTheme="minorEastAsia" w:hAnsi="Book Antiqua"/>
          <w:color w:val="000000" w:themeColor="text1"/>
          <w:sz w:val="24"/>
          <w:szCs w:val="24"/>
        </w:rPr>
        <w:t>Feng</w:t>
      </w:r>
      <w:proofErr w:type="spellEnd"/>
      <w:r>
        <w:rPr>
          <w:rFonts w:ascii="Book Antiqua" w:eastAsiaTheme="minorEastAsia" w:hAnsi="Book Antiqua"/>
          <w:color w:val="000000" w:themeColor="text1"/>
          <w:sz w:val="24"/>
          <w:szCs w:val="24"/>
        </w:rPr>
        <w:t xml:space="preserve"> Li (0000-0003-3118-6840); Ting-Ting Liu (0000-0002-1533-5220); Ming-Han </w:t>
      </w:r>
      <w:proofErr w:type="spellStart"/>
      <w:r>
        <w:rPr>
          <w:rFonts w:ascii="Book Antiqua" w:eastAsiaTheme="minorEastAsia" w:hAnsi="Book Antiqua"/>
          <w:color w:val="000000" w:themeColor="text1"/>
          <w:sz w:val="24"/>
          <w:szCs w:val="24"/>
        </w:rPr>
        <w:t>Luo</w:t>
      </w:r>
      <w:proofErr w:type="spellEnd"/>
      <w:r>
        <w:rPr>
          <w:rFonts w:ascii="Book Antiqua" w:eastAsiaTheme="minorEastAsia" w:hAnsi="Book Antiqua"/>
          <w:color w:val="000000" w:themeColor="text1"/>
          <w:sz w:val="24"/>
          <w:szCs w:val="24"/>
        </w:rPr>
        <w:t xml:space="preserve"> (0000-0002-5056-3421); Li-</w:t>
      </w:r>
      <w:proofErr w:type="spellStart"/>
      <w:r>
        <w:rPr>
          <w:rFonts w:ascii="Book Antiqua" w:eastAsiaTheme="minorEastAsia" w:hAnsi="Book Antiqua"/>
          <w:color w:val="000000" w:themeColor="text1"/>
          <w:sz w:val="24"/>
          <w:szCs w:val="24"/>
        </w:rPr>
        <w:t>Liangzi</w:t>
      </w:r>
      <w:proofErr w:type="spellEnd"/>
      <w:r>
        <w:rPr>
          <w:rFonts w:ascii="Book Antiqua" w:eastAsiaTheme="minorEastAsia" w:hAnsi="Book Antiqua"/>
          <w:color w:val="000000" w:themeColor="text1"/>
          <w:sz w:val="24"/>
          <w:szCs w:val="24"/>
        </w:rPr>
        <w:t xml:space="preserve"> </w:t>
      </w:r>
      <w:proofErr w:type="spellStart"/>
      <w:r>
        <w:rPr>
          <w:rFonts w:ascii="Book Antiqua" w:eastAsiaTheme="minorEastAsia" w:hAnsi="Book Antiqua"/>
          <w:color w:val="000000" w:themeColor="text1"/>
          <w:sz w:val="24"/>
          <w:szCs w:val="24"/>
        </w:rPr>
        <w:t>Guo</w:t>
      </w:r>
      <w:proofErr w:type="spellEnd"/>
      <w:r>
        <w:rPr>
          <w:rFonts w:ascii="Book Antiqua" w:eastAsiaTheme="minorEastAsia" w:hAnsi="Book Antiqua"/>
          <w:color w:val="000000" w:themeColor="text1"/>
          <w:sz w:val="24"/>
          <w:szCs w:val="24"/>
        </w:rPr>
        <w:t xml:space="preserve"> (0000-0003-1521-6245); Ying-</w:t>
      </w:r>
      <w:proofErr w:type="spellStart"/>
      <w:r>
        <w:rPr>
          <w:rFonts w:ascii="Book Antiqua" w:eastAsiaTheme="minorEastAsia" w:hAnsi="Book Antiqua"/>
          <w:color w:val="000000" w:themeColor="text1"/>
          <w:sz w:val="24"/>
          <w:szCs w:val="24"/>
        </w:rPr>
        <w:t>Xue</w:t>
      </w:r>
      <w:proofErr w:type="spellEnd"/>
      <w:r>
        <w:rPr>
          <w:rFonts w:ascii="Book Antiqua" w:eastAsiaTheme="minorEastAsia" w:hAnsi="Book Antiqua"/>
          <w:color w:val="000000" w:themeColor="text1"/>
          <w:sz w:val="24"/>
          <w:szCs w:val="24"/>
        </w:rPr>
        <w:t xml:space="preserve"> Li (0000-0001-6350-612X); Li-Sheng Wang (0000-0002-7418-6114); Jian-Yao Wang (0000-0003-1568-4479); Jun Yao (0000-0002-3472-1602).</w:t>
      </w:r>
    </w:p>
    <w:p w:rsidR="00EF7033" w:rsidRDefault="00EF7033">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Pr>
          <w:rFonts w:ascii="Book Antiqua" w:eastAsia="宋体" w:hAnsi="Book Antiqua"/>
          <w:b/>
          <w:color w:val="000000" w:themeColor="text1"/>
          <w:sz w:val="24"/>
          <w:szCs w:val="24"/>
          <w:lang w:val="en-GB" w:eastAsia="en-US"/>
        </w:rPr>
        <w:t xml:space="preserve">Author contributions: </w:t>
      </w:r>
      <w:r>
        <w:rPr>
          <w:rFonts w:ascii="Book Antiqua" w:eastAsia="宋体" w:hAnsi="Book Antiqua"/>
          <w:color w:val="000000" w:themeColor="text1"/>
          <w:sz w:val="24"/>
          <w:szCs w:val="24"/>
        </w:rPr>
        <w:t xml:space="preserve">Yu ZC designed and wrote the manuscript; Cen YX and Wu BH reviewed the manuscript for its intellectual content and revised the entire work; Wei C, </w:t>
      </w:r>
      <w:proofErr w:type="spellStart"/>
      <w:r>
        <w:rPr>
          <w:rFonts w:ascii="Book Antiqua" w:eastAsia="宋体" w:hAnsi="Book Antiqua"/>
          <w:color w:val="000000" w:themeColor="text1"/>
          <w:sz w:val="24"/>
          <w:szCs w:val="24"/>
        </w:rPr>
        <w:t>Xiong</w:t>
      </w:r>
      <w:proofErr w:type="spellEnd"/>
      <w:r>
        <w:rPr>
          <w:rFonts w:ascii="Book Antiqua" w:eastAsia="宋体" w:hAnsi="Book Antiqua"/>
          <w:color w:val="000000" w:themeColor="text1"/>
          <w:sz w:val="24"/>
          <w:szCs w:val="24"/>
        </w:rPr>
        <w:t xml:space="preserve"> F, Li DF, Liu TT, </w:t>
      </w:r>
      <w:proofErr w:type="spellStart"/>
      <w:r>
        <w:rPr>
          <w:rFonts w:ascii="Book Antiqua" w:eastAsia="宋体" w:hAnsi="Book Antiqua"/>
          <w:color w:val="000000" w:themeColor="text1"/>
          <w:sz w:val="24"/>
          <w:szCs w:val="24"/>
        </w:rPr>
        <w:t>Luo</w:t>
      </w:r>
      <w:proofErr w:type="spellEnd"/>
      <w:r>
        <w:rPr>
          <w:rFonts w:ascii="Book Antiqua" w:eastAsia="宋体" w:hAnsi="Book Antiqua"/>
          <w:color w:val="000000" w:themeColor="text1"/>
          <w:sz w:val="24"/>
          <w:szCs w:val="24"/>
        </w:rPr>
        <w:t xml:space="preserve"> MH, </w:t>
      </w:r>
      <w:proofErr w:type="spellStart"/>
      <w:r>
        <w:rPr>
          <w:rFonts w:ascii="Book Antiqua" w:eastAsia="宋体" w:hAnsi="Book Antiqua"/>
          <w:color w:val="000000" w:themeColor="text1"/>
          <w:sz w:val="24"/>
          <w:szCs w:val="24"/>
        </w:rPr>
        <w:t>Guo</w:t>
      </w:r>
      <w:proofErr w:type="spellEnd"/>
      <w:r>
        <w:rPr>
          <w:rFonts w:ascii="Book Antiqua" w:eastAsia="宋体" w:hAnsi="Book Antiqua"/>
          <w:color w:val="000000" w:themeColor="text1"/>
          <w:sz w:val="24"/>
          <w:szCs w:val="24"/>
        </w:rPr>
        <w:t xml:space="preserve"> LL, and Li YX performed the histological assessments and evaluations; Wang LS, Wang JY, and Yao J reviewed the manuscript for its intellectual content; all authors have read and approved the final manuscript.</w:t>
      </w:r>
    </w:p>
    <w:p w:rsidR="00EF7033" w:rsidRDefault="00EF7033">
      <w:pPr>
        <w:widowControl w:val="0"/>
        <w:kinsoku w:val="0"/>
        <w:overflowPunct w:val="0"/>
        <w:autoSpaceDE w:val="0"/>
        <w:autoSpaceDN w:val="0"/>
        <w:spacing w:line="360" w:lineRule="auto"/>
        <w:rPr>
          <w:rFonts w:ascii="Book Antiqua" w:eastAsia="Times New Roman"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imes New Roman" w:hAnsi="Book Antiqua"/>
          <w:sz w:val="24"/>
          <w:szCs w:val="24"/>
        </w:rPr>
      </w:pPr>
      <w:r>
        <w:rPr>
          <w:rFonts w:ascii="Book Antiqua" w:eastAsia="Times New Roman" w:hAnsi="Book Antiqua"/>
          <w:b/>
          <w:color w:val="000000" w:themeColor="text1"/>
          <w:sz w:val="24"/>
          <w:szCs w:val="24"/>
        </w:rPr>
        <w:t>Supported by</w:t>
      </w:r>
      <w:r w:rsidR="00810664">
        <w:rPr>
          <w:rFonts w:ascii="Book Antiqua" w:eastAsia="宋体" w:hAnsi="Book Antiqua" w:hint="eastAsia"/>
          <w:b/>
          <w:color w:val="000000" w:themeColor="text1"/>
          <w:sz w:val="24"/>
          <w:szCs w:val="24"/>
        </w:rPr>
        <w:t>:</w:t>
      </w:r>
      <w:r w:rsidR="00810664">
        <w:rPr>
          <w:rFonts w:ascii="Book Antiqua" w:eastAsia="宋体" w:hAnsi="Book Antiqua"/>
          <w:b/>
          <w:color w:val="000000" w:themeColor="text1"/>
          <w:sz w:val="24"/>
          <w:szCs w:val="24"/>
        </w:rPr>
        <w:t xml:space="preserve"> </w:t>
      </w:r>
      <w:r>
        <w:rPr>
          <w:rFonts w:ascii="Book Antiqua" w:eastAsia="Times New Roman" w:hAnsi="Book Antiqua"/>
          <w:sz w:val="24"/>
          <w:szCs w:val="24"/>
        </w:rPr>
        <w:t>the National Natural Science Foundation of China</w:t>
      </w:r>
      <w:r w:rsidR="00810664">
        <w:rPr>
          <w:rFonts w:ascii="Book Antiqua" w:eastAsia="Times New Roman" w:hAnsi="Book Antiqua"/>
          <w:sz w:val="24"/>
          <w:szCs w:val="24"/>
        </w:rPr>
        <w:t xml:space="preserve">, </w:t>
      </w:r>
      <w:r>
        <w:rPr>
          <w:rFonts w:ascii="Book Antiqua" w:eastAsia="Times New Roman" w:hAnsi="Book Antiqua"/>
          <w:sz w:val="24"/>
          <w:szCs w:val="24"/>
        </w:rPr>
        <w:t xml:space="preserve">No. </w:t>
      </w:r>
      <w:r>
        <w:rPr>
          <w:rFonts w:ascii="Book Antiqua" w:eastAsia="Helvetica" w:hAnsi="Book Antiqua"/>
          <w:color w:val="000000"/>
          <w:sz w:val="24"/>
          <w:szCs w:val="24"/>
        </w:rPr>
        <w:t>81800489</w:t>
      </w:r>
      <w:r w:rsidR="00810664">
        <w:rPr>
          <w:rFonts w:ascii="Book Antiqua" w:eastAsia="Times New Roman" w:hAnsi="Book Antiqua"/>
          <w:sz w:val="24"/>
          <w:szCs w:val="24"/>
        </w:rPr>
        <w:t xml:space="preserve">; </w:t>
      </w:r>
      <w:r>
        <w:rPr>
          <w:rFonts w:ascii="Book Antiqua" w:eastAsia="Times New Roman" w:hAnsi="Book Antiqua"/>
          <w:sz w:val="24"/>
          <w:szCs w:val="24"/>
        </w:rPr>
        <w:t>Shenzhen Health</w:t>
      </w:r>
      <w:r>
        <w:rPr>
          <w:rFonts w:ascii="Book Antiqua" w:hAnsi="Book Antiqua" w:hint="eastAsia"/>
          <w:sz w:val="24"/>
          <w:szCs w:val="24"/>
        </w:rPr>
        <w:t xml:space="preserve"> and</w:t>
      </w:r>
      <w:r>
        <w:rPr>
          <w:rFonts w:ascii="Book Antiqua" w:eastAsia="Times New Roman" w:hAnsi="Book Antiqua"/>
          <w:sz w:val="24"/>
          <w:szCs w:val="24"/>
        </w:rPr>
        <w:t xml:space="preserve"> Family Planning System Research Project</w:t>
      </w:r>
      <w:r w:rsidR="00810664">
        <w:rPr>
          <w:rFonts w:ascii="Book Antiqua" w:eastAsiaTheme="minorEastAsia" w:hAnsi="Book Antiqua"/>
          <w:sz w:val="24"/>
          <w:szCs w:val="24"/>
        </w:rPr>
        <w:t xml:space="preserve">, </w:t>
      </w:r>
      <w:r>
        <w:rPr>
          <w:rFonts w:ascii="Book Antiqua" w:eastAsia="Times New Roman" w:hAnsi="Book Antiqua"/>
          <w:sz w:val="24"/>
          <w:szCs w:val="24"/>
        </w:rPr>
        <w:t>No.</w:t>
      </w:r>
      <w:r>
        <w:rPr>
          <w:rFonts w:ascii="Book Antiqua" w:eastAsiaTheme="minorEastAsia" w:hAnsi="Book Antiqua"/>
          <w:sz w:val="24"/>
          <w:szCs w:val="24"/>
        </w:rPr>
        <w:t xml:space="preserve"> </w:t>
      </w:r>
      <w:r>
        <w:rPr>
          <w:rFonts w:ascii="Book Antiqua" w:eastAsia="Times New Roman" w:hAnsi="Book Antiqua"/>
          <w:sz w:val="24"/>
          <w:szCs w:val="24"/>
        </w:rPr>
        <w:t>S</w:t>
      </w:r>
      <w:r>
        <w:rPr>
          <w:rFonts w:ascii="Book Antiqua" w:hAnsi="Book Antiqua" w:hint="eastAsia"/>
          <w:sz w:val="24"/>
          <w:szCs w:val="24"/>
        </w:rPr>
        <w:t>ZXJ</w:t>
      </w:r>
      <w:r>
        <w:rPr>
          <w:rFonts w:ascii="Book Antiqua" w:eastAsia="Times New Roman" w:hAnsi="Book Antiqua"/>
          <w:sz w:val="24"/>
          <w:szCs w:val="24"/>
        </w:rPr>
        <w:t>2017</w:t>
      </w:r>
      <w:r>
        <w:rPr>
          <w:rFonts w:ascii="Book Antiqua" w:hAnsi="Book Antiqua" w:hint="eastAsia"/>
          <w:sz w:val="24"/>
          <w:szCs w:val="24"/>
        </w:rPr>
        <w:t>030</w:t>
      </w:r>
      <w:r w:rsidR="00810664">
        <w:rPr>
          <w:rFonts w:ascii="Book Antiqua" w:eastAsiaTheme="minorEastAsia" w:hAnsi="Book Antiqua"/>
          <w:sz w:val="24"/>
          <w:szCs w:val="24"/>
        </w:rPr>
        <w:t xml:space="preserve">; </w:t>
      </w:r>
      <w:r>
        <w:rPr>
          <w:rFonts w:ascii="Book Antiqua" w:eastAsiaTheme="minorEastAsia" w:hAnsi="Book Antiqua"/>
          <w:sz w:val="24"/>
          <w:szCs w:val="24"/>
        </w:rPr>
        <w:t xml:space="preserve">and </w:t>
      </w:r>
      <w:r>
        <w:rPr>
          <w:rFonts w:ascii="Book Antiqua" w:eastAsia="Times New Roman" w:hAnsi="Book Antiqua"/>
          <w:sz w:val="24"/>
          <w:szCs w:val="24"/>
        </w:rPr>
        <w:t>Technical Research and Development Project of Shenzhen</w:t>
      </w:r>
      <w:r w:rsidR="00810664">
        <w:rPr>
          <w:rFonts w:ascii="Book Antiqua" w:eastAsia="Times New Roman" w:hAnsi="Book Antiqua"/>
          <w:sz w:val="24"/>
          <w:szCs w:val="24"/>
        </w:rPr>
        <w:t>,</w:t>
      </w:r>
      <w:r w:rsidR="00810664">
        <w:rPr>
          <w:rFonts w:ascii="Book Antiqua" w:eastAsiaTheme="minorEastAsia" w:hAnsi="Book Antiqua"/>
          <w:sz w:val="24"/>
          <w:szCs w:val="24"/>
        </w:rPr>
        <w:t xml:space="preserve"> </w:t>
      </w:r>
      <w:r>
        <w:rPr>
          <w:rFonts w:ascii="Book Antiqua" w:eastAsia="Times New Roman" w:hAnsi="Book Antiqua"/>
          <w:sz w:val="24"/>
          <w:szCs w:val="24"/>
        </w:rPr>
        <w:t>No</w:t>
      </w:r>
      <w:r>
        <w:rPr>
          <w:rFonts w:ascii="Book Antiqua" w:eastAsiaTheme="minorEastAsia" w:hAnsi="Book Antiqua"/>
          <w:sz w:val="24"/>
          <w:szCs w:val="24"/>
        </w:rPr>
        <w:t>s</w:t>
      </w:r>
      <w:r>
        <w:rPr>
          <w:rFonts w:ascii="Book Antiqua" w:eastAsia="Times New Roman" w:hAnsi="Book Antiqua"/>
          <w:sz w:val="24"/>
          <w:szCs w:val="24"/>
        </w:rPr>
        <w:t>.</w:t>
      </w:r>
      <w:r>
        <w:rPr>
          <w:rFonts w:ascii="Book Antiqua" w:eastAsiaTheme="minorEastAsia" w:hAnsi="Book Antiqua"/>
          <w:sz w:val="24"/>
          <w:szCs w:val="24"/>
        </w:rPr>
        <w:t xml:space="preserve"> </w:t>
      </w:r>
      <w:r>
        <w:rPr>
          <w:rFonts w:ascii="Book Antiqua" w:eastAsia="Times New Roman" w:hAnsi="Book Antiqua"/>
          <w:sz w:val="24"/>
          <w:szCs w:val="24"/>
        </w:rPr>
        <w:t>JCYJ20170307100538697</w:t>
      </w:r>
      <w:r w:rsidR="00810664">
        <w:rPr>
          <w:rFonts w:ascii="Book Antiqua" w:eastAsiaTheme="minorEastAsia" w:hAnsi="Book Antiqua"/>
          <w:sz w:val="24"/>
          <w:szCs w:val="24"/>
        </w:rPr>
        <w:t xml:space="preserve"> and</w:t>
      </w:r>
      <w:r>
        <w:rPr>
          <w:rFonts w:ascii="Book Antiqua" w:eastAsiaTheme="minorEastAsia" w:hAnsi="Book Antiqua"/>
          <w:sz w:val="24"/>
          <w:szCs w:val="24"/>
        </w:rPr>
        <w:t xml:space="preserve"> </w:t>
      </w:r>
      <w:r>
        <w:rPr>
          <w:rFonts w:ascii="Book Antiqua" w:eastAsia="Times New Roman" w:hAnsi="Book Antiqua"/>
          <w:sz w:val="24"/>
          <w:szCs w:val="24"/>
        </w:rPr>
        <w:t>JCYJ20170307100911479</w:t>
      </w:r>
      <w:r>
        <w:rPr>
          <w:rFonts w:ascii="Book Antiqua" w:eastAsiaTheme="minorEastAsia" w:hAnsi="Book Antiqua"/>
          <w:sz w:val="24"/>
          <w:szCs w:val="24"/>
        </w:rPr>
        <w:t>.</w:t>
      </w:r>
    </w:p>
    <w:p w:rsidR="00EF7033" w:rsidRDefault="00EF7033">
      <w:pPr>
        <w:widowControl w:val="0"/>
        <w:kinsoku w:val="0"/>
        <w:overflowPunct w:val="0"/>
        <w:autoSpaceDE w:val="0"/>
        <w:autoSpaceDN w:val="0"/>
        <w:spacing w:line="360" w:lineRule="auto"/>
        <w:rPr>
          <w:rFonts w:ascii="Book Antiqua" w:eastAsia="Times New Roman" w:hAnsi="Book Antiqua"/>
          <w:color w:val="000000" w:themeColor="text1"/>
          <w:sz w:val="24"/>
          <w:szCs w:val="24"/>
        </w:rPr>
      </w:pPr>
    </w:p>
    <w:p w:rsidR="00EF7033" w:rsidRDefault="0035424A">
      <w:pPr>
        <w:adjustRightInd w:val="0"/>
        <w:snapToGrid w:val="0"/>
        <w:spacing w:line="360" w:lineRule="auto"/>
        <w:rPr>
          <w:rFonts w:ascii="Book Antiqua" w:eastAsia="宋体" w:hAnsi="Book Antiqua"/>
          <w:kern w:val="2"/>
          <w:sz w:val="24"/>
          <w:szCs w:val="24"/>
        </w:rPr>
      </w:pPr>
      <w:bookmarkStart w:id="7" w:name="_Hlk5627282"/>
      <w:bookmarkStart w:id="8" w:name="_Hlk5628441"/>
      <w:r>
        <w:rPr>
          <w:rFonts w:ascii="Book Antiqua" w:eastAsia="宋体" w:hAnsi="Book Antiqua"/>
          <w:b/>
          <w:color w:val="000000" w:themeColor="text1"/>
          <w:sz w:val="24"/>
          <w:szCs w:val="24"/>
          <w:lang w:val="hu-HU" w:eastAsia="en-US"/>
        </w:rPr>
        <w:t>Institutional review board statement:</w:t>
      </w:r>
      <w:r>
        <w:rPr>
          <w:rFonts w:ascii="Book Antiqua" w:eastAsia="宋体" w:hAnsi="Book Antiqua"/>
          <w:color w:val="000000" w:themeColor="text1"/>
          <w:sz w:val="24"/>
          <w:szCs w:val="24"/>
          <w:lang w:val="hu-HU" w:eastAsia="en-US"/>
        </w:rPr>
        <w:t xml:space="preserve"> </w:t>
      </w:r>
      <w:r>
        <w:rPr>
          <w:rFonts w:ascii="Book Antiqua" w:eastAsia="宋体" w:hAnsi="Book Antiqua"/>
          <w:color w:val="000000" w:themeColor="text1"/>
          <w:kern w:val="2"/>
          <w:sz w:val="24"/>
          <w:szCs w:val="24"/>
        </w:rPr>
        <w:t xml:space="preserve">This study was reviewed and approved by </w:t>
      </w:r>
      <w:r>
        <w:rPr>
          <w:rFonts w:ascii="Book Antiqua" w:eastAsia="宋体" w:hAnsi="Book Antiqua" w:hint="eastAsia"/>
          <w:color w:val="000000" w:themeColor="text1"/>
          <w:kern w:val="2"/>
          <w:sz w:val="24"/>
          <w:szCs w:val="24"/>
        </w:rPr>
        <w:t>t</w:t>
      </w:r>
      <w:r>
        <w:rPr>
          <w:rFonts w:ascii="Book Antiqua" w:eastAsia="宋体" w:hAnsi="Book Antiqua"/>
          <w:kern w:val="2"/>
          <w:sz w:val="24"/>
          <w:szCs w:val="24"/>
        </w:rPr>
        <w:t xml:space="preserve">he </w:t>
      </w:r>
      <w:r>
        <w:rPr>
          <w:rFonts w:ascii="Book Antiqua" w:eastAsia="宋体" w:hAnsi="Book Antiqua" w:hint="eastAsia"/>
          <w:kern w:val="2"/>
          <w:sz w:val="24"/>
          <w:szCs w:val="24"/>
        </w:rPr>
        <w:t xml:space="preserve">Institutional </w:t>
      </w:r>
      <w:r>
        <w:rPr>
          <w:rFonts w:ascii="Book Antiqua" w:eastAsia="宋体" w:hAnsi="Book Antiqua"/>
          <w:kern w:val="2"/>
          <w:sz w:val="24"/>
          <w:szCs w:val="24"/>
        </w:rPr>
        <w:t>R</w:t>
      </w:r>
      <w:r>
        <w:rPr>
          <w:rFonts w:ascii="Book Antiqua" w:eastAsia="宋体" w:hAnsi="Book Antiqua" w:hint="eastAsia"/>
          <w:kern w:val="2"/>
          <w:sz w:val="24"/>
          <w:szCs w:val="24"/>
        </w:rPr>
        <w:t xml:space="preserve">eview </w:t>
      </w:r>
      <w:r>
        <w:rPr>
          <w:rFonts w:ascii="Book Antiqua" w:eastAsia="宋体" w:hAnsi="Book Antiqua"/>
          <w:kern w:val="2"/>
          <w:sz w:val="24"/>
          <w:szCs w:val="24"/>
        </w:rPr>
        <w:t>B</w:t>
      </w:r>
      <w:r>
        <w:rPr>
          <w:rFonts w:ascii="Book Antiqua" w:eastAsia="宋体" w:hAnsi="Book Antiqua" w:hint="eastAsia"/>
          <w:kern w:val="2"/>
          <w:sz w:val="24"/>
          <w:szCs w:val="24"/>
        </w:rPr>
        <w:t>oard</w:t>
      </w:r>
      <w:r>
        <w:rPr>
          <w:rFonts w:ascii="Book Antiqua" w:eastAsia="宋体" w:hAnsi="Book Antiqua"/>
          <w:kern w:val="2"/>
          <w:sz w:val="24"/>
          <w:szCs w:val="24"/>
        </w:rPr>
        <w:t xml:space="preserve"> of Shenzhen Municipal People’s Hospital</w:t>
      </w:r>
      <w:r>
        <w:rPr>
          <w:rFonts w:ascii="Book Antiqua" w:eastAsia="宋体" w:hAnsi="Book Antiqua" w:hint="eastAsia"/>
          <w:kern w:val="2"/>
          <w:sz w:val="24"/>
          <w:szCs w:val="24"/>
        </w:rPr>
        <w:t>.</w:t>
      </w:r>
      <w:r>
        <w:rPr>
          <w:rFonts w:ascii="Book Antiqua" w:eastAsia="宋体" w:hAnsi="Book Antiqua"/>
          <w:kern w:val="2"/>
          <w:sz w:val="24"/>
          <w:szCs w:val="24"/>
        </w:rPr>
        <w:t xml:space="preserve"> </w:t>
      </w:r>
    </w:p>
    <w:p w:rsidR="00EF7033" w:rsidRDefault="00EF7033">
      <w:pPr>
        <w:adjustRightInd w:val="0"/>
        <w:snapToGrid w:val="0"/>
        <w:spacing w:line="360" w:lineRule="auto"/>
        <w:rPr>
          <w:rFonts w:ascii="Book Antiqua" w:eastAsia="宋体" w:hAnsi="Book Antiqua"/>
          <w:color w:val="000000" w:themeColor="text1"/>
          <w:kern w:val="2"/>
          <w:sz w:val="24"/>
          <w:szCs w:val="24"/>
        </w:rPr>
      </w:pPr>
      <w:bookmarkStart w:id="9" w:name="_Hlk5628459"/>
      <w:bookmarkEnd w:id="7"/>
      <w:bookmarkEnd w:id="8"/>
    </w:p>
    <w:p w:rsidR="00EF7033" w:rsidRDefault="0035424A">
      <w:pPr>
        <w:adjustRightInd w:val="0"/>
        <w:snapToGrid w:val="0"/>
        <w:spacing w:line="360" w:lineRule="auto"/>
        <w:rPr>
          <w:rFonts w:ascii="Book Antiqua" w:eastAsia="宋体" w:hAnsi="Book Antiqua"/>
          <w:color w:val="000000" w:themeColor="text1"/>
          <w:kern w:val="2"/>
          <w:sz w:val="24"/>
          <w:szCs w:val="24"/>
        </w:rPr>
      </w:pPr>
      <w:bookmarkStart w:id="10" w:name="OLE_LINK20"/>
      <w:bookmarkEnd w:id="9"/>
      <w:r>
        <w:rPr>
          <w:rFonts w:ascii="Book Antiqua" w:eastAsia="宋体" w:hAnsi="Book Antiqua"/>
          <w:b/>
          <w:color w:val="000000" w:themeColor="text1"/>
          <w:sz w:val="24"/>
          <w:szCs w:val="24"/>
          <w:lang w:val="hu-HU" w:eastAsia="en-US"/>
        </w:rPr>
        <w:t>Institutional animal care and use committee statement:</w:t>
      </w:r>
      <w:r>
        <w:rPr>
          <w:rFonts w:ascii="Book Antiqua" w:eastAsia="宋体" w:hAnsi="Book Antiqua"/>
          <w:b/>
          <w:color w:val="000000" w:themeColor="text1"/>
          <w:sz w:val="24"/>
          <w:szCs w:val="24"/>
          <w:lang w:val="hu-HU"/>
        </w:rPr>
        <w:t xml:space="preserve"> </w:t>
      </w:r>
      <w:r>
        <w:rPr>
          <w:rFonts w:ascii="Book Antiqua" w:eastAsia="宋体" w:hAnsi="Book Antiqua"/>
          <w:color w:val="000000" w:themeColor="text1"/>
          <w:kern w:val="2"/>
          <w:sz w:val="24"/>
          <w:szCs w:val="24"/>
        </w:rPr>
        <w:t>This study was reviewed and approved by the Animal Ethical and Welfare Committee of Shenzhen University on January 12, 2016.</w:t>
      </w:r>
    </w:p>
    <w:p w:rsidR="00EF7033" w:rsidRDefault="00EF7033">
      <w:pPr>
        <w:adjustRightInd w:val="0"/>
        <w:snapToGrid w:val="0"/>
        <w:spacing w:line="360" w:lineRule="auto"/>
        <w:rPr>
          <w:rFonts w:ascii="Book Antiqua" w:eastAsia="宋体" w:hAnsi="Book Antiqua"/>
          <w:b/>
          <w:color w:val="000000" w:themeColor="text1"/>
          <w:sz w:val="24"/>
          <w:szCs w:val="24"/>
          <w:lang w:val="hu-HU" w:eastAsia="en-US"/>
        </w:rPr>
      </w:pPr>
    </w:p>
    <w:p w:rsidR="00EF7033" w:rsidRDefault="0035424A">
      <w:pPr>
        <w:adjustRightInd w:val="0"/>
        <w:snapToGrid w:val="0"/>
        <w:spacing w:line="360" w:lineRule="auto"/>
        <w:rPr>
          <w:rFonts w:ascii="Book Antiqua" w:eastAsia="宋体" w:hAnsi="Book Antiqua"/>
          <w:color w:val="000000" w:themeColor="text1"/>
          <w:kern w:val="2"/>
          <w:sz w:val="24"/>
          <w:szCs w:val="24"/>
        </w:rPr>
      </w:pPr>
      <w:r>
        <w:rPr>
          <w:rFonts w:ascii="Book Antiqua" w:eastAsia="宋体" w:hAnsi="Book Antiqua"/>
          <w:b/>
          <w:color w:val="000000" w:themeColor="text1"/>
          <w:sz w:val="24"/>
          <w:szCs w:val="24"/>
          <w:lang w:val="hu-HU" w:eastAsia="en-US"/>
        </w:rPr>
        <w:t>Conflict-of-interest statement:</w:t>
      </w:r>
      <w:bookmarkEnd w:id="10"/>
      <w:r>
        <w:rPr>
          <w:rFonts w:ascii="Book Antiqua" w:eastAsia="宋体" w:hAnsi="Book Antiqua"/>
          <w:b/>
          <w:color w:val="000000" w:themeColor="text1"/>
          <w:sz w:val="24"/>
          <w:szCs w:val="24"/>
          <w:lang w:val="hu-HU" w:eastAsia="en-US"/>
        </w:rPr>
        <w:t xml:space="preserve"> </w:t>
      </w:r>
      <w:r>
        <w:rPr>
          <w:rFonts w:ascii="Book Antiqua" w:eastAsia="宋体" w:hAnsi="Book Antiqua"/>
          <w:color w:val="000000" w:themeColor="text1"/>
          <w:kern w:val="2"/>
          <w:sz w:val="24"/>
          <w:szCs w:val="24"/>
        </w:rPr>
        <w:t>The authors of this manuscript have no conflicts of interest to disclose.</w:t>
      </w:r>
    </w:p>
    <w:p w:rsidR="00EF7033" w:rsidRDefault="00EF7033">
      <w:pPr>
        <w:adjustRightInd w:val="0"/>
        <w:snapToGrid w:val="0"/>
        <w:spacing w:line="360" w:lineRule="auto"/>
        <w:rPr>
          <w:rFonts w:ascii="Book Antiqua" w:eastAsia="宋体" w:hAnsi="Book Antiqua"/>
          <w:color w:val="000000" w:themeColor="text1"/>
          <w:kern w:val="2"/>
          <w:sz w:val="24"/>
          <w:szCs w:val="24"/>
        </w:rPr>
      </w:pPr>
    </w:p>
    <w:p w:rsidR="00EF7033" w:rsidRDefault="0035424A">
      <w:pPr>
        <w:widowControl w:val="0"/>
        <w:spacing w:line="360" w:lineRule="auto"/>
        <w:rPr>
          <w:rFonts w:ascii="Book Antiqua" w:eastAsia="宋体" w:hAnsi="Book Antiqua"/>
          <w:color w:val="000000" w:themeColor="text1"/>
          <w:kern w:val="2"/>
          <w:sz w:val="24"/>
          <w:szCs w:val="24"/>
        </w:rPr>
      </w:pPr>
      <w:r>
        <w:rPr>
          <w:rFonts w:ascii="Book Antiqua" w:eastAsia="宋体" w:hAnsi="Book Antiqua"/>
          <w:b/>
          <w:color w:val="000000" w:themeColor="text1"/>
          <w:sz w:val="24"/>
          <w:szCs w:val="24"/>
          <w:lang w:val="hu-HU" w:eastAsia="en-US"/>
        </w:rPr>
        <w:t xml:space="preserve">ARRIVE guidelines statement: </w:t>
      </w:r>
      <w:r>
        <w:rPr>
          <w:rFonts w:ascii="Book Antiqua" w:eastAsia="宋体" w:hAnsi="Book Antiqua"/>
          <w:color w:val="000000" w:themeColor="text1"/>
          <w:kern w:val="2"/>
          <w:sz w:val="24"/>
          <w:szCs w:val="24"/>
        </w:rPr>
        <w:t xml:space="preserve">The authors have read the ARRIVE </w:t>
      </w:r>
      <w:r>
        <w:rPr>
          <w:rFonts w:ascii="Book Antiqua" w:eastAsia="宋体" w:hAnsi="Book Antiqua"/>
          <w:color w:val="000000" w:themeColor="text1"/>
          <w:kern w:val="2"/>
          <w:sz w:val="24"/>
          <w:szCs w:val="24"/>
        </w:rPr>
        <w:lastRenderedPageBreak/>
        <w:t>guidelines, and the manuscript was prepared and revised according to the ARRIVE guidelines.</w:t>
      </w:r>
    </w:p>
    <w:p w:rsidR="00EF7033" w:rsidRDefault="00EF7033">
      <w:pPr>
        <w:widowControl w:val="0"/>
        <w:spacing w:line="360" w:lineRule="auto"/>
        <w:rPr>
          <w:rFonts w:ascii="Book Antiqua" w:eastAsia="宋体" w:hAnsi="Book Antiqua"/>
          <w:color w:val="000000" w:themeColor="text1"/>
          <w:kern w:val="2"/>
          <w:sz w:val="24"/>
          <w:szCs w:val="24"/>
        </w:rPr>
      </w:pPr>
    </w:p>
    <w:p w:rsidR="00EF7033" w:rsidRDefault="0035424A">
      <w:pPr>
        <w:adjustRightInd w:val="0"/>
        <w:snapToGrid w:val="0"/>
        <w:spacing w:line="360" w:lineRule="auto"/>
        <w:rPr>
          <w:rFonts w:ascii="Book Antiqua" w:eastAsia="宋体" w:hAnsi="Book Antiqua"/>
          <w:color w:val="000000" w:themeColor="text1"/>
          <w:sz w:val="24"/>
          <w:szCs w:val="24"/>
          <w:lang w:val="hu-HU" w:eastAsia="en-US"/>
        </w:rPr>
      </w:pPr>
      <w:r>
        <w:rPr>
          <w:rFonts w:ascii="Book Antiqua" w:eastAsia="宋体" w:hAnsi="Book Antiqua"/>
          <w:b/>
          <w:color w:val="000000" w:themeColor="text1"/>
          <w:sz w:val="24"/>
          <w:szCs w:val="24"/>
          <w:lang w:val="hu-HU" w:eastAsia="en-US"/>
        </w:rPr>
        <w:t>Open-Access:</w:t>
      </w:r>
      <w:r>
        <w:rPr>
          <w:rFonts w:ascii="Book Antiqua" w:eastAsia="宋体" w:hAnsi="Book Antiqua"/>
          <w:color w:val="000000" w:themeColor="text1"/>
          <w:sz w:val="24"/>
          <w:szCs w:val="24"/>
          <w:lang w:val="hu-HU" w:eastAsia="en-US"/>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F7033" w:rsidRDefault="00EF7033">
      <w:pPr>
        <w:widowControl w:val="0"/>
        <w:spacing w:line="360" w:lineRule="auto"/>
        <w:rPr>
          <w:rFonts w:ascii="Book Antiqua" w:eastAsia="宋体" w:hAnsi="Book Antiqua"/>
          <w:color w:val="000000" w:themeColor="text1"/>
          <w:kern w:val="2"/>
          <w:sz w:val="24"/>
          <w:szCs w:val="24"/>
        </w:rPr>
      </w:pPr>
    </w:p>
    <w:p w:rsidR="00EF7033" w:rsidRDefault="0035424A">
      <w:pPr>
        <w:widowControl w:val="0"/>
        <w:spacing w:line="360" w:lineRule="auto"/>
        <w:rPr>
          <w:rFonts w:ascii="Book Antiqua" w:eastAsia="宋体" w:hAnsi="Book Antiqua"/>
          <w:color w:val="000000" w:themeColor="text1"/>
          <w:kern w:val="2"/>
          <w:sz w:val="24"/>
          <w:szCs w:val="24"/>
        </w:rPr>
      </w:pPr>
      <w:r>
        <w:rPr>
          <w:rFonts w:ascii="Book Antiqua" w:eastAsia="宋体" w:hAnsi="Book Antiqua"/>
          <w:b/>
          <w:bCs/>
          <w:color w:val="000000" w:themeColor="text1"/>
          <w:kern w:val="2"/>
          <w:sz w:val="24"/>
          <w:szCs w:val="24"/>
        </w:rPr>
        <w:t>Manuscript source:</w:t>
      </w:r>
      <w:r>
        <w:rPr>
          <w:rFonts w:ascii="Book Antiqua" w:eastAsia="宋体" w:hAnsi="Book Antiqua"/>
          <w:color w:val="000000" w:themeColor="text1"/>
          <w:kern w:val="2"/>
          <w:sz w:val="24"/>
          <w:szCs w:val="24"/>
        </w:rPr>
        <w:t xml:space="preserve"> Unsolicited manuscript</w:t>
      </w:r>
    </w:p>
    <w:p w:rsidR="00EF7033" w:rsidRDefault="00EF7033">
      <w:pPr>
        <w:widowControl w:val="0"/>
        <w:spacing w:line="360" w:lineRule="auto"/>
        <w:rPr>
          <w:rFonts w:ascii="Book Antiqua" w:eastAsia="宋体" w:hAnsi="Book Antiqua"/>
          <w:color w:val="000000" w:themeColor="text1"/>
          <w:kern w:val="2"/>
          <w:sz w:val="24"/>
          <w:szCs w:val="24"/>
        </w:rPr>
      </w:pPr>
    </w:p>
    <w:p w:rsidR="00EF7033" w:rsidRDefault="0035424A">
      <w:pPr>
        <w:widowControl w:val="0"/>
        <w:kinsoku w:val="0"/>
        <w:overflowPunct w:val="0"/>
        <w:autoSpaceDE w:val="0"/>
        <w:autoSpaceDN w:val="0"/>
        <w:spacing w:line="360" w:lineRule="auto"/>
        <w:rPr>
          <w:rFonts w:ascii="Book Antiqua" w:eastAsia="宋体" w:hAnsi="Book Antiqua"/>
          <w:color w:val="000000" w:themeColor="text1"/>
          <w:kern w:val="2"/>
          <w:sz w:val="24"/>
          <w:szCs w:val="24"/>
        </w:rPr>
      </w:pPr>
      <w:r>
        <w:rPr>
          <w:rFonts w:ascii="Book Antiqua" w:eastAsia="宋体" w:hAnsi="Book Antiqua"/>
          <w:b/>
          <w:color w:val="000000" w:themeColor="text1"/>
          <w:sz w:val="24"/>
          <w:szCs w:val="24"/>
          <w:lang w:val="hu-HU" w:eastAsia="en-US"/>
        </w:rPr>
        <w:t>Corresponding author:</w:t>
      </w:r>
      <w:r>
        <w:rPr>
          <w:rFonts w:ascii="Book Antiqua" w:eastAsia="宋体" w:hAnsi="Book Antiqua"/>
          <w:color w:val="000000" w:themeColor="text1"/>
          <w:sz w:val="24"/>
          <w:szCs w:val="24"/>
          <w:lang w:val="hu-HU" w:eastAsia="en-US"/>
        </w:rPr>
        <w:t xml:space="preserve"> </w:t>
      </w:r>
      <w:r>
        <w:rPr>
          <w:rFonts w:ascii="Book Antiqua" w:eastAsia="宋体" w:hAnsi="Book Antiqua"/>
          <w:b/>
          <w:color w:val="000000" w:themeColor="text1"/>
          <w:kern w:val="2"/>
          <w:sz w:val="24"/>
          <w:szCs w:val="24"/>
        </w:rPr>
        <w:t>Jun Yao, MD,</w:t>
      </w:r>
      <w:r>
        <w:rPr>
          <w:rFonts w:ascii="Book Antiqua" w:eastAsia="宋体" w:hAnsi="Book Antiqua"/>
          <w:color w:val="000000" w:themeColor="text1"/>
          <w:kern w:val="2"/>
          <w:sz w:val="24"/>
          <w:szCs w:val="24"/>
        </w:rPr>
        <w:t xml:space="preserve"> </w:t>
      </w:r>
      <w:r>
        <w:rPr>
          <w:rFonts w:ascii="Book Antiqua" w:eastAsia="宋体" w:hAnsi="Book Antiqua"/>
          <w:b/>
          <w:bCs/>
          <w:color w:val="000000" w:themeColor="text1"/>
          <w:kern w:val="2"/>
          <w:sz w:val="24"/>
          <w:szCs w:val="24"/>
        </w:rPr>
        <w:t>PhD, Doctor,</w:t>
      </w:r>
      <w:r>
        <w:rPr>
          <w:rFonts w:ascii="Book Antiqua" w:eastAsia="宋体" w:hAnsi="Book Antiqua"/>
          <w:color w:val="000000" w:themeColor="text1"/>
          <w:kern w:val="2"/>
          <w:sz w:val="24"/>
          <w:szCs w:val="24"/>
        </w:rPr>
        <w:t xml:space="preserve"> </w:t>
      </w:r>
      <w:bookmarkStart w:id="11" w:name="OLE_LINK28"/>
      <w:bookmarkStart w:id="12" w:name="OLE_LINK29"/>
      <w:r>
        <w:rPr>
          <w:rFonts w:ascii="Book Antiqua" w:eastAsia="Times New Roman" w:hAnsi="Book Antiqua"/>
          <w:color w:val="000000" w:themeColor="text1"/>
          <w:sz w:val="24"/>
          <w:szCs w:val="24"/>
        </w:rPr>
        <w:t>Department of Gastroenterology</w:t>
      </w:r>
      <w:bookmarkEnd w:id="11"/>
      <w:bookmarkEnd w:id="12"/>
      <w:r>
        <w:rPr>
          <w:rFonts w:ascii="Book Antiqua" w:eastAsia="Times New Roman" w:hAnsi="Book Antiqua"/>
          <w:color w:val="000000" w:themeColor="text1"/>
          <w:sz w:val="24"/>
          <w:szCs w:val="24"/>
        </w:rPr>
        <w:t xml:space="preserve">, </w:t>
      </w:r>
      <w:bookmarkStart w:id="13" w:name="OLE_LINK30"/>
      <w:r w:rsidR="00F76626">
        <w:rPr>
          <w:rFonts w:ascii="Book Antiqua" w:eastAsia="Times New Roman" w:hAnsi="Book Antiqua"/>
          <w:color w:val="000000" w:themeColor="text1"/>
          <w:sz w:val="24"/>
          <w:szCs w:val="24"/>
        </w:rPr>
        <w:t xml:space="preserve">Jinan University of </w:t>
      </w:r>
      <w:r>
        <w:rPr>
          <w:rFonts w:ascii="Book Antiqua" w:eastAsia="Times New Roman" w:hAnsi="Book Antiqua"/>
          <w:color w:val="000000" w:themeColor="text1"/>
          <w:sz w:val="24"/>
          <w:szCs w:val="24"/>
        </w:rPr>
        <w:t>Second Clinical Medical Sciences, Shenzhen Municipal People’s Hospital</w:t>
      </w:r>
      <w:bookmarkEnd w:id="13"/>
      <w:r>
        <w:rPr>
          <w:rFonts w:ascii="Book Antiqua" w:eastAsia="Times New Roman" w:hAnsi="Book Antiqua"/>
          <w:color w:val="000000" w:themeColor="text1"/>
          <w:sz w:val="24"/>
          <w:szCs w:val="24"/>
        </w:rPr>
        <w:t xml:space="preserve">, </w:t>
      </w:r>
      <w:bookmarkStart w:id="14" w:name="OLE_LINK32"/>
      <w:bookmarkStart w:id="15" w:name="OLE_LINK31"/>
      <w:r>
        <w:rPr>
          <w:rFonts w:ascii="Book Antiqua" w:eastAsia="宋体" w:hAnsi="Book Antiqua"/>
          <w:color w:val="000000" w:themeColor="text1"/>
          <w:kern w:val="2"/>
          <w:sz w:val="24"/>
          <w:szCs w:val="24"/>
        </w:rPr>
        <w:t>1017 East Gate Road</w:t>
      </w:r>
      <w:bookmarkEnd w:id="14"/>
      <w:bookmarkEnd w:id="15"/>
      <w:r>
        <w:rPr>
          <w:rFonts w:ascii="Book Antiqua" w:eastAsia="宋体" w:hAnsi="Book Antiqua"/>
          <w:color w:val="000000" w:themeColor="text1"/>
          <w:kern w:val="2"/>
          <w:sz w:val="24"/>
          <w:szCs w:val="24"/>
        </w:rPr>
        <w:t xml:space="preserve">, </w:t>
      </w:r>
      <w:r>
        <w:rPr>
          <w:rFonts w:ascii="Book Antiqua" w:eastAsia="Times New Roman" w:hAnsi="Book Antiqua"/>
          <w:color w:val="000000" w:themeColor="text1"/>
          <w:sz w:val="24"/>
          <w:szCs w:val="24"/>
        </w:rPr>
        <w:t>Shenzhen 518020, Guangdong Province, China</w:t>
      </w:r>
      <w:r>
        <w:rPr>
          <w:rFonts w:ascii="宋体" w:eastAsia="宋体" w:hAnsi="宋体" w:cs="宋体" w:hint="eastAsia"/>
          <w:color w:val="000000" w:themeColor="text1"/>
          <w:sz w:val="24"/>
          <w:szCs w:val="24"/>
        </w:rPr>
        <w:t>.</w:t>
      </w:r>
      <w:r>
        <w:rPr>
          <w:rFonts w:ascii="Book Antiqua" w:hAnsi="Book Antiqua"/>
          <w:color w:val="000000" w:themeColor="text1"/>
          <w:sz w:val="24"/>
          <w:szCs w:val="24"/>
        </w:rPr>
        <w:t xml:space="preserve"> </w:t>
      </w:r>
      <w:hyperlink r:id="rId9" w:history="1">
        <w:r>
          <w:rPr>
            <w:rFonts w:ascii="Book Antiqua" w:eastAsia="宋体" w:hAnsi="Book Antiqua"/>
            <w:color w:val="000000" w:themeColor="text1"/>
            <w:kern w:val="2"/>
            <w:sz w:val="24"/>
            <w:szCs w:val="24"/>
          </w:rPr>
          <w:t>yj_1108@126.com</w:t>
        </w:r>
      </w:hyperlink>
    </w:p>
    <w:p w:rsidR="00EF7033" w:rsidRDefault="0035424A">
      <w:pPr>
        <w:widowControl w:val="0"/>
        <w:kinsoku w:val="0"/>
        <w:overflowPunct w:val="0"/>
        <w:autoSpaceDE w:val="0"/>
        <w:autoSpaceDN w:val="0"/>
        <w:spacing w:line="360" w:lineRule="auto"/>
        <w:rPr>
          <w:rFonts w:ascii="Book Antiqua" w:eastAsia="宋体" w:hAnsi="Book Antiqua"/>
          <w:color w:val="000000" w:themeColor="text1"/>
          <w:kern w:val="2"/>
          <w:sz w:val="24"/>
          <w:szCs w:val="24"/>
        </w:rPr>
      </w:pPr>
      <w:bookmarkStart w:id="16" w:name="_Hlk10097752"/>
      <w:r>
        <w:rPr>
          <w:rFonts w:ascii="Book Antiqua" w:eastAsia="宋体" w:hAnsi="Book Antiqua"/>
          <w:b/>
          <w:color w:val="000000" w:themeColor="text1"/>
          <w:sz w:val="24"/>
          <w:szCs w:val="24"/>
          <w:lang w:val="hu-HU" w:eastAsia="en-US"/>
        </w:rPr>
        <w:t>Telephone:</w:t>
      </w:r>
      <w:bookmarkEnd w:id="16"/>
      <w:r>
        <w:rPr>
          <w:rFonts w:ascii="Book Antiqua" w:eastAsia="宋体" w:hAnsi="Book Antiqua"/>
          <w:b/>
          <w:color w:val="000000" w:themeColor="text1"/>
          <w:sz w:val="24"/>
          <w:szCs w:val="24"/>
          <w:lang w:val="hu-HU" w:eastAsia="en-US"/>
        </w:rPr>
        <w:t xml:space="preserve"> </w:t>
      </w:r>
      <w:r>
        <w:rPr>
          <w:rFonts w:ascii="Book Antiqua" w:eastAsia="宋体" w:hAnsi="Book Antiqua"/>
          <w:color w:val="000000" w:themeColor="text1"/>
          <w:kern w:val="2"/>
          <w:sz w:val="24"/>
          <w:szCs w:val="24"/>
        </w:rPr>
        <w:t>+86-755-25533497</w:t>
      </w:r>
    </w:p>
    <w:p w:rsidR="00EF7033" w:rsidRDefault="0035424A">
      <w:pPr>
        <w:widowControl w:val="0"/>
        <w:spacing w:line="360" w:lineRule="auto"/>
        <w:rPr>
          <w:rFonts w:ascii="Book Antiqua" w:eastAsia="宋体" w:hAnsi="Book Antiqua"/>
          <w:color w:val="000000" w:themeColor="text1"/>
          <w:kern w:val="2"/>
          <w:sz w:val="24"/>
          <w:szCs w:val="24"/>
        </w:rPr>
      </w:pPr>
      <w:r>
        <w:rPr>
          <w:rFonts w:ascii="Book Antiqua" w:eastAsia="宋体" w:hAnsi="Book Antiqua"/>
          <w:b/>
          <w:bCs/>
          <w:color w:val="000000" w:themeColor="text1"/>
          <w:kern w:val="2"/>
          <w:sz w:val="24"/>
          <w:szCs w:val="24"/>
        </w:rPr>
        <w:t>Fax:</w:t>
      </w:r>
      <w:r>
        <w:rPr>
          <w:rFonts w:ascii="Book Antiqua" w:eastAsia="宋体" w:hAnsi="Book Antiqua"/>
          <w:color w:val="000000" w:themeColor="text1"/>
          <w:kern w:val="2"/>
          <w:sz w:val="24"/>
          <w:szCs w:val="24"/>
        </w:rPr>
        <w:t xml:space="preserve"> +86-755-25533497</w:t>
      </w:r>
    </w:p>
    <w:p w:rsidR="00EF7033" w:rsidRDefault="00EF7033">
      <w:pPr>
        <w:widowControl w:val="0"/>
        <w:kinsoku w:val="0"/>
        <w:overflowPunct w:val="0"/>
        <w:autoSpaceDE w:val="0"/>
        <w:autoSpaceDN w:val="0"/>
        <w:spacing w:line="360" w:lineRule="auto"/>
        <w:rPr>
          <w:rFonts w:ascii="Book Antiqua" w:eastAsia="宋体" w:hAnsi="Book Antiqua"/>
          <w:color w:val="000000" w:themeColor="text1"/>
          <w:kern w:val="2"/>
          <w:sz w:val="24"/>
          <w:szCs w:val="24"/>
        </w:rPr>
      </w:pPr>
    </w:p>
    <w:p w:rsidR="00EF7033" w:rsidRDefault="0035424A">
      <w:pPr>
        <w:widowControl w:val="0"/>
        <w:spacing w:line="360" w:lineRule="auto"/>
        <w:rPr>
          <w:rFonts w:ascii="Book Antiqua" w:eastAsia="宋体" w:hAnsi="Book Antiqua"/>
          <w:b/>
          <w:color w:val="000000" w:themeColor="text1"/>
          <w:kern w:val="2"/>
          <w:sz w:val="24"/>
          <w:szCs w:val="24"/>
        </w:rPr>
      </w:pPr>
      <w:bookmarkStart w:id="17" w:name="OLE_LINK239"/>
      <w:bookmarkStart w:id="18" w:name="OLE_LINK269"/>
      <w:bookmarkStart w:id="19" w:name="OLE_LINK76"/>
      <w:bookmarkStart w:id="20" w:name="OLE_LINK75"/>
      <w:r>
        <w:rPr>
          <w:rFonts w:ascii="Book Antiqua" w:eastAsia="宋体" w:hAnsi="Book Antiqua"/>
          <w:b/>
          <w:color w:val="000000" w:themeColor="text1"/>
          <w:kern w:val="2"/>
          <w:sz w:val="24"/>
          <w:szCs w:val="24"/>
        </w:rPr>
        <w:t xml:space="preserve">Received: </w:t>
      </w:r>
      <w:r>
        <w:rPr>
          <w:rFonts w:ascii="Book Antiqua" w:eastAsia="宋体" w:hAnsi="Book Antiqua"/>
          <w:color w:val="000000" w:themeColor="text1"/>
          <w:kern w:val="2"/>
          <w:sz w:val="24"/>
          <w:szCs w:val="24"/>
        </w:rPr>
        <w:t>February 27, 2019</w:t>
      </w:r>
    </w:p>
    <w:p w:rsidR="00EF7033" w:rsidRDefault="0035424A">
      <w:pPr>
        <w:widowControl w:val="0"/>
        <w:spacing w:line="360" w:lineRule="auto"/>
        <w:rPr>
          <w:rFonts w:ascii="Book Antiqua" w:eastAsia="宋体" w:hAnsi="Book Antiqua"/>
          <w:b/>
          <w:color w:val="000000" w:themeColor="text1"/>
          <w:kern w:val="2"/>
          <w:sz w:val="24"/>
          <w:szCs w:val="24"/>
        </w:rPr>
      </w:pPr>
      <w:r>
        <w:rPr>
          <w:rFonts w:ascii="Book Antiqua" w:eastAsia="宋体" w:hAnsi="Book Antiqua"/>
          <w:b/>
          <w:color w:val="000000" w:themeColor="text1"/>
          <w:kern w:val="2"/>
          <w:sz w:val="24"/>
          <w:szCs w:val="24"/>
        </w:rPr>
        <w:t xml:space="preserve">Peer-review started: </w:t>
      </w:r>
      <w:r>
        <w:rPr>
          <w:rFonts w:ascii="Book Antiqua" w:eastAsia="宋体" w:hAnsi="Book Antiqua"/>
          <w:color w:val="000000" w:themeColor="text1"/>
          <w:kern w:val="2"/>
          <w:sz w:val="24"/>
          <w:szCs w:val="24"/>
        </w:rPr>
        <w:t>February 27, 2019</w:t>
      </w:r>
    </w:p>
    <w:p w:rsidR="00EF7033" w:rsidRDefault="0035424A">
      <w:pPr>
        <w:widowControl w:val="0"/>
        <w:spacing w:line="360" w:lineRule="auto"/>
        <w:rPr>
          <w:rFonts w:ascii="Book Antiqua" w:eastAsia="宋体" w:hAnsi="Book Antiqua"/>
          <w:b/>
          <w:color w:val="000000" w:themeColor="text1"/>
          <w:kern w:val="2"/>
          <w:sz w:val="24"/>
          <w:szCs w:val="24"/>
        </w:rPr>
      </w:pPr>
      <w:r>
        <w:rPr>
          <w:rFonts w:ascii="Book Antiqua" w:eastAsia="宋体" w:hAnsi="Book Antiqua"/>
          <w:b/>
          <w:color w:val="000000" w:themeColor="text1"/>
          <w:kern w:val="2"/>
          <w:sz w:val="24"/>
          <w:szCs w:val="24"/>
        </w:rPr>
        <w:t xml:space="preserve">First decision: </w:t>
      </w:r>
      <w:r>
        <w:rPr>
          <w:rFonts w:ascii="Book Antiqua" w:eastAsia="宋体" w:hAnsi="Book Antiqua"/>
          <w:color w:val="000000" w:themeColor="text1"/>
          <w:kern w:val="2"/>
          <w:sz w:val="24"/>
          <w:szCs w:val="24"/>
        </w:rPr>
        <w:t>April 11, 2019</w:t>
      </w:r>
    </w:p>
    <w:p w:rsidR="00EF7033" w:rsidRDefault="0035424A">
      <w:pPr>
        <w:widowControl w:val="0"/>
        <w:spacing w:line="360" w:lineRule="auto"/>
        <w:rPr>
          <w:rFonts w:ascii="Book Antiqua" w:eastAsia="宋体" w:hAnsi="Book Antiqua"/>
          <w:b/>
          <w:color w:val="000000" w:themeColor="text1"/>
          <w:kern w:val="2"/>
          <w:sz w:val="24"/>
          <w:szCs w:val="24"/>
        </w:rPr>
      </w:pPr>
      <w:r>
        <w:rPr>
          <w:rFonts w:ascii="Book Antiqua" w:eastAsia="宋体" w:hAnsi="Book Antiqua"/>
          <w:b/>
          <w:color w:val="000000" w:themeColor="text1"/>
          <w:kern w:val="2"/>
          <w:sz w:val="24"/>
          <w:szCs w:val="24"/>
        </w:rPr>
        <w:t xml:space="preserve">Revised: </w:t>
      </w:r>
      <w:r>
        <w:rPr>
          <w:rFonts w:ascii="Book Antiqua" w:eastAsia="宋体" w:hAnsi="Book Antiqua"/>
          <w:color w:val="000000" w:themeColor="text1"/>
          <w:kern w:val="2"/>
          <w:sz w:val="24"/>
          <w:szCs w:val="24"/>
        </w:rPr>
        <w:t>June 26, 2019</w:t>
      </w:r>
    </w:p>
    <w:p w:rsidR="00EF7033" w:rsidRDefault="0035424A">
      <w:pPr>
        <w:widowControl w:val="0"/>
        <w:spacing w:line="360" w:lineRule="auto"/>
        <w:rPr>
          <w:rFonts w:ascii="Book Antiqua" w:eastAsia="宋体" w:hAnsi="Book Antiqua"/>
          <w:color w:val="000000" w:themeColor="text1"/>
          <w:kern w:val="2"/>
          <w:sz w:val="24"/>
          <w:szCs w:val="24"/>
        </w:rPr>
      </w:pPr>
      <w:r>
        <w:rPr>
          <w:rFonts w:ascii="Book Antiqua" w:eastAsia="宋体" w:hAnsi="Book Antiqua"/>
          <w:b/>
          <w:color w:val="000000" w:themeColor="text1"/>
          <w:kern w:val="2"/>
          <w:sz w:val="24"/>
          <w:szCs w:val="24"/>
        </w:rPr>
        <w:t>Accepted:</w:t>
      </w:r>
      <w:r>
        <w:t xml:space="preserve"> </w:t>
      </w:r>
      <w:r>
        <w:rPr>
          <w:rFonts w:ascii="Book Antiqua" w:eastAsia="宋体" w:hAnsi="Book Antiqua"/>
          <w:bCs/>
          <w:color w:val="000000" w:themeColor="text1"/>
          <w:kern w:val="2"/>
          <w:sz w:val="24"/>
          <w:szCs w:val="24"/>
        </w:rPr>
        <w:t>July 5, 2019</w:t>
      </w:r>
      <w:r>
        <w:rPr>
          <w:rFonts w:ascii="Book Antiqua" w:eastAsia="宋体" w:hAnsi="Book Antiqua"/>
          <w:b/>
          <w:color w:val="000000" w:themeColor="text1"/>
          <w:kern w:val="2"/>
          <w:sz w:val="24"/>
          <w:szCs w:val="24"/>
        </w:rPr>
        <w:t xml:space="preserve"> </w:t>
      </w:r>
    </w:p>
    <w:p w:rsidR="00EF7033" w:rsidRDefault="0035424A">
      <w:pPr>
        <w:widowControl w:val="0"/>
        <w:spacing w:line="360" w:lineRule="auto"/>
        <w:rPr>
          <w:rFonts w:ascii="Book Antiqua" w:eastAsia="宋体" w:hAnsi="Book Antiqua"/>
          <w:b/>
          <w:color w:val="000000" w:themeColor="text1"/>
          <w:kern w:val="2"/>
          <w:sz w:val="24"/>
          <w:szCs w:val="24"/>
        </w:rPr>
      </w:pPr>
      <w:r>
        <w:rPr>
          <w:rFonts w:ascii="Book Antiqua" w:eastAsia="宋体" w:hAnsi="Book Antiqua"/>
          <w:b/>
          <w:color w:val="000000" w:themeColor="text1"/>
          <w:kern w:val="2"/>
          <w:sz w:val="24"/>
          <w:szCs w:val="24"/>
        </w:rPr>
        <w:t>Article in press:</w:t>
      </w:r>
      <w:r w:rsidR="00CF5662">
        <w:rPr>
          <w:rFonts w:ascii="Book Antiqua" w:eastAsia="宋体" w:hAnsi="Book Antiqua"/>
          <w:b/>
          <w:color w:val="000000" w:themeColor="text1"/>
          <w:kern w:val="2"/>
          <w:sz w:val="24"/>
          <w:szCs w:val="24"/>
        </w:rPr>
        <w:t xml:space="preserve"> </w:t>
      </w:r>
      <w:r w:rsidR="00CF5662" w:rsidRPr="00CF5662">
        <w:rPr>
          <w:rFonts w:ascii="Book Antiqua" w:eastAsia="宋体" w:hAnsi="Book Antiqua"/>
          <w:color w:val="000000" w:themeColor="text1"/>
          <w:kern w:val="2"/>
          <w:sz w:val="24"/>
          <w:szCs w:val="24"/>
        </w:rPr>
        <w:t>July 5, 2019</w:t>
      </w:r>
    </w:p>
    <w:p w:rsidR="00EF7033" w:rsidRDefault="0035424A">
      <w:pPr>
        <w:widowControl w:val="0"/>
        <w:spacing w:line="360" w:lineRule="auto"/>
        <w:rPr>
          <w:rFonts w:ascii="Book Antiqua" w:eastAsia="宋体" w:hAnsi="Book Antiqua"/>
          <w:b/>
          <w:color w:val="000000" w:themeColor="text1"/>
          <w:kern w:val="2"/>
          <w:sz w:val="24"/>
          <w:szCs w:val="24"/>
        </w:rPr>
      </w:pPr>
      <w:r>
        <w:rPr>
          <w:rFonts w:ascii="Book Antiqua" w:eastAsia="宋体" w:hAnsi="Book Antiqua"/>
          <w:b/>
          <w:color w:val="000000" w:themeColor="text1"/>
          <w:kern w:val="2"/>
          <w:sz w:val="24"/>
          <w:szCs w:val="24"/>
        </w:rPr>
        <w:t>Published online:</w:t>
      </w:r>
      <w:r w:rsidR="00CF5662">
        <w:rPr>
          <w:rFonts w:ascii="Book Antiqua" w:eastAsia="宋体" w:hAnsi="Book Antiqua"/>
          <w:b/>
          <w:color w:val="000000" w:themeColor="text1"/>
          <w:kern w:val="2"/>
          <w:sz w:val="24"/>
          <w:szCs w:val="24"/>
        </w:rPr>
        <w:t xml:space="preserve"> </w:t>
      </w:r>
      <w:r w:rsidR="00CF5662" w:rsidRPr="00CF5662">
        <w:rPr>
          <w:rFonts w:ascii="Book Antiqua" w:eastAsia="宋体" w:hAnsi="Book Antiqua"/>
          <w:color w:val="000000" w:themeColor="text1"/>
          <w:kern w:val="2"/>
          <w:sz w:val="24"/>
          <w:szCs w:val="24"/>
        </w:rPr>
        <w:t>August 7, 2019</w:t>
      </w:r>
    </w:p>
    <w:bookmarkEnd w:id="17"/>
    <w:bookmarkEnd w:id="18"/>
    <w:bookmarkEnd w:id="19"/>
    <w:bookmarkEnd w:id="20"/>
    <w:p w:rsidR="00EF7033" w:rsidRDefault="00EF7033">
      <w:pPr>
        <w:widowControl w:val="0"/>
        <w:spacing w:line="360" w:lineRule="auto"/>
        <w:rPr>
          <w:rFonts w:ascii="Book Antiqua" w:eastAsia="宋体" w:hAnsi="Book Antiqua"/>
          <w:color w:val="000000" w:themeColor="text1"/>
          <w:kern w:val="2"/>
          <w:sz w:val="24"/>
          <w:szCs w:val="24"/>
        </w:rPr>
      </w:pPr>
    </w:p>
    <w:p w:rsidR="00EF7033" w:rsidRDefault="0035424A">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Pr>
          <w:rFonts w:ascii="Book Antiqua" w:hAnsi="Book Antiqua"/>
          <w:color w:val="000000" w:themeColor="text1"/>
          <w:sz w:val="24"/>
          <w:szCs w:val="24"/>
        </w:rPr>
        <w:lastRenderedPageBreak/>
        <w:br w:type="page"/>
      </w:r>
    </w:p>
    <w:p w:rsidR="00EF7033" w:rsidRDefault="0035424A">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Pr>
          <w:rFonts w:ascii="Book Antiqua" w:eastAsia="Times New Roman" w:hAnsi="Book Antiqua"/>
          <w:b/>
          <w:color w:val="000000" w:themeColor="text1"/>
          <w:sz w:val="24"/>
          <w:szCs w:val="24"/>
        </w:rPr>
        <w:lastRenderedPageBreak/>
        <w:t>Abstract</w:t>
      </w:r>
    </w:p>
    <w:p w:rsidR="00EF7033" w:rsidRDefault="0035424A">
      <w:pPr>
        <w:spacing w:line="360" w:lineRule="auto"/>
        <w:rPr>
          <w:rFonts w:ascii="Book Antiqua" w:hAnsi="Book Antiqua"/>
          <w:b/>
          <w:i/>
          <w:iCs/>
          <w:color w:val="000000" w:themeColor="text1"/>
          <w:sz w:val="24"/>
          <w:szCs w:val="24"/>
        </w:rPr>
      </w:pPr>
      <w:r>
        <w:rPr>
          <w:rFonts w:ascii="Book Antiqua" w:hAnsi="Book Antiqua"/>
          <w:b/>
          <w:i/>
          <w:iCs/>
          <w:color w:val="000000" w:themeColor="text1"/>
          <w:sz w:val="24"/>
          <w:szCs w:val="24"/>
        </w:rPr>
        <w:t>BACKGROUND</w:t>
      </w:r>
    </w:p>
    <w:p w:rsidR="00EF7033" w:rsidRDefault="0035424A">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Pr>
          <w:rFonts w:ascii="Book Antiqua" w:eastAsia="Times New Roman" w:hAnsi="Book Antiqua"/>
          <w:color w:val="000000" w:themeColor="text1"/>
          <w:sz w:val="24"/>
          <w:szCs w:val="24"/>
        </w:rPr>
        <w:t xml:space="preserve">Irritable bowel syndrome (IBS) is a common chronic non-organic disease of the digestive system.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(BBR) has been used to treat patients with IBS, but the underlying therapeutic mechanism is little understood. </w:t>
      </w:r>
      <w:r>
        <w:rPr>
          <w:rFonts w:ascii="Book Antiqua" w:hAnsi="Book Antiqua"/>
          <w:sz w:val="24"/>
          <w:szCs w:val="24"/>
        </w:rPr>
        <w:t xml:space="preserve">We believe that </w:t>
      </w:r>
      <w:r>
        <w:rPr>
          <w:rFonts w:ascii="Book Antiqua" w:eastAsia="Times New Roman" w:hAnsi="Book Antiqua"/>
          <w:sz w:val="24"/>
          <w:szCs w:val="24"/>
        </w:rPr>
        <w:t>BBR</w:t>
      </w:r>
      <w:r>
        <w:rPr>
          <w:rFonts w:ascii="Book Antiqua" w:hAnsi="Book Antiqua"/>
          <w:sz w:val="24"/>
          <w:szCs w:val="24"/>
        </w:rPr>
        <w:t xml:space="preserve"> </w:t>
      </w:r>
      <w:r w:rsidR="00F76626">
        <w:rPr>
          <w:rFonts w:ascii="Book Antiqua" w:hAnsi="Book Antiqua"/>
          <w:sz w:val="24"/>
          <w:szCs w:val="24"/>
        </w:rPr>
        <w:t>achieves</w:t>
      </w:r>
      <w:r>
        <w:rPr>
          <w:rFonts w:ascii="Book Antiqua" w:hAnsi="Book Antiqua"/>
          <w:sz w:val="24"/>
          <w:szCs w:val="24"/>
        </w:rPr>
        <w:t xml:space="preserve"> its therapeutic effect on </w:t>
      </w:r>
      <w:r>
        <w:rPr>
          <w:rFonts w:ascii="Book Antiqua" w:eastAsia="Times New Roman" w:hAnsi="Book Antiqua"/>
          <w:sz w:val="24"/>
          <w:szCs w:val="24"/>
        </w:rPr>
        <w:t>IBS</w:t>
      </w:r>
      <w:r>
        <w:rPr>
          <w:rFonts w:ascii="Book Antiqua" w:hAnsi="Book Antiqua"/>
          <w:sz w:val="24"/>
          <w:szCs w:val="24"/>
        </w:rPr>
        <w:t xml:space="preserve"> by preventing stress intestinal inflammation and visceral </w:t>
      </w:r>
      <w:r>
        <w:rPr>
          <w:rFonts w:ascii="Book Antiqua" w:eastAsia="Times New Roman" w:hAnsi="Book Antiqua"/>
          <w:color w:val="000000" w:themeColor="text1"/>
          <w:sz w:val="24"/>
          <w:szCs w:val="24"/>
        </w:rPr>
        <w:t>hypersensitivity</w:t>
      </w:r>
      <w:r>
        <w:rPr>
          <w:rFonts w:ascii="Book Antiqua" w:hAnsi="Book Antiqua"/>
          <w:sz w:val="24"/>
          <w:szCs w:val="24"/>
        </w:rPr>
        <w:t xml:space="preserve"> and reducing bowel motility.</w:t>
      </w:r>
    </w:p>
    <w:p w:rsidR="00EF7033" w:rsidRDefault="00EF7033">
      <w:pPr>
        <w:widowControl w:val="0"/>
        <w:kinsoku w:val="0"/>
        <w:overflowPunct w:val="0"/>
        <w:autoSpaceDE w:val="0"/>
        <w:autoSpaceDN w:val="0"/>
        <w:spacing w:line="360" w:lineRule="auto"/>
        <w:rPr>
          <w:rFonts w:ascii="Book Antiqua" w:hAnsi="Book Antiqua"/>
          <w:b/>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heme="minorEastAsia" w:hAnsi="Book Antiqua"/>
          <w:b/>
          <w:i/>
          <w:iCs/>
          <w:color w:val="000000" w:themeColor="text1"/>
          <w:sz w:val="24"/>
          <w:szCs w:val="24"/>
        </w:rPr>
      </w:pPr>
      <w:r>
        <w:rPr>
          <w:rFonts w:ascii="Book Antiqua" w:eastAsia="Times New Roman" w:hAnsi="Book Antiqua"/>
          <w:b/>
          <w:i/>
          <w:iCs/>
          <w:color w:val="000000" w:themeColor="text1"/>
          <w:sz w:val="24"/>
          <w:szCs w:val="24"/>
        </w:rPr>
        <w:t>AIM</w:t>
      </w:r>
    </w:p>
    <w:p w:rsidR="00EF7033" w:rsidRDefault="0035424A">
      <w:pPr>
        <w:widowControl w:val="0"/>
        <w:kinsoku w:val="0"/>
        <w:overflowPunct w:val="0"/>
        <w:autoSpaceDE w:val="0"/>
        <w:autoSpaceDN w:val="0"/>
        <w:spacing w:line="360" w:lineRule="auto"/>
        <w:rPr>
          <w:rFonts w:ascii="Book Antiqua" w:hAnsi="Book Antiqua"/>
          <w:color w:val="000000" w:themeColor="text1"/>
          <w:sz w:val="24"/>
          <w:szCs w:val="24"/>
        </w:rPr>
      </w:pPr>
      <w:r>
        <w:rPr>
          <w:rFonts w:ascii="Book Antiqua" w:eastAsia="Times New Roman" w:hAnsi="Book Antiqua"/>
          <w:color w:val="000000" w:themeColor="text1"/>
          <w:sz w:val="24"/>
          <w:szCs w:val="24"/>
        </w:rPr>
        <w:t xml:space="preserve">To test the hypothesis that BBR </w:t>
      </w:r>
      <w:r w:rsidR="00F76626">
        <w:rPr>
          <w:rFonts w:ascii="Book Antiqua" w:hAnsi="Book Antiqua"/>
          <w:sz w:val="24"/>
          <w:szCs w:val="24"/>
        </w:rPr>
        <w:t xml:space="preserve">achieves </w:t>
      </w:r>
      <w:r>
        <w:rPr>
          <w:rFonts w:ascii="Book Antiqua" w:hAnsi="Book Antiqua"/>
          <w:sz w:val="24"/>
          <w:szCs w:val="24"/>
        </w:rPr>
        <w:t xml:space="preserve">its therapeutic effect on </w:t>
      </w:r>
      <w:r>
        <w:rPr>
          <w:rFonts w:ascii="Book Antiqua" w:eastAsia="Times New Roman" w:hAnsi="Book Antiqua"/>
          <w:color w:val="000000" w:themeColor="text1"/>
          <w:sz w:val="24"/>
          <w:szCs w:val="24"/>
        </w:rPr>
        <w:t xml:space="preserve">IBS by preventing subclinical inflammation of the intestinal mucosa and reducing </w:t>
      </w:r>
      <w:bookmarkStart w:id="21" w:name="_Hlk513404376"/>
      <w:r>
        <w:rPr>
          <w:rFonts w:ascii="Book Antiqua" w:eastAsia="Times New Roman" w:hAnsi="Book Antiqua"/>
          <w:color w:val="000000" w:themeColor="text1"/>
          <w:sz w:val="24"/>
          <w:szCs w:val="24"/>
        </w:rPr>
        <w:t>visceral hypersensitivity</w:t>
      </w:r>
      <w:bookmarkEnd w:id="21"/>
      <w:r>
        <w:rPr>
          <w:rFonts w:ascii="Book Antiqua" w:eastAsia="Times New Roman" w:hAnsi="Book Antiqua"/>
          <w:color w:val="000000" w:themeColor="text1"/>
          <w:sz w:val="24"/>
          <w:szCs w:val="24"/>
        </w:rPr>
        <w:t xml:space="preserve"> and intestinal motility.</w:t>
      </w:r>
    </w:p>
    <w:p w:rsidR="00EF7033" w:rsidRPr="00F76626" w:rsidRDefault="00EF7033">
      <w:pPr>
        <w:widowControl w:val="0"/>
        <w:kinsoku w:val="0"/>
        <w:overflowPunct w:val="0"/>
        <w:autoSpaceDE w:val="0"/>
        <w:autoSpaceDN w:val="0"/>
        <w:spacing w:line="360" w:lineRule="auto"/>
        <w:rPr>
          <w:rFonts w:ascii="Book Antiqua"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宋体" w:hAnsi="Book Antiqua"/>
          <w:b/>
          <w:i/>
          <w:iCs/>
          <w:color w:val="000000" w:themeColor="text1"/>
          <w:sz w:val="24"/>
          <w:szCs w:val="24"/>
        </w:rPr>
      </w:pPr>
      <w:r>
        <w:rPr>
          <w:rFonts w:ascii="Book Antiqua" w:eastAsia="Times New Roman" w:hAnsi="Book Antiqua"/>
          <w:b/>
          <w:i/>
          <w:iCs/>
          <w:color w:val="000000" w:themeColor="text1"/>
          <w:sz w:val="24"/>
          <w:szCs w:val="24"/>
        </w:rPr>
        <w:t>METHODS</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IBS was induced in rats </w:t>
      </w:r>
      <w:r>
        <w:rPr>
          <w:rFonts w:ascii="Book Antiqua" w:eastAsia="Times New Roman" w:hAnsi="Book Antiqua"/>
          <w:i/>
          <w:iCs/>
          <w:color w:val="000000" w:themeColor="text1"/>
          <w:sz w:val="24"/>
          <w:szCs w:val="24"/>
        </w:rPr>
        <w:t>via</w:t>
      </w:r>
      <w:r>
        <w:rPr>
          <w:rFonts w:ascii="Book Antiqua" w:eastAsia="Times New Roman" w:hAnsi="Book Antiqua"/>
          <w:color w:val="000000" w:themeColor="text1"/>
          <w:sz w:val="24"/>
          <w:szCs w:val="24"/>
        </w:rPr>
        <w:t xml:space="preserve"> water avoidance stress (WAS). </w:t>
      </w:r>
      <w:proofErr w:type="spellStart"/>
      <w:proofErr w:type="gramStart"/>
      <w:r>
        <w:rPr>
          <w:rFonts w:ascii="Book Antiqua" w:eastAsia="Times New Roman" w:hAnsi="Book Antiqua"/>
          <w:color w:val="000000" w:themeColor="text1"/>
          <w:sz w:val="24"/>
          <w:szCs w:val="24"/>
        </w:rPr>
        <w:t>qRT</w:t>
      </w:r>
      <w:proofErr w:type="spellEnd"/>
      <w:r>
        <w:rPr>
          <w:rFonts w:ascii="Book Antiqua" w:eastAsia="Times New Roman" w:hAnsi="Book Antiqua"/>
          <w:color w:val="000000" w:themeColor="text1"/>
          <w:sz w:val="24"/>
          <w:szCs w:val="24"/>
        </w:rPr>
        <w:t>-PCR</w:t>
      </w:r>
      <w:proofErr w:type="gramEnd"/>
      <w:r>
        <w:rPr>
          <w:rFonts w:ascii="Book Antiqua" w:eastAsia="Times New Roman" w:hAnsi="Book Antiqua"/>
          <w:color w:val="000000" w:themeColor="text1"/>
          <w:sz w:val="24"/>
          <w:szCs w:val="24"/>
        </w:rPr>
        <w:t xml:space="preserve"> and histological analyses were used to evaluate the levels of cytokines and mucosal inflammation, respectively. </w:t>
      </w:r>
      <w:bookmarkStart w:id="22" w:name="_Hlk511252036"/>
      <w:r>
        <w:rPr>
          <w:rFonts w:ascii="Book Antiqua" w:eastAsia="Times New Roman" w:hAnsi="Book Antiqua"/>
          <w:color w:val="000000" w:themeColor="text1"/>
          <w:sz w:val="24"/>
          <w:szCs w:val="24"/>
        </w:rPr>
        <w:t>Modified ELISA</w:t>
      </w:r>
      <w:bookmarkEnd w:id="22"/>
      <w:r>
        <w:rPr>
          <w:rFonts w:ascii="Book Antiqua" w:eastAsia="Times New Roman" w:hAnsi="Book Antiqua"/>
          <w:color w:val="000000" w:themeColor="text1"/>
          <w:sz w:val="24"/>
          <w:szCs w:val="24"/>
        </w:rPr>
        <w:t xml:space="preserve"> and </w:t>
      </w:r>
      <w:proofErr w:type="spellStart"/>
      <w:r>
        <w:rPr>
          <w:rFonts w:ascii="Book Antiqua" w:eastAsia="Times New Roman" w:hAnsi="Book Antiqua"/>
          <w:color w:val="000000" w:themeColor="text1"/>
          <w:sz w:val="24"/>
          <w:szCs w:val="24"/>
        </w:rPr>
        <w:t>qRT</w:t>
      </w:r>
      <w:proofErr w:type="spellEnd"/>
      <w:r>
        <w:rPr>
          <w:rFonts w:ascii="Book Antiqua" w:eastAsia="Times New Roman" w:hAnsi="Book Antiqua"/>
          <w:color w:val="000000" w:themeColor="text1"/>
          <w:sz w:val="24"/>
          <w:szCs w:val="24"/>
        </w:rPr>
        <w:t>-PCR were used to evaluate the nuclear factor kappa-B (NF-</w:t>
      </w:r>
      <w:proofErr w:type="spellStart"/>
      <w:r>
        <w:rPr>
          <w:rFonts w:ascii="Book Antiqua" w:eastAsia="Times New Roman" w:hAnsi="Book Antiqua"/>
          <w:color w:val="000000" w:themeColor="text1"/>
          <w:sz w:val="24"/>
          <w:szCs w:val="24"/>
        </w:rPr>
        <w:t>κB</w:t>
      </w:r>
      <w:proofErr w:type="spellEnd"/>
      <w:r>
        <w:rPr>
          <w:rFonts w:ascii="Book Antiqua" w:eastAsia="Times New Roman" w:hAnsi="Book Antiqua"/>
          <w:color w:val="000000" w:themeColor="text1"/>
          <w:sz w:val="24"/>
          <w:szCs w:val="24"/>
        </w:rPr>
        <w:t>) signal transduction pathway. Colorectal distention test, gastrointestinal transit</w:t>
      </w:r>
      <w:r>
        <w:t xml:space="preserve"> </w:t>
      </w:r>
      <w:r>
        <w:rPr>
          <w:rFonts w:ascii="Book Antiqua" w:eastAsia="Times New Roman" w:hAnsi="Book Antiqua"/>
          <w:color w:val="000000" w:themeColor="text1"/>
          <w:sz w:val="24"/>
          <w:szCs w:val="24"/>
        </w:rPr>
        <w:t xml:space="preserve">measurement, Western blot, and </w:t>
      </w:r>
      <w:proofErr w:type="spellStart"/>
      <w:r>
        <w:rPr>
          <w:rFonts w:ascii="Book Antiqua" w:eastAsia="Times New Roman" w:hAnsi="Book Antiqua"/>
          <w:color w:val="000000" w:themeColor="text1"/>
          <w:sz w:val="24"/>
          <w:szCs w:val="24"/>
        </w:rPr>
        <w:t>qRT</w:t>
      </w:r>
      <w:proofErr w:type="spellEnd"/>
      <w:r>
        <w:rPr>
          <w:rFonts w:ascii="Book Antiqua" w:eastAsia="Times New Roman" w:hAnsi="Book Antiqua"/>
          <w:color w:val="000000" w:themeColor="text1"/>
          <w:sz w:val="24"/>
          <w:szCs w:val="24"/>
        </w:rPr>
        <w:t xml:space="preserve">-PCR were used to analyze visceral sensitivity, intestinal motility, the expression of C-kit (marker of </w:t>
      </w:r>
      <w:proofErr w:type="spellStart"/>
      <w:r>
        <w:rPr>
          <w:rFonts w:ascii="Book Antiqua" w:eastAsia="Times New Roman" w:hAnsi="Book Antiqua"/>
          <w:color w:val="000000" w:themeColor="text1"/>
          <w:sz w:val="24"/>
          <w:szCs w:val="24"/>
        </w:rPr>
        <w:t>Cajal</w:t>
      </w:r>
      <w:proofErr w:type="spellEnd"/>
      <w:r>
        <w:rPr>
          <w:rFonts w:ascii="Book Antiqua" w:eastAsia="Times New Roman" w:hAnsi="Book Antiqua"/>
          <w:color w:val="000000" w:themeColor="text1"/>
          <w:sz w:val="24"/>
          <w:szCs w:val="24"/>
        </w:rPr>
        <w:t xml:space="preserve"> </w:t>
      </w:r>
      <w:proofErr w:type="spellStart"/>
      <w:r>
        <w:rPr>
          <w:rFonts w:ascii="Book Antiqua" w:eastAsia="Times New Roman" w:hAnsi="Book Antiqua"/>
          <w:color w:val="000000" w:themeColor="text1"/>
          <w:sz w:val="24"/>
          <w:szCs w:val="24"/>
        </w:rPr>
        <w:t>mesenchymal</w:t>
      </w:r>
      <w:proofErr w:type="spellEnd"/>
      <w:r>
        <w:rPr>
          <w:rFonts w:ascii="Book Antiqua" w:eastAsia="Times New Roman" w:hAnsi="Book Antiqua"/>
          <w:color w:val="000000" w:themeColor="text1"/>
          <w:sz w:val="24"/>
          <w:szCs w:val="24"/>
        </w:rPr>
        <w:t xml:space="preserve"> cells), and the expression of brain derived neurotrophic factor (BDNF) and its receptor </w:t>
      </w:r>
      <w:proofErr w:type="spellStart"/>
      <w:r>
        <w:rPr>
          <w:rFonts w:ascii="Book Antiqua" w:eastAsia="Times New Roman" w:hAnsi="Book Antiqua"/>
          <w:color w:val="000000" w:themeColor="text1"/>
          <w:sz w:val="24"/>
          <w:szCs w:val="24"/>
        </w:rPr>
        <w:t>TrkB</w:t>
      </w:r>
      <w:proofErr w:type="spellEnd"/>
      <w:r>
        <w:rPr>
          <w:rFonts w:ascii="Book Antiqua" w:eastAsia="Times New Roman" w:hAnsi="Book Antiqua"/>
          <w:color w:val="000000" w:themeColor="text1"/>
          <w:sz w:val="24"/>
          <w:szCs w:val="24"/>
        </w:rPr>
        <w:t>.</w:t>
      </w:r>
    </w:p>
    <w:p w:rsidR="00EF7033" w:rsidRDefault="00EF7033">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bookmarkStart w:id="23" w:name="_Hlk510277803"/>
      <w:bookmarkStart w:id="24" w:name="OLE_LINK4"/>
    </w:p>
    <w:p w:rsidR="00EF7033" w:rsidRDefault="0035424A">
      <w:pPr>
        <w:widowControl w:val="0"/>
        <w:kinsoku w:val="0"/>
        <w:overflowPunct w:val="0"/>
        <w:autoSpaceDE w:val="0"/>
        <w:autoSpaceDN w:val="0"/>
        <w:spacing w:line="360" w:lineRule="auto"/>
        <w:rPr>
          <w:rFonts w:ascii="Book Antiqua" w:eastAsiaTheme="minorEastAsia" w:hAnsi="Book Antiqua"/>
          <w:b/>
          <w:i/>
          <w:iCs/>
          <w:color w:val="000000" w:themeColor="text1"/>
          <w:sz w:val="24"/>
          <w:szCs w:val="24"/>
        </w:rPr>
      </w:pPr>
      <w:r>
        <w:rPr>
          <w:rFonts w:ascii="Book Antiqua" w:eastAsia="Times New Roman" w:hAnsi="Book Antiqua"/>
          <w:b/>
          <w:i/>
          <w:iCs/>
          <w:color w:val="000000" w:themeColor="text1"/>
          <w:sz w:val="24"/>
          <w:szCs w:val="24"/>
        </w:rPr>
        <w:t>RESULTS</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WAS led to mucosal inflammation, visceral hyperalgesia, and high intestinal motility</w:t>
      </w:r>
      <w:bookmarkStart w:id="25" w:name="_Hlk510283499"/>
      <w:bookmarkEnd w:id="23"/>
      <w:bookmarkEnd w:id="24"/>
      <w:r>
        <w:rPr>
          <w:rFonts w:ascii="Book Antiqua" w:eastAsia="Times New Roman" w:hAnsi="Book Antiqua"/>
          <w:color w:val="000000" w:themeColor="text1"/>
          <w:sz w:val="24"/>
          <w:szCs w:val="24"/>
        </w:rPr>
        <w:t>. Oral administration of BBR inhibited the NF-</w:t>
      </w:r>
      <w:proofErr w:type="spellStart"/>
      <w:r>
        <w:rPr>
          <w:rFonts w:ascii="Book Antiqua" w:eastAsia="Times New Roman" w:hAnsi="Book Antiqua"/>
          <w:color w:val="000000" w:themeColor="text1"/>
          <w:sz w:val="24"/>
          <w:szCs w:val="24"/>
        </w:rPr>
        <w:t>κB</w:t>
      </w:r>
      <w:proofErr w:type="spellEnd"/>
      <w:r>
        <w:rPr>
          <w:rFonts w:ascii="Book Antiqua" w:eastAsia="Times New Roman" w:hAnsi="Book Antiqua"/>
          <w:color w:val="000000" w:themeColor="text1"/>
          <w:sz w:val="24"/>
          <w:szCs w:val="24"/>
        </w:rPr>
        <w:t xml:space="preserve"> signal transduction pathway, reduced the expression of pro-inflammatory cytokines [</w:t>
      </w:r>
      <w:r>
        <w:rPr>
          <w:rFonts w:ascii="Book Antiqua" w:eastAsia="宋体" w:hAnsi="Book Antiqua"/>
          <w:color w:val="000000" w:themeColor="text1"/>
          <w:sz w:val="24"/>
          <w:szCs w:val="24"/>
        </w:rPr>
        <w:t>interleukin</w:t>
      </w:r>
      <w:r>
        <w:rPr>
          <w:rFonts w:ascii="Book Antiqua" w:eastAsia="Times New Roman" w:hAnsi="Book Antiqua"/>
          <w:color w:val="000000" w:themeColor="text1"/>
          <w:sz w:val="24"/>
          <w:szCs w:val="24"/>
        </w:rPr>
        <w:t xml:space="preserve"> (IL)-1β, IL-6, </w:t>
      </w:r>
      <w:r>
        <w:rPr>
          <w:rFonts w:ascii="Book Antiqua" w:hAnsi="Book Antiqua" w:cs="Arial"/>
          <w:color w:val="000000" w:themeColor="text1"/>
          <w:sz w:val="24"/>
          <w:szCs w:val="24"/>
        </w:rPr>
        <w:t>interferon</w:t>
      </w:r>
      <w:r>
        <w:rPr>
          <w:rFonts w:ascii="Book Antiqua" w:eastAsia="Times New Roman" w:hAnsi="Book Antiqua"/>
          <w:color w:val="000000" w:themeColor="text1"/>
          <w:sz w:val="24"/>
          <w:szCs w:val="24"/>
        </w:rPr>
        <w:t xml:space="preserve">-γ, </w:t>
      </w:r>
      <w:bookmarkStart w:id="26" w:name="_Hlk8891737"/>
      <w:r>
        <w:rPr>
          <w:rFonts w:ascii="Book Antiqua" w:eastAsia="Times New Roman" w:hAnsi="Book Antiqua"/>
          <w:color w:val="000000" w:themeColor="text1"/>
          <w:sz w:val="24"/>
          <w:szCs w:val="24"/>
        </w:rPr>
        <w:t>and tumor necrosis factor-α</w:t>
      </w:r>
      <w:bookmarkEnd w:id="26"/>
      <w:r>
        <w:rPr>
          <w:rFonts w:ascii="Book Antiqua" w:eastAsia="Times New Roman" w:hAnsi="Book Antiqua"/>
          <w:color w:val="000000" w:themeColor="text1"/>
          <w:sz w:val="24"/>
          <w:szCs w:val="24"/>
        </w:rPr>
        <w:t>], promoted the expression of anti-inflammatory cytokines (IL-10</w:t>
      </w:r>
      <w:bookmarkStart w:id="27" w:name="_Hlk11931908"/>
      <w:r>
        <w:rPr>
          <w:rFonts w:ascii="Book Antiqua" w:eastAsia="Times New Roman" w:hAnsi="Book Antiqua"/>
          <w:color w:val="000000" w:themeColor="text1"/>
          <w:sz w:val="24"/>
          <w:szCs w:val="24"/>
        </w:rPr>
        <w:t xml:space="preserve"> and transforming growth </w:t>
      </w:r>
      <w:r>
        <w:rPr>
          <w:rFonts w:ascii="Book Antiqua" w:eastAsia="Times New Roman" w:hAnsi="Book Antiqua"/>
          <w:color w:val="000000" w:themeColor="text1"/>
          <w:sz w:val="24"/>
          <w:szCs w:val="24"/>
        </w:rPr>
        <w:lastRenderedPageBreak/>
        <w:t>factor</w:t>
      </w:r>
      <w:bookmarkEnd w:id="27"/>
      <w:r>
        <w:rPr>
          <w:rFonts w:ascii="Book Antiqua" w:eastAsia="Times New Roman" w:hAnsi="Book Antiqua"/>
          <w:color w:val="000000" w:themeColor="text1"/>
          <w:sz w:val="24"/>
          <w:szCs w:val="24"/>
        </w:rPr>
        <w:t xml:space="preserve">-β), and improved the terminal ileum tissue inflammation. BBR inhibited the expression of BDNF, </w:t>
      </w:r>
      <w:proofErr w:type="spellStart"/>
      <w:r>
        <w:rPr>
          <w:rFonts w:ascii="Book Antiqua" w:eastAsia="Times New Roman" w:hAnsi="Book Antiqua"/>
          <w:color w:val="000000" w:themeColor="text1"/>
          <w:sz w:val="24"/>
          <w:szCs w:val="24"/>
        </w:rPr>
        <w:t>TrkB</w:t>
      </w:r>
      <w:proofErr w:type="spellEnd"/>
      <w:r>
        <w:rPr>
          <w:rFonts w:ascii="Book Antiqua" w:eastAsia="Times New Roman" w:hAnsi="Book Antiqua"/>
          <w:color w:val="000000" w:themeColor="text1"/>
          <w:sz w:val="24"/>
          <w:szCs w:val="24"/>
        </w:rPr>
        <w:t>, and C-kit in IBS rats, leading to the reduction of intestinal motility and visceral hypersensitivity. The therapeutic effect of BBR at a high dose (100</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mg/kg) was superior to than that of the low-dose (25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mg/kg) group.</w:t>
      </w:r>
    </w:p>
    <w:p w:rsidR="00EF7033" w:rsidRDefault="00EF7033">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宋体" w:hAnsi="Book Antiqua"/>
          <w:b/>
          <w:i/>
          <w:iCs/>
          <w:color w:val="000000" w:themeColor="text1"/>
          <w:sz w:val="24"/>
          <w:szCs w:val="24"/>
        </w:rPr>
      </w:pPr>
      <w:r>
        <w:rPr>
          <w:rFonts w:ascii="Book Antiqua" w:eastAsia="Times New Roman" w:hAnsi="Book Antiqua"/>
          <w:b/>
          <w:i/>
          <w:iCs/>
          <w:color w:val="000000" w:themeColor="text1"/>
          <w:sz w:val="24"/>
          <w:szCs w:val="24"/>
        </w:rPr>
        <w:t>CONCLUSION</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BBR reduces intestinal mucosal inflammation by inhibiting the intestinal NF-</w:t>
      </w:r>
      <w:proofErr w:type="spellStart"/>
      <w:r>
        <w:rPr>
          <w:rFonts w:ascii="Book Antiqua" w:eastAsia="Times New Roman" w:hAnsi="Book Antiqua"/>
          <w:color w:val="000000" w:themeColor="text1"/>
          <w:sz w:val="24"/>
          <w:szCs w:val="24"/>
        </w:rPr>
        <w:t>κB</w:t>
      </w:r>
      <w:proofErr w:type="spellEnd"/>
      <w:r>
        <w:rPr>
          <w:rFonts w:ascii="Book Antiqua" w:eastAsia="Times New Roman" w:hAnsi="Book Antiqua"/>
          <w:color w:val="000000" w:themeColor="text1"/>
          <w:sz w:val="24"/>
          <w:szCs w:val="24"/>
        </w:rPr>
        <w:t xml:space="preserve"> signal pathway in the IBS rats. BBR reduces the expression of BDNF, its receptor </w:t>
      </w:r>
      <w:proofErr w:type="spellStart"/>
      <w:r>
        <w:rPr>
          <w:rFonts w:ascii="Book Antiqua" w:eastAsia="Times New Roman" w:hAnsi="Book Antiqua"/>
          <w:color w:val="000000" w:themeColor="text1"/>
          <w:sz w:val="24"/>
          <w:szCs w:val="24"/>
        </w:rPr>
        <w:t>TrkB</w:t>
      </w:r>
      <w:proofErr w:type="spellEnd"/>
      <w:r>
        <w:rPr>
          <w:rFonts w:ascii="Book Antiqua" w:eastAsia="Times New Roman" w:hAnsi="Book Antiqua"/>
          <w:color w:val="000000" w:themeColor="text1"/>
          <w:sz w:val="24"/>
          <w:szCs w:val="24"/>
        </w:rPr>
        <w:t xml:space="preserve">, and C-kit. BBR also reduces </w:t>
      </w:r>
      <w:bookmarkStart w:id="28" w:name="_Hlk512784356"/>
      <w:r>
        <w:rPr>
          <w:rFonts w:ascii="Book Antiqua" w:eastAsia="Times New Roman" w:hAnsi="Book Antiqua"/>
          <w:color w:val="000000" w:themeColor="text1"/>
          <w:sz w:val="24"/>
          <w:szCs w:val="24"/>
        </w:rPr>
        <w:t>intestinal motility</w:t>
      </w:r>
      <w:bookmarkEnd w:id="28"/>
      <w:r>
        <w:rPr>
          <w:rFonts w:ascii="Book Antiqua" w:eastAsia="Times New Roman" w:hAnsi="Book Antiqua"/>
          <w:color w:val="000000" w:themeColor="text1"/>
          <w:sz w:val="24"/>
          <w:szCs w:val="24"/>
        </w:rPr>
        <w:t xml:space="preserve"> and visceral sensitivity to achieve its therapeutic effect on IBS.</w:t>
      </w:r>
      <w:bookmarkEnd w:id="25"/>
    </w:p>
    <w:p w:rsidR="00EF7033" w:rsidRDefault="00EF7033">
      <w:pPr>
        <w:widowControl w:val="0"/>
        <w:kinsoku w:val="0"/>
        <w:overflowPunct w:val="0"/>
        <w:autoSpaceDE w:val="0"/>
        <w:autoSpaceDN w:val="0"/>
        <w:spacing w:line="360" w:lineRule="auto"/>
        <w:rPr>
          <w:rFonts w:ascii="Book Antiqua" w:eastAsiaTheme="minorEastAsia" w:hAnsi="Book Antiqua"/>
          <w:b/>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bookmarkStart w:id="29" w:name="_Hlk8052531"/>
      <w:r>
        <w:rPr>
          <w:rFonts w:ascii="Book Antiqua" w:eastAsia="宋体" w:hAnsi="Book Antiqua"/>
          <w:b/>
          <w:color w:val="000000"/>
          <w:sz w:val="24"/>
          <w:szCs w:val="24"/>
          <w:lang w:val="hu-HU" w:eastAsia="en-US"/>
        </w:rPr>
        <w:t>Key</w:t>
      </w:r>
      <w:r>
        <w:rPr>
          <w:rFonts w:ascii="Book Antiqua" w:eastAsia="宋体" w:hAnsi="Book Antiqua"/>
          <w:b/>
          <w:color w:val="000000"/>
          <w:sz w:val="24"/>
          <w:szCs w:val="24"/>
          <w:lang w:val="hu-HU"/>
        </w:rPr>
        <w:t xml:space="preserve"> </w:t>
      </w:r>
      <w:r>
        <w:rPr>
          <w:rFonts w:ascii="Book Antiqua" w:eastAsia="宋体" w:hAnsi="Book Antiqua"/>
          <w:b/>
          <w:color w:val="000000"/>
          <w:sz w:val="24"/>
          <w:szCs w:val="24"/>
          <w:lang w:val="hu-HU" w:eastAsia="en-US"/>
        </w:rPr>
        <w:t xml:space="preserve">words: </w:t>
      </w:r>
      <w:bookmarkStart w:id="30" w:name="OLE_LINK33"/>
      <w:bookmarkEnd w:id="29"/>
      <w:r>
        <w:rPr>
          <w:rFonts w:ascii="Book Antiqua" w:eastAsia="Times New Roman" w:hAnsi="Book Antiqua"/>
          <w:color w:val="000000" w:themeColor="text1"/>
          <w:sz w:val="24"/>
          <w:szCs w:val="24"/>
        </w:rPr>
        <w:t xml:space="preserve">Irritable bowel syndrome; Visceral hypersensitivity;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Rifampicin; Nuclear factor kappa-B; Brain-derived </w:t>
      </w:r>
      <w:proofErr w:type="spellStart"/>
      <w:r>
        <w:rPr>
          <w:rFonts w:ascii="Book Antiqua" w:eastAsia="Times New Roman" w:hAnsi="Book Antiqua"/>
          <w:color w:val="000000" w:themeColor="text1"/>
          <w:sz w:val="24"/>
          <w:szCs w:val="24"/>
        </w:rPr>
        <w:t>neurotrophic</w:t>
      </w:r>
      <w:proofErr w:type="spellEnd"/>
      <w:r>
        <w:rPr>
          <w:rFonts w:ascii="Book Antiqua" w:eastAsia="Times New Roman" w:hAnsi="Book Antiqua"/>
          <w:color w:val="000000" w:themeColor="text1"/>
          <w:sz w:val="24"/>
          <w:szCs w:val="24"/>
        </w:rPr>
        <w:t xml:space="preserve"> factor; </w:t>
      </w:r>
      <w:proofErr w:type="spellStart"/>
      <w:r>
        <w:rPr>
          <w:rFonts w:ascii="Book Antiqua" w:eastAsia="Times New Roman" w:hAnsi="Book Antiqua"/>
          <w:color w:val="000000" w:themeColor="text1"/>
          <w:sz w:val="24"/>
          <w:szCs w:val="24"/>
        </w:rPr>
        <w:t>Cajal</w:t>
      </w:r>
      <w:proofErr w:type="spellEnd"/>
      <w:r>
        <w:rPr>
          <w:rFonts w:ascii="Book Antiqua" w:eastAsia="Times New Roman" w:hAnsi="Book Antiqua"/>
          <w:color w:val="000000" w:themeColor="text1"/>
          <w:sz w:val="24"/>
          <w:szCs w:val="24"/>
        </w:rPr>
        <w:t xml:space="preserve"> </w:t>
      </w:r>
      <w:proofErr w:type="spellStart"/>
      <w:r>
        <w:rPr>
          <w:rFonts w:ascii="Book Antiqua" w:eastAsia="Times New Roman" w:hAnsi="Book Antiqua"/>
          <w:color w:val="000000" w:themeColor="text1"/>
          <w:sz w:val="24"/>
          <w:szCs w:val="24"/>
        </w:rPr>
        <w:t>mesenchymal</w:t>
      </w:r>
      <w:proofErr w:type="spellEnd"/>
      <w:r>
        <w:rPr>
          <w:rFonts w:ascii="Book Antiqua" w:eastAsia="Times New Roman" w:hAnsi="Book Antiqua"/>
          <w:color w:val="000000" w:themeColor="text1"/>
          <w:sz w:val="24"/>
          <w:szCs w:val="24"/>
        </w:rPr>
        <w:t xml:space="preserve"> cells; C-kit</w:t>
      </w:r>
    </w:p>
    <w:bookmarkEnd w:id="30"/>
    <w:p w:rsidR="00EF7033" w:rsidRDefault="00EF7033">
      <w:pPr>
        <w:widowControl w:val="0"/>
        <w:kinsoku w:val="0"/>
        <w:overflowPunct w:val="0"/>
        <w:autoSpaceDE w:val="0"/>
        <w:autoSpaceDN w:val="0"/>
        <w:spacing w:line="360" w:lineRule="auto"/>
        <w:rPr>
          <w:rFonts w:ascii="Book Antiqua" w:hAnsi="Book Antiqua"/>
          <w:color w:val="000000" w:themeColor="text1"/>
          <w:sz w:val="24"/>
          <w:szCs w:val="24"/>
        </w:rPr>
      </w:pPr>
    </w:p>
    <w:p w:rsidR="00EF7033" w:rsidRDefault="0035424A">
      <w:pPr>
        <w:widowControl w:val="0"/>
        <w:adjustRightInd w:val="0"/>
        <w:snapToGrid w:val="0"/>
        <w:spacing w:line="360" w:lineRule="auto"/>
        <w:rPr>
          <w:rFonts w:ascii="Book Antiqua" w:eastAsia="宋体" w:hAnsi="Book Antiqua" w:cs="Tahoma"/>
          <w:color w:val="000000"/>
          <w:kern w:val="2"/>
          <w:sz w:val="24"/>
          <w:szCs w:val="24"/>
        </w:rPr>
      </w:pPr>
      <w:bookmarkStart w:id="31" w:name="OLE_LINK682"/>
      <w:bookmarkStart w:id="32" w:name="OLE_LINK306"/>
      <w:bookmarkStart w:id="33" w:name="OLE_LINK148"/>
      <w:bookmarkStart w:id="34" w:name="OLE_LINK149"/>
      <w:bookmarkStart w:id="35" w:name="OLE_LINK200"/>
      <w:bookmarkStart w:id="36" w:name="OLE_LINK288"/>
      <w:bookmarkStart w:id="37" w:name="OLE_LINK1864"/>
      <w:bookmarkStart w:id="38" w:name="OLE_LINK382"/>
      <w:bookmarkStart w:id="39" w:name="OLE_LINK569"/>
      <w:bookmarkStart w:id="40" w:name="_Hlk8052550"/>
      <w:r>
        <w:rPr>
          <w:rFonts w:ascii="Book Antiqua" w:eastAsia="宋体" w:hAnsi="Book Antiqua" w:cs="Tahoma"/>
          <w:b/>
          <w:color w:val="000000"/>
          <w:kern w:val="2"/>
          <w:sz w:val="24"/>
          <w:szCs w:val="24"/>
          <w:lang w:eastAsia="ja-JP"/>
        </w:rPr>
        <w:t>© The Author(s) 2019.</w:t>
      </w:r>
      <w:r>
        <w:rPr>
          <w:rFonts w:ascii="Book Antiqua" w:eastAsia="宋体" w:hAnsi="Book Antiqua" w:cs="Tahoma"/>
          <w:color w:val="000000"/>
          <w:kern w:val="2"/>
          <w:sz w:val="24"/>
          <w:szCs w:val="24"/>
          <w:lang w:eastAsia="ja-JP"/>
        </w:rPr>
        <w:t xml:space="preserve"> Published by </w:t>
      </w:r>
      <w:proofErr w:type="spellStart"/>
      <w:r>
        <w:rPr>
          <w:rFonts w:ascii="Book Antiqua" w:eastAsia="宋体" w:hAnsi="Book Antiqua" w:cs="Tahoma"/>
          <w:color w:val="000000"/>
          <w:kern w:val="2"/>
          <w:sz w:val="24"/>
          <w:szCs w:val="24"/>
          <w:lang w:eastAsia="ja-JP"/>
        </w:rPr>
        <w:t>Baishideng</w:t>
      </w:r>
      <w:proofErr w:type="spellEnd"/>
      <w:r>
        <w:rPr>
          <w:rFonts w:ascii="Book Antiqua" w:eastAsia="宋体" w:hAnsi="Book Antiqua" w:cs="Tahoma"/>
          <w:color w:val="000000"/>
          <w:kern w:val="2"/>
          <w:sz w:val="24"/>
          <w:szCs w:val="24"/>
          <w:lang w:eastAsia="ja-JP"/>
        </w:rPr>
        <w:t xml:space="preserve"> Publishing Group Inc. All rights reserved.</w:t>
      </w:r>
      <w:bookmarkEnd w:id="31"/>
      <w:bookmarkEnd w:id="32"/>
      <w:bookmarkEnd w:id="33"/>
      <w:bookmarkEnd w:id="34"/>
      <w:bookmarkEnd w:id="35"/>
      <w:bookmarkEnd w:id="36"/>
      <w:bookmarkEnd w:id="37"/>
      <w:bookmarkEnd w:id="38"/>
      <w:bookmarkEnd w:id="39"/>
    </w:p>
    <w:bookmarkEnd w:id="40"/>
    <w:p w:rsidR="00EF7033" w:rsidRDefault="00EF7033">
      <w:pPr>
        <w:widowControl w:val="0"/>
        <w:kinsoku w:val="0"/>
        <w:overflowPunct w:val="0"/>
        <w:autoSpaceDE w:val="0"/>
        <w:autoSpaceDN w:val="0"/>
        <w:spacing w:line="360" w:lineRule="auto"/>
        <w:rPr>
          <w:rFonts w:ascii="Book Antiqua" w:hAnsi="Book Antiqua"/>
          <w:b/>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b/>
          <w:color w:val="000000" w:themeColor="text1"/>
          <w:sz w:val="24"/>
          <w:szCs w:val="24"/>
        </w:rPr>
        <w:t>Core tip:</w:t>
      </w:r>
      <w:r>
        <w:rPr>
          <w:rFonts w:ascii="Book Antiqua" w:eastAsia="Times New Roman" w:hAnsi="Book Antiqua"/>
          <w:color w:val="000000" w:themeColor="text1"/>
          <w:sz w:val="24"/>
          <w:szCs w:val="24"/>
        </w:rPr>
        <w:t xml:space="preserve"> Irritable bowel syndrome (IBS) is a common chronic non-organic disease of the digestive system and the pathophysiology of IBS is still not completely understood.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has been used to treat patients with IBS, but little is known regarding to its therapeutic mechanism. This study aimed to determine the therapeutic effect of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on IBS and its underlying mechanisms. The results demonstrated that the therapeutic efficacy of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was dose-dependent and may be associated with the inhibition of the intestinal nuclear factor kappa-B signal pathway, the expression of brain derived neurotrophic factor and its receptor </w:t>
      </w:r>
      <w:proofErr w:type="spellStart"/>
      <w:r>
        <w:rPr>
          <w:rFonts w:ascii="Book Antiqua" w:eastAsia="Times New Roman" w:hAnsi="Book Antiqua"/>
          <w:color w:val="000000" w:themeColor="text1"/>
          <w:sz w:val="24"/>
          <w:szCs w:val="24"/>
        </w:rPr>
        <w:t>TrkB</w:t>
      </w:r>
      <w:proofErr w:type="spellEnd"/>
      <w:r>
        <w:rPr>
          <w:rFonts w:ascii="Book Antiqua" w:eastAsia="Times New Roman" w:hAnsi="Book Antiqua"/>
          <w:color w:val="000000" w:themeColor="text1"/>
          <w:sz w:val="24"/>
          <w:szCs w:val="24"/>
        </w:rPr>
        <w:t>, and the expression of C-kit to reduce intestinal motility and visceral sensitivity.</w:t>
      </w:r>
    </w:p>
    <w:p w:rsidR="00EF7033" w:rsidRDefault="00EF7033">
      <w:pPr>
        <w:widowControl w:val="0"/>
        <w:kinsoku w:val="0"/>
        <w:overflowPunct w:val="0"/>
        <w:autoSpaceDE w:val="0"/>
        <w:autoSpaceDN w:val="0"/>
        <w:spacing w:line="360" w:lineRule="auto"/>
        <w:rPr>
          <w:rFonts w:ascii="Book Antiqua" w:hAnsi="Book Antiqua"/>
          <w:b/>
          <w:color w:val="000000" w:themeColor="text1"/>
          <w:sz w:val="24"/>
          <w:szCs w:val="24"/>
        </w:rPr>
      </w:pPr>
    </w:p>
    <w:p w:rsidR="00CF5662" w:rsidRDefault="00CF5662">
      <w:pPr>
        <w:widowControl w:val="0"/>
        <w:kinsoku w:val="0"/>
        <w:overflowPunct w:val="0"/>
        <w:autoSpaceDE w:val="0"/>
        <w:autoSpaceDN w:val="0"/>
        <w:spacing w:line="360" w:lineRule="auto"/>
        <w:rPr>
          <w:rFonts w:ascii="Book Antiqua" w:hAnsi="Book Antiqua" w:cs="宋体"/>
          <w:color w:val="000000"/>
          <w:sz w:val="24"/>
          <w:szCs w:val="24"/>
        </w:rPr>
      </w:pPr>
      <w:r w:rsidRPr="00CF5662">
        <w:rPr>
          <w:rFonts w:ascii="Book Antiqua" w:eastAsia="Times New Roman" w:hAnsi="Book Antiqua"/>
          <w:b/>
          <w:color w:val="000000" w:themeColor="text1"/>
          <w:sz w:val="24"/>
          <w:szCs w:val="24"/>
        </w:rPr>
        <w:t>Citation</w:t>
      </w:r>
      <w:r>
        <w:rPr>
          <w:rFonts w:ascii="Book Antiqua" w:eastAsia="Times New Roman" w:hAnsi="Book Antiqua"/>
          <w:color w:val="000000" w:themeColor="text1"/>
          <w:sz w:val="24"/>
          <w:szCs w:val="24"/>
        </w:rPr>
        <w:t xml:space="preserve">: </w:t>
      </w:r>
      <w:r w:rsidR="0035424A">
        <w:rPr>
          <w:rFonts w:ascii="Book Antiqua" w:eastAsia="Arial" w:hAnsi="Book Antiqua"/>
          <w:bCs/>
          <w:color w:val="000000" w:themeColor="text1"/>
          <w:sz w:val="24"/>
          <w:szCs w:val="24"/>
        </w:rPr>
        <w:t xml:space="preserve">YX, </w:t>
      </w:r>
      <w:r w:rsidR="0035424A">
        <w:rPr>
          <w:rFonts w:ascii="Book Antiqua" w:eastAsia="Times New Roman" w:hAnsi="Book Antiqua"/>
          <w:bCs/>
          <w:color w:val="000000" w:themeColor="text1"/>
          <w:sz w:val="24"/>
          <w:szCs w:val="24"/>
        </w:rPr>
        <w:t>Wu</w:t>
      </w:r>
      <w:r w:rsidR="0035424A">
        <w:rPr>
          <w:rFonts w:ascii="Book Antiqua" w:eastAsia="Arial" w:hAnsi="Book Antiqua"/>
          <w:bCs/>
          <w:color w:val="000000" w:themeColor="text1"/>
          <w:sz w:val="24"/>
          <w:szCs w:val="24"/>
        </w:rPr>
        <w:t xml:space="preserve"> BH, </w:t>
      </w:r>
      <w:r w:rsidR="0035424A">
        <w:rPr>
          <w:rFonts w:ascii="Book Antiqua" w:eastAsia="Times New Roman" w:hAnsi="Book Antiqua"/>
          <w:bCs/>
          <w:color w:val="000000" w:themeColor="text1"/>
          <w:sz w:val="24"/>
          <w:szCs w:val="24"/>
        </w:rPr>
        <w:t>Wei</w:t>
      </w:r>
      <w:r w:rsidR="0035424A">
        <w:rPr>
          <w:rFonts w:ascii="Book Antiqua" w:eastAsia="Arial" w:hAnsi="Book Antiqua"/>
          <w:bCs/>
          <w:color w:val="000000" w:themeColor="text1"/>
          <w:sz w:val="24"/>
          <w:szCs w:val="24"/>
        </w:rPr>
        <w:t xml:space="preserve"> C, </w:t>
      </w:r>
      <w:proofErr w:type="spellStart"/>
      <w:r w:rsidR="0035424A">
        <w:rPr>
          <w:rFonts w:ascii="Book Antiqua" w:eastAsia="Times New Roman" w:hAnsi="Book Antiqua"/>
          <w:bCs/>
          <w:color w:val="000000" w:themeColor="text1"/>
          <w:sz w:val="24"/>
          <w:szCs w:val="24"/>
        </w:rPr>
        <w:t>Xiong</w:t>
      </w:r>
      <w:proofErr w:type="spellEnd"/>
      <w:r w:rsidR="0035424A">
        <w:rPr>
          <w:rFonts w:ascii="Book Antiqua" w:eastAsia="Arial" w:hAnsi="Book Antiqua"/>
          <w:bCs/>
          <w:color w:val="000000" w:themeColor="text1"/>
          <w:sz w:val="24"/>
          <w:szCs w:val="24"/>
        </w:rPr>
        <w:t xml:space="preserve"> F, </w:t>
      </w:r>
      <w:r w:rsidR="0035424A">
        <w:rPr>
          <w:rFonts w:ascii="Book Antiqua" w:eastAsia="Times New Roman" w:hAnsi="Book Antiqua"/>
          <w:bCs/>
          <w:color w:val="000000" w:themeColor="text1"/>
          <w:sz w:val="24"/>
          <w:szCs w:val="24"/>
        </w:rPr>
        <w:t>Li</w:t>
      </w:r>
      <w:r w:rsidR="0035424A">
        <w:rPr>
          <w:rFonts w:ascii="Book Antiqua" w:eastAsia="Arial" w:hAnsi="Book Antiqua"/>
          <w:bCs/>
          <w:color w:val="000000" w:themeColor="text1"/>
          <w:sz w:val="24"/>
          <w:szCs w:val="24"/>
        </w:rPr>
        <w:t xml:space="preserve"> DF, </w:t>
      </w:r>
      <w:r w:rsidR="0035424A">
        <w:rPr>
          <w:rFonts w:ascii="Book Antiqua" w:eastAsia="Times New Roman" w:hAnsi="Book Antiqua"/>
          <w:bCs/>
          <w:color w:val="000000" w:themeColor="text1"/>
          <w:sz w:val="24"/>
          <w:szCs w:val="24"/>
        </w:rPr>
        <w:t>Liu</w:t>
      </w:r>
      <w:r w:rsidR="0035424A">
        <w:rPr>
          <w:rFonts w:ascii="Book Antiqua" w:eastAsia="Arial" w:hAnsi="Book Antiqua"/>
          <w:bCs/>
          <w:color w:val="000000" w:themeColor="text1"/>
          <w:sz w:val="24"/>
          <w:szCs w:val="24"/>
        </w:rPr>
        <w:t xml:space="preserve"> TT, </w:t>
      </w:r>
      <w:proofErr w:type="spellStart"/>
      <w:r w:rsidR="0035424A">
        <w:rPr>
          <w:rFonts w:ascii="Book Antiqua" w:eastAsia="Times New Roman" w:hAnsi="Book Antiqua"/>
          <w:bCs/>
          <w:color w:val="000000" w:themeColor="text1"/>
          <w:sz w:val="24"/>
          <w:szCs w:val="24"/>
        </w:rPr>
        <w:t>Luo</w:t>
      </w:r>
      <w:proofErr w:type="spellEnd"/>
      <w:r w:rsidR="0035424A">
        <w:rPr>
          <w:rFonts w:ascii="Book Antiqua" w:eastAsia="Arial" w:hAnsi="Book Antiqua"/>
          <w:bCs/>
          <w:color w:val="000000" w:themeColor="text1"/>
          <w:sz w:val="24"/>
          <w:szCs w:val="24"/>
        </w:rPr>
        <w:t xml:space="preserve"> MH, </w:t>
      </w:r>
      <w:proofErr w:type="spellStart"/>
      <w:r w:rsidR="0035424A">
        <w:rPr>
          <w:rFonts w:ascii="Book Antiqua" w:eastAsia="Times New Roman" w:hAnsi="Book Antiqua"/>
          <w:bCs/>
          <w:color w:val="000000" w:themeColor="text1"/>
          <w:sz w:val="24"/>
          <w:szCs w:val="24"/>
        </w:rPr>
        <w:t>Guo</w:t>
      </w:r>
      <w:proofErr w:type="spellEnd"/>
      <w:r w:rsidR="0035424A">
        <w:rPr>
          <w:rFonts w:ascii="Book Antiqua" w:eastAsia="Arial" w:hAnsi="Book Antiqua"/>
          <w:bCs/>
          <w:color w:val="000000" w:themeColor="text1"/>
          <w:sz w:val="24"/>
          <w:szCs w:val="24"/>
        </w:rPr>
        <w:t xml:space="preserve"> LL, </w:t>
      </w:r>
      <w:r w:rsidR="0035424A">
        <w:rPr>
          <w:rFonts w:ascii="Book Antiqua" w:eastAsia="Times New Roman" w:hAnsi="Book Antiqua"/>
          <w:bCs/>
          <w:color w:val="000000" w:themeColor="text1"/>
          <w:sz w:val="24"/>
          <w:szCs w:val="24"/>
        </w:rPr>
        <w:t>Li</w:t>
      </w:r>
      <w:r w:rsidR="0035424A">
        <w:rPr>
          <w:rFonts w:ascii="Book Antiqua" w:eastAsia="Arial" w:hAnsi="Book Antiqua"/>
          <w:bCs/>
          <w:color w:val="000000" w:themeColor="text1"/>
          <w:sz w:val="24"/>
          <w:szCs w:val="24"/>
        </w:rPr>
        <w:t xml:space="preserve"> YX, </w:t>
      </w:r>
      <w:r w:rsidR="0035424A">
        <w:rPr>
          <w:rFonts w:ascii="Book Antiqua" w:eastAsia="Times New Roman" w:hAnsi="Book Antiqua"/>
          <w:bCs/>
          <w:color w:val="000000" w:themeColor="text1"/>
          <w:sz w:val="24"/>
          <w:szCs w:val="24"/>
        </w:rPr>
        <w:t>Wang</w:t>
      </w:r>
      <w:r w:rsidR="0035424A">
        <w:rPr>
          <w:rFonts w:ascii="Book Antiqua" w:eastAsia="Arial" w:hAnsi="Book Antiqua"/>
          <w:bCs/>
          <w:color w:val="000000" w:themeColor="text1"/>
          <w:sz w:val="24"/>
          <w:szCs w:val="24"/>
        </w:rPr>
        <w:t xml:space="preserve"> LS, </w:t>
      </w:r>
      <w:r w:rsidR="0035424A">
        <w:rPr>
          <w:rFonts w:ascii="Book Antiqua" w:eastAsia="Times New Roman" w:hAnsi="Book Antiqua"/>
          <w:bCs/>
          <w:color w:val="000000" w:themeColor="text1"/>
          <w:sz w:val="24"/>
          <w:szCs w:val="24"/>
        </w:rPr>
        <w:t>Wang</w:t>
      </w:r>
      <w:r w:rsidR="0035424A">
        <w:rPr>
          <w:rFonts w:ascii="Book Antiqua" w:eastAsia="Arial" w:hAnsi="Book Antiqua"/>
          <w:bCs/>
          <w:color w:val="000000" w:themeColor="text1"/>
          <w:sz w:val="24"/>
          <w:szCs w:val="24"/>
        </w:rPr>
        <w:t xml:space="preserve"> JY, </w:t>
      </w:r>
      <w:r w:rsidR="0035424A">
        <w:rPr>
          <w:rFonts w:ascii="Book Antiqua" w:eastAsia="Times New Roman" w:hAnsi="Book Antiqua"/>
          <w:bCs/>
          <w:color w:val="000000" w:themeColor="text1"/>
          <w:sz w:val="24"/>
          <w:szCs w:val="24"/>
        </w:rPr>
        <w:t>Yao</w:t>
      </w:r>
      <w:r w:rsidR="0035424A">
        <w:rPr>
          <w:rFonts w:ascii="Book Antiqua" w:eastAsia="Arial" w:hAnsi="Book Antiqua"/>
          <w:bCs/>
          <w:color w:val="000000" w:themeColor="text1"/>
          <w:sz w:val="24"/>
          <w:szCs w:val="24"/>
        </w:rPr>
        <w:t xml:space="preserve"> J. </w:t>
      </w:r>
      <w:proofErr w:type="spellStart"/>
      <w:r w:rsidR="0035424A">
        <w:rPr>
          <w:rFonts w:ascii="Book Antiqua" w:eastAsia="Arial" w:hAnsi="Book Antiqua"/>
          <w:bCs/>
          <w:color w:val="000000" w:themeColor="text1"/>
          <w:sz w:val="24"/>
          <w:szCs w:val="24"/>
        </w:rPr>
        <w:t>Berberine</w:t>
      </w:r>
      <w:proofErr w:type="spellEnd"/>
      <w:r w:rsidR="0035424A">
        <w:rPr>
          <w:rFonts w:ascii="Book Antiqua" w:eastAsia="Arial" w:hAnsi="Book Antiqua"/>
          <w:bCs/>
          <w:color w:val="000000" w:themeColor="text1"/>
          <w:sz w:val="24"/>
          <w:szCs w:val="24"/>
        </w:rPr>
        <w:t xml:space="preserve"> prevents stress-induced gut inflammation and visceral hypersensitivity and reduces intestinal motility in rats. </w:t>
      </w:r>
      <w:r w:rsidR="0035424A">
        <w:rPr>
          <w:rFonts w:ascii="Book Antiqua" w:hAnsi="Book Antiqua" w:cs="宋体"/>
          <w:i/>
          <w:iCs/>
          <w:color w:val="000000" w:themeColor="text1"/>
          <w:sz w:val="24"/>
          <w:szCs w:val="24"/>
        </w:rPr>
        <w:t xml:space="preserve">World J </w:t>
      </w:r>
      <w:proofErr w:type="spellStart"/>
      <w:r w:rsidR="0035424A">
        <w:rPr>
          <w:rFonts w:ascii="Book Antiqua" w:hAnsi="Book Antiqua" w:cs="宋体"/>
          <w:i/>
          <w:iCs/>
          <w:color w:val="000000" w:themeColor="text1"/>
          <w:sz w:val="24"/>
          <w:szCs w:val="24"/>
        </w:rPr>
        <w:t>Gastroenterol</w:t>
      </w:r>
      <w:proofErr w:type="spellEnd"/>
      <w:r w:rsidR="0035424A">
        <w:rPr>
          <w:rFonts w:ascii="Book Antiqua" w:hAnsi="Book Antiqua" w:cs="宋体"/>
          <w:i/>
          <w:iCs/>
          <w:color w:val="000000" w:themeColor="text1"/>
          <w:sz w:val="24"/>
          <w:szCs w:val="24"/>
        </w:rPr>
        <w:t xml:space="preserve"> </w:t>
      </w:r>
      <w:r w:rsidR="0035424A">
        <w:rPr>
          <w:rFonts w:ascii="Book Antiqua" w:hAnsi="Book Antiqua" w:cs="宋体"/>
          <w:color w:val="000000" w:themeColor="text1"/>
          <w:sz w:val="24"/>
          <w:szCs w:val="24"/>
        </w:rPr>
        <w:t>2019;</w:t>
      </w:r>
      <w:r w:rsidRPr="00CF5662">
        <w:rPr>
          <w:rFonts w:ascii="Book Antiqua" w:hAnsi="Book Antiqua" w:cs="宋体"/>
          <w:color w:val="000000"/>
          <w:sz w:val="24"/>
          <w:szCs w:val="24"/>
        </w:rPr>
        <w:t xml:space="preserve"> </w:t>
      </w:r>
      <w:r w:rsidRPr="00657F80">
        <w:rPr>
          <w:rFonts w:ascii="Book Antiqua" w:hAnsi="Book Antiqua" w:cs="宋体"/>
          <w:color w:val="000000"/>
          <w:sz w:val="24"/>
          <w:szCs w:val="24"/>
        </w:rPr>
        <w:t>25(29): 3956-</w:t>
      </w:r>
      <w:proofErr w:type="gramStart"/>
      <w:r w:rsidRPr="00657F80">
        <w:rPr>
          <w:rFonts w:ascii="Book Antiqua" w:hAnsi="Book Antiqua" w:cs="宋体"/>
          <w:color w:val="000000"/>
          <w:sz w:val="24"/>
          <w:szCs w:val="24"/>
        </w:rPr>
        <w:t>3971  Available</w:t>
      </w:r>
      <w:proofErr w:type="gramEnd"/>
      <w:r w:rsidRPr="00657F80">
        <w:rPr>
          <w:rFonts w:ascii="Book Antiqua" w:hAnsi="Book Antiqua" w:cs="宋体"/>
          <w:color w:val="000000"/>
          <w:sz w:val="24"/>
          <w:szCs w:val="24"/>
        </w:rPr>
        <w:t xml:space="preserve"> from: </w:t>
      </w:r>
    </w:p>
    <w:p w:rsidR="00CF5662" w:rsidRDefault="00CF5662">
      <w:pPr>
        <w:widowControl w:val="0"/>
        <w:kinsoku w:val="0"/>
        <w:overflowPunct w:val="0"/>
        <w:autoSpaceDE w:val="0"/>
        <w:autoSpaceDN w:val="0"/>
        <w:spacing w:line="360" w:lineRule="auto"/>
        <w:rPr>
          <w:rFonts w:ascii="Book Antiqua" w:hAnsi="Book Antiqua" w:cs="宋体"/>
          <w:color w:val="000000"/>
          <w:sz w:val="24"/>
          <w:szCs w:val="24"/>
        </w:rPr>
      </w:pPr>
      <w:r w:rsidRPr="00CF5662">
        <w:rPr>
          <w:rFonts w:ascii="Book Antiqua" w:hAnsi="Book Antiqua" w:cs="宋体"/>
          <w:b/>
          <w:color w:val="000000"/>
          <w:sz w:val="24"/>
          <w:szCs w:val="24"/>
        </w:rPr>
        <w:t>URL</w:t>
      </w:r>
      <w:r w:rsidRPr="00657F80">
        <w:rPr>
          <w:rFonts w:ascii="Book Antiqua" w:hAnsi="Book Antiqua" w:cs="宋体"/>
          <w:color w:val="000000"/>
          <w:sz w:val="24"/>
          <w:szCs w:val="24"/>
        </w:rPr>
        <w:t xml:space="preserve">: https://www.wjgnet.com/1007-9327/full/v25/i29/3956.htm  </w:t>
      </w:r>
    </w:p>
    <w:p w:rsidR="00EF7033" w:rsidRDefault="00CF5662">
      <w:pPr>
        <w:widowControl w:val="0"/>
        <w:kinsoku w:val="0"/>
        <w:overflowPunct w:val="0"/>
        <w:autoSpaceDE w:val="0"/>
        <w:autoSpaceDN w:val="0"/>
        <w:spacing w:line="360" w:lineRule="auto"/>
        <w:rPr>
          <w:rFonts w:ascii="Book Antiqua" w:hAnsi="Book Antiqua"/>
          <w:bCs/>
          <w:color w:val="000000" w:themeColor="text1"/>
          <w:sz w:val="24"/>
          <w:szCs w:val="24"/>
        </w:rPr>
      </w:pPr>
      <w:r w:rsidRPr="00CF5662">
        <w:rPr>
          <w:rFonts w:ascii="Book Antiqua" w:hAnsi="Book Antiqua" w:cs="宋体"/>
          <w:b/>
          <w:color w:val="000000"/>
          <w:sz w:val="24"/>
          <w:szCs w:val="24"/>
        </w:rPr>
        <w:t>DOI</w:t>
      </w:r>
      <w:r w:rsidRPr="00657F80">
        <w:rPr>
          <w:rFonts w:ascii="Book Antiqua" w:hAnsi="Book Antiqua" w:cs="宋体"/>
          <w:color w:val="000000"/>
          <w:sz w:val="24"/>
          <w:szCs w:val="24"/>
        </w:rPr>
        <w:t>: https://dx.doi.org/10.3748/wjg.v25.i29.3956</w:t>
      </w:r>
    </w:p>
    <w:p w:rsidR="00EF7033" w:rsidRDefault="0035424A">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Pr>
          <w:rFonts w:ascii="Book Antiqua" w:hAnsi="Book Antiqua"/>
          <w:color w:val="000000" w:themeColor="text1"/>
          <w:sz w:val="24"/>
          <w:szCs w:val="24"/>
        </w:rPr>
        <w:br w:type="page"/>
      </w:r>
    </w:p>
    <w:p w:rsidR="00EF7033" w:rsidRDefault="0035424A">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Pr>
          <w:rFonts w:ascii="Book Antiqua" w:eastAsia="Times New Roman" w:hAnsi="Book Antiqua"/>
          <w:b/>
          <w:color w:val="000000" w:themeColor="text1"/>
          <w:sz w:val="24"/>
          <w:szCs w:val="24"/>
        </w:rPr>
        <w:lastRenderedPageBreak/>
        <w:t>INTRODUCTION</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(BBR) is an </w:t>
      </w:r>
      <w:proofErr w:type="spellStart"/>
      <w:r>
        <w:rPr>
          <w:rFonts w:ascii="Book Antiqua" w:eastAsia="Times New Roman" w:hAnsi="Book Antiqua"/>
          <w:color w:val="000000" w:themeColor="text1"/>
          <w:sz w:val="24"/>
          <w:szCs w:val="24"/>
        </w:rPr>
        <w:t>isoquinoline</w:t>
      </w:r>
      <w:proofErr w:type="spellEnd"/>
      <w:r>
        <w:rPr>
          <w:rFonts w:ascii="Book Antiqua" w:eastAsia="Times New Roman" w:hAnsi="Book Antiqua"/>
          <w:color w:val="000000" w:themeColor="text1"/>
          <w:sz w:val="24"/>
          <w:szCs w:val="24"/>
        </w:rPr>
        <w:t xml:space="preserve"> alkaloid extracted from various Chinese medicinal herbs, </w:t>
      </w:r>
      <w:r>
        <w:rPr>
          <w:rFonts w:ascii="Book Antiqua" w:eastAsia="Times New Roman" w:hAnsi="Book Antiqua"/>
          <w:i/>
          <w:iCs/>
          <w:color w:val="000000" w:themeColor="text1"/>
          <w:sz w:val="24"/>
          <w:szCs w:val="24"/>
        </w:rPr>
        <w:t>e.g.,</w:t>
      </w:r>
      <w:r>
        <w:rPr>
          <w:rFonts w:ascii="Book Antiqua" w:eastAsia="Times New Roman" w:hAnsi="Book Antiqua"/>
          <w:color w:val="000000" w:themeColor="text1"/>
          <w:sz w:val="24"/>
          <w:szCs w:val="24"/>
        </w:rPr>
        <w:t xml:space="preserve"> </w:t>
      </w:r>
      <w:proofErr w:type="spellStart"/>
      <w:r>
        <w:rPr>
          <w:rFonts w:ascii="Book Antiqua" w:eastAsia="Times New Roman" w:hAnsi="Book Antiqua"/>
          <w:color w:val="000000" w:themeColor="text1"/>
          <w:sz w:val="24"/>
          <w:szCs w:val="24"/>
        </w:rPr>
        <w:t>Huanglian</w:t>
      </w:r>
      <w:proofErr w:type="spellEnd"/>
      <w:r>
        <w:rPr>
          <w:rFonts w:ascii="Book Antiqua" w:eastAsia="Times New Roman" w:hAnsi="Book Antiqua"/>
          <w:color w:val="000000" w:themeColor="text1"/>
          <w:sz w:val="24"/>
          <w:szCs w:val="24"/>
        </w:rPr>
        <w:t xml:space="preserve"> and </w:t>
      </w:r>
      <w:proofErr w:type="spellStart"/>
      <w:r>
        <w:rPr>
          <w:rFonts w:ascii="Book Antiqua" w:eastAsia="Times New Roman" w:hAnsi="Book Antiqua"/>
          <w:color w:val="000000" w:themeColor="text1"/>
          <w:sz w:val="24"/>
          <w:szCs w:val="24"/>
        </w:rPr>
        <w:t>scutellaria</w:t>
      </w:r>
      <w:proofErr w:type="spellEnd"/>
      <w:r>
        <w:rPr>
          <w:rFonts w:ascii="Book Antiqua" w:eastAsia="Times New Roman" w:hAnsi="Book Antiqua"/>
          <w:color w:val="000000" w:themeColor="text1"/>
          <w:sz w:val="24"/>
          <w:szCs w:val="24"/>
        </w:rPr>
        <w:t>. BBR has abundant medicinal value</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such as biological effects on the central nervous system</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 xml:space="preserve">anti-tumor, anti-inflammatory, and anti-Alzheimer’s disease effects, and reducing blood fat. A large number of basic and clinical studies have also shown the efficacy of BBR in the treatment of irritable bowel syndrome (IBS). The common dosage of BBR for treating diarrhea in adults is 100-300 mg, three times a </w:t>
      </w:r>
      <w:proofErr w:type="gramStart"/>
      <w:r>
        <w:rPr>
          <w:rFonts w:ascii="Book Antiqua" w:eastAsia="Times New Roman" w:hAnsi="Book Antiqua"/>
          <w:color w:val="000000" w:themeColor="text1"/>
          <w:sz w:val="24"/>
          <w:szCs w:val="24"/>
        </w:rPr>
        <w:t>day</w:t>
      </w:r>
      <w:r>
        <w:rPr>
          <w:rFonts w:ascii="Book Antiqua" w:eastAsia="Times New Roman" w:hAnsi="Book Antiqua"/>
          <w:color w:val="000000" w:themeColor="text1"/>
          <w:sz w:val="24"/>
          <w:szCs w:val="24"/>
          <w:vertAlign w:val="superscript"/>
        </w:rPr>
        <w:t>[</w:t>
      </w:r>
      <w:proofErr w:type="gramEnd"/>
      <w:r>
        <w:rPr>
          <w:rFonts w:ascii="Book Antiqua" w:eastAsia="Times New Roman" w:hAnsi="Book Antiqua"/>
          <w:color w:val="000000" w:themeColor="text1"/>
          <w:sz w:val="24"/>
          <w:szCs w:val="24"/>
          <w:vertAlign w:val="superscript"/>
        </w:rPr>
        <w:t>1-4]</w:t>
      </w:r>
      <w:r>
        <w:rPr>
          <w:rFonts w:ascii="Book Antiqua" w:eastAsia="Times New Roman" w:hAnsi="Book Antiqua"/>
          <w:color w:val="000000" w:themeColor="text1"/>
          <w:sz w:val="24"/>
          <w:szCs w:val="24"/>
        </w:rPr>
        <w:t>.</w:t>
      </w:r>
      <w:r>
        <w:rPr>
          <w:rFonts w:ascii="Book Antiqua" w:eastAsia="Times New Roman" w:hAnsi="Book Antiqua"/>
          <w:color w:val="000000" w:themeColor="text1"/>
          <w:sz w:val="24"/>
          <w:szCs w:val="24"/>
          <w:vertAlign w:val="superscript"/>
        </w:rPr>
        <w:t xml:space="preserve"> </w:t>
      </w:r>
    </w:p>
    <w:p w:rsidR="00EF7033" w:rsidRDefault="0035424A">
      <w:pPr>
        <w:widowControl w:val="0"/>
        <w:kinsoku w:val="0"/>
        <w:overflowPunct w:val="0"/>
        <w:autoSpaceDE w:val="0"/>
        <w:autoSpaceDN w:val="0"/>
        <w:spacing w:line="360" w:lineRule="auto"/>
        <w:ind w:firstLineChars="100" w:firstLine="240"/>
        <w:rPr>
          <w:rFonts w:ascii="Book Antiqua" w:eastAsia="宋体" w:hAnsi="Book Antiqua"/>
          <w:color w:val="000000" w:themeColor="text1"/>
          <w:sz w:val="24"/>
          <w:szCs w:val="24"/>
        </w:rPr>
      </w:pPr>
      <w:bookmarkStart w:id="41" w:name="OLE_LINK10"/>
      <w:bookmarkStart w:id="42" w:name="OLE_LINK9"/>
      <w:r>
        <w:rPr>
          <w:rFonts w:ascii="Book Antiqua" w:eastAsia="Times New Roman" w:hAnsi="Book Antiqua"/>
          <w:color w:val="000000" w:themeColor="text1"/>
          <w:sz w:val="24"/>
          <w:szCs w:val="24"/>
        </w:rPr>
        <w:t xml:space="preserve">The pathophysiology of IBS is still not completely understood. </w:t>
      </w:r>
      <w:bookmarkEnd w:id="41"/>
      <w:bookmarkEnd w:id="42"/>
      <w:r>
        <w:rPr>
          <w:rFonts w:ascii="Book Antiqua" w:eastAsia="Times New Roman" w:hAnsi="Book Antiqua"/>
          <w:color w:val="000000" w:themeColor="text1"/>
          <w:sz w:val="24"/>
          <w:szCs w:val="24"/>
        </w:rPr>
        <w:t>In the past decade, there has been increasing focuses on the possible connection of IBS with increased intestinal mucosal permeability, inflammation,</w:t>
      </w:r>
      <w:r>
        <w:rPr>
          <w:rFonts w:ascii="Book Antiqua" w:hAnsi="Book Antiqua"/>
          <w:color w:val="000000" w:themeColor="text1"/>
          <w:sz w:val="24"/>
          <w:szCs w:val="24"/>
        </w:rPr>
        <w:t xml:space="preserve"> </w:t>
      </w:r>
      <w:r>
        <w:rPr>
          <w:rFonts w:ascii="Book Antiqua" w:eastAsia="Times New Roman" w:hAnsi="Book Antiqua"/>
          <w:color w:val="000000" w:themeColor="text1"/>
          <w:sz w:val="24"/>
          <w:szCs w:val="24"/>
        </w:rPr>
        <w:t xml:space="preserve">intestinal bacterial overgrowth, dysfunction of the cerebral intestinal axis, and visceral </w:t>
      </w:r>
      <w:proofErr w:type="gramStart"/>
      <w:r>
        <w:rPr>
          <w:rFonts w:ascii="Book Antiqua" w:eastAsia="Times New Roman" w:hAnsi="Book Antiqua"/>
          <w:color w:val="000000" w:themeColor="text1"/>
          <w:sz w:val="24"/>
          <w:szCs w:val="24"/>
        </w:rPr>
        <w:t>hypersensitivity</w:t>
      </w:r>
      <w:r>
        <w:rPr>
          <w:rFonts w:ascii="Book Antiqua" w:eastAsia="宋体" w:hAnsi="Book Antiqua"/>
          <w:color w:val="000000" w:themeColor="text1"/>
          <w:sz w:val="24"/>
          <w:szCs w:val="24"/>
          <w:vertAlign w:val="superscript"/>
        </w:rPr>
        <w:t>[</w:t>
      </w:r>
      <w:proofErr w:type="gramEnd"/>
      <w:r>
        <w:fldChar w:fldCharType="begin"/>
      </w:r>
      <w:r>
        <w:instrText xml:space="preserve"> HYPERLINK "file:///C:\\Users\\Liansheng%20Ma\\Desktop\\Liansheng%20Ma\\Dispose\\2019-07-05-Final_Acceptance_WJG\\46893\\_ENREF_5" </w:instrText>
      </w:r>
      <w:r>
        <w:fldChar w:fldCharType="separate"/>
      </w:r>
      <w:r>
        <w:rPr>
          <w:rFonts w:ascii="Book Antiqua" w:eastAsia="宋体" w:hAnsi="Book Antiqua"/>
          <w:color w:val="000000" w:themeColor="text1"/>
          <w:sz w:val="24"/>
          <w:szCs w:val="24"/>
          <w:vertAlign w:val="superscript"/>
        </w:rPr>
        <w:t>5</w:t>
      </w:r>
      <w:r>
        <w:rPr>
          <w:rFonts w:ascii="Book Antiqua" w:eastAsia="宋体" w:hAnsi="Book Antiqua"/>
          <w:color w:val="000000" w:themeColor="text1"/>
          <w:sz w:val="24"/>
          <w:szCs w:val="24"/>
          <w:vertAlign w:val="superscript"/>
        </w:rPr>
        <w:fldChar w:fldCharType="end"/>
      </w:r>
      <w:r>
        <w:rPr>
          <w:rFonts w:ascii="Book Antiqua" w:eastAsia="宋体" w:hAnsi="Book Antiqua"/>
          <w:color w:val="000000" w:themeColor="text1"/>
          <w:sz w:val="24"/>
          <w:szCs w:val="24"/>
          <w:vertAlign w:val="superscript"/>
        </w:rPr>
        <w:t>]</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At present, the pathogenesis of IBS is explained by the mechanism of environment-psycho-neuroendocrine-</w:t>
      </w:r>
      <w:proofErr w:type="gramStart"/>
      <w:r>
        <w:rPr>
          <w:rFonts w:ascii="Book Antiqua" w:eastAsia="Times New Roman" w:hAnsi="Book Antiqua"/>
          <w:color w:val="000000" w:themeColor="text1"/>
          <w:sz w:val="24"/>
          <w:szCs w:val="24"/>
        </w:rPr>
        <w:t>immunity</w:t>
      </w:r>
      <w:r>
        <w:rPr>
          <w:rFonts w:ascii="Book Antiqua" w:eastAsia="宋体" w:hAnsi="Book Antiqua"/>
          <w:color w:val="000000" w:themeColor="text1"/>
          <w:sz w:val="24"/>
          <w:szCs w:val="24"/>
          <w:vertAlign w:val="superscript"/>
        </w:rPr>
        <w:t>[</w:t>
      </w:r>
      <w:proofErr w:type="gramEnd"/>
      <w:r>
        <w:fldChar w:fldCharType="begin"/>
      </w:r>
      <w:r>
        <w:instrText xml:space="preserve"> HYPERLINK "file:///C:\\Users\\Liansheng%20Ma\\Desktop\\Liansheng%20Ma\\Dispose\\2019-07-05-Final_Acceptance_WJG\\46893\\_ENREF_6" </w:instrText>
      </w:r>
      <w:r>
        <w:fldChar w:fldCharType="separate"/>
      </w:r>
      <w:r>
        <w:rPr>
          <w:rFonts w:ascii="Book Antiqua" w:eastAsia="宋体" w:hAnsi="Book Antiqua"/>
          <w:color w:val="000000" w:themeColor="text1"/>
          <w:sz w:val="24"/>
          <w:szCs w:val="24"/>
          <w:vertAlign w:val="superscript"/>
        </w:rPr>
        <w:t>6</w:t>
      </w:r>
      <w:r>
        <w:rPr>
          <w:rFonts w:ascii="Book Antiqua" w:eastAsia="宋体" w:hAnsi="Book Antiqua"/>
          <w:color w:val="000000" w:themeColor="text1"/>
          <w:sz w:val="24"/>
          <w:szCs w:val="24"/>
          <w:vertAlign w:val="superscript"/>
        </w:rPr>
        <w:fldChar w:fldCharType="end"/>
      </w:r>
      <w:r>
        <w:rPr>
          <w:rFonts w:ascii="Book Antiqua" w:eastAsia="宋体" w:hAnsi="Book Antiqua"/>
          <w:color w:val="000000" w:themeColor="text1"/>
          <w:sz w:val="24"/>
          <w:szCs w:val="24"/>
          <w:vertAlign w:val="superscript"/>
        </w:rPr>
        <w:t>,</w:t>
      </w:r>
      <w:hyperlink r:id="rId10" w:history="1">
        <w:r>
          <w:rPr>
            <w:rFonts w:ascii="Book Antiqua" w:eastAsia="宋体" w:hAnsi="Book Antiqua"/>
            <w:color w:val="000000" w:themeColor="text1"/>
            <w:sz w:val="24"/>
            <w:szCs w:val="24"/>
            <w:vertAlign w:val="superscript"/>
          </w:rPr>
          <w:t>7</w:t>
        </w:r>
      </w:hyperlink>
      <w:r>
        <w:rPr>
          <w:rFonts w:ascii="Book Antiqua" w:eastAsia="宋体" w:hAnsi="Book Antiqua"/>
          <w:color w:val="000000" w:themeColor="text1"/>
          <w:sz w:val="24"/>
          <w:szCs w:val="24"/>
          <w:vertAlign w:val="superscript"/>
        </w:rPr>
        <w:t>]</w:t>
      </w:r>
      <w:r>
        <w:rPr>
          <w:rFonts w:ascii="Book Antiqua" w:eastAsia="宋体" w:hAnsi="Book Antiqua"/>
          <w:color w:val="000000" w:themeColor="text1"/>
          <w:sz w:val="24"/>
          <w:szCs w:val="24"/>
        </w:rPr>
        <w:t>.</w:t>
      </w:r>
    </w:p>
    <w:p w:rsidR="00EF7033" w:rsidRDefault="0035424A">
      <w:pPr>
        <w:widowControl w:val="0"/>
        <w:kinsoku w:val="0"/>
        <w:overflowPunct w:val="0"/>
        <w:autoSpaceDE w:val="0"/>
        <w:autoSpaceDN w:val="0"/>
        <w:spacing w:line="360" w:lineRule="auto"/>
        <w:ind w:firstLineChars="100" w:firstLine="240"/>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The immunologic disorder of the intestinal tract is closely associated with the pathogenesis of IBS, and the nuclear factor kappa-B (NF-</w:t>
      </w:r>
      <w:proofErr w:type="spellStart"/>
      <w:r>
        <w:rPr>
          <w:rFonts w:ascii="Book Antiqua" w:eastAsia="Times New Roman" w:hAnsi="Book Antiqua"/>
          <w:color w:val="000000" w:themeColor="text1"/>
          <w:sz w:val="24"/>
          <w:szCs w:val="24"/>
        </w:rPr>
        <w:t>κB</w:t>
      </w:r>
      <w:proofErr w:type="spellEnd"/>
      <w:r>
        <w:rPr>
          <w:rFonts w:ascii="Book Antiqua" w:eastAsia="Times New Roman" w:hAnsi="Book Antiqua"/>
          <w:color w:val="000000" w:themeColor="text1"/>
          <w:sz w:val="24"/>
          <w:szCs w:val="24"/>
        </w:rPr>
        <w:t xml:space="preserve">) signal pathway plays a very important role in the immune </w:t>
      </w:r>
      <w:proofErr w:type="gramStart"/>
      <w:r>
        <w:rPr>
          <w:rFonts w:ascii="Book Antiqua" w:eastAsia="Times New Roman" w:hAnsi="Book Antiqua"/>
          <w:color w:val="000000" w:themeColor="text1"/>
          <w:sz w:val="24"/>
          <w:szCs w:val="24"/>
        </w:rPr>
        <w:t>response</w:t>
      </w:r>
      <w:r>
        <w:rPr>
          <w:rFonts w:ascii="Book Antiqua" w:eastAsia="Times New Roman" w:hAnsi="Book Antiqua"/>
          <w:color w:val="000000" w:themeColor="text1"/>
          <w:sz w:val="24"/>
          <w:szCs w:val="24"/>
          <w:vertAlign w:val="superscript"/>
        </w:rPr>
        <w:t>[</w:t>
      </w:r>
      <w:proofErr w:type="gramEnd"/>
      <w:r>
        <w:rPr>
          <w:rFonts w:ascii="Book Antiqua" w:eastAsia="Times New Roman" w:hAnsi="Book Antiqua"/>
          <w:color w:val="000000" w:themeColor="text1"/>
          <w:sz w:val="24"/>
          <w:szCs w:val="24"/>
          <w:vertAlign w:val="superscript"/>
        </w:rPr>
        <w:t>8,9]</w:t>
      </w:r>
      <w:r>
        <w:rPr>
          <w:rFonts w:ascii="Book Antiqua" w:eastAsia="Times New Roman" w:hAnsi="Book Antiqua"/>
          <w:color w:val="000000" w:themeColor="text1"/>
          <w:sz w:val="24"/>
          <w:szCs w:val="24"/>
        </w:rPr>
        <w:t>. NF-</w:t>
      </w:r>
      <w:proofErr w:type="spellStart"/>
      <w:r>
        <w:rPr>
          <w:rFonts w:ascii="Book Antiqua" w:eastAsia="Times New Roman" w:hAnsi="Book Antiqua"/>
          <w:color w:val="000000" w:themeColor="text1"/>
          <w:sz w:val="24"/>
          <w:szCs w:val="24"/>
        </w:rPr>
        <w:t>κB</w:t>
      </w:r>
      <w:proofErr w:type="spellEnd"/>
      <w:r>
        <w:rPr>
          <w:rFonts w:ascii="Book Antiqua" w:eastAsia="Times New Roman" w:hAnsi="Book Antiqua"/>
          <w:color w:val="000000" w:themeColor="text1"/>
          <w:sz w:val="24"/>
          <w:szCs w:val="24"/>
        </w:rPr>
        <w:t xml:space="preserve"> can regulate the transcription of the genes related to inflammation and pain, activate the transcription of inflammatory factors, affect intestinal inflammation, and lead to abdominal </w:t>
      </w:r>
      <w:proofErr w:type="gramStart"/>
      <w:r>
        <w:rPr>
          <w:rFonts w:ascii="Book Antiqua" w:eastAsia="Times New Roman" w:hAnsi="Book Antiqua"/>
          <w:color w:val="000000" w:themeColor="text1"/>
          <w:sz w:val="24"/>
          <w:szCs w:val="24"/>
        </w:rPr>
        <w:t>pain</w:t>
      </w:r>
      <w:r>
        <w:rPr>
          <w:rFonts w:ascii="Book Antiqua" w:eastAsia="Times New Roman" w:hAnsi="Book Antiqua"/>
          <w:color w:val="000000" w:themeColor="text1"/>
          <w:sz w:val="24"/>
          <w:szCs w:val="24"/>
          <w:vertAlign w:val="superscript"/>
        </w:rPr>
        <w:t>[</w:t>
      </w:r>
      <w:proofErr w:type="gramEnd"/>
      <w:r>
        <w:rPr>
          <w:rFonts w:ascii="Book Antiqua" w:eastAsia="Times New Roman" w:hAnsi="Book Antiqua"/>
          <w:color w:val="000000" w:themeColor="text1"/>
          <w:sz w:val="24"/>
          <w:szCs w:val="24"/>
          <w:vertAlign w:val="superscript"/>
        </w:rPr>
        <w:t>10]</w:t>
      </w:r>
      <w:r>
        <w:rPr>
          <w:rFonts w:ascii="Book Antiqua" w:eastAsia="Times New Roman" w:hAnsi="Book Antiqua"/>
          <w:color w:val="000000" w:themeColor="text1"/>
          <w:sz w:val="24"/>
          <w:szCs w:val="24"/>
        </w:rPr>
        <w:t xml:space="preserve">. Cytokines are an essential part of intestinal immune regulation. According to the performance of cytokines in the immune response, they can be divided into two categories: (1) Th1 cell-secreted pro-inflammatory cytokines, including interleukin-1β (IL-1β), IL-6, tumor necrosis factor-α (TNF-α), and interferon γ (IFN-γ); and (2) Th2 cell-secreted anti-inflammatory cytokines, including IL-10 and transforming growth factor-β (TGF-β). The immune response in IBS is not just limited to the intestine. Systemic immune activation characterized by the elevation of pro-inflammatory cytokines and the decrease of anti-inflammatory cytokines is also involved in </w:t>
      </w:r>
      <w:proofErr w:type="gramStart"/>
      <w:r>
        <w:rPr>
          <w:rFonts w:ascii="Book Antiqua" w:eastAsia="Times New Roman" w:hAnsi="Book Antiqua"/>
          <w:color w:val="000000" w:themeColor="text1"/>
          <w:sz w:val="24"/>
          <w:szCs w:val="24"/>
        </w:rPr>
        <w:t>IBS</w:t>
      </w:r>
      <w:r>
        <w:rPr>
          <w:rFonts w:ascii="Book Antiqua" w:eastAsia="Times New Roman" w:hAnsi="Book Antiqua"/>
          <w:color w:val="000000" w:themeColor="text1"/>
          <w:sz w:val="24"/>
          <w:szCs w:val="24"/>
          <w:vertAlign w:val="superscript"/>
        </w:rPr>
        <w:t>[</w:t>
      </w:r>
      <w:proofErr w:type="gramEnd"/>
      <w:r>
        <w:rPr>
          <w:rFonts w:ascii="Book Antiqua" w:eastAsia="Times New Roman" w:hAnsi="Book Antiqua"/>
          <w:color w:val="000000" w:themeColor="text1"/>
          <w:sz w:val="24"/>
          <w:szCs w:val="24"/>
          <w:vertAlign w:val="superscript"/>
        </w:rPr>
        <w:t>11-14]</w:t>
      </w:r>
      <w:r>
        <w:rPr>
          <w:rFonts w:ascii="Book Antiqua" w:eastAsia="Times New Roman" w:hAnsi="Book Antiqua"/>
          <w:color w:val="000000" w:themeColor="text1"/>
          <w:sz w:val="24"/>
          <w:szCs w:val="24"/>
        </w:rPr>
        <w:t>.</w:t>
      </w:r>
    </w:p>
    <w:p w:rsidR="00EF7033" w:rsidRDefault="0035424A">
      <w:pPr>
        <w:widowControl w:val="0"/>
        <w:kinsoku w:val="0"/>
        <w:overflowPunct w:val="0"/>
        <w:autoSpaceDE w:val="0"/>
        <w:autoSpaceDN w:val="0"/>
        <w:spacing w:line="360" w:lineRule="auto"/>
        <w:ind w:firstLineChars="100" w:firstLine="240"/>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lastRenderedPageBreak/>
        <w:t xml:space="preserve">BBR can reduce visceral hypersensitivity in IBS rats and regulate intestinal motility, but the underlying mechanism is not yet fully </w:t>
      </w:r>
      <w:proofErr w:type="gramStart"/>
      <w:r>
        <w:rPr>
          <w:rFonts w:ascii="Book Antiqua" w:eastAsia="Times New Roman" w:hAnsi="Book Antiqua"/>
          <w:color w:val="000000" w:themeColor="text1"/>
          <w:sz w:val="24"/>
          <w:szCs w:val="24"/>
        </w:rPr>
        <w:t>understood</w:t>
      </w:r>
      <w:r>
        <w:rPr>
          <w:rFonts w:ascii="Book Antiqua" w:eastAsia="Times New Roman" w:hAnsi="Book Antiqua"/>
          <w:color w:val="000000" w:themeColor="text1"/>
          <w:sz w:val="24"/>
          <w:szCs w:val="24"/>
          <w:vertAlign w:val="superscript"/>
        </w:rPr>
        <w:t>[</w:t>
      </w:r>
      <w:proofErr w:type="gramEnd"/>
      <w:r>
        <w:fldChar w:fldCharType="begin"/>
      </w:r>
      <w:r>
        <w:instrText xml:space="preserve"> HYPERLINK "file:///C:\\Users\\Liansheng%20Ma\\Desktop\\Liansheng%20Ma\\Dispose\\2019-07-05-Final_Acceptance_WJG\\46893\\_ENREF_1" </w:instrText>
      </w:r>
      <w:r>
        <w:fldChar w:fldCharType="separate"/>
      </w:r>
      <w:r>
        <w:rPr>
          <w:rFonts w:ascii="Book Antiqua" w:eastAsia="Times New Roman" w:hAnsi="Book Antiqua"/>
          <w:color w:val="000000" w:themeColor="text1"/>
          <w:sz w:val="24"/>
          <w:szCs w:val="24"/>
          <w:vertAlign w:val="superscript"/>
        </w:rPr>
        <w:t>1</w:t>
      </w:r>
      <w:r>
        <w:rPr>
          <w:rFonts w:ascii="Book Antiqua" w:eastAsia="Times New Roman" w:hAnsi="Book Antiqua"/>
          <w:color w:val="000000" w:themeColor="text1"/>
          <w:sz w:val="24"/>
          <w:szCs w:val="24"/>
          <w:vertAlign w:val="superscript"/>
        </w:rPr>
        <w:fldChar w:fldCharType="end"/>
      </w:r>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 xml:space="preserve">. Brain derived neurotrophic factor (BDNF) plays an important role in the visceral hypersensitivity and intestinal </w:t>
      </w:r>
      <w:proofErr w:type="spellStart"/>
      <w:r>
        <w:rPr>
          <w:rFonts w:ascii="Book Antiqua" w:eastAsia="Times New Roman" w:hAnsi="Book Antiqua"/>
          <w:color w:val="000000" w:themeColor="text1"/>
          <w:sz w:val="24"/>
          <w:szCs w:val="24"/>
        </w:rPr>
        <w:t>hyperdynamics</w:t>
      </w:r>
      <w:proofErr w:type="spellEnd"/>
      <w:r>
        <w:rPr>
          <w:rFonts w:ascii="Book Antiqua" w:eastAsia="Times New Roman" w:hAnsi="Book Antiqua"/>
          <w:color w:val="000000" w:themeColor="text1"/>
          <w:sz w:val="24"/>
          <w:szCs w:val="24"/>
        </w:rPr>
        <w:t xml:space="preserve"> of IBS through the brain-gut axis. </w:t>
      </w:r>
      <w:r>
        <w:rPr>
          <w:rFonts w:ascii="Book Antiqua" w:eastAsia="Times New Roman" w:hAnsi="Book Antiqua"/>
          <w:color w:val="000000" w:themeColor="text1"/>
          <w:sz w:val="24"/>
          <w:szCs w:val="24"/>
          <w:shd w:val="clear" w:color="000000" w:fill="FFFFFF"/>
        </w:rPr>
        <w:t xml:space="preserve">The increased expression of BDNF in the colonic mucosa and central nervous system may contribute to the visceral </w:t>
      </w:r>
      <w:proofErr w:type="spellStart"/>
      <w:r>
        <w:rPr>
          <w:rFonts w:ascii="Book Antiqua" w:eastAsia="Times New Roman" w:hAnsi="Book Antiqua"/>
          <w:color w:val="000000" w:themeColor="text1"/>
          <w:sz w:val="24"/>
          <w:szCs w:val="24"/>
          <w:shd w:val="clear" w:color="000000" w:fill="FFFFFF"/>
        </w:rPr>
        <w:t>hyperalgesia</w:t>
      </w:r>
      <w:proofErr w:type="spellEnd"/>
      <w:r>
        <w:rPr>
          <w:rFonts w:ascii="Book Antiqua" w:eastAsia="Times New Roman" w:hAnsi="Book Antiqua"/>
          <w:color w:val="000000" w:themeColor="text1"/>
          <w:sz w:val="24"/>
          <w:szCs w:val="24"/>
          <w:shd w:val="clear" w:color="000000" w:fill="FFFFFF"/>
        </w:rPr>
        <w:t xml:space="preserve"> in </w:t>
      </w:r>
      <w:proofErr w:type="gramStart"/>
      <w:r>
        <w:rPr>
          <w:rFonts w:ascii="Book Antiqua" w:eastAsia="Times New Roman" w:hAnsi="Book Antiqua"/>
          <w:color w:val="000000" w:themeColor="text1"/>
          <w:sz w:val="24"/>
          <w:szCs w:val="24"/>
          <w:shd w:val="clear" w:color="000000" w:fill="FFFFFF"/>
        </w:rPr>
        <w:t>IBS</w:t>
      </w:r>
      <w:r>
        <w:rPr>
          <w:rFonts w:ascii="Book Antiqua" w:eastAsia="Times New Roman" w:hAnsi="Book Antiqua"/>
          <w:color w:val="000000" w:themeColor="text1"/>
          <w:sz w:val="24"/>
          <w:szCs w:val="24"/>
          <w:vertAlign w:val="superscript"/>
        </w:rPr>
        <w:t>[</w:t>
      </w:r>
      <w:proofErr w:type="gramEnd"/>
      <w:r>
        <w:fldChar w:fldCharType="begin"/>
      </w:r>
      <w:r>
        <w:instrText xml:space="preserve"> HYPERLINK "file:///C:\\Users\\Liansheng%20Ma\\Desktop\\Liansheng%20Ma\\Dispose\\2019-07-05-Final_Acceptance_WJG\\46893\\_ENREF_15" </w:instrText>
      </w:r>
      <w:r>
        <w:fldChar w:fldCharType="separate"/>
      </w:r>
      <w:r>
        <w:rPr>
          <w:rFonts w:ascii="Book Antiqua" w:eastAsia="Times New Roman" w:hAnsi="Book Antiqua"/>
          <w:color w:val="000000" w:themeColor="text1"/>
          <w:sz w:val="24"/>
          <w:szCs w:val="24"/>
          <w:vertAlign w:val="superscript"/>
        </w:rPr>
        <w:t>15</w:t>
      </w:r>
      <w:r>
        <w:rPr>
          <w:rFonts w:ascii="Book Antiqua" w:eastAsia="Times New Roman" w:hAnsi="Book Antiqua"/>
          <w:color w:val="000000" w:themeColor="text1"/>
          <w:sz w:val="24"/>
          <w:szCs w:val="24"/>
          <w:vertAlign w:val="superscript"/>
        </w:rPr>
        <w:fldChar w:fldCharType="end"/>
      </w:r>
      <w:r>
        <w:rPr>
          <w:rFonts w:ascii="Book Antiqua" w:eastAsia="Times New Roman" w:hAnsi="Book Antiqua"/>
          <w:color w:val="000000" w:themeColor="text1"/>
          <w:sz w:val="24"/>
          <w:szCs w:val="24"/>
          <w:vertAlign w:val="superscript"/>
        </w:rPr>
        <w:t>,</w:t>
      </w:r>
      <w:hyperlink r:id="rId11" w:history="1">
        <w:r>
          <w:rPr>
            <w:rFonts w:ascii="Book Antiqua" w:eastAsia="Times New Roman" w:hAnsi="Book Antiqua"/>
            <w:color w:val="000000" w:themeColor="text1"/>
            <w:sz w:val="24"/>
            <w:szCs w:val="24"/>
            <w:vertAlign w:val="superscript"/>
          </w:rPr>
          <w:t>16</w:t>
        </w:r>
      </w:hyperlink>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 xml:space="preserve">. Higher expression of BDNF in </w:t>
      </w:r>
      <w:r>
        <w:rPr>
          <w:rFonts w:ascii="Book Antiqua" w:eastAsia="Times New Roman" w:hAnsi="Book Antiqua"/>
          <w:color w:val="000000" w:themeColor="text1"/>
          <w:sz w:val="24"/>
          <w:szCs w:val="24"/>
          <w:shd w:val="clear" w:color="000000" w:fill="FFFFFF"/>
        </w:rPr>
        <w:t>colonic mucosa and central nervous system</w:t>
      </w:r>
      <w:r>
        <w:rPr>
          <w:rFonts w:ascii="Book Antiqua" w:eastAsia="Times New Roman" w:hAnsi="Book Antiqua"/>
          <w:color w:val="000000" w:themeColor="text1"/>
          <w:sz w:val="24"/>
          <w:szCs w:val="24"/>
        </w:rPr>
        <w:t xml:space="preserve"> would indicate the greater degree of abdominal pain in </w:t>
      </w:r>
      <w:proofErr w:type="gramStart"/>
      <w:r>
        <w:rPr>
          <w:rFonts w:ascii="Book Antiqua" w:eastAsia="Times New Roman" w:hAnsi="Book Antiqua"/>
          <w:color w:val="000000" w:themeColor="text1"/>
          <w:sz w:val="24"/>
          <w:szCs w:val="24"/>
        </w:rPr>
        <w:t>patients</w:t>
      </w:r>
      <w:r>
        <w:rPr>
          <w:rFonts w:ascii="Book Antiqua" w:eastAsia="Times New Roman" w:hAnsi="Book Antiqua"/>
          <w:color w:val="000000" w:themeColor="text1"/>
          <w:sz w:val="24"/>
          <w:szCs w:val="24"/>
          <w:vertAlign w:val="superscript"/>
        </w:rPr>
        <w:t>[</w:t>
      </w:r>
      <w:proofErr w:type="gramEnd"/>
      <w:r>
        <w:fldChar w:fldCharType="begin"/>
      </w:r>
      <w:r>
        <w:instrText xml:space="preserve"> HYPERLINK "file:///C:\\Users\\Liansheng%20Ma\\Desktop\\Liansheng%20Ma\\Dispose\\2019-07-05-Final_Acceptance_WJG\\46893\\_ENREF_15" </w:instrText>
      </w:r>
      <w:r>
        <w:fldChar w:fldCharType="separate"/>
      </w:r>
      <w:r>
        <w:rPr>
          <w:rFonts w:ascii="Book Antiqua" w:eastAsia="Times New Roman" w:hAnsi="Book Antiqua"/>
          <w:color w:val="000000" w:themeColor="text1"/>
          <w:sz w:val="24"/>
          <w:szCs w:val="24"/>
          <w:vertAlign w:val="superscript"/>
        </w:rPr>
        <w:t>15</w:t>
      </w:r>
      <w:r>
        <w:rPr>
          <w:rFonts w:ascii="Book Antiqua" w:eastAsia="Times New Roman" w:hAnsi="Book Antiqua"/>
          <w:color w:val="000000" w:themeColor="text1"/>
          <w:sz w:val="24"/>
          <w:szCs w:val="24"/>
          <w:vertAlign w:val="superscript"/>
        </w:rPr>
        <w:fldChar w:fldCharType="end"/>
      </w:r>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w:t>
      </w:r>
    </w:p>
    <w:p w:rsidR="00EF7033" w:rsidRDefault="0035424A">
      <w:pPr>
        <w:widowControl w:val="0"/>
        <w:kinsoku w:val="0"/>
        <w:overflowPunct w:val="0"/>
        <w:autoSpaceDE w:val="0"/>
        <w:autoSpaceDN w:val="0"/>
        <w:spacing w:line="360" w:lineRule="auto"/>
        <w:ind w:firstLineChars="100" w:firstLine="240"/>
        <w:rPr>
          <w:rFonts w:ascii="Book Antiqua" w:eastAsia="Times New Roman" w:hAnsi="Book Antiqua"/>
          <w:color w:val="000000" w:themeColor="text1"/>
          <w:sz w:val="24"/>
          <w:szCs w:val="24"/>
        </w:rPr>
      </w:pPr>
      <w:proofErr w:type="spellStart"/>
      <w:r>
        <w:rPr>
          <w:rFonts w:ascii="Book Antiqua" w:eastAsia="Times New Roman" w:hAnsi="Book Antiqua"/>
          <w:color w:val="000000" w:themeColor="text1"/>
          <w:sz w:val="24"/>
          <w:szCs w:val="24"/>
        </w:rPr>
        <w:t>Cajal</w:t>
      </w:r>
      <w:proofErr w:type="spellEnd"/>
      <w:r>
        <w:rPr>
          <w:rFonts w:ascii="Book Antiqua" w:eastAsia="Times New Roman" w:hAnsi="Book Antiqua"/>
          <w:color w:val="000000" w:themeColor="text1"/>
          <w:sz w:val="24"/>
          <w:szCs w:val="24"/>
        </w:rPr>
        <w:t xml:space="preserve"> </w:t>
      </w:r>
      <w:proofErr w:type="spellStart"/>
      <w:r>
        <w:rPr>
          <w:rFonts w:ascii="Book Antiqua" w:eastAsia="Times New Roman" w:hAnsi="Book Antiqua"/>
          <w:color w:val="000000" w:themeColor="text1"/>
          <w:sz w:val="24"/>
          <w:szCs w:val="24"/>
        </w:rPr>
        <w:t>mesenchymal</w:t>
      </w:r>
      <w:proofErr w:type="spellEnd"/>
      <w:r>
        <w:rPr>
          <w:rFonts w:ascii="Book Antiqua" w:eastAsia="Times New Roman" w:hAnsi="Book Antiqua"/>
          <w:color w:val="000000" w:themeColor="text1"/>
          <w:sz w:val="24"/>
          <w:szCs w:val="24"/>
        </w:rPr>
        <w:t xml:space="preserve"> cells (ICC) can affect the intestinal motility and visceral sensitivity in IBS patients through the brain-gut axis. The corresponding receptors of many neurotransmitters are expressed on ICC, which are an important intermediary for the central nervous system to regulate visceral sensitivity and intestinal </w:t>
      </w:r>
      <w:proofErr w:type="gramStart"/>
      <w:r>
        <w:rPr>
          <w:rFonts w:ascii="Book Antiqua" w:eastAsia="Times New Roman" w:hAnsi="Book Antiqua"/>
          <w:color w:val="000000" w:themeColor="text1"/>
          <w:sz w:val="24"/>
          <w:szCs w:val="24"/>
        </w:rPr>
        <w:t>dynamics</w:t>
      </w:r>
      <w:r>
        <w:rPr>
          <w:rFonts w:ascii="Book Antiqua" w:eastAsia="Times New Roman" w:hAnsi="Book Antiqua"/>
          <w:color w:val="000000" w:themeColor="text1"/>
          <w:sz w:val="24"/>
          <w:szCs w:val="24"/>
          <w:vertAlign w:val="superscript"/>
        </w:rPr>
        <w:t>[</w:t>
      </w:r>
      <w:proofErr w:type="gramEnd"/>
      <w:r>
        <w:fldChar w:fldCharType="begin"/>
      </w:r>
      <w:r>
        <w:instrText xml:space="preserve"> HYPERLINK "file:///C:\\Users\\Liansheng%20Ma\\Desktop\\Liansheng%20Ma\\Dispose\\2019-07-05-Final_Acceptance_WJG\\46893\\_ENREF_17" </w:instrText>
      </w:r>
      <w:r>
        <w:fldChar w:fldCharType="separate"/>
      </w:r>
      <w:r>
        <w:rPr>
          <w:rFonts w:ascii="Book Antiqua" w:eastAsia="Times New Roman" w:hAnsi="Book Antiqua"/>
          <w:color w:val="000000" w:themeColor="text1"/>
          <w:sz w:val="24"/>
          <w:szCs w:val="24"/>
          <w:vertAlign w:val="superscript"/>
        </w:rPr>
        <w:t>17</w:t>
      </w:r>
      <w:r>
        <w:rPr>
          <w:rFonts w:ascii="Book Antiqua" w:eastAsia="Times New Roman" w:hAnsi="Book Antiqua"/>
          <w:color w:val="000000" w:themeColor="text1"/>
          <w:sz w:val="24"/>
          <w:szCs w:val="24"/>
          <w:vertAlign w:val="superscript"/>
        </w:rPr>
        <w:fldChar w:fldCharType="end"/>
      </w:r>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 xml:space="preserve">. At the same time, some studies suggest that abnormalities in the structure and number of ICC in the intestinal tract of IBS patients can lead to abnormal electrophysiological activity in the intestinal </w:t>
      </w:r>
      <w:proofErr w:type="gramStart"/>
      <w:r>
        <w:rPr>
          <w:rFonts w:ascii="Book Antiqua" w:eastAsia="Times New Roman" w:hAnsi="Book Antiqua"/>
          <w:color w:val="000000" w:themeColor="text1"/>
          <w:sz w:val="24"/>
          <w:szCs w:val="24"/>
        </w:rPr>
        <w:t>tract</w:t>
      </w:r>
      <w:r>
        <w:rPr>
          <w:rFonts w:ascii="Book Antiqua" w:eastAsia="Times New Roman" w:hAnsi="Book Antiqua"/>
          <w:color w:val="000000" w:themeColor="text1"/>
          <w:sz w:val="24"/>
          <w:szCs w:val="24"/>
          <w:vertAlign w:val="superscript"/>
        </w:rPr>
        <w:t>[</w:t>
      </w:r>
      <w:proofErr w:type="gramEnd"/>
      <w:r>
        <w:fldChar w:fldCharType="begin"/>
      </w:r>
      <w:r>
        <w:instrText xml:space="preserve"> HYPERLINK "file:///C:\\Users\\Liansheng%20Ma\\Desktop\\Liansheng%20Ma\\Dispose\\2019-07-05-Final_Acceptance_WJG\\46893\\_ENREF_18" </w:instrText>
      </w:r>
      <w:r>
        <w:fldChar w:fldCharType="separate"/>
      </w:r>
      <w:r>
        <w:rPr>
          <w:rFonts w:ascii="Book Antiqua" w:eastAsia="Times New Roman" w:hAnsi="Book Antiqua"/>
          <w:color w:val="000000" w:themeColor="text1"/>
          <w:sz w:val="24"/>
          <w:szCs w:val="24"/>
          <w:vertAlign w:val="superscript"/>
        </w:rPr>
        <w:t>18</w:t>
      </w:r>
      <w:r>
        <w:rPr>
          <w:rFonts w:ascii="Book Antiqua" w:eastAsia="Times New Roman" w:hAnsi="Book Antiqua"/>
          <w:color w:val="000000" w:themeColor="text1"/>
          <w:sz w:val="24"/>
          <w:szCs w:val="24"/>
          <w:vertAlign w:val="superscript"/>
        </w:rPr>
        <w:fldChar w:fldCharType="end"/>
      </w:r>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 xml:space="preserve">. C-Kit signaling plays a vital role in the development and maintenance of ICC. Thus, C-kit has also been used as a cell marker of </w:t>
      </w:r>
      <w:proofErr w:type="gramStart"/>
      <w:r>
        <w:rPr>
          <w:rFonts w:ascii="Book Antiqua" w:eastAsia="Times New Roman" w:hAnsi="Book Antiqua"/>
          <w:color w:val="000000" w:themeColor="text1"/>
          <w:sz w:val="24"/>
          <w:szCs w:val="24"/>
        </w:rPr>
        <w:t>ICC</w:t>
      </w:r>
      <w:r>
        <w:rPr>
          <w:rFonts w:ascii="Book Antiqua" w:eastAsia="Times New Roman" w:hAnsi="Book Antiqua"/>
          <w:color w:val="000000" w:themeColor="text1"/>
          <w:sz w:val="24"/>
          <w:szCs w:val="24"/>
          <w:vertAlign w:val="superscript"/>
        </w:rPr>
        <w:t>[</w:t>
      </w:r>
      <w:proofErr w:type="gramEnd"/>
      <w:r>
        <w:fldChar w:fldCharType="begin"/>
      </w:r>
      <w:r>
        <w:instrText xml:space="preserve"> HYPERLINK "file:///C:\\Users\\Liansheng%20Ma\\Desktop\\Liansheng%20Ma\\Dispose\\2019-07-05-Final_Acceptance_WJG\\46893\\_ENREF_19" </w:instrText>
      </w:r>
      <w:r>
        <w:fldChar w:fldCharType="separate"/>
      </w:r>
      <w:r>
        <w:rPr>
          <w:rFonts w:ascii="Book Antiqua" w:eastAsia="Times New Roman" w:hAnsi="Book Antiqua"/>
          <w:color w:val="000000" w:themeColor="text1"/>
          <w:sz w:val="24"/>
          <w:szCs w:val="24"/>
          <w:vertAlign w:val="superscript"/>
        </w:rPr>
        <w:t>19</w:t>
      </w:r>
      <w:r>
        <w:rPr>
          <w:rFonts w:ascii="Book Antiqua" w:eastAsia="Times New Roman" w:hAnsi="Book Antiqua"/>
          <w:color w:val="000000" w:themeColor="text1"/>
          <w:sz w:val="24"/>
          <w:szCs w:val="24"/>
          <w:vertAlign w:val="superscript"/>
        </w:rPr>
        <w:fldChar w:fldCharType="end"/>
      </w:r>
      <w:r>
        <w:rPr>
          <w:rFonts w:ascii="Book Antiqua" w:eastAsia="Times New Roman" w:hAnsi="Book Antiqua"/>
          <w:color w:val="000000" w:themeColor="text1"/>
          <w:sz w:val="24"/>
          <w:szCs w:val="24"/>
          <w:vertAlign w:val="superscript"/>
        </w:rPr>
        <w:t>,</w:t>
      </w:r>
      <w:hyperlink r:id="rId12" w:history="1">
        <w:r>
          <w:rPr>
            <w:rFonts w:ascii="Book Antiqua" w:eastAsia="Times New Roman" w:hAnsi="Book Antiqua"/>
            <w:color w:val="000000" w:themeColor="text1"/>
            <w:sz w:val="24"/>
            <w:szCs w:val="24"/>
            <w:vertAlign w:val="superscript"/>
          </w:rPr>
          <w:t>20</w:t>
        </w:r>
      </w:hyperlink>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w:t>
      </w:r>
    </w:p>
    <w:p w:rsidR="00EF7033" w:rsidRDefault="0035424A">
      <w:pPr>
        <w:widowControl w:val="0"/>
        <w:kinsoku w:val="0"/>
        <w:overflowPunct w:val="0"/>
        <w:autoSpaceDE w:val="0"/>
        <w:autoSpaceDN w:val="0"/>
        <w:spacing w:line="360" w:lineRule="auto"/>
        <w:ind w:firstLineChars="100" w:firstLine="240"/>
        <w:rPr>
          <w:rFonts w:ascii="Book Antiqua" w:eastAsia="Times New Roman" w:hAnsi="Book Antiqua"/>
          <w:color w:val="000000" w:themeColor="text1"/>
          <w:sz w:val="24"/>
          <w:szCs w:val="24"/>
          <w:shd w:val="pct10" w:color="auto" w:fill="FFFFFF"/>
        </w:rPr>
      </w:pP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has achieved a good therapeutic effect for IBS patients without </w:t>
      </w:r>
      <w:proofErr w:type="gramStart"/>
      <w:r>
        <w:rPr>
          <w:rFonts w:ascii="Book Antiqua" w:eastAsia="Times New Roman" w:hAnsi="Book Antiqua"/>
          <w:color w:val="000000" w:themeColor="text1"/>
          <w:sz w:val="24"/>
          <w:szCs w:val="24"/>
        </w:rPr>
        <w:t>constipation</w:t>
      </w:r>
      <w:r>
        <w:rPr>
          <w:rFonts w:ascii="Book Antiqua" w:eastAsia="Times New Roman" w:hAnsi="Book Antiqua"/>
          <w:color w:val="000000" w:themeColor="text1"/>
          <w:sz w:val="24"/>
          <w:szCs w:val="24"/>
          <w:vertAlign w:val="superscript"/>
        </w:rPr>
        <w:t>[</w:t>
      </w:r>
      <w:proofErr w:type="gramEnd"/>
      <w:r>
        <w:fldChar w:fldCharType="begin"/>
      </w:r>
      <w:r>
        <w:instrText xml:space="preserve"> HYPERLINK "file:///C:\\Users\\Liansheng%20Ma\\Desktop\\Liansheng%20Ma\\Dispose\\2019-07-05-Final_Acceptance_WJG\\46893\\_ENREF_21" </w:instrText>
      </w:r>
      <w:r>
        <w:fldChar w:fldCharType="separate"/>
      </w:r>
      <w:r>
        <w:rPr>
          <w:rFonts w:ascii="Book Antiqua" w:eastAsia="Times New Roman" w:hAnsi="Book Antiqua"/>
          <w:color w:val="000000" w:themeColor="text1"/>
          <w:sz w:val="24"/>
          <w:szCs w:val="24"/>
          <w:vertAlign w:val="superscript"/>
        </w:rPr>
        <w:t>21</w:t>
      </w:r>
      <w:r>
        <w:rPr>
          <w:rFonts w:ascii="Book Antiqua" w:eastAsia="Times New Roman" w:hAnsi="Book Antiqua"/>
          <w:color w:val="000000" w:themeColor="text1"/>
          <w:sz w:val="24"/>
          <w:szCs w:val="24"/>
          <w:vertAlign w:val="superscript"/>
        </w:rPr>
        <w:fldChar w:fldCharType="end"/>
      </w:r>
      <w:r>
        <w:rPr>
          <w:rFonts w:ascii="Book Antiqua" w:eastAsia="Times New Roman" w:hAnsi="Book Antiqua"/>
          <w:color w:val="000000" w:themeColor="text1"/>
          <w:sz w:val="24"/>
          <w:szCs w:val="24"/>
          <w:vertAlign w:val="superscript"/>
        </w:rPr>
        <w:t>]</w:t>
      </w:r>
      <w:r>
        <w:rPr>
          <w:rFonts w:ascii="Book Antiqua" w:eastAsiaTheme="minorEastAsia" w:hAnsi="Book Antiqua"/>
          <w:color w:val="000000" w:themeColor="text1"/>
          <w:sz w:val="24"/>
          <w:szCs w:val="24"/>
        </w:rPr>
        <w:t>.</w:t>
      </w:r>
      <w:r>
        <w:rPr>
          <w:rFonts w:ascii="Book Antiqua" w:eastAsia="Times New Roman" w:hAnsi="Book Antiqua"/>
          <w:color w:val="000000" w:themeColor="text1"/>
          <w:sz w:val="24"/>
          <w:szCs w:val="24"/>
        </w:rPr>
        <w:t xml:space="preserve"> It has been shown that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relieves symptoms of IBS by reducing visceral hypersensitivity in </w:t>
      </w:r>
      <w:proofErr w:type="gramStart"/>
      <w:r>
        <w:rPr>
          <w:rFonts w:ascii="Book Antiqua" w:eastAsia="Times New Roman" w:hAnsi="Book Antiqua"/>
          <w:color w:val="000000" w:themeColor="text1"/>
          <w:sz w:val="24"/>
          <w:szCs w:val="24"/>
        </w:rPr>
        <w:t>rats</w:t>
      </w:r>
      <w:r>
        <w:rPr>
          <w:rFonts w:ascii="Book Antiqua" w:eastAsia="Times New Roman" w:hAnsi="Book Antiqua"/>
          <w:color w:val="000000" w:themeColor="text1"/>
          <w:sz w:val="24"/>
          <w:szCs w:val="24"/>
          <w:vertAlign w:val="superscript"/>
        </w:rPr>
        <w:t>[</w:t>
      </w:r>
      <w:proofErr w:type="gramEnd"/>
      <w:r>
        <w:fldChar w:fldCharType="begin"/>
      </w:r>
      <w:r>
        <w:instrText xml:space="preserve"> HYPERLINK "file:///C:\\Users\\Liansheng%20Ma\\Desktop\\Liansheng%20Ma\\Dispose\\2019-07-05-Final_Acceptance_WJG\\46893\\_ENREF_22" </w:instrText>
      </w:r>
      <w:r>
        <w:fldChar w:fldCharType="separate"/>
      </w:r>
      <w:r>
        <w:rPr>
          <w:rFonts w:ascii="Book Antiqua" w:eastAsia="Times New Roman" w:hAnsi="Book Antiqua"/>
          <w:color w:val="000000" w:themeColor="text1"/>
          <w:sz w:val="24"/>
          <w:szCs w:val="24"/>
          <w:vertAlign w:val="superscript"/>
        </w:rPr>
        <w:t>22</w:t>
      </w:r>
      <w:r>
        <w:rPr>
          <w:rFonts w:ascii="Book Antiqua" w:eastAsia="Times New Roman" w:hAnsi="Book Antiqua"/>
          <w:color w:val="000000" w:themeColor="text1"/>
          <w:sz w:val="24"/>
          <w:szCs w:val="24"/>
          <w:vertAlign w:val="superscript"/>
        </w:rPr>
        <w:fldChar w:fldCharType="end"/>
      </w:r>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 xml:space="preserve">. However,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has disadvantages, </w:t>
      </w:r>
      <w:r>
        <w:rPr>
          <w:rFonts w:ascii="Book Antiqua" w:eastAsia="Times New Roman" w:hAnsi="Book Antiqua"/>
          <w:i/>
          <w:iCs/>
          <w:color w:val="000000" w:themeColor="text1"/>
          <w:sz w:val="24"/>
          <w:szCs w:val="24"/>
        </w:rPr>
        <w:t>e.g</w:t>
      </w:r>
      <w:r>
        <w:rPr>
          <w:rFonts w:ascii="Book Antiqua" w:eastAsia="Times New Roman" w:hAnsi="Book Antiqua"/>
          <w:color w:val="000000" w:themeColor="text1"/>
          <w:sz w:val="24"/>
          <w:szCs w:val="24"/>
        </w:rPr>
        <w:t xml:space="preserve">., high prices. Furthermore, long-term oral administration may lead to cross-resistance to similar antibiotics such as rifampicin and </w:t>
      </w:r>
      <w:proofErr w:type="spellStart"/>
      <w:proofErr w:type="gramStart"/>
      <w:r>
        <w:rPr>
          <w:rFonts w:ascii="Book Antiqua" w:eastAsia="Times New Roman" w:hAnsi="Book Antiqua"/>
          <w:color w:val="000000" w:themeColor="text1"/>
          <w:sz w:val="24"/>
          <w:szCs w:val="24"/>
        </w:rPr>
        <w:t>rifabutin</w:t>
      </w:r>
      <w:proofErr w:type="spellEnd"/>
      <w:r>
        <w:rPr>
          <w:rFonts w:ascii="Book Antiqua" w:eastAsia="Times New Roman" w:hAnsi="Book Antiqua"/>
          <w:color w:val="000000" w:themeColor="text1"/>
          <w:sz w:val="24"/>
          <w:szCs w:val="24"/>
          <w:vertAlign w:val="superscript"/>
        </w:rPr>
        <w:t>[</w:t>
      </w:r>
      <w:proofErr w:type="gramEnd"/>
      <w:r>
        <w:fldChar w:fldCharType="begin"/>
      </w:r>
      <w:r>
        <w:instrText xml:space="preserve"> HYPERLINK "file:///C:\\Users\\Liansheng%20Ma\\Desktop\\Liansheng%20Ma\\Dispose\\2019-07-05-Final_Acceptance_WJG\\46893\\_ENREF_23" </w:instrText>
      </w:r>
      <w:r>
        <w:fldChar w:fldCharType="separate"/>
      </w:r>
      <w:r>
        <w:rPr>
          <w:rFonts w:ascii="Book Antiqua" w:eastAsia="Times New Roman" w:hAnsi="Book Antiqua"/>
          <w:color w:val="000000" w:themeColor="text1"/>
          <w:sz w:val="24"/>
          <w:szCs w:val="24"/>
          <w:vertAlign w:val="superscript"/>
        </w:rPr>
        <w:t>23</w:t>
      </w:r>
      <w:r>
        <w:rPr>
          <w:rFonts w:ascii="Book Antiqua" w:eastAsia="Times New Roman" w:hAnsi="Book Antiqua"/>
          <w:color w:val="000000" w:themeColor="text1"/>
          <w:sz w:val="24"/>
          <w:szCs w:val="24"/>
          <w:vertAlign w:val="superscript"/>
        </w:rPr>
        <w:fldChar w:fldCharType="end"/>
      </w:r>
      <w:r>
        <w:rPr>
          <w:rFonts w:ascii="Book Antiqua" w:eastAsia="Times New Roman" w:hAnsi="Book Antiqua"/>
          <w:color w:val="000000" w:themeColor="text1"/>
          <w:sz w:val="24"/>
          <w:szCs w:val="24"/>
          <w:vertAlign w:val="superscript"/>
        </w:rPr>
        <w:t>,</w:t>
      </w:r>
      <w:hyperlink r:id="rId13" w:history="1">
        <w:r>
          <w:rPr>
            <w:rFonts w:ascii="Book Antiqua" w:eastAsia="Times New Roman" w:hAnsi="Book Antiqua"/>
            <w:color w:val="000000" w:themeColor="text1"/>
            <w:sz w:val="24"/>
            <w:szCs w:val="24"/>
            <w:vertAlign w:val="superscript"/>
          </w:rPr>
          <w:t>24</w:t>
        </w:r>
      </w:hyperlink>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 This study aimed to explore the possible mechanism of BBR in the treatment of IBS at the level of brain and intestinal axis through the study of the high visceral sensitivity and intestinal dynamic mechanism in rats with experimental IBS.</w:t>
      </w:r>
    </w:p>
    <w:p w:rsidR="00EF7033" w:rsidRDefault="00EF7033">
      <w:pPr>
        <w:widowControl w:val="0"/>
        <w:kinsoku w:val="0"/>
        <w:overflowPunct w:val="0"/>
        <w:autoSpaceDE w:val="0"/>
        <w:autoSpaceDN w:val="0"/>
        <w:spacing w:line="360" w:lineRule="auto"/>
        <w:rPr>
          <w:rFonts w:ascii="Book Antiqua"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Pr>
          <w:rFonts w:ascii="Book Antiqua" w:eastAsia="Times New Roman" w:hAnsi="Book Antiqua"/>
          <w:b/>
          <w:color w:val="000000" w:themeColor="text1"/>
          <w:sz w:val="24"/>
          <w:szCs w:val="24"/>
        </w:rPr>
        <w:t>MATERIALS AND METHODS</w:t>
      </w:r>
    </w:p>
    <w:p w:rsidR="00EF7033" w:rsidRDefault="0035424A">
      <w:pPr>
        <w:widowControl w:val="0"/>
        <w:kinsoku w:val="0"/>
        <w:overflowPunct w:val="0"/>
        <w:autoSpaceDE w:val="0"/>
        <w:autoSpaceDN w:val="0"/>
        <w:spacing w:line="360" w:lineRule="auto"/>
        <w:rPr>
          <w:rFonts w:ascii="Book Antiqua" w:eastAsia="Times New Roman" w:hAnsi="Book Antiqua"/>
          <w:b/>
          <w:i/>
          <w:color w:val="000000" w:themeColor="text1"/>
          <w:sz w:val="24"/>
          <w:szCs w:val="24"/>
        </w:rPr>
      </w:pPr>
      <w:r>
        <w:rPr>
          <w:rFonts w:ascii="Book Antiqua" w:eastAsia="Times New Roman" w:hAnsi="Book Antiqua"/>
          <w:b/>
          <w:i/>
          <w:color w:val="000000" w:themeColor="text1"/>
          <w:sz w:val="24"/>
          <w:szCs w:val="24"/>
        </w:rPr>
        <w:t>Animals</w:t>
      </w:r>
    </w:p>
    <w:p w:rsidR="00EF7033" w:rsidRDefault="0035424A">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Pr>
          <w:rFonts w:ascii="Book Antiqua" w:eastAsia="Times New Roman" w:hAnsi="Book Antiqua"/>
          <w:color w:val="000000" w:themeColor="text1"/>
          <w:sz w:val="24"/>
          <w:szCs w:val="24"/>
        </w:rPr>
        <w:lastRenderedPageBreak/>
        <w:t xml:space="preserve">All experiments were performed on adult male </w:t>
      </w:r>
      <w:proofErr w:type="spellStart"/>
      <w:r>
        <w:rPr>
          <w:rFonts w:ascii="Book Antiqua" w:eastAsia="Times New Roman" w:hAnsi="Book Antiqua"/>
          <w:color w:val="000000" w:themeColor="text1"/>
          <w:sz w:val="24"/>
          <w:szCs w:val="24"/>
        </w:rPr>
        <w:t>Wistar</w:t>
      </w:r>
      <w:proofErr w:type="spellEnd"/>
      <w:r>
        <w:rPr>
          <w:rFonts w:ascii="Book Antiqua" w:eastAsia="Times New Roman" w:hAnsi="Book Antiqua"/>
          <w:color w:val="000000" w:themeColor="text1"/>
          <w:sz w:val="24"/>
          <w:szCs w:val="24"/>
        </w:rPr>
        <w:t xml:space="preserve"> rats weighing 200-225 g.</w:t>
      </w:r>
      <w:r>
        <w:rPr>
          <w:rFonts w:ascii="Book Antiqua" w:hAnsi="Book Antiqua"/>
          <w:color w:val="000000" w:themeColor="text1"/>
          <w:sz w:val="24"/>
          <w:szCs w:val="24"/>
        </w:rPr>
        <w:t xml:space="preserve"> </w:t>
      </w:r>
      <w:r>
        <w:rPr>
          <w:rFonts w:ascii="Book Antiqua" w:eastAsia="Times New Roman" w:hAnsi="Book Antiqua"/>
          <w:color w:val="000000" w:themeColor="text1"/>
          <w:sz w:val="24"/>
          <w:szCs w:val="24"/>
        </w:rPr>
        <w:t>Rats</w:t>
      </w:r>
      <w:r>
        <w:rPr>
          <w:rFonts w:ascii="Book Antiqua" w:hAnsi="Book Antiqua"/>
          <w:color w:val="000000" w:themeColor="text1"/>
          <w:sz w:val="24"/>
          <w:szCs w:val="24"/>
        </w:rPr>
        <w:t xml:space="preserve"> </w:t>
      </w:r>
      <w:r>
        <w:rPr>
          <w:rFonts w:ascii="Book Antiqua" w:eastAsia="Times New Roman" w:hAnsi="Book Antiqua"/>
          <w:color w:val="000000" w:themeColor="text1"/>
          <w:sz w:val="24"/>
          <w:szCs w:val="24"/>
        </w:rPr>
        <w:t xml:space="preserve">were obtained from the Guangdong experimental animal center. Animals were housed in plastic cages, with three rats per cage at room temperature (22 ± 1 °C) and 65%-70% humidity. Animals were maintained on a 12 h light/12 h dark cycle, with free access to water and feed. External oblique muscle electrode implantation was implemented after 5-7 d. </w:t>
      </w:r>
      <w:proofErr w:type="gramStart"/>
      <w:r>
        <w:rPr>
          <w:rFonts w:ascii="Book Antiqua" w:eastAsia="Times New Roman" w:hAnsi="Book Antiqua"/>
          <w:color w:val="000000" w:themeColor="text1"/>
          <w:sz w:val="24"/>
          <w:szCs w:val="24"/>
        </w:rPr>
        <w:t>Surgical</w:t>
      </w:r>
      <w:proofErr w:type="gramEnd"/>
      <w:r>
        <w:rPr>
          <w:rFonts w:ascii="Book Antiqua" w:eastAsia="Times New Roman" w:hAnsi="Book Antiqua"/>
          <w:color w:val="000000" w:themeColor="text1"/>
          <w:sz w:val="24"/>
          <w:szCs w:val="24"/>
        </w:rPr>
        <w:t xml:space="preserve"> preparations involved anesthetization with a </w:t>
      </w:r>
      <w:proofErr w:type="spellStart"/>
      <w:r>
        <w:rPr>
          <w:rFonts w:ascii="Book Antiqua" w:eastAsia="Times New Roman" w:hAnsi="Book Antiqua"/>
          <w:color w:val="000000" w:themeColor="text1"/>
          <w:sz w:val="24"/>
          <w:szCs w:val="24"/>
        </w:rPr>
        <w:t>xylazine</w:t>
      </w:r>
      <w:proofErr w:type="spellEnd"/>
      <w:r>
        <w:rPr>
          <w:rFonts w:ascii="Book Antiqua" w:eastAsia="Times New Roman" w:hAnsi="Book Antiqua"/>
          <w:color w:val="000000" w:themeColor="text1"/>
          <w:sz w:val="24"/>
          <w:szCs w:val="24"/>
        </w:rPr>
        <w:t>/ketamine mixture. The period of postoperative recovery of rats was 4-6 d. Experimental animals were maintained in accordance with internationally accepted principles for laboratory animal use.</w:t>
      </w:r>
    </w:p>
    <w:p w:rsidR="00EF7033" w:rsidRDefault="00EF7033">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imes New Roman" w:hAnsi="Book Antiqua"/>
          <w:b/>
          <w:i/>
          <w:color w:val="000000" w:themeColor="text1"/>
          <w:sz w:val="24"/>
          <w:szCs w:val="24"/>
        </w:rPr>
      </w:pPr>
      <w:r>
        <w:rPr>
          <w:rFonts w:ascii="Book Antiqua" w:eastAsia="Times New Roman" w:hAnsi="Book Antiqua"/>
          <w:b/>
          <w:i/>
          <w:color w:val="000000" w:themeColor="text1"/>
          <w:sz w:val="24"/>
          <w:szCs w:val="24"/>
        </w:rPr>
        <w:t xml:space="preserve">Chronic water avoidance stress protocol </w:t>
      </w:r>
    </w:p>
    <w:p w:rsidR="00EF7033" w:rsidRDefault="0035424A">
      <w:pPr>
        <w:widowControl w:val="0"/>
        <w:kinsoku w:val="0"/>
        <w:overflowPunct w:val="0"/>
        <w:autoSpaceDE w:val="0"/>
        <w:autoSpaceDN w:val="0"/>
        <w:spacing w:line="360" w:lineRule="auto"/>
        <w:rPr>
          <w:rFonts w:ascii="Book Antiqua" w:eastAsiaTheme="minorEastAsia" w:hAnsi="Book Antiqua"/>
          <w:color w:val="000000" w:themeColor="text1"/>
          <w:sz w:val="24"/>
          <w:szCs w:val="24"/>
          <w:vertAlign w:val="superscript"/>
        </w:rPr>
      </w:pPr>
      <w:r>
        <w:rPr>
          <w:rFonts w:ascii="Book Antiqua" w:eastAsia="Times New Roman" w:hAnsi="Book Antiqua"/>
          <w:color w:val="000000" w:themeColor="text1"/>
          <w:sz w:val="24"/>
          <w:szCs w:val="24"/>
        </w:rPr>
        <w:t xml:space="preserve">Chronic exposure of adult rats to water avoidance stress (WAS) was conducted as described </w:t>
      </w:r>
      <w:proofErr w:type="gramStart"/>
      <w:r>
        <w:rPr>
          <w:rFonts w:ascii="Book Antiqua" w:eastAsia="Times New Roman" w:hAnsi="Book Antiqua"/>
          <w:color w:val="000000" w:themeColor="text1"/>
          <w:sz w:val="24"/>
          <w:szCs w:val="24"/>
        </w:rPr>
        <w:t>previously</w:t>
      </w:r>
      <w:r>
        <w:rPr>
          <w:rFonts w:ascii="Book Antiqua" w:eastAsia="Times New Roman" w:hAnsi="Book Antiqua"/>
          <w:color w:val="000000" w:themeColor="text1"/>
          <w:sz w:val="24"/>
          <w:szCs w:val="24"/>
          <w:vertAlign w:val="superscript"/>
        </w:rPr>
        <w:t>[</w:t>
      </w:r>
      <w:proofErr w:type="gramEnd"/>
      <w:r>
        <w:fldChar w:fldCharType="begin"/>
      </w:r>
      <w:r>
        <w:instrText xml:space="preserve"> HYPERLINK "file:///C:\\Users\\Liansheng%20Ma\\Desktop\\Liansheng%20Ma\\Dispose\\2019-07-05-Final_Acceptance_WJG\\46893\\_ENREF_25" </w:instrText>
      </w:r>
      <w:r>
        <w:fldChar w:fldCharType="separate"/>
      </w:r>
      <w:r>
        <w:rPr>
          <w:rFonts w:ascii="Book Antiqua" w:eastAsia="Times New Roman" w:hAnsi="Book Antiqua"/>
          <w:color w:val="000000" w:themeColor="text1"/>
          <w:sz w:val="24"/>
          <w:szCs w:val="24"/>
          <w:vertAlign w:val="superscript"/>
        </w:rPr>
        <w:t>25</w:t>
      </w:r>
      <w:r>
        <w:rPr>
          <w:rFonts w:ascii="Book Antiqua" w:eastAsia="Times New Roman" w:hAnsi="Book Antiqua"/>
          <w:color w:val="000000" w:themeColor="text1"/>
          <w:sz w:val="24"/>
          <w:szCs w:val="24"/>
          <w:vertAlign w:val="superscript"/>
        </w:rPr>
        <w:fldChar w:fldCharType="end"/>
      </w:r>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 Briefly, animals were placed on a block in the middle of a Plexiglas tank filled with sterile water (25 °C; 1</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cm below the platform height). They were maintained on the block for 1 h daily for 10 consecutive days (Figure 1). Control rats were placed similarly in a tank without water for 1 h daily for 10 d. In separate studies, rats were treated by oral gavage of 3</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mL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suspension (150</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mg/kg, twice daily 6 h apart), 3</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mL water once a day, 3</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mL low dose BBR suspension (25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mg/kg, once a day), or 3</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mL high dose BBR suspension (100</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once a day) for 10 consecutive days. The rats were then submitted to daily sessions of WAS or sham WAS 3 h after each AM gavage for 10 d. Specific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and BBR doses were based on previous studies</w:t>
      </w:r>
      <w:r>
        <w:rPr>
          <w:rFonts w:ascii="Book Antiqua" w:eastAsia="Times New Roman" w:hAnsi="Book Antiqua"/>
          <w:color w:val="000000" w:themeColor="text1"/>
          <w:sz w:val="24"/>
          <w:szCs w:val="24"/>
          <w:vertAlign w:val="superscript"/>
        </w:rPr>
        <w:t>[</w:t>
      </w:r>
      <w:hyperlink r:id="rId14" w:history="1">
        <w:r>
          <w:rPr>
            <w:rFonts w:ascii="Book Antiqua" w:eastAsia="Times New Roman" w:hAnsi="Book Antiqua"/>
            <w:color w:val="000000" w:themeColor="text1"/>
            <w:sz w:val="24"/>
            <w:szCs w:val="24"/>
            <w:vertAlign w:val="superscript"/>
          </w:rPr>
          <w:t>22</w:t>
        </w:r>
      </w:hyperlink>
      <w:r>
        <w:rPr>
          <w:rFonts w:ascii="Book Antiqua" w:eastAsia="Times New Roman" w:hAnsi="Book Antiqua"/>
          <w:color w:val="000000" w:themeColor="text1"/>
          <w:sz w:val="24"/>
          <w:szCs w:val="24"/>
          <w:vertAlign w:val="superscript"/>
        </w:rPr>
        <w:t>,</w:t>
      </w:r>
      <w:hyperlink r:id="rId15" w:history="1">
        <w:r>
          <w:rPr>
            <w:rFonts w:ascii="Book Antiqua" w:eastAsia="Times New Roman" w:hAnsi="Book Antiqua"/>
            <w:color w:val="000000" w:themeColor="text1"/>
            <w:sz w:val="24"/>
            <w:szCs w:val="24"/>
            <w:vertAlign w:val="superscript"/>
          </w:rPr>
          <w:t>26</w:t>
        </w:r>
      </w:hyperlink>
      <w:r>
        <w:rPr>
          <w:rFonts w:ascii="Book Antiqua" w:eastAsia="Times New Roman" w:hAnsi="Book Antiqua"/>
          <w:color w:val="000000" w:themeColor="text1"/>
          <w:sz w:val="24"/>
          <w:szCs w:val="24"/>
          <w:vertAlign w:val="superscript"/>
        </w:rPr>
        <w:t>,</w:t>
      </w:r>
      <w:hyperlink r:id="rId16" w:history="1">
        <w:r>
          <w:rPr>
            <w:rFonts w:ascii="Book Antiqua" w:eastAsia="Times New Roman" w:hAnsi="Book Antiqua"/>
            <w:color w:val="000000" w:themeColor="text1"/>
            <w:sz w:val="24"/>
            <w:szCs w:val="24"/>
            <w:vertAlign w:val="superscript"/>
          </w:rPr>
          <w:t>27</w:t>
        </w:r>
      </w:hyperlink>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w:t>
      </w:r>
    </w:p>
    <w:p w:rsidR="00EF7033" w:rsidRDefault="00EF7033">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imes New Roman" w:hAnsi="Book Antiqua"/>
          <w:b/>
          <w:i/>
          <w:color w:val="000000" w:themeColor="text1"/>
          <w:sz w:val="24"/>
          <w:szCs w:val="24"/>
        </w:rPr>
      </w:pPr>
      <w:bookmarkStart w:id="43" w:name="_Hlk512865579"/>
      <w:r>
        <w:rPr>
          <w:rFonts w:ascii="Book Antiqua" w:eastAsia="Times New Roman" w:hAnsi="Book Antiqua"/>
          <w:b/>
          <w:i/>
          <w:color w:val="000000" w:themeColor="text1"/>
          <w:sz w:val="24"/>
          <w:szCs w:val="24"/>
        </w:rPr>
        <w:t>Visceromotor response to colorectal distention</w:t>
      </w:r>
      <w:bookmarkEnd w:id="43"/>
    </w:p>
    <w:p w:rsidR="00EF7033" w:rsidRDefault="0035424A">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Pr>
          <w:rFonts w:ascii="Book Antiqua" w:eastAsia="Times New Roman" w:hAnsi="Book Antiqua"/>
          <w:color w:val="000000" w:themeColor="text1"/>
          <w:sz w:val="24"/>
          <w:szCs w:val="24"/>
        </w:rPr>
        <w:t>The protocol for measuring</w:t>
      </w:r>
      <w:bookmarkStart w:id="44" w:name="OLE_LINK11"/>
      <w:bookmarkStart w:id="45" w:name="OLE_LINK12"/>
      <w:r>
        <w:rPr>
          <w:rFonts w:ascii="Book Antiqua" w:eastAsia="Times New Roman" w:hAnsi="Book Antiqua"/>
          <w:color w:val="000000" w:themeColor="text1"/>
          <w:sz w:val="24"/>
          <w:szCs w:val="24"/>
        </w:rPr>
        <w:t xml:space="preserve"> electromyogram</w:t>
      </w:r>
      <w:r>
        <w:rPr>
          <w:rFonts w:ascii="Book Antiqua" w:eastAsia="宋体" w:hAnsi="Book Antiqua" w:hint="eastAsia"/>
          <w:color w:val="000000" w:themeColor="text1"/>
          <w:sz w:val="24"/>
          <w:szCs w:val="24"/>
        </w:rPr>
        <w:t xml:space="preserve"> </w:t>
      </w:r>
      <w:r>
        <w:rPr>
          <w:rFonts w:ascii="Book Antiqua" w:eastAsia="宋体" w:hAnsi="Book Antiqua"/>
          <w:color w:val="000000" w:themeColor="text1"/>
          <w:sz w:val="24"/>
          <w:szCs w:val="24"/>
        </w:rPr>
        <w:t>(</w:t>
      </w:r>
      <w:r>
        <w:rPr>
          <w:rFonts w:ascii="Book Antiqua" w:eastAsia="Times New Roman" w:hAnsi="Book Antiqua"/>
          <w:color w:val="000000" w:themeColor="text1"/>
          <w:sz w:val="24"/>
          <w:szCs w:val="24"/>
        </w:rPr>
        <w:t>EMG</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in response to colorectal distention (CRD)</w:t>
      </w:r>
      <w:bookmarkEnd w:id="44"/>
      <w:bookmarkEnd w:id="45"/>
      <w:r>
        <w:rPr>
          <w:rFonts w:ascii="Book Antiqua" w:eastAsia="Times New Roman" w:hAnsi="Book Antiqua"/>
          <w:color w:val="000000" w:themeColor="text1"/>
          <w:sz w:val="24"/>
          <w:szCs w:val="24"/>
        </w:rPr>
        <w:t xml:space="preserve"> has been previously </w:t>
      </w:r>
      <w:proofErr w:type="gramStart"/>
      <w:r>
        <w:rPr>
          <w:rFonts w:ascii="Book Antiqua" w:eastAsia="Times New Roman" w:hAnsi="Book Antiqua"/>
          <w:color w:val="000000" w:themeColor="text1"/>
          <w:sz w:val="24"/>
          <w:szCs w:val="24"/>
        </w:rPr>
        <w:t>described</w:t>
      </w:r>
      <w:r>
        <w:rPr>
          <w:rFonts w:ascii="Book Antiqua" w:eastAsia="Times New Roman" w:hAnsi="Book Antiqua"/>
          <w:color w:val="000000" w:themeColor="text1"/>
          <w:sz w:val="24"/>
          <w:szCs w:val="24"/>
          <w:vertAlign w:val="superscript"/>
        </w:rPr>
        <w:t>[</w:t>
      </w:r>
      <w:proofErr w:type="gramEnd"/>
      <w:r>
        <w:fldChar w:fldCharType="begin"/>
      </w:r>
      <w:r>
        <w:instrText xml:space="preserve"> HYPERLINK "file:///C:\\Users\\Liansheng%20Ma\\Desktop\\Liansheng%20Ma\\Dispose\\2019-07-05-Final_Acceptance_WJG\\46893\\_ENREF_28" </w:instrText>
      </w:r>
      <w:r>
        <w:fldChar w:fldCharType="separate"/>
      </w:r>
      <w:r>
        <w:rPr>
          <w:rFonts w:ascii="Book Antiqua" w:eastAsia="Times New Roman" w:hAnsi="Book Antiqua"/>
          <w:color w:val="000000" w:themeColor="text1"/>
          <w:sz w:val="24"/>
          <w:szCs w:val="24"/>
          <w:vertAlign w:val="superscript"/>
        </w:rPr>
        <w:t>28</w:t>
      </w:r>
      <w:r>
        <w:rPr>
          <w:rFonts w:ascii="Book Antiqua" w:eastAsia="Times New Roman" w:hAnsi="Book Antiqua"/>
          <w:color w:val="000000" w:themeColor="text1"/>
          <w:sz w:val="24"/>
          <w:szCs w:val="24"/>
          <w:vertAlign w:val="superscript"/>
        </w:rPr>
        <w:fldChar w:fldCharType="end"/>
      </w:r>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 Briefly, rats with a surgery had 5 d for recovery, and were fasted for 24</w:t>
      </w:r>
      <w:r>
        <w:rPr>
          <w:rFonts w:ascii="Times New Roman" w:eastAsia="Times New Roman" w:hAnsi="Times New Roman"/>
          <w:color w:val="000000" w:themeColor="text1"/>
          <w:sz w:val="24"/>
          <w:szCs w:val="24"/>
        </w:rPr>
        <w:t> </w:t>
      </w:r>
      <w:r>
        <w:rPr>
          <w:rFonts w:ascii="Book Antiqua" w:eastAsia="Times New Roman" w:hAnsi="Book Antiqua"/>
          <w:color w:val="000000" w:themeColor="text1"/>
          <w:sz w:val="24"/>
          <w:szCs w:val="24"/>
        </w:rPr>
        <w:t xml:space="preserve">h before intracolonic infusion, </w:t>
      </w:r>
      <w:r>
        <w:rPr>
          <w:rFonts w:ascii="Book Antiqua" w:eastAsia="Times New Roman" w:hAnsi="Book Antiqua"/>
          <w:color w:val="000000" w:themeColor="text1"/>
          <w:sz w:val="24"/>
          <w:szCs w:val="24"/>
        </w:rPr>
        <w:lastRenderedPageBreak/>
        <w:t>CRD, and EMG. EMG of rats were detected on day 0 and day 11 under different pressures. The baseline was the average of EMG amplitudes measured in the control group at the 0-day CRD pressure of 60</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mmHg. The amplitudes of EMG under different CRD pressures were compared with the baseline (% of control). </w:t>
      </w:r>
      <w:bookmarkStart w:id="46" w:name="OLE_LINK13"/>
      <w:r>
        <w:rPr>
          <w:rFonts w:ascii="Book Antiqua" w:eastAsia="Times New Roman" w:hAnsi="Book Antiqua"/>
          <w:color w:val="000000" w:themeColor="text1"/>
          <w:sz w:val="24"/>
          <w:szCs w:val="24"/>
        </w:rPr>
        <w:t>We took the average EMG amplitude measured on day 11 subtracted by the average EMG amplitude detected on day 0</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 xml:space="preserve">and express it as </w:t>
      </w:r>
      <w:r>
        <w:rPr>
          <w:rFonts w:ascii="Cambria Math" w:eastAsia="Cambria Math" w:hAnsi="Cambria Math" w:cs="Cambria Math"/>
          <w:color w:val="000000" w:themeColor="text1"/>
          <w:sz w:val="24"/>
          <w:szCs w:val="24"/>
        </w:rPr>
        <w:t>△</w:t>
      </w:r>
      <w:r>
        <w:rPr>
          <w:rFonts w:ascii="Book Antiqua" w:eastAsia="Times New Roman" w:hAnsi="Book Antiqua"/>
          <w:color w:val="000000" w:themeColor="text1"/>
          <w:sz w:val="24"/>
          <w:szCs w:val="24"/>
        </w:rPr>
        <w:t xml:space="preserve">EMG. </w:t>
      </w:r>
    </w:p>
    <w:bookmarkEnd w:id="46"/>
    <w:p w:rsidR="00EF7033" w:rsidRDefault="00EF7033">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heme="minorEastAsia" w:hAnsi="Book Antiqua"/>
          <w:b/>
          <w:i/>
          <w:color w:val="000000" w:themeColor="text1"/>
          <w:sz w:val="24"/>
          <w:szCs w:val="24"/>
        </w:rPr>
      </w:pPr>
      <w:bookmarkStart w:id="47" w:name="OLE_LINK8"/>
      <w:bookmarkStart w:id="48" w:name="OLE_LINK5"/>
      <w:bookmarkStart w:id="49" w:name="_Hlk511678658"/>
      <w:r>
        <w:rPr>
          <w:rFonts w:ascii="Book Antiqua" w:eastAsia="Times New Roman" w:hAnsi="Book Antiqua"/>
          <w:b/>
          <w:i/>
          <w:color w:val="000000" w:themeColor="text1"/>
          <w:sz w:val="24"/>
          <w:szCs w:val="24"/>
        </w:rPr>
        <w:t>Determination of</w:t>
      </w:r>
      <w:bookmarkEnd w:id="47"/>
      <w:bookmarkEnd w:id="48"/>
      <w:r>
        <w:rPr>
          <w:rFonts w:ascii="Book Antiqua" w:eastAsia="Times New Roman" w:hAnsi="Book Antiqua"/>
          <w:b/>
          <w:i/>
          <w:color w:val="000000" w:themeColor="text1"/>
          <w:sz w:val="24"/>
          <w:szCs w:val="24"/>
        </w:rPr>
        <w:t xml:space="preserve"> gastrointestinal motility</w:t>
      </w:r>
      <w:bookmarkEnd w:id="49"/>
    </w:p>
    <w:p w:rsidR="00EF7033" w:rsidRDefault="0035424A">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Pr>
          <w:rFonts w:ascii="Book Antiqua" w:eastAsia="Times New Roman" w:hAnsi="Book Antiqua"/>
          <w:color w:val="000000" w:themeColor="text1"/>
          <w:sz w:val="24"/>
          <w:szCs w:val="24"/>
        </w:rPr>
        <w:t xml:space="preserve">The protocol for detecting the gastrointestinal transit has been previously </w:t>
      </w:r>
      <w:proofErr w:type="gramStart"/>
      <w:r>
        <w:rPr>
          <w:rFonts w:ascii="Book Antiqua" w:eastAsia="Times New Roman" w:hAnsi="Book Antiqua"/>
          <w:color w:val="000000" w:themeColor="text1"/>
          <w:sz w:val="24"/>
          <w:szCs w:val="24"/>
        </w:rPr>
        <w:t>described</w:t>
      </w:r>
      <w:r>
        <w:rPr>
          <w:rFonts w:ascii="Book Antiqua" w:eastAsia="Times New Roman" w:hAnsi="Book Antiqua"/>
          <w:color w:val="000000" w:themeColor="text1"/>
          <w:sz w:val="24"/>
          <w:szCs w:val="24"/>
          <w:vertAlign w:val="superscript"/>
        </w:rPr>
        <w:t>[</w:t>
      </w:r>
      <w:proofErr w:type="gramEnd"/>
      <w:r>
        <w:fldChar w:fldCharType="begin"/>
      </w:r>
      <w:r>
        <w:instrText xml:space="preserve"> HYPERLINK "file:///C:\\Users\\Liansheng%20Ma\\Desktop\\Liansheng%20Ma\\Dispose\\2019-07-05-Final_Acceptance_WJG\\46893\\_ENREF_29" </w:instrText>
      </w:r>
      <w:r>
        <w:fldChar w:fldCharType="separate"/>
      </w:r>
      <w:r>
        <w:rPr>
          <w:rFonts w:ascii="Book Antiqua" w:eastAsia="Times New Roman" w:hAnsi="Book Antiqua"/>
          <w:color w:val="000000" w:themeColor="text1"/>
          <w:sz w:val="24"/>
          <w:szCs w:val="24"/>
          <w:vertAlign w:val="superscript"/>
        </w:rPr>
        <w:t>29</w:t>
      </w:r>
      <w:r>
        <w:rPr>
          <w:rFonts w:ascii="Book Antiqua" w:eastAsia="Times New Roman" w:hAnsi="Book Antiqua"/>
          <w:color w:val="000000" w:themeColor="text1"/>
          <w:sz w:val="24"/>
          <w:szCs w:val="24"/>
          <w:vertAlign w:val="superscript"/>
        </w:rPr>
        <w:fldChar w:fldCharType="end"/>
      </w:r>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 xml:space="preserve">. For total gastrointestinal transit, after the animals were fasted overnight, activated carbon ink was orally administered at a dose of 10 mL/kg. The time that animals first defecated black feces was recorded. For small intestinal transit, after an overnight fast, activated carbon ink was orally administered at a dose of 10 mL/kg to each animal. After 30 min, the rats were sacrificed by cervical dislocation. The small intestine was immediately excised carefully without stretching and the distance traveled by ink was measured as well as the total length of the small intestine. Data are expressed as the proportion (%) of the distance traveled by the ink along the entire length of the small intestine. </w:t>
      </w:r>
    </w:p>
    <w:p w:rsidR="00EF7033" w:rsidRDefault="00EF7033">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heme="minorEastAsia" w:hAnsi="Book Antiqua"/>
          <w:b/>
          <w:i/>
          <w:color w:val="000000" w:themeColor="text1"/>
          <w:sz w:val="24"/>
          <w:szCs w:val="24"/>
        </w:rPr>
      </w:pPr>
      <w:r>
        <w:rPr>
          <w:rFonts w:ascii="Book Antiqua" w:eastAsia="Times New Roman" w:hAnsi="Book Antiqua"/>
          <w:b/>
          <w:i/>
          <w:color w:val="000000" w:themeColor="text1"/>
          <w:sz w:val="24"/>
          <w:szCs w:val="24"/>
        </w:rPr>
        <w:t>Evaluation of intestinal inflammatory response in rats</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bookmarkStart w:id="50" w:name="OLE_LINK22"/>
      <w:bookmarkStart w:id="51" w:name="OLE_LINK23"/>
      <w:r>
        <w:rPr>
          <w:rFonts w:ascii="Book Antiqua" w:eastAsia="Times New Roman" w:hAnsi="Book Antiqua"/>
          <w:color w:val="000000" w:themeColor="text1"/>
          <w:sz w:val="24"/>
          <w:szCs w:val="24"/>
        </w:rPr>
        <w:t>Hematoxylin and eosin</w:t>
      </w:r>
      <w:r>
        <w:rPr>
          <w:rFonts w:ascii="Book Antiqua" w:hAnsi="Book Antiqua"/>
          <w:color w:val="000000" w:themeColor="text1"/>
          <w:sz w:val="24"/>
          <w:szCs w:val="24"/>
        </w:rPr>
        <w:t xml:space="preserve"> (</w:t>
      </w:r>
      <w:r>
        <w:rPr>
          <w:rFonts w:ascii="Book Antiqua" w:eastAsia="Times New Roman" w:hAnsi="Book Antiqua"/>
          <w:color w:val="000000" w:themeColor="text1"/>
          <w:sz w:val="24"/>
          <w:szCs w:val="24"/>
        </w:rPr>
        <w:t xml:space="preserve">HE) staining </w:t>
      </w:r>
      <w:bookmarkEnd w:id="50"/>
      <w:bookmarkEnd w:id="51"/>
      <w:r>
        <w:rPr>
          <w:rFonts w:ascii="Book Antiqua" w:eastAsia="Times New Roman" w:hAnsi="Book Antiqua"/>
          <w:color w:val="000000" w:themeColor="text1"/>
          <w:sz w:val="24"/>
          <w:szCs w:val="24"/>
        </w:rPr>
        <w:t>was carried out in rat distal ileum tissue, and the inflammatory changes were observed under a microscope.</w:t>
      </w:r>
    </w:p>
    <w:p w:rsidR="00EF7033" w:rsidRDefault="00EF7033">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imes New Roman" w:hAnsi="Book Antiqua"/>
          <w:b/>
          <w:i/>
          <w:color w:val="000000" w:themeColor="text1"/>
          <w:sz w:val="24"/>
          <w:szCs w:val="24"/>
        </w:rPr>
      </w:pPr>
      <w:r>
        <w:rPr>
          <w:rFonts w:ascii="Book Antiqua" w:eastAsia="Times New Roman" w:hAnsi="Book Antiqua"/>
          <w:b/>
          <w:i/>
          <w:color w:val="000000" w:themeColor="text1"/>
          <w:sz w:val="24"/>
          <w:szCs w:val="24"/>
        </w:rPr>
        <w:t>Enzyme-linked immunosorbent assay</w:t>
      </w:r>
    </w:p>
    <w:p w:rsidR="00EF7033" w:rsidRDefault="0035424A">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Pr>
          <w:rFonts w:ascii="Book Antiqua" w:eastAsia="Times New Roman" w:hAnsi="Book Antiqua"/>
          <w:color w:val="000000" w:themeColor="text1"/>
          <w:sz w:val="24"/>
          <w:szCs w:val="24"/>
        </w:rPr>
        <w:t xml:space="preserve">Distal ileum tissue (50 mg) was homogenized in a glass homogenizer containing 2 mL cold saline. The homogenates were centrifuged at low temperature for 20 min at 3000 rpm. The protein concentration in the </w:t>
      </w:r>
      <w:r>
        <w:rPr>
          <w:rFonts w:ascii="Book Antiqua" w:eastAsia="Times New Roman" w:hAnsi="Book Antiqua"/>
          <w:color w:val="000000" w:themeColor="text1"/>
          <w:sz w:val="24"/>
          <w:szCs w:val="24"/>
        </w:rPr>
        <w:lastRenderedPageBreak/>
        <w:t>supernatant was quantified on a</w:t>
      </w:r>
      <w:r>
        <w:rPr>
          <w:rFonts w:ascii="Book Antiqua" w:eastAsiaTheme="minorEastAsia" w:hAnsi="Book Antiqua"/>
          <w:color w:val="000000" w:themeColor="text1"/>
          <w:sz w:val="24"/>
          <w:szCs w:val="24"/>
        </w:rPr>
        <w:t xml:space="preserve"> </w:t>
      </w:r>
      <w:proofErr w:type="spellStart"/>
      <w:r>
        <w:rPr>
          <w:rFonts w:ascii="Book Antiqua" w:eastAsia="Times New Roman" w:hAnsi="Book Antiqua"/>
          <w:color w:val="000000" w:themeColor="text1"/>
          <w:sz w:val="24"/>
          <w:szCs w:val="24"/>
        </w:rPr>
        <w:t>Nanodrop</w:t>
      </w:r>
      <w:proofErr w:type="spellEnd"/>
      <w:r>
        <w:rPr>
          <w:rFonts w:ascii="Book Antiqua" w:eastAsia="Times New Roman" w:hAnsi="Book Antiqua"/>
          <w:color w:val="000000" w:themeColor="text1"/>
          <w:sz w:val="24"/>
          <w:szCs w:val="24"/>
        </w:rPr>
        <w:t xml:space="preserve"> 2000 (Thermo Fisher Scientific, Waltham, MA, United States). The concentrations of IL-1β, IL-6, TNF-α, IFN-γ, IL-10, and TGF-β were determined according to the manufacturer’s instructions.</w:t>
      </w:r>
    </w:p>
    <w:p w:rsidR="00EF7033" w:rsidRDefault="00EF7033">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imes New Roman" w:hAnsi="Book Antiqua"/>
          <w:b/>
          <w:i/>
          <w:color w:val="000000" w:themeColor="text1"/>
          <w:sz w:val="24"/>
          <w:szCs w:val="24"/>
        </w:rPr>
      </w:pPr>
      <w:r>
        <w:rPr>
          <w:rFonts w:ascii="Book Antiqua" w:eastAsia="Times New Roman" w:hAnsi="Book Antiqua"/>
          <w:b/>
          <w:i/>
          <w:color w:val="000000" w:themeColor="text1"/>
          <w:sz w:val="24"/>
          <w:szCs w:val="24"/>
        </w:rPr>
        <w:t>Modified enzyme-linked immunosorbent assay</w:t>
      </w:r>
    </w:p>
    <w:p w:rsidR="00EF7033" w:rsidRDefault="0035424A">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Pr>
          <w:rFonts w:ascii="Book Antiqua" w:eastAsia="Times New Roman" w:hAnsi="Book Antiqua"/>
          <w:color w:val="000000" w:themeColor="text1"/>
          <w:sz w:val="24"/>
          <w:szCs w:val="24"/>
        </w:rPr>
        <w:t>Cytoplasmic protein and nuclear protein were extracted from the rat ileum. Expression of NF-</w:t>
      </w:r>
      <w:proofErr w:type="spellStart"/>
      <w:r>
        <w:rPr>
          <w:rFonts w:ascii="Book Antiqua" w:eastAsia="Times New Roman" w:hAnsi="Book Antiqua"/>
          <w:color w:val="000000" w:themeColor="text1"/>
          <w:sz w:val="24"/>
          <w:szCs w:val="24"/>
        </w:rPr>
        <w:t>κB</w:t>
      </w:r>
      <w:proofErr w:type="spellEnd"/>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P65</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DNA-binding protein was measured with a commercially available modified ELISA kit [Cayman NF-</w:t>
      </w:r>
      <w:proofErr w:type="spellStart"/>
      <w:r>
        <w:rPr>
          <w:rFonts w:ascii="Book Antiqua" w:eastAsia="Times New Roman" w:hAnsi="Book Antiqua"/>
          <w:color w:val="000000" w:themeColor="text1"/>
          <w:sz w:val="24"/>
          <w:szCs w:val="24"/>
        </w:rPr>
        <w:t>κB</w:t>
      </w:r>
      <w:proofErr w:type="spellEnd"/>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P65</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Transcription Factor Assay Kit].</w:t>
      </w:r>
    </w:p>
    <w:p w:rsidR="00EF7033" w:rsidRDefault="00EF7033">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imes New Roman" w:hAnsi="Book Antiqua"/>
          <w:b/>
          <w:i/>
          <w:color w:val="000000" w:themeColor="text1"/>
          <w:sz w:val="24"/>
          <w:szCs w:val="24"/>
        </w:rPr>
      </w:pPr>
      <w:r>
        <w:rPr>
          <w:rFonts w:ascii="Book Antiqua" w:eastAsia="Times New Roman" w:hAnsi="Book Antiqua"/>
          <w:b/>
          <w:i/>
          <w:color w:val="000000" w:themeColor="text1"/>
          <w:sz w:val="24"/>
          <w:szCs w:val="24"/>
        </w:rPr>
        <w:t>Western blot analysis</w:t>
      </w:r>
    </w:p>
    <w:p w:rsidR="00EF7033" w:rsidRDefault="0035424A">
      <w:pPr>
        <w:widowControl w:val="0"/>
        <w:kinsoku w:val="0"/>
        <w:overflowPunct w:val="0"/>
        <w:autoSpaceDE w:val="0"/>
        <w:autoSpaceDN w:val="0"/>
        <w:spacing w:line="360" w:lineRule="auto"/>
        <w:rPr>
          <w:rFonts w:ascii="Book Antiqua" w:eastAsiaTheme="minorEastAsia" w:hAnsi="Book Antiqua"/>
          <w:color w:val="000000" w:themeColor="text1"/>
          <w:sz w:val="24"/>
          <w:szCs w:val="24"/>
          <w:shd w:val="clear" w:color="000000" w:fill="FFFFFF"/>
        </w:rPr>
      </w:pPr>
      <w:r>
        <w:rPr>
          <w:rFonts w:ascii="Book Antiqua" w:eastAsia="Times New Roman" w:hAnsi="Book Antiqua"/>
          <w:color w:val="000000" w:themeColor="text1"/>
          <w:sz w:val="24"/>
          <w:szCs w:val="24"/>
        </w:rPr>
        <w:t>Cytoplasmic protein and nuclear protein were extracted and quantified. Protein (20</w:t>
      </w:r>
      <w:r>
        <w:rPr>
          <w:rFonts w:ascii="Times New Roman" w:eastAsia="Times New Roman" w:hAnsi="Times New Roman"/>
          <w:color w:val="000000" w:themeColor="text1"/>
          <w:sz w:val="24"/>
          <w:szCs w:val="24"/>
        </w:rPr>
        <w:t> </w:t>
      </w:r>
      <w:proofErr w:type="spellStart"/>
      <w:r>
        <w:rPr>
          <w:rFonts w:ascii="Book Antiqua" w:eastAsia="Times New Roman" w:hAnsi="Book Antiqua" w:cs="Book Antiqua"/>
          <w:color w:val="000000" w:themeColor="text1"/>
          <w:sz w:val="24"/>
          <w:szCs w:val="24"/>
        </w:rPr>
        <w:t>μ</w:t>
      </w:r>
      <w:r>
        <w:rPr>
          <w:rFonts w:ascii="Book Antiqua" w:eastAsia="Times New Roman" w:hAnsi="Book Antiqua"/>
          <w:color w:val="000000" w:themeColor="text1"/>
          <w:sz w:val="24"/>
          <w:szCs w:val="24"/>
        </w:rPr>
        <w:t>g</w:t>
      </w:r>
      <w:proofErr w:type="spellEnd"/>
      <w:r>
        <w:rPr>
          <w:rFonts w:ascii="Book Antiqua" w:eastAsia="Times New Roman" w:hAnsi="Book Antiqua"/>
          <w:color w:val="000000" w:themeColor="text1"/>
          <w:sz w:val="24"/>
          <w:szCs w:val="24"/>
        </w:rPr>
        <w:t>) was separated on an SDS-PAGE gel and then electro-transferred onto a nitrocellulose membrane (0.2</w:t>
      </w:r>
      <w:r>
        <w:rPr>
          <w:rFonts w:ascii="Times New Roman" w:eastAsia="Times New Roman" w:hAnsi="Times New Roman"/>
          <w:color w:val="000000" w:themeColor="text1"/>
          <w:sz w:val="24"/>
          <w:szCs w:val="24"/>
        </w:rPr>
        <w:t> </w:t>
      </w:r>
      <w:proofErr w:type="spellStart"/>
      <w:r>
        <w:rPr>
          <w:rFonts w:ascii="Book Antiqua" w:eastAsia="Times New Roman" w:hAnsi="Book Antiqua" w:cs="Book Antiqua"/>
          <w:color w:val="000000" w:themeColor="text1"/>
          <w:sz w:val="24"/>
          <w:szCs w:val="24"/>
        </w:rPr>
        <w:t>μ</w:t>
      </w:r>
      <w:r>
        <w:rPr>
          <w:rFonts w:ascii="Book Antiqua" w:eastAsia="Times New Roman" w:hAnsi="Book Antiqua"/>
          <w:color w:val="000000" w:themeColor="text1"/>
          <w:sz w:val="24"/>
          <w:szCs w:val="24"/>
        </w:rPr>
        <w:t>m</w:t>
      </w:r>
      <w:proofErr w:type="spellEnd"/>
      <w:r>
        <w:rPr>
          <w:rFonts w:ascii="Book Antiqua" w:eastAsia="Times New Roman" w:hAnsi="Book Antiqua"/>
          <w:color w:val="000000" w:themeColor="text1"/>
          <w:sz w:val="24"/>
          <w:szCs w:val="24"/>
        </w:rPr>
        <w:t xml:space="preserve"> pore; WHATMAN, England). The membrane was incubated with primary antibodies overnight at 4</w:t>
      </w:r>
      <w:r>
        <w:rPr>
          <w:rFonts w:ascii="Times New Roman" w:eastAsia="Times New Roman" w:hAnsi="Times New Roman"/>
          <w:color w:val="000000" w:themeColor="text1"/>
          <w:sz w:val="24"/>
          <w:szCs w:val="24"/>
        </w:rPr>
        <w:t> </w:t>
      </w:r>
      <w:r>
        <w:rPr>
          <w:rFonts w:ascii="Book Antiqua" w:eastAsia="Times New Roman" w:hAnsi="Book Antiqua" w:cs="Book Antiqua"/>
          <w:color w:val="000000" w:themeColor="text1"/>
          <w:sz w:val="24"/>
          <w:szCs w:val="24"/>
        </w:rPr>
        <w:t>°</w:t>
      </w:r>
      <w:r>
        <w:rPr>
          <w:rFonts w:ascii="Book Antiqua" w:eastAsia="Times New Roman" w:hAnsi="Book Antiqua"/>
          <w:color w:val="000000" w:themeColor="text1"/>
          <w:sz w:val="24"/>
          <w:szCs w:val="24"/>
        </w:rPr>
        <w:t>C, followed by incubation with secondary antibodies labeled with horseradish peroxidase.</w:t>
      </w:r>
      <w:r>
        <w:rPr>
          <w:rFonts w:ascii="Book Antiqua" w:eastAsia="Times New Roman" w:hAnsi="Book Antiqua"/>
          <w:color w:val="000000" w:themeColor="text1"/>
          <w:sz w:val="24"/>
          <w:szCs w:val="24"/>
          <w:shd w:val="clear" w:color="000000" w:fill="FFFFFF"/>
        </w:rPr>
        <w:t xml:space="preserve"> </w:t>
      </w:r>
      <w:r>
        <w:rPr>
          <w:rFonts w:ascii="Book Antiqua" w:eastAsia="Times New Roman" w:hAnsi="Book Antiqua"/>
          <w:color w:val="000000" w:themeColor="text1"/>
          <w:sz w:val="24"/>
          <w:szCs w:val="24"/>
        </w:rPr>
        <w:t>Signals were quantified using ImageJ software.</w:t>
      </w:r>
      <w:r>
        <w:rPr>
          <w:rStyle w:val="apple-converted-space"/>
          <w:rFonts w:ascii="Book Antiqua" w:eastAsiaTheme="minorEastAsia" w:hAnsi="Book Antiqua"/>
          <w:color w:val="000000" w:themeColor="text1"/>
          <w:sz w:val="24"/>
          <w:szCs w:val="24"/>
          <w:shd w:val="clear" w:color="000000" w:fill="FFFFFF"/>
        </w:rPr>
        <w:t xml:space="preserve"> </w:t>
      </w:r>
      <w:r>
        <w:rPr>
          <w:rFonts w:ascii="Book Antiqua" w:eastAsia="Times New Roman" w:hAnsi="Book Antiqua"/>
          <w:color w:val="000000" w:themeColor="text1"/>
          <w:sz w:val="24"/>
          <w:szCs w:val="24"/>
          <w:shd w:val="clear" w:color="000000" w:fill="FFFFFF"/>
        </w:rPr>
        <w:t xml:space="preserve">Antibodies </w:t>
      </w:r>
      <w:r w:rsidR="00F76626">
        <w:rPr>
          <w:rFonts w:ascii="Book Antiqua" w:eastAsia="Times New Roman" w:hAnsi="Book Antiqua"/>
          <w:color w:val="000000" w:themeColor="text1"/>
          <w:sz w:val="24"/>
          <w:szCs w:val="24"/>
          <w:shd w:val="clear" w:color="000000" w:fill="FFFFFF"/>
        </w:rPr>
        <w:t xml:space="preserve">used </w:t>
      </w:r>
      <w:r>
        <w:rPr>
          <w:rFonts w:ascii="Book Antiqua" w:eastAsia="Times New Roman" w:hAnsi="Book Antiqua"/>
          <w:color w:val="000000" w:themeColor="text1"/>
          <w:sz w:val="24"/>
          <w:szCs w:val="24"/>
          <w:shd w:val="clear" w:color="000000" w:fill="FFFFFF"/>
        </w:rPr>
        <w:t>included</w:t>
      </w:r>
      <w:r>
        <w:rPr>
          <w:rFonts w:ascii="Book Antiqua" w:eastAsia="Times New Roman" w:hAnsi="Book Antiqua"/>
          <w:color w:val="000000" w:themeColor="text1"/>
          <w:sz w:val="24"/>
          <w:szCs w:val="24"/>
        </w:rPr>
        <w:t xml:space="preserve"> anti-</w:t>
      </w:r>
      <w:r>
        <w:rPr>
          <w:rFonts w:ascii="Book Antiqua" w:eastAsia="Times New Roman" w:hAnsi="Book Antiqua"/>
          <w:color w:val="000000" w:themeColor="text1"/>
          <w:sz w:val="24"/>
          <w:szCs w:val="24"/>
          <w:shd w:val="clear" w:color="000000" w:fill="FFFFFF"/>
        </w:rPr>
        <w:t>NF-kappa B P65 antibody (mouse,</w:t>
      </w:r>
      <w:r>
        <w:rPr>
          <w:rFonts w:ascii="Book Antiqua" w:eastAsiaTheme="minorEastAsia" w:hAnsi="Book Antiqua"/>
          <w:color w:val="000000" w:themeColor="text1"/>
          <w:sz w:val="24"/>
          <w:szCs w:val="24"/>
          <w:shd w:val="clear" w:color="000000" w:fill="FFFFFF"/>
        </w:rPr>
        <w:t xml:space="preserve"> </w:t>
      </w:r>
      <w:r>
        <w:rPr>
          <w:rFonts w:ascii="Book Antiqua" w:eastAsia="Times New Roman" w:hAnsi="Book Antiqua"/>
          <w:color w:val="000000" w:themeColor="text1"/>
          <w:sz w:val="24"/>
          <w:szCs w:val="24"/>
          <w:shd w:val="clear" w:color="000000" w:fill="FFFFFF"/>
        </w:rPr>
        <w:t xml:space="preserve">1:1000, Santa Cruz, United States), </w:t>
      </w:r>
      <w:r>
        <w:rPr>
          <w:rFonts w:ascii="Book Antiqua" w:eastAsia="Times New Roman" w:hAnsi="Book Antiqua"/>
          <w:color w:val="000000" w:themeColor="text1"/>
          <w:sz w:val="24"/>
          <w:szCs w:val="24"/>
        </w:rPr>
        <w:t>anti-C-kit</w:t>
      </w:r>
      <w:r>
        <w:rPr>
          <w:rFonts w:ascii="Book Antiqua" w:eastAsia="Times New Roman" w:hAnsi="Book Antiqua"/>
          <w:color w:val="000000" w:themeColor="text1"/>
          <w:sz w:val="24"/>
          <w:szCs w:val="24"/>
          <w:shd w:val="clear" w:color="000000" w:fill="FFFFFF"/>
        </w:rPr>
        <w:t xml:space="preserve"> antibody</w:t>
      </w:r>
      <w:r>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shd w:val="clear" w:color="000000" w:fill="FFFFFF"/>
        </w:rPr>
        <w:t>(mouse,</w:t>
      </w:r>
      <w:r>
        <w:rPr>
          <w:rFonts w:ascii="Book Antiqua" w:eastAsiaTheme="minorEastAsia" w:hAnsi="Book Antiqua"/>
          <w:color w:val="000000" w:themeColor="text1"/>
          <w:sz w:val="24"/>
          <w:szCs w:val="24"/>
          <w:shd w:val="clear" w:color="000000" w:fill="FFFFFF"/>
        </w:rPr>
        <w:t xml:space="preserve"> </w:t>
      </w:r>
      <w:r>
        <w:rPr>
          <w:rFonts w:ascii="Book Antiqua" w:eastAsia="Times New Roman" w:hAnsi="Book Antiqua"/>
          <w:color w:val="000000" w:themeColor="text1"/>
          <w:sz w:val="24"/>
          <w:szCs w:val="24"/>
          <w:shd w:val="clear" w:color="000000" w:fill="FFFFFF"/>
        </w:rPr>
        <w:t>1:1000, Santa Cruz, United States), anti-</w:t>
      </w:r>
      <w:proofErr w:type="spellStart"/>
      <w:r>
        <w:rPr>
          <w:rFonts w:ascii="Book Antiqua" w:eastAsia="Times New Roman" w:hAnsi="Book Antiqua"/>
          <w:color w:val="000000" w:themeColor="text1"/>
          <w:sz w:val="24"/>
          <w:szCs w:val="24"/>
        </w:rPr>
        <w:t>Trkb</w:t>
      </w:r>
      <w:proofErr w:type="spellEnd"/>
      <w:r>
        <w:rPr>
          <w:rFonts w:ascii="Book Antiqua" w:eastAsia="Times New Roman" w:hAnsi="Book Antiqua"/>
          <w:color w:val="000000" w:themeColor="text1"/>
          <w:sz w:val="24"/>
          <w:szCs w:val="24"/>
        </w:rPr>
        <w:t xml:space="preserve"> monoclonal </w:t>
      </w:r>
      <w:r>
        <w:rPr>
          <w:rFonts w:ascii="Book Antiqua" w:eastAsia="Times New Roman" w:hAnsi="Book Antiqua"/>
          <w:color w:val="000000" w:themeColor="text1"/>
          <w:sz w:val="24"/>
          <w:szCs w:val="24"/>
          <w:shd w:val="clear" w:color="000000" w:fill="FFFFFF"/>
        </w:rPr>
        <w:t>antibody</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(rabbit </w:t>
      </w:r>
      <w:r>
        <w:rPr>
          <w:rFonts w:ascii="Book Antiqua" w:eastAsia="Times New Roman" w:hAnsi="Book Antiqua"/>
          <w:color w:val="000000" w:themeColor="text1"/>
          <w:sz w:val="24"/>
          <w:szCs w:val="24"/>
          <w:shd w:val="clear" w:color="000000" w:fill="FFFFFF"/>
        </w:rPr>
        <w:t>1:1000, Cell signaling Technology, United States</w:t>
      </w:r>
      <w:r>
        <w:rPr>
          <w:rFonts w:ascii="Book Antiqua" w:eastAsia="Times New Roman" w:hAnsi="Book Antiqua"/>
          <w:color w:val="000000" w:themeColor="text1"/>
          <w:sz w:val="24"/>
          <w:szCs w:val="24"/>
        </w:rPr>
        <w:t>),</w:t>
      </w:r>
      <w:r>
        <w:rPr>
          <w:rFonts w:ascii="Book Antiqua" w:eastAsia="宋体" w:hAnsi="Book Antiqua"/>
          <w:color w:val="000000" w:themeColor="text1"/>
          <w:sz w:val="24"/>
          <w:szCs w:val="24"/>
        </w:rPr>
        <w:t xml:space="preserve"> anti-</w:t>
      </w:r>
      <w:r>
        <w:rPr>
          <w:rFonts w:ascii="Book Antiqua" w:eastAsia="Times New Roman" w:hAnsi="Book Antiqua"/>
          <w:color w:val="000000" w:themeColor="text1"/>
          <w:sz w:val="24"/>
          <w:szCs w:val="24"/>
          <w:shd w:val="clear" w:color="000000" w:fill="FFFFFF"/>
        </w:rPr>
        <w:t xml:space="preserve">GAPDH antibody (1:1000, </w:t>
      </w:r>
      <w:proofErr w:type="spellStart"/>
      <w:r>
        <w:rPr>
          <w:rFonts w:ascii="Book Antiqua" w:eastAsia="Times New Roman" w:hAnsi="Book Antiqua"/>
          <w:color w:val="000000" w:themeColor="text1"/>
          <w:sz w:val="24"/>
          <w:szCs w:val="24"/>
        </w:rPr>
        <w:t>Proteintech</w:t>
      </w:r>
      <w:proofErr w:type="spellEnd"/>
      <w:r>
        <w:rPr>
          <w:rFonts w:ascii="Book Antiqua" w:eastAsia="Times New Roman" w:hAnsi="Book Antiqua"/>
          <w:color w:val="000000" w:themeColor="text1"/>
          <w:sz w:val="24"/>
          <w:szCs w:val="24"/>
          <w:shd w:val="clear" w:color="000000" w:fill="FFFFFF"/>
        </w:rPr>
        <w:t xml:space="preserve">, United States), and horseradish peroxidase-conjugated anti-rabbit/mouse secondary antibodies (1:10000, </w:t>
      </w:r>
      <w:proofErr w:type="spellStart"/>
      <w:r>
        <w:rPr>
          <w:rFonts w:ascii="Book Antiqua" w:eastAsia="Times New Roman" w:hAnsi="Book Antiqua"/>
          <w:color w:val="000000" w:themeColor="text1"/>
          <w:sz w:val="24"/>
          <w:szCs w:val="24"/>
          <w:shd w:val="clear" w:color="000000" w:fill="FFFFFF"/>
        </w:rPr>
        <w:t>Zhongshan</w:t>
      </w:r>
      <w:proofErr w:type="spellEnd"/>
      <w:r>
        <w:rPr>
          <w:rFonts w:ascii="Book Antiqua" w:eastAsia="Times New Roman" w:hAnsi="Book Antiqua"/>
          <w:color w:val="000000" w:themeColor="text1"/>
          <w:sz w:val="24"/>
          <w:szCs w:val="24"/>
          <w:shd w:val="clear" w:color="000000" w:fill="FFFFFF"/>
        </w:rPr>
        <w:t xml:space="preserve"> Gold Bridge, Beijing, China).</w:t>
      </w:r>
    </w:p>
    <w:p w:rsidR="00EF7033" w:rsidRDefault="00EF7033">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imes New Roman" w:hAnsi="Book Antiqua"/>
          <w:i/>
          <w:color w:val="000000" w:themeColor="text1"/>
          <w:sz w:val="24"/>
          <w:szCs w:val="24"/>
        </w:rPr>
      </w:pPr>
      <w:r>
        <w:rPr>
          <w:rFonts w:ascii="Book Antiqua" w:eastAsia="Times New Roman" w:hAnsi="Book Antiqua"/>
          <w:b/>
          <w:i/>
          <w:color w:val="000000" w:themeColor="text1"/>
          <w:sz w:val="24"/>
          <w:szCs w:val="24"/>
        </w:rPr>
        <w:t>Quantitative real-time polymerase chain reaction</w:t>
      </w:r>
    </w:p>
    <w:p w:rsidR="00EF7033" w:rsidRDefault="0035424A">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Pr>
          <w:rFonts w:ascii="Book Antiqua" w:eastAsia="Times New Roman" w:hAnsi="Book Antiqua"/>
          <w:color w:val="000000" w:themeColor="text1"/>
          <w:sz w:val="24"/>
          <w:szCs w:val="24"/>
        </w:rPr>
        <w:t xml:space="preserve">Total RNA was extracted from distal ileum samples using </w:t>
      </w:r>
      <w:proofErr w:type="spellStart"/>
      <w:r>
        <w:rPr>
          <w:rFonts w:ascii="Book Antiqua" w:eastAsia="Times New Roman" w:hAnsi="Book Antiqua"/>
          <w:color w:val="000000" w:themeColor="text1"/>
          <w:sz w:val="24"/>
          <w:szCs w:val="24"/>
        </w:rPr>
        <w:t>TRIzol</w:t>
      </w:r>
      <w:proofErr w:type="spellEnd"/>
      <w:r>
        <w:rPr>
          <w:rFonts w:ascii="Book Antiqua" w:eastAsia="Times New Roman" w:hAnsi="Book Antiqua"/>
          <w:color w:val="000000" w:themeColor="text1"/>
          <w:sz w:val="24"/>
          <w:szCs w:val="24"/>
        </w:rPr>
        <w:t xml:space="preserve"> reagent (Thermo Scientific, </w:t>
      </w:r>
      <w:r>
        <w:rPr>
          <w:rFonts w:ascii="Book Antiqua" w:eastAsia="Times New Roman" w:hAnsi="Book Antiqua"/>
          <w:color w:val="000000" w:themeColor="text1"/>
          <w:sz w:val="24"/>
          <w:szCs w:val="24"/>
          <w:shd w:val="clear" w:color="000000" w:fill="FFFFFF"/>
        </w:rPr>
        <w:t>United States</w:t>
      </w:r>
      <w:r>
        <w:rPr>
          <w:rFonts w:ascii="Book Antiqua" w:eastAsia="Times New Roman" w:hAnsi="Book Antiqua"/>
          <w:color w:val="000000" w:themeColor="text1"/>
          <w:sz w:val="24"/>
          <w:szCs w:val="24"/>
        </w:rPr>
        <w:t xml:space="preserve">). </w:t>
      </w:r>
      <w:proofErr w:type="gramStart"/>
      <w:r>
        <w:rPr>
          <w:rFonts w:ascii="Book Antiqua" w:eastAsia="Times New Roman" w:hAnsi="Book Antiqua"/>
          <w:color w:val="000000" w:themeColor="text1"/>
          <w:sz w:val="24"/>
          <w:szCs w:val="24"/>
        </w:rPr>
        <w:t>cDNA</w:t>
      </w:r>
      <w:proofErr w:type="gramEnd"/>
      <w:r>
        <w:rPr>
          <w:rFonts w:ascii="Book Antiqua" w:eastAsia="Times New Roman" w:hAnsi="Book Antiqua"/>
          <w:color w:val="000000" w:themeColor="text1"/>
          <w:sz w:val="24"/>
          <w:szCs w:val="24"/>
        </w:rPr>
        <w:t xml:space="preserve"> was synthesized using a reverse </w:t>
      </w:r>
      <w:r>
        <w:rPr>
          <w:rFonts w:ascii="Book Antiqua" w:eastAsia="Times New Roman" w:hAnsi="Book Antiqua"/>
          <w:color w:val="000000" w:themeColor="text1"/>
          <w:sz w:val="24"/>
          <w:szCs w:val="24"/>
        </w:rPr>
        <w:lastRenderedPageBreak/>
        <w:t xml:space="preserve">transcription kit (Thermo Scientific, </w:t>
      </w:r>
      <w:r>
        <w:rPr>
          <w:rFonts w:ascii="Book Antiqua" w:eastAsia="Times New Roman" w:hAnsi="Book Antiqua"/>
          <w:color w:val="000000" w:themeColor="text1"/>
          <w:sz w:val="24"/>
          <w:szCs w:val="24"/>
          <w:shd w:val="clear" w:color="000000" w:fill="FFFFFF"/>
        </w:rPr>
        <w:t>United States</w:t>
      </w:r>
      <w:r>
        <w:rPr>
          <w:rFonts w:ascii="Book Antiqua" w:eastAsia="Times New Roman" w:hAnsi="Book Antiqua"/>
          <w:color w:val="000000" w:themeColor="text1"/>
          <w:sz w:val="24"/>
          <w:szCs w:val="24"/>
        </w:rPr>
        <w:t xml:space="preserve">). Quantitative PCR for inflammatory cytokines and C-kit mRNA was performed with an </w:t>
      </w:r>
      <w:proofErr w:type="spellStart"/>
      <w:r>
        <w:rPr>
          <w:rFonts w:ascii="Book Antiqua" w:eastAsia="Times New Roman" w:hAnsi="Book Antiqua"/>
          <w:color w:val="000000" w:themeColor="text1"/>
          <w:sz w:val="24"/>
          <w:szCs w:val="24"/>
        </w:rPr>
        <w:t>iCycler</w:t>
      </w:r>
      <w:proofErr w:type="spellEnd"/>
      <w:r>
        <w:rPr>
          <w:rFonts w:ascii="Book Antiqua" w:eastAsia="Times New Roman" w:hAnsi="Book Antiqua"/>
          <w:color w:val="000000" w:themeColor="text1"/>
          <w:sz w:val="24"/>
          <w:szCs w:val="24"/>
        </w:rPr>
        <w:t xml:space="preserve"> IQ real-time detection system (Bio-Rad Laboratories, Hercules, CA, </w:t>
      </w:r>
      <w:r>
        <w:rPr>
          <w:rFonts w:ascii="Book Antiqua" w:eastAsia="Times New Roman" w:hAnsi="Book Antiqua"/>
          <w:color w:val="000000" w:themeColor="text1"/>
          <w:sz w:val="24"/>
          <w:szCs w:val="24"/>
          <w:shd w:val="clear" w:color="000000" w:fill="FFFFFF"/>
        </w:rPr>
        <w:t>United States</w:t>
      </w:r>
      <w:r>
        <w:rPr>
          <w:rFonts w:ascii="Book Antiqua" w:eastAsia="Times New Roman" w:hAnsi="Book Antiqua"/>
          <w:color w:val="000000" w:themeColor="text1"/>
          <w:sz w:val="24"/>
          <w:szCs w:val="24"/>
        </w:rPr>
        <w:t xml:space="preserve">) and detected with SYBR Green </w:t>
      </w:r>
      <w:r>
        <w:rPr>
          <w:rFonts w:ascii="Book Antiqua" w:eastAsia="Times New Roman" w:hAnsi="Book Antiqua"/>
          <w:color w:val="000000" w:themeColor="text1"/>
          <w:sz w:val="24"/>
          <w:szCs w:val="24"/>
          <w:shd w:val="clear" w:color="000000" w:fill="FFFFFF"/>
        </w:rPr>
        <w:t xml:space="preserve">in a fluorescence </w:t>
      </w:r>
      <w:proofErr w:type="spellStart"/>
      <w:r>
        <w:rPr>
          <w:rFonts w:ascii="Book Antiqua" w:eastAsia="Times New Roman" w:hAnsi="Book Antiqua"/>
          <w:color w:val="000000" w:themeColor="text1"/>
          <w:sz w:val="24"/>
          <w:szCs w:val="24"/>
          <w:shd w:val="clear" w:color="000000" w:fill="FFFFFF"/>
        </w:rPr>
        <w:t>thermocycler</w:t>
      </w:r>
      <w:proofErr w:type="spellEnd"/>
      <w:r>
        <w:rPr>
          <w:rFonts w:ascii="Book Antiqua" w:eastAsia="Times New Roman" w:hAnsi="Book Antiqua"/>
          <w:color w:val="000000" w:themeColor="text1"/>
          <w:sz w:val="24"/>
          <w:szCs w:val="24"/>
          <w:shd w:val="clear" w:color="000000" w:fill="FFFFFF"/>
        </w:rPr>
        <w:t xml:space="preserve"> (</w:t>
      </w:r>
      <w:proofErr w:type="spellStart"/>
      <w:r>
        <w:rPr>
          <w:rFonts w:ascii="Book Antiqua" w:eastAsia="Times New Roman" w:hAnsi="Book Antiqua"/>
          <w:color w:val="000000" w:themeColor="text1"/>
          <w:sz w:val="24"/>
          <w:szCs w:val="24"/>
          <w:shd w:val="clear" w:color="000000" w:fill="FFFFFF"/>
        </w:rPr>
        <w:t>LightCycler</w:t>
      </w:r>
      <w:proofErr w:type="spellEnd"/>
      <w:r>
        <w:rPr>
          <w:rFonts w:ascii="Book Antiqua" w:eastAsia="Times New Roman" w:hAnsi="Book Antiqua"/>
          <w:color w:val="000000" w:themeColor="text1"/>
          <w:sz w:val="24"/>
          <w:szCs w:val="24"/>
          <w:shd w:val="clear" w:color="000000" w:fill="FFFFFF"/>
        </w:rPr>
        <w:t>; Roche Diagnostics, Mannheim, Germany).</w:t>
      </w:r>
      <w:r>
        <w:rPr>
          <w:rFonts w:ascii="Book Antiqua" w:eastAsia="Times New Roman" w:hAnsi="Book Antiqua"/>
          <w:color w:val="000000" w:themeColor="text1"/>
          <w:sz w:val="24"/>
          <w:szCs w:val="24"/>
        </w:rPr>
        <w:t xml:space="preserve"> Primer sequences used for PCR are listed in Table 1. The double standard curve method was used to calculate the results.</w:t>
      </w:r>
    </w:p>
    <w:p w:rsidR="00EF7033" w:rsidRDefault="00EF7033">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imes New Roman" w:hAnsi="Book Antiqua"/>
          <w:b/>
          <w:i/>
          <w:color w:val="000000" w:themeColor="text1"/>
          <w:sz w:val="24"/>
          <w:szCs w:val="24"/>
        </w:rPr>
      </w:pPr>
      <w:r>
        <w:rPr>
          <w:rFonts w:ascii="Book Antiqua" w:eastAsia="Times New Roman" w:hAnsi="Book Antiqua"/>
          <w:b/>
          <w:i/>
          <w:color w:val="000000" w:themeColor="text1"/>
          <w:sz w:val="24"/>
          <w:szCs w:val="24"/>
        </w:rPr>
        <w:t>Statistical analysis</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Changes of EMG under different CRD pressures before and after experiments were analyzed using SPSS13.0. The statistical data are represented by the mean with standard deviation. We conducted normal test and variance homogeneity test for each group of experimental data. If the variance is homogeneous, the one-factor ANOVA was adopted, and the Bonferroni test was used to compare the two groups for the overall difference. If the variance was not homogenous, </w:t>
      </w:r>
      <w:proofErr w:type="spellStart"/>
      <w:r>
        <w:rPr>
          <w:rFonts w:ascii="Book Antiqua" w:eastAsia="Times New Roman" w:hAnsi="Book Antiqua"/>
          <w:color w:val="000000" w:themeColor="text1"/>
          <w:sz w:val="24"/>
          <w:szCs w:val="24"/>
        </w:rPr>
        <w:t>Kruskal</w:t>
      </w:r>
      <w:proofErr w:type="spellEnd"/>
      <w:r>
        <w:rPr>
          <w:rFonts w:ascii="Book Antiqua" w:eastAsia="Times New Roman" w:hAnsi="Book Antiqua"/>
          <w:color w:val="000000" w:themeColor="text1"/>
          <w:sz w:val="24"/>
          <w:szCs w:val="24"/>
        </w:rPr>
        <w:t xml:space="preserve"> Wallis </w:t>
      </w:r>
      <w:r>
        <w:rPr>
          <w:rFonts w:ascii="Book Antiqua" w:eastAsia="Times New Roman" w:hAnsi="Book Antiqua"/>
          <w:i/>
          <w:iCs/>
          <w:color w:val="000000" w:themeColor="text1"/>
          <w:sz w:val="24"/>
          <w:szCs w:val="24"/>
        </w:rPr>
        <w:t>H</w:t>
      </w:r>
      <w:r>
        <w:rPr>
          <w:rFonts w:ascii="Book Antiqua" w:eastAsia="Times New Roman" w:hAnsi="Book Antiqua"/>
          <w:color w:val="000000" w:themeColor="text1"/>
          <w:sz w:val="24"/>
          <w:szCs w:val="24"/>
        </w:rPr>
        <w:t xml:space="preserve"> test was adopted and the Mann Whitney </w:t>
      </w:r>
      <w:r>
        <w:rPr>
          <w:rFonts w:ascii="Book Antiqua" w:eastAsia="Times New Roman" w:hAnsi="Book Antiqua"/>
          <w:i/>
          <w:iCs/>
          <w:color w:val="000000" w:themeColor="text1"/>
          <w:sz w:val="24"/>
          <w:szCs w:val="24"/>
        </w:rPr>
        <w:t>U</w:t>
      </w:r>
      <w:r>
        <w:rPr>
          <w:rFonts w:ascii="Book Antiqua" w:eastAsia="Times New Roman" w:hAnsi="Book Antiqua"/>
          <w:color w:val="000000" w:themeColor="text1"/>
          <w:sz w:val="24"/>
          <w:szCs w:val="24"/>
        </w:rPr>
        <w:t xml:space="preserve"> test was used to compare each group for the overall difference. </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rPr>
        <w:t xml:space="preserve"> &lt; 0.05 was considered statistically significant.</w:t>
      </w:r>
    </w:p>
    <w:p w:rsidR="00EF7033" w:rsidRDefault="00EF7033">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Pr>
          <w:rFonts w:ascii="Book Antiqua" w:eastAsia="Times New Roman" w:hAnsi="Book Antiqua"/>
          <w:b/>
          <w:color w:val="000000" w:themeColor="text1"/>
          <w:sz w:val="24"/>
          <w:szCs w:val="24"/>
        </w:rPr>
        <w:t>RESULTS</w:t>
      </w:r>
    </w:p>
    <w:p w:rsidR="00EF7033" w:rsidRDefault="0035424A">
      <w:pPr>
        <w:widowControl w:val="0"/>
        <w:kinsoku w:val="0"/>
        <w:overflowPunct w:val="0"/>
        <w:autoSpaceDE w:val="0"/>
        <w:autoSpaceDN w:val="0"/>
        <w:spacing w:line="360" w:lineRule="auto"/>
        <w:rPr>
          <w:rFonts w:ascii="Book Antiqua" w:eastAsiaTheme="minorEastAsia" w:hAnsi="Book Antiqua"/>
          <w:b/>
          <w:i/>
          <w:color w:val="000000" w:themeColor="text1"/>
          <w:sz w:val="24"/>
          <w:szCs w:val="24"/>
        </w:rPr>
      </w:pPr>
      <w:r>
        <w:rPr>
          <w:rFonts w:ascii="Book Antiqua" w:eastAsiaTheme="minorEastAsia" w:hAnsi="Book Antiqua"/>
          <w:b/>
          <w:i/>
          <w:color w:val="000000" w:themeColor="text1"/>
          <w:sz w:val="24"/>
          <w:szCs w:val="24"/>
        </w:rPr>
        <w:t>WAS</w:t>
      </w:r>
      <w:r>
        <w:rPr>
          <w:rFonts w:ascii="Book Antiqua" w:eastAsia="Times New Roman" w:hAnsi="Book Antiqua"/>
          <w:b/>
          <w:i/>
          <w:color w:val="000000" w:themeColor="text1"/>
          <w:sz w:val="24"/>
          <w:szCs w:val="24"/>
        </w:rPr>
        <w:t xml:space="preserve"> </w:t>
      </w:r>
      <w:r>
        <w:rPr>
          <w:rFonts w:ascii="Book Antiqua" w:eastAsia="Times New Roman" w:hAnsi="Book Antiqua"/>
          <w:b/>
          <w:i/>
          <w:color w:val="000000" w:themeColor="text1"/>
          <w:sz w:val="24"/>
          <w:szCs w:val="24"/>
          <w:shd w:val="clear" w:color="000000" w:fill="FFFFFF"/>
        </w:rPr>
        <w:t>induces intestinal inflammation in rats</w:t>
      </w:r>
    </w:p>
    <w:p w:rsidR="00EF7033" w:rsidRDefault="0035424A">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Pr>
          <w:rFonts w:ascii="Book Antiqua" w:eastAsia="Times New Roman" w:hAnsi="Book Antiqua"/>
          <w:color w:val="000000" w:themeColor="text1"/>
          <w:sz w:val="24"/>
          <w:szCs w:val="24"/>
        </w:rPr>
        <w:t>Compared with the control group, the WAS group showed a low inflammatory response in the intestinal tract (Figure 2). The expression levels of P65 DNA binding protein and NF-</w:t>
      </w:r>
      <w:proofErr w:type="spellStart"/>
      <w:r>
        <w:rPr>
          <w:rFonts w:ascii="Book Antiqua" w:eastAsia="Times New Roman" w:hAnsi="Book Antiqua"/>
          <w:color w:val="000000" w:themeColor="text1"/>
          <w:sz w:val="24"/>
          <w:szCs w:val="24"/>
        </w:rPr>
        <w:t>κB</w:t>
      </w:r>
      <w:proofErr w:type="spellEnd"/>
      <w:r>
        <w:rPr>
          <w:rFonts w:ascii="Book Antiqua" w:eastAsia="Times New Roman" w:hAnsi="Book Antiqua"/>
          <w:color w:val="000000" w:themeColor="text1"/>
          <w:sz w:val="24"/>
          <w:szCs w:val="24"/>
        </w:rPr>
        <w:t xml:space="preserve"> (P65) were significantly increased in the WAS group (</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rPr>
        <w:t xml:space="preserve"> &lt; 0.05) (Figure 3). The levels of pro-inflammatory cytokines IL-1β, IL-6, TNF-α, and IFN-γ were increased, while the levels of anti-inflammatory cytokines IL-10 and TGF-β were decreased (</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rPr>
        <w:t xml:space="preserve"> &lt; 0.05</w:t>
      </w:r>
      <w:r>
        <w:rPr>
          <w:rFonts w:ascii="Book Antiqua" w:eastAsia="宋体" w:hAnsi="Book Antiqua" w:hint="eastAsia"/>
          <w:color w:val="000000" w:themeColor="text1"/>
          <w:sz w:val="24"/>
          <w:szCs w:val="24"/>
        </w:rPr>
        <w:t>)</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in the WAS group compared with the control group (Figures 4</w:t>
      </w:r>
      <w:r>
        <w:rPr>
          <w:rFonts w:ascii="Book Antiqua" w:eastAsiaTheme="minorEastAsia" w:hAnsi="Book Antiqua"/>
          <w:color w:val="000000" w:themeColor="text1"/>
          <w:sz w:val="24"/>
          <w:szCs w:val="24"/>
        </w:rPr>
        <w:t xml:space="preserve"> and</w:t>
      </w:r>
      <w:r>
        <w:rPr>
          <w:rFonts w:ascii="Book Antiqua" w:eastAsia="Times New Roman" w:hAnsi="Book Antiqua"/>
          <w:color w:val="000000" w:themeColor="text1"/>
          <w:sz w:val="24"/>
          <w:szCs w:val="24"/>
        </w:rPr>
        <w:t xml:space="preserve"> 5).</w:t>
      </w:r>
    </w:p>
    <w:p w:rsidR="00EF7033" w:rsidRDefault="00EF7033">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imes New Roman" w:hAnsi="Book Antiqua"/>
          <w:b/>
          <w:i/>
          <w:color w:val="000000" w:themeColor="text1"/>
          <w:sz w:val="24"/>
          <w:szCs w:val="24"/>
        </w:rPr>
      </w:pPr>
      <w:r>
        <w:rPr>
          <w:rFonts w:ascii="Book Antiqua" w:eastAsia="Times New Roman" w:hAnsi="Book Antiqua"/>
          <w:b/>
          <w:i/>
          <w:color w:val="000000" w:themeColor="text1"/>
          <w:sz w:val="24"/>
          <w:szCs w:val="24"/>
        </w:rPr>
        <w:lastRenderedPageBreak/>
        <w:t xml:space="preserve">Chronic WAS induces visceral </w:t>
      </w:r>
      <w:proofErr w:type="spellStart"/>
      <w:r>
        <w:rPr>
          <w:rFonts w:ascii="Book Antiqua" w:eastAsia="Times New Roman" w:hAnsi="Book Antiqua"/>
          <w:b/>
          <w:i/>
          <w:color w:val="000000" w:themeColor="text1"/>
          <w:sz w:val="24"/>
          <w:szCs w:val="24"/>
        </w:rPr>
        <w:t>hyperalgesia</w:t>
      </w:r>
      <w:proofErr w:type="spellEnd"/>
      <w:r>
        <w:rPr>
          <w:rFonts w:ascii="Book Antiqua" w:eastAsia="Times New Roman" w:hAnsi="Book Antiqua"/>
          <w:b/>
          <w:i/>
          <w:color w:val="000000" w:themeColor="text1"/>
          <w:sz w:val="24"/>
          <w:szCs w:val="24"/>
        </w:rPr>
        <w:t xml:space="preserve"> and intestinal </w:t>
      </w:r>
      <w:proofErr w:type="spellStart"/>
      <w:r>
        <w:rPr>
          <w:rFonts w:ascii="Book Antiqua" w:eastAsia="Times New Roman" w:hAnsi="Book Antiqua"/>
          <w:b/>
          <w:i/>
          <w:color w:val="000000" w:themeColor="text1"/>
          <w:sz w:val="24"/>
          <w:szCs w:val="24"/>
        </w:rPr>
        <w:t>hyperdynamics</w:t>
      </w:r>
      <w:proofErr w:type="spellEnd"/>
    </w:p>
    <w:p w:rsidR="00EF7033" w:rsidRDefault="0035424A">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Pr>
          <w:rFonts w:ascii="Book Antiqua" w:eastAsia="Times New Roman" w:hAnsi="Book Antiqua"/>
          <w:color w:val="000000" w:themeColor="text1"/>
          <w:sz w:val="24"/>
          <w:szCs w:val="24"/>
        </w:rPr>
        <w:t xml:space="preserve">After 10 d of WAS or sham WAS (control group), the rats showed a pressure-dependent increase in EMG amplitude in response to CRD. On day 11, chronic WAS induced a greater increase in EMG amplitude in response to CRD compared to sham WAS. Such increase was significantly different at 40 mmHg (ΔEMG response after WAS over baseline: 46.14 ± 11.1 </w:t>
      </w:r>
      <w:r>
        <w:rPr>
          <w:rFonts w:ascii="Book Antiqua" w:eastAsia="Times New Roman" w:hAnsi="Book Antiqua"/>
          <w:i/>
          <w:iCs/>
          <w:color w:val="000000" w:themeColor="text1"/>
          <w:sz w:val="24"/>
          <w:szCs w:val="24"/>
        </w:rPr>
        <w:t>vs</w:t>
      </w:r>
      <w:r>
        <w:rPr>
          <w:rFonts w:ascii="Book Antiqua" w:eastAsia="Times New Roman" w:hAnsi="Book Antiqua"/>
          <w:color w:val="000000" w:themeColor="text1"/>
          <w:sz w:val="24"/>
          <w:szCs w:val="24"/>
        </w:rPr>
        <w:t xml:space="preserve"> 3.8 ± 13.8 after sham WAS over baseline, </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rPr>
        <w:t xml:space="preserve"> &lt; 0.05), and 60 mmHg (ΔEMG response after WAS over baseline: 59.58 ± 17.8 </w:t>
      </w:r>
      <w:r>
        <w:rPr>
          <w:rFonts w:ascii="Book Antiqua" w:eastAsia="Times New Roman" w:hAnsi="Book Antiqua"/>
          <w:i/>
          <w:iCs/>
          <w:color w:val="000000" w:themeColor="text1"/>
          <w:sz w:val="24"/>
          <w:szCs w:val="24"/>
        </w:rPr>
        <w:t>vs</w:t>
      </w:r>
      <w:r>
        <w:rPr>
          <w:rFonts w:ascii="Book Antiqua" w:eastAsia="Times New Roman" w:hAnsi="Book Antiqua"/>
          <w:color w:val="000000" w:themeColor="text1"/>
          <w:sz w:val="24"/>
          <w:szCs w:val="24"/>
        </w:rPr>
        <w:t xml:space="preserve"> 0.45 ± 9.6 after sham WAS over baseline, </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rPr>
        <w:t xml:space="preserve"> &lt; 0.05) (Figure 6).</w:t>
      </w:r>
      <w:r>
        <w:rPr>
          <w:rFonts w:ascii="Book Antiqua" w:hAnsi="Book Antiqua"/>
          <w:color w:val="000000" w:themeColor="text1"/>
          <w:sz w:val="24"/>
          <w:szCs w:val="24"/>
        </w:rPr>
        <w:t xml:space="preserve"> </w:t>
      </w:r>
      <w:r>
        <w:rPr>
          <w:rFonts w:ascii="Book Antiqua" w:eastAsia="Times New Roman" w:hAnsi="Book Antiqua"/>
          <w:color w:val="000000" w:themeColor="text1"/>
          <w:sz w:val="24"/>
          <w:szCs w:val="24"/>
        </w:rPr>
        <w:t>Gastrointestinal motility assay showed that the time to the first black feces in the WAS group was significantly shorter than that in the control group (457.47 ± 25.99</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min </w:t>
      </w:r>
      <w:r>
        <w:rPr>
          <w:rFonts w:ascii="Book Antiqua" w:eastAsia="Times New Roman" w:hAnsi="Book Antiqua"/>
          <w:i/>
          <w:iCs/>
          <w:color w:val="000000" w:themeColor="text1"/>
          <w:sz w:val="24"/>
          <w:szCs w:val="24"/>
        </w:rPr>
        <w:t>vs</w:t>
      </w:r>
      <w:r>
        <w:rPr>
          <w:rFonts w:ascii="Book Antiqua" w:eastAsia="Times New Roman" w:hAnsi="Book Antiqua"/>
          <w:color w:val="000000" w:themeColor="text1"/>
          <w:sz w:val="24"/>
          <w:szCs w:val="24"/>
        </w:rPr>
        <w:t xml:space="preserve"> 580.40 ± 40.44</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min, </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rPr>
        <w:t xml:space="preserve"> &lt; 0.05). The proportion (%) of the distance traveled by the ink along the entire length of the small intestine in the WAS group was significantly lower than that in the control group (63.77 ± 2.77% </w:t>
      </w:r>
      <w:r>
        <w:rPr>
          <w:rFonts w:ascii="Book Antiqua" w:eastAsia="Times New Roman" w:hAnsi="Book Antiqua"/>
          <w:i/>
          <w:iCs/>
          <w:color w:val="000000" w:themeColor="text1"/>
          <w:sz w:val="24"/>
          <w:szCs w:val="24"/>
        </w:rPr>
        <w:t>vs</w:t>
      </w:r>
      <w:r>
        <w:rPr>
          <w:rFonts w:ascii="Book Antiqua" w:eastAsia="Times New Roman" w:hAnsi="Book Antiqua"/>
          <w:color w:val="000000" w:themeColor="text1"/>
          <w:sz w:val="24"/>
          <w:szCs w:val="24"/>
        </w:rPr>
        <w:t xml:space="preserve"> 49.03 ± 4.60%, </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rPr>
        <w:t xml:space="preserve"> &lt; 0.05) (Figure 7). Compared with the control group, the expression of BDNF and its receptor </w:t>
      </w:r>
      <w:proofErr w:type="spellStart"/>
      <w:r>
        <w:rPr>
          <w:rFonts w:ascii="Book Antiqua" w:eastAsia="Times New Roman" w:hAnsi="Book Antiqua"/>
          <w:color w:val="000000" w:themeColor="text1"/>
          <w:sz w:val="24"/>
          <w:szCs w:val="24"/>
        </w:rPr>
        <w:t>Trkb</w:t>
      </w:r>
      <w:proofErr w:type="spellEnd"/>
      <w:r>
        <w:rPr>
          <w:rFonts w:ascii="Book Antiqua" w:eastAsia="Times New Roman" w:hAnsi="Book Antiqua"/>
          <w:color w:val="000000" w:themeColor="text1"/>
          <w:sz w:val="24"/>
          <w:szCs w:val="24"/>
        </w:rPr>
        <w:t xml:space="preserve"> was significantly increased in the WAS group (</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rPr>
        <w:t xml:space="preserve"> &lt; 0.05) (Figure 8). </w:t>
      </w:r>
      <w:r>
        <w:rPr>
          <w:rFonts w:ascii="Book Antiqua" w:eastAsia="Times New Roman" w:hAnsi="Book Antiqua"/>
          <w:color w:val="000000" w:themeColor="text1"/>
          <w:sz w:val="24"/>
          <w:szCs w:val="24"/>
          <w:shd w:val="clear" w:color="000000" w:fill="FFFFFF"/>
        </w:rPr>
        <w:t>C-kit expression in the WAS group was also significantly increased in the WAS group compared to the control group (</w:t>
      </w:r>
      <w:r>
        <w:rPr>
          <w:rFonts w:ascii="Book Antiqua" w:eastAsia="Times New Roman" w:hAnsi="Book Antiqua"/>
          <w:i/>
          <w:iCs/>
          <w:color w:val="000000" w:themeColor="text1"/>
          <w:sz w:val="24"/>
          <w:szCs w:val="24"/>
          <w:shd w:val="clear" w:color="000000" w:fill="FFFFFF"/>
        </w:rPr>
        <w:t>P</w:t>
      </w:r>
      <w:r>
        <w:rPr>
          <w:rFonts w:ascii="Book Antiqua" w:eastAsia="Times New Roman" w:hAnsi="Book Antiqua"/>
          <w:color w:val="000000" w:themeColor="text1"/>
          <w:sz w:val="24"/>
          <w:szCs w:val="24"/>
          <w:shd w:val="clear" w:color="000000" w:fill="FFFFFF"/>
        </w:rPr>
        <w:t xml:space="preserve"> &lt; 0.05)</w:t>
      </w:r>
      <w:r>
        <w:rPr>
          <w:rFonts w:ascii="Book Antiqua" w:eastAsia="Times New Roman" w:hAnsi="Book Antiqua"/>
          <w:color w:val="000000" w:themeColor="text1"/>
          <w:sz w:val="24"/>
          <w:szCs w:val="24"/>
        </w:rPr>
        <w:t xml:space="preserve"> (Figure 9)</w:t>
      </w:r>
      <w:r>
        <w:rPr>
          <w:rFonts w:ascii="Book Antiqua" w:eastAsiaTheme="minorEastAsia" w:hAnsi="Book Antiqua"/>
          <w:color w:val="000000" w:themeColor="text1"/>
          <w:sz w:val="24"/>
          <w:szCs w:val="24"/>
        </w:rPr>
        <w:t>.</w:t>
      </w:r>
    </w:p>
    <w:p w:rsidR="00EF7033" w:rsidRDefault="00EF7033">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imes New Roman" w:hAnsi="Book Antiqua"/>
          <w:b/>
          <w:i/>
          <w:color w:val="000000" w:themeColor="text1"/>
          <w:sz w:val="24"/>
          <w:szCs w:val="24"/>
        </w:rPr>
      </w:pPr>
      <w:r>
        <w:rPr>
          <w:rFonts w:ascii="Book Antiqua" w:eastAsia="Times New Roman" w:hAnsi="Book Antiqua"/>
          <w:b/>
          <w:i/>
          <w:color w:val="000000" w:themeColor="text1"/>
          <w:sz w:val="24"/>
          <w:szCs w:val="24"/>
          <w:shd w:val="clear" w:color="000000" w:fill="FFFFFF"/>
        </w:rPr>
        <w:t xml:space="preserve">BBR </w:t>
      </w:r>
      <w:r>
        <w:rPr>
          <w:rFonts w:ascii="Book Antiqua" w:eastAsia="Times New Roman" w:hAnsi="Book Antiqua"/>
          <w:b/>
          <w:i/>
          <w:color w:val="000000" w:themeColor="text1"/>
          <w:sz w:val="24"/>
          <w:szCs w:val="24"/>
        </w:rPr>
        <w:t>prevents mucosal inflammation</w:t>
      </w:r>
    </w:p>
    <w:p w:rsidR="00EF7033" w:rsidRDefault="0035424A">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r>
        <w:rPr>
          <w:rFonts w:ascii="Book Antiqua" w:eastAsia="Times New Roman" w:hAnsi="Book Antiqua"/>
          <w:color w:val="000000" w:themeColor="text1"/>
          <w:sz w:val="24"/>
          <w:szCs w:val="24"/>
        </w:rPr>
        <w:t xml:space="preserve">Compared with the WAS group, after oral administration of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25 mg/kg BBR, or 100 mg/kg BBR, the tissues were intact, and there were no significant neutrophils at the distal ileum </w:t>
      </w:r>
      <w:r>
        <w:rPr>
          <w:rFonts w:ascii="Book Antiqua" w:eastAsia="Times New Roman" w:hAnsi="Book Antiqua"/>
          <w:color w:val="000000" w:themeColor="text1"/>
          <w:sz w:val="24"/>
          <w:szCs w:val="24"/>
          <w:shd w:val="clear" w:color="000000" w:fill="FFFFFF"/>
        </w:rPr>
        <w:t>(</w:t>
      </w:r>
      <w:r>
        <w:rPr>
          <w:rFonts w:ascii="Book Antiqua" w:eastAsia="Times New Roman" w:hAnsi="Book Antiqua"/>
          <w:color w:val="000000" w:themeColor="text1"/>
          <w:sz w:val="24"/>
          <w:szCs w:val="24"/>
        </w:rPr>
        <w:t>Figure 2). In the treatment group, the expression level of DNA-binding protein and NF-</w:t>
      </w:r>
      <w:proofErr w:type="spellStart"/>
      <w:r>
        <w:rPr>
          <w:rFonts w:ascii="Book Antiqua" w:eastAsia="Times New Roman" w:hAnsi="Book Antiqua"/>
          <w:color w:val="000000" w:themeColor="text1"/>
          <w:sz w:val="24"/>
          <w:szCs w:val="24"/>
        </w:rPr>
        <w:t>κB</w:t>
      </w:r>
      <w:proofErr w:type="spellEnd"/>
      <w:r>
        <w:rPr>
          <w:rFonts w:ascii="Book Antiqua" w:eastAsia="Times New Roman" w:hAnsi="Book Antiqua"/>
          <w:color w:val="000000" w:themeColor="text1"/>
          <w:sz w:val="24"/>
          <w:szCs w:val="24"/>
        </w:rPr>
        <w:t xml:space="preserve"> (P65) in distal ileum tissues was significantly reduced compared to the WAS group </w:t>
      </w:r>
      <w:r>
        <w:rPr>
          <w:rFonts w:ascii="Book Antiqua" w:eastAsia="Times New Roman" w:hAnsi="Book Antiqua"/>
          <w:color w:val="000000" w:themeColor="text1"/>
          <w:sz w:val="24"/>
          <w:szCs w:val="24"/>
          <w:shd w:val="clear" w:color="000000" w:fill="FFFFFF"/>
        </w:rPr>
        <w:t>(</w:t>
      </w:r>
      <w:r>
        <w:rPr>
          <w:rFonts w:ascii="Book Antiqua" w:eastAsia="Times New Roman" w:hAnsi="Book Antiqua"/>
          <w:i/>
          <w:iCs/>
          <w:color w:val="000000" w:themeColor="text1"/>
          <w:sz w:val="24"/>
          <w:szCs w:val="24"/>
          <w:shd w:val="clear" w:color="000000" w:fill="FFFFFF"/>
        </w:rPr>
        <w:t>P</w:t>
      </w:r>
      <w:r>
        <w:rPr>
          <w:rFonts w:ascii="Book Antiqua" w:eastAsia="Times New Roman" w:hAnsi="Book Antiqua"/>
          <w:color w:val="000000" w:themeColor="text1"/>
          <w:sz w:val="24"/>
          <w:szCs w:val="24"/>
          <w:shd w:val="clear" w:color="000000" w:fill="FFFFFF"/>
        </w:rPr>
        <w:t xml:space="preserve"> &lt; 0.05)</w:t>
      </w:r>
      <w:r>
        <w:rPr>
          <w:rFonts w:ascii="Book Antiqua" w:eastAsia="Times New Roman" w:hAnsi="Book Antiqua"/>
          <w:color w:val="000000" w:themeColor="text1"/>
          <w:sz w:val="24"/>
          <w:szCs w:val="24"/>
        </w:rPr>
        <w:t xml:space="preserve">. The therapeutic effect of oral administration of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or 100</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mg/kg BBR was superior to that of 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BBR </w:t>
      </w:r>
      <w:r>
        <w:rPr>
          <w:rFonts w:ascii="Book Antiqua" w:eastAsia="Times New Roman" w:hAnsi="Book Antiqua"/>
          <w:color w:val="000000" w:themeColor="text1"/>
          <w:sz w:val="24"/>
          <w:szCs w:val="24"/>
          <w:shd w:val="clear" w:color="000000" w:fill="FFFFFF"/>
        </w:rPr>
        <w:t>(</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rPr>
        <w:t xml:space="preserve"> &lt; 0.05) (Figure 3). The expression levels of pro-inflammatory cytokines in the treatment groups were lower than those in the WAS group </w:t>
      </w:r>
      <w:r>
        <w:rPr>
          <w:rFonts w:ascii="Book Antiqua" w:eastAsia="Times New Roman" w:hAnsi="Book Antiqua"/>
          <w:color w:val="000000" w:themeColor="text1"/>
          <w:sz w:val="24"/>
          <w:szCs w:val="24"/>
          <w:shd w:val="clear" w:color="000000" w:fill="FFFFFF"/>
        </w:rPr>
        <w:t>(</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rPr>
        <w:t xml:space="preserve"> &lt; 0.05)</w:t>
      </w:r>
      <w:r>
        <w:rPr>
          <w:rFonts w:ascii="Book Antiqua" w:eastAsia="宋体" w:hAnsi="Book Antiqua" w:hint="eastAsia"/>
          <w:color w:val="000000" w:themeColor="text1"/>
          <w:sz w:val="24"/>
          <w:szCs w:val="24"/>
        </w:rPr>
        <w:t>,</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 xml:space="preserve">and the therapeutic effect of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or 100</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w:t>
      </w:r>
      <w:r>
        <w:rPr>
          <w:rFonts w:ascii="Book Antiqua" w:eastAsia="Times New Roman" w:hAnsi="Book Antiqua"/>
          <w:color w:val="000000" w:themeColor="text1"/>
          <w:sz w:val="24"/>
          <w:szCs w:val="24"/>
        </w:rPr>
        <w:lastRenderedPageBreak/>
        <w:t>BBR was superior to that of 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BBR </w:t>
      </w:r>
      <w:r>
        <w:rPr>
          <w:rFonts w:ascii="Book Antiqua" w:eastAsia="Times New Roman" w:hAnsi="Book Antiqua"/>
          <w:color w:val="000000" w:themeColor="text1"/>
          <w:sz w:val="24"/>
          <w:szCs w:val="24"/>
          <w:shd w:val="clear" w:color="000000" w:fill="FFFFFF"/>
        </w:rPr>
        <w:t>(</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rPr>
        <w:t xml:space="preserve"> &lt; 0.05)</w:t>
      </w:r>
      <w:r>
        <w:rPr>
          <w:rFonts w:ascii="Book Antiqua" w:eastAsia="宋体" w:hAnsi="Book Antiqua"/>
          <w:color w:val="000000" w:themeColor="text1"/>
          <w:sz w:val="24"/>
          <w:szCs w:val="24"/>
        </w:rPr>
        <w:t>. T</w:t>
      </w:r>
      <w:r>
        <w:rPr>
          <w:rFonts w:ascii="Book Antiqua" w:eastAsia="Times New Roman" w:hAnsi="Book Antiqua"/>
          <w:color w:val="000000" w:themeColor="text1"/>
          <w:sz w:val="24"/>
          <w:szCs w:val="24"/>
        </w:rPr>
        <w:t xml:space="preserve">he expression levels of anti-inflammatory cytokines IL-10 and TGF-β in the treatment groups were higher than those in the WAS group </w:t>
      </w:r>
      <w:r>
        <w:rPr>
          <w:rFonts w:ascii="Book Antiqua" w:eastAsia="Times New Roman" w:hAnsi="Book Antiqua"/>
          <w:color w:val="000000" w:themeColor="text1"/>
          <w:sz w:val="24"/>
          <w:szCs w:val="24"/>
          <w:shd w:val="clear" w:color="000000" w:fill="FFFFFF"/>
        </w:rPr>
        <w:t>(</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rPr>
        <w:t xml:space="preserve"> &lt; 0.05) (Figures 4</w:t>
      </w:r>
      <w:r>
        <w:rPr>
          <w:rFonts w:ascii="Book Antiqua" w:eastAsiaTheme="minorEastAsia" w:hAnsi="Book Antiqua"/>
          <w:color w:val="000000" w:themeColor="text1"/>
          <w:sz w:val="24"/>
          <w:szCs w:val="24"/>
        </w:rPr>
        <w:t xml:space="preserve"> and</w:t>
      </w:r>
      <w:r>
        <w:rPr>
          <w:rFonts w:ascii="Book Antiqua" w:eastAsia="Times New Roman" w:hAnsi="Book Antiqua"/>
          <w:color w:val="000000" w:themeColor="text1"/>
          <w:sz w:val="24"/>
          <w:szCs w:val="24"/>
        </w:rPr>
        <w:t xml:space="preserve"> 5)</w:t>
      </w:r>
      <w:r>
        <w:rPr>
          <w:rFonts w:ascii="Book Antiqua" w:eastAsiaTheme="minorEastAsia" w:hAnsi="Book Antiqua"/>
          <w:color w:val="000000" w:themeColor="text1"/>
          <w:sz w:val="24"/>
          <w:szCs w:val="24"/>
        </w:rPr>
        <w:t>.</w:t>
      </w:r>
    </w:p>
    <w:p w:rsidR="00EF7033" w:rsidRDefault="00EF7033">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heme="minorEastAsia" w:hAnsi="Book Antiqua"/>
          <w:b/>
          <w:i/>
          <w:color w:val="000000" w:themeColor="text1"/>
          <w:sz w:val="24"/>
          <w:szCs w:val="24"/>
        </w:rPr>
      </w:pPr>
      <w:r>
        <w:rPr>
          <w:rFonts w:ascii="Book Antiqua" w:eastAsia="Times New Roman" w:hAnsi="Book Antiqua"/>
          <w:b/>
          <w:i/>
          <w:color w:val="000000" w:themeColor="text1"/>
          <w:sz w:val="24"/>
          <w:szCs w:val="24"/>
        </w:rPr>
        <w:t>BBR regulates intestinal motility and visceral hypersensitivity</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On day 11,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25 mg/kg BBR, or 100 mg/kg BBR treatment reduced the increased level of visceromotor response to CRD induced by both forms of stress at 40 and 60 mmHg</w:t>
      </w:r>
      <w:bookmarkStart w:id="52" w:name="OLE_LINK1"/>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rPr>
        <w:t xml:space="preserve"> &lt; 0.05</w:t>
      </w:r>
      <w:bookmarkEnd w:id="52"/>
      <w:r>
        <w:rPr>
          <w:rFonts w:ascii="Book Antiqua" w:eastAsia="Times New Roman" w:hAnsi="Book Antiqua"/>
          <w:color w:val="000000" w:themeColor="text1"/>
          <w:sz w:val="24"/>
          <w:szCs w:val="24"/>
        </w:rPr>
        <w:t xml:space="preserve">). Furthermore,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or 100 mg/kg BBR resulted in smaller </w:t>
      </w:r>
      <w:r>
        <w:rPr>
          <w:rFonts w:ascii="Cambria Math" w:eastAsia="Cambria Math" w:hAnsi="Cambria Math" w:cs="Cambria Math"/>
          <w:color w:val="000000" w:themeColor="text1"/>
          <w:sz w:val="24"/>
          <w:szCs w:val="24"/>
        </w:rPr>
        <w:t>△</w:t>
      </w:r>
      <w:r>
        <w:rPr>
          <w:rFonts w:ascii="Book Antiqua" w:eastAsia="Times New Roman" w:hAnsi="Book Antiqua"/>
          <w:color w:val="000000" w:themeColor="text1"/>
          <w:sz w:val="24"/>
          <w:szCs w:val="24"/>
        </w:rPr>
        <w:t>EMG compared to 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mg/kg BBR (</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rPr>
        <w:t xml:space="preserve"> &lt; 0.05) (Figure 6). The time to the first black feces was significantly shorter in the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and 100 mg/kg BBR groups than that in the WAS and 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mg/kg BBR groups (</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rPr>
        <w:t xml:space="preserve"> &lt; 0.05). There was no significant difference between the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group and 100</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mg/kg BBR groups.</w:t>
      </w:r>
      <w:r>
        <w:rPr>
          <w:rFonts w:ascii="Book Antiqua" w:hAnsi="Book Antiqua"/>
          <w:color w:val="000000" w:themeColor="text1"/>
          <w:sz w:val="24"/>
          <w:szCs w:val="24"/>
        </w:rPr>
        <w:t xml:space="preserve"> </w:t>
      </w:r>
      <w:r>
        <w:rPr>
          <w:rFonts w:ascii="Book Antiqua" w:eastAsia="Times New Roman" w:hAnsi="Book Antiqua"/>
          <w:color w:val="000000" w:themeColor="text1"/>
          <w:sz w:val="24"/>
          <w:szCs w:val="24"/>
        </w:rPr>
        <w:t xml:space="preserve">The proportion (%) of the distance traveled by the ink along the entire length of the small intestine in the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and 100</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mg/kg BBR groups was significantly lower than that in the WAS group and 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mg/kg BBR groups (</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rPr>
        <w:t xml:space="preserve"> &lt; 0.05)</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 xml:space="preserve">There was no significant difference between the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and 100</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mg/kg BBR groups (Figure 7).</w:t>
      </w:r>
    </w:p>
    <w:p w:rsidR="00EF7033" w:rsidRDefault="0035424A">
      <w:pPr>
        <w:widowControl w:val="0"/>
        <w:kinsoku w:val="0"/>
        <w:overflowPunct w:val="0"/>
        <w:autoSpaceDE w:val="0"/>
        <w:autoSpaceDN w:val="0"/>
        <w:spacing w:line="360" w:lineRule="auto"/>
        <w:ind w:firstLineChars="100" w:firstLine="240"/>
        <w:rPr>
          <w:rFonts w:ascii="Book Antiqua" w:eastAsiaTheme="minorEastAsia" w:hAnsi="Book Antiqua"/>
          <w:color w:val="000000" w:themeColor="text1"/>
          <w:sz w:val="24"/>
          <w:szCs w:val="24"/>
        </w:rPr>
      </w:pPr>
      <w:r>
        <w:rPr>
          <w:rFonts w:ascii="Book Antiqua" w:eastAsia="Times New Roman" w:hAnsi="Book Antiqua"/>
          <w:color w:val="000000" w:themeColor="text1"/>
          <w:sz w:val="24"/>
          <w:szCs w:val="24"/>
        </w:rPr>
        <w:t xml:space="preserve">Compared with the WAS group, the expression levels of BDNF and its receptor </w:t>
      </w:r>
      <w:proofErr w:type="spellStart"/>
      <w:r>
        <w:rPr>
          <w:rFonts w:ascii="Book Antiqua" w:eastAsia="Times New Roman" w:hAnsi="Book Antiqua"/>
          <w:color w:val="000000" w:themeColor="text1"/>
          <w:sz w:val="24"/>
          <w:szCs w:val="24"/>
        </w:rPr>
        <w:t>Trkb</w:t>
      </w:r>
      <w:proofErr w:type="spellEnd"/>
      <w:r>
        <w:rPr>
          <w:rFonts w:ascii="Book Antiqua" w:eastAsia="Times New Roman" w:hAnsi="Book Antiqua"/>
          <w:color w:val="000000" w:themeColor="text1"/>
          <w:sz w:val="24"/>
          <w:szCs w:val="24"/>
        </w:rPr>
        <w:t xml:space="preserve"> showed no significant difference </w:t>
      </w:r>
      <w:r>
        <w:rPr>
          <w:rFonts w:ascii="Book Antiqua" w:eastAsia="Times New Roman" w:hAnsi="Book Antiqua"/>
          <w:color w:val="000000" w:themeColor="text1"/>
          <w:sz w:val="24"/>
          <w:szCs w:val="24"/>
          <w:shd w:val="clear" w:color="000000" w:fill="FFFFFF"/>
        </w:rPr>
        <w:t xml:space="preserve">in the </w:t>
      </w:r>
      <w:r>
        <w:rPr>
          <w:rFonts w:ascii="Book Antiqua" w:eastAsia="Times New Roman" w:hAnsi="Book Antiqua"/>
          <w:color w:val="000000" w:themeColor="text1"/>
          <w:sz w:val="24"/>
          <w:szCs w:val="24"/>
        </w:rPr>
        <w:t>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mg/kg BBR treatment group (</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rPr>
        <w:t xml:space="preserve"> &gt; 0.05). Compared with the WAS group, the expression levels of BDNF and its receptor </w:t>
      </w:r>
      <w:proofErr w:type="spellStart"/>
      <w:r>
        <w:rPr>
          <w:rFonts w:ascii="Book Antiqua" w:eastAsia="Times New Roman" w:hAnsi="Book Antiqua"/>
          <w:color w:val="000000" w:themeColor="text1"/>
          <w:sz w:val="24"/>
          <w:szCs w:val="24"/>
        </w:rPr>
        <w:t>Trkb</w:t>
      </w:r>
      <w:proofErr w:type="spellEnd"/>
      <w:r>
        <w:rPr>
          <w:rFonts w:ascii="Book Antiqua" w:eastAsia="Times New Roman" w:hAnsi="Book Antiqua"/>
          <w:color w:val="000000" w:themeColor="text1"/>
          <w:sz w:val="24"/>
          <w:szCs w:val="24"/>
        </w:rPr>
        <w:t xml:space="preserve"> were significantly decreased </w:t>
      </w:r>
      <w:r>
        <w:rPr>
          <w:rFonts w:ascii="Book Antiqua" w:eastAsia="Times New Roman" w:hAnsi="Book Antiqua"/>
          <w:color w:val="000000" w:themeColor="text1"/>
          <w:sz w:val="24"/>
          <w:szCs w:val="24"/>
          <w:shd w:val="clear" w:color="000000" w:fill="FFFFFF"/>
        </w:rPr>
        <w:t xml:space="preserve">in the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group and 100 mg/kg BBR treatment group (</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rPr>
        <w:t xml:space="preserve"> &lt; 0.05). Compared with the 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BBR group, the expression levels of BDNF and its receptor </w:t>
      </w:r>
      <w:proofErr w:type="spellStart"/>
      <w:r>
        <w:rPr>
          <w:rFonts w:ascii="Book Antiqua" w:eastAsia="Times New Roman" w:hAnsi="Book Antiqua"/>
          <w:color w:val="000000" w:themeColor="text1"/>
          <w:sz w:val="24"/>
          <w:szCs w:val="24"/>
        </w:rPr>
        <w:t>Trkb</w:t>
      </w:r>
      <w:proofErr w:type="spellEnd"/>
      <w:r>
        <w:rPr>
          <w:rFonts w:ascii="Book Antiqua" w:eastAsia="Times New Roman" w:hAnsi="Book Antiqua"/>
          <w:color w:val="000000" w:themeColor="text1"/>
          <w:sz w:val="24"/>
          <w:szCs w:val="24"/>
        </w:rPr>
        <w:t xml:space="preserve"> were significantly reduced in the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group and 100</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mg/kg BBR group (</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rPr>
        <w:t xml:space="preserve"> &lt; 0.05). The expression levels of BDNF and its receptor </w:t>
      </w:r>
      <w:proofErr w:type="spellStart"/>
      <w:r>
        <w:rPr>
          <w:rFonts w:ascii="Book Antiqua" w:eastAsia="Times New Roman" w:hAnsi="Book Antiqua"/>
          <w:color w:val="000000" w:themeColor="text1"/>
          <w:sz w:val="24"/>
          <w:szCs w:val="24"/>
        </w:rPr>
        <w:t>Trkb</w:t>
      </w:r>
      <w:proofErr w:type="spellEnd"/>
      <w:r>
        <w:rPr>
          <w:rFonts w:ascii="Book Antiqua" w:eastAsia="Times New Roman" w:hAnsi="Book Antiqua"/>
          <w:color w:val="000000" w:themeColor="text1"/>
          <w:sz w:val="24"/>
          <w:szCs w:val="24"/>
        </w:rPr>
        <w:t xml:space="preserve"> were not significantly different between the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group and 100</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BBR group </w:t>
      </w:r>
      <w:bookmarkStart w:id="53" w:name="_Hlk511769263"/>
      <w:r>
        <w:rPr>
          <w:rFonts w:ascii="Book Antiqua" w:eastAsia="Times New Roman" w:hAnsi="Book Antiqua"/>
          <w:color w:val="000000" w:themeColor="text1"/>
          <w:sz w:val="24"/>
          <w:szCs w:val="24"/>
        </w:rPr>
        <w:t>(</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rPr>
        <w:t xml:space="preserve"> &gt; 0.05)</w:t>
      </w:r>
      <w:bookmarkEnd w:id="53"/>
      <w:r>
        <w:rPr>
          <w:rFonts w:ascii="Book Antiqua" w:eastAsia="Times New Roman" w:hAnsi="Book Antiqua"/>
          <w:color w:val="000000" w:themeColor="text1"/>
          <w:sz w:val="24"/>
          <w:szCs w:val="24"/>
        </w:rPr>
        <w:t xml:space="preserve"> (Figure 8)</w:t>
      </w:r>
      <w:r>
        <w:rPr>
          <w:rFonts w:ascii="Book Antiqua" w:eastAsiaTheme="minorEastAsia" w:hAnsi="Book Antiqua"/>
          <w:color w:val="000000" w:themeColor="text1"/>
          <w:sz w:val="24"/>
          <w:szCs w:val="24"/>
        </w:rPr>
        <w:t>.</w:t>
      </w:r>
    </w:p>
    <w:p w:rsidR="00EF7033" w:rsidRDefault="0035424A">
      <w:pPr>
        <w:widowControl w:val="0"/>
        <w:kinsoku w:val="0"/>
        <w:overflowPunct w:val="0"/>
        <w:autoSpaceDE w:val="0"/>
        <w:autoSpaceDN w:val="0"/>
        <w:spacing w:line="360" w:lineRule="auto"/>
        <w:ind w:firstLineChars="100" w:firstLine="240"/>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shd w:val="clear" w:color="000000" w:fill="FFFFFF"/>
        </w:rPr>
        <w:t>Compared with the WAS group, C-kit expression was not significantly different in the 25</w:t>
      </w:r>
      <w:r>
        <w:rPr>
          <w:rFonts w:ascii="Book Antiqua" w:eastAsiaTheme="minorEastAsia" w:hAnsi="Book Antiqua"/>
          <w:color w:val="000000" w:themeColor="text1"/>
          <w:sz w:val="24"/>
          <w:szCs w:val="24"/>
          <w:shd w:val="clear" w:color="000000" w:fill="FFFFFF"/>
        </w:rPr>
        <w:t xml:space="preserve"> </w:t>
      </w:r>
      <w:r>
        <w:rPr>
          <w:rFonts w:ascii="Book Antiqua" w:eastAsia="Times New Roman" w:hAnsi="Book Antiqua"/>
          <w:color w:val="000000" w:themeColor="text1"/>
          <w:sz w:val="24"/>
          <w:szCs w:val="24"/>
          <w:shd w:val="clear" w:color="000000" w:fill="FFFFFF"/>
        </w:rPr>
        <w:t>mg/kg BBR group (</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rPr>
        <w:t xml:space="preserve"> &gt; </w:t>
      </w:r>
      <w:r>
        <w:rPr>
          <w:rFonts w:ascii="Book Antiqua" w:eastAsia="Times New Roman" w:hAnsi="Book Antiqua"/>
          <w:color w:val="000000" w:themeColor="text1"/>
          <w:sz w:val="24"/>
          <w:szCs w:val="24"/>
          <w:shd w:val="clear" w:color="000000" w:fill="FFFFFF"/>
        </w:rPr>
        <w:t xml:space="preserve">0.05). Compared with the WAS </w:t>
      </w:r>
      <w:r>
        <w:rPr>
          <w:rFonts w:ascii="Book Antiqua" w:eastAsia="Times New Roman" w:hAnsi="Book Antiqua"/>
          <w:color w:val="000000" w:themeColor="text1"/>
          <w:sz w:val="24"/>
          <w:szCs w:val="24"/>
          <w:shd w:val="clear" w:color="000000" w:fill="FFFFFF"/>
        </w:rPr>
        <w:lastRenderedPageBreak/>
        <w:t xml:space="preserve">group, the expression levels of C-kit were significantly decreased in the </w:t>
      </w:r>
      <w:proofErr w:type="spellStart"/>
      <w:r>
        <w:rPr>
          <w:rFonts w:ascii="Book Antiqua" w:eastAsia="Times New Roman" w:hAnsi="Book Antiqua"/>
          <w:color w:val="000000" w:themeColor="text1"/>
          <w:sz w:val="24"/>
          <w:szCs w:val="24"/>
          <w:shd w:val="clear" w:color="000000" w:fill="FFFFFF"/>
        </w:rPr>
        <w:t>rifaximin</w:t>
      </w:r>
      <w:proofErr w:type="spellEnd"/>
      <w:r>
        <w:rPr>
          <w:rFonts w:ascii="Book Antiqua" w:eastAsia="Times New Roman" w:hAnsi="Book Antiqua"/>
          <w:color w:val="000000" w:themeColor="text1"/>
          <w:sz w:val="24"/>
          <w:szCs w:val="24"/>
          <w:shd w:val="clear" w:color="000000" w:fill="FFFFFF"/>
        </w:rPr>
        <w:t xml:space="preserve"> and 100</w:t>
      </w:r>
      <w:r>
        <w:rPr>
          <w:rFonts w:ascii="Book Antiqua" w:eastAsiaTheme="minorEastAsia" w:hAnsi="Book Antiqua"/>
          <w:color w:val="000000" w:themeColor="text1"/>
          <w:sz w:val="24"/>
          <w:szCs w:val="24"/>
          <w:shd w:val="clear" w:color="000000" w:fill="FFFFFF"/>
        </w:rPr>
        <w:t xml:space="preserve"> </w:t>
      </w:r>
      <w:r>
        <w:rPr>
          <w:rFonts w:ascii="Book Antiqua" w:eastAsia="Times New Roman" w:hAnsi="Book Antiqua"/>
          <w:color w:val="000000" w:themeColor="text1"/>
          <w:sz w:val="24"/>
          <w:szCs w:val="24"/>
          <w:shd w:val="clear" w:color="000000" w:fill="FFFFFF"/>
        </w:rPr>
        <w:t>mg/kg BBR groups (</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shd w:val="clear" w:color="000000" w:fill="FFFFFF"/>
        </w:rPr>
        <w:t xml:space="preserve"> &lt; 0.05). Compared with the 25</w:t>
      </w:r>
      <w:r>
        <w:rPr>
          <w:rFonts w:ascii="Book Antiqua" w:eastAsiaTheme="minorEastAsia" w:hAnsi="Book Antiqua"/>
          <w:color w:val="000000" w:themeColor="text1"/>
          <w:sz w:val="24"/>
          <w:szCs w:val="24"/>
          <w:shd w:val="clear" w:color="000000" w:fill="FFFFFF"/>
        </w:rPr>
        <w:t xml:space="preserve"> </w:t>
      </w:r>
      <w:r>
        <w:rPr>
          <w:rFonts w:ascii="Book Antiqua" w:eastAsia="Times New Roman" w:hAnsi="Book Antiqua"/>
          <w:color w:val="000000" w:themeColor="text1"/>
          <w:sz w:val="24"/>
          <w:szCs w:val="24"/>
          <w:shd w:val="clear" w:color="000000" w:fill="FFFFFF"/>
        </w:rPr>
        <w:t xml:space="preserve">mg/kg BBR group, the expression levels of C-kit were significantly decreased in the </w:t>
      </w:r>
      <w:proofErr w:type="spellStart"/>
      <w:r>
        <w:rPr>
          <w:rFonts w:ascii="Book Antiqua" w:eastAsia="Times New Roman" w:hAnsi="Book Antiqua"/>
          <w:color w:val="000000" w:themeColor="text1"/>
          <w:sz w:val="24"/>
          <w:szCs w:val="24"/>
          <w:shd w:val="clear" w:color="000000" w:fill="FFFFFF"/>
        </w:rPr>
        <w:t>rifaximin</w:t>
      </w:r>
      <w:proofErr w:type="spellEnd"/>
      <w:r>
        <w:rPr>
          <w:rFonts w:ascii="Book Antiqua" w:eastAsia="Times New Roman" w:hAnsi="Book Antiqua"/>
          <w:color w:val="000000" w:themeColor="text1"/>
          <w:sz w:val="24"/>
          <w:szCs w:val="24"/>
          <w:shd w:val="clear" w:color="000000" w:fill="FFFFFF"/>
        </w:rPr>
        <w:t xml:space="preserve"> and 100</w:t>
      </w:r>
      <w:r>
        <w:rPr>
          <w:rFonts w:ascii="Book Antiqua" w:eastAsiaTheme="minorEastAsia" w:hAnsi="Book Antiqua"/>
          <w:color w:val="000000" w:themeColor="text1"/>
          <w:sz w:val="24"/>
          <w:szCs w:val="24"/>
          <w:shd w:val="clear" w:color="000000" w:fill="FFFFFF"/>
        </w:rPr>
        <w:t xml:space="preserve"> </w:t>
      </w:r>
      <w:r>
        <w:rPr>
          <w:rFonts w:ascii="Book Antiqua" w:eastAsia="Times New Roman" w:hAnsi="Book Antiqua"/>
          <w:color w:val="000000" w:themeColor="text1"/>
          <w:sz w:val="24"/>
          <w:szCs w:val="24"/>
          <w:shd w:val="clear" w:color="000000" w:fill="FFFFFF"/>
        </w:rPr>
        <w:t>mg/kg BBR groups (</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shd w:val="clear" w:color="000000" w:fill="FFFFFF"/>
        </w:rPr>
        <w:t xml:space="preserve"> &lt; 0.05). There was no significant difference in C-kit expression between the </w:t>
      </w:r>
      <w:proofErr w:type="spellStart"/>
      <w:r>
        <w:rPr>
          <w:rFonts w:ascii="Book Antiqua" w:eastAsia="Times New Roman" w:hAnsi="Book Antiqua"/>
          <w:color w:val="000000" w:themeColor="text1"/>
          <w:sz w:val="24"/>
          <w:szCs w:val="24"/>
          <w:shd w:val="clear" w:color="000000" w:fill="FFFFFF"/>
        </w:rPr>
        <w:t>rifaximin</w:t>
      </w:r>
      <w:proofErr w:type="spellEnd"/>
      <w:r>
        <w:rPr>
          <w:rFonts w:ascii="Book Antiqua" w:eastAsia="Times New Roman" w:hAnsi="Book Antiqua"/>
          <w:color w:val="000000" w:themeColor="text1"/>
          <w:sz w:val="24"/>
          <w:szCs w:val="24"/>
          <w:shd w:val="clear" w:color="000000" w:fill="FFFFFF"/>
        </w:rPr>
        <w:t xml:space="preserve"> group and 100</w:t>
      </w:r>
      <w:r>
        <w:rPr>
          <w:rFonts w:ascii="Book Antiqua" w:eastAsiaTheme="minorEastAsia" w:hAnsi="Book Antiqua"/>
          <w:color w:val="000000" w:themeColor="text1"/>
          <w:sz w:val="24"/>
          <w:szCs w:val="24"/>
          <w:shd w:val="clear" w:color="000000" w:fill="FFFFFF"/>
        </w:rPr>
        <w:t xml:space="preserve"> </w:t>
      </w:r>
      <w:r>
        <w:rPr>
          <w:rFonts w:ascii="Book Antiqua" w:eastAsia="Times New Roman" w:hAnsi="Book Antiqua"/>
          <w:color w:val="000000" w:themeColor="text1"/>
          <w:sz w:val="24"/>
          <w:szCs w:val="24"/>
          <w:shd w:val="clear" w:color="000000" w:fill="FFFFFF"/>
        </w:rPr>
        <w:t>mg/kg BBR group (</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shd w:val="clear" w:color="000000" w:fill="FFFFFF"/>
        </w:rPr>
        <w:t xml:space="preserve"> &gt; 0.05)</w:t>
      </w:r>
      <w:r>
        <w:rPr>
          <w:rFonts w:ascii="Book Antiqua" w:eastAsia="Times New Roman" w:hAnsi="Book Antiqua"/>
          <w:color w:val="000000" w:themeColor="text1"/>
          <w:sz w:val="24"/>
          <w:szCs w:val="24"/>
        </w:rPr>
        <w:t xml:space="preserve"> (Figure 9).</w:t>
      </w:r>
    </w:p>
    <w:p w:rsidR="00EF7033" w:rsidRDefault="00EF7033">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Pr>
          <w:rFonts w:ascii="Book Antiqua" w:eastAsia="Times New Roman" w:hAnsi="Book Antiqua"/>
          <w:b/>
          <w:color w:val="000000" w:themeColor="text1"/>
          <w:sz w:val="24"/>
          <w:szCs w:val="24"/>
        </w:rPr>
        <w:t>DISCUSSION</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We exposed adult rats to chronic WAS to study the effects of BBR on mucosal inflammation, visceral hypersensitivity, and intestinal motility. Similar to previous studies, chronic exposure of adult rats to WAS induced mucosal inflammation, and the amplitude of EMG induced by CRD in rats of the WAS group was significantly enhanced, suggesting that the visceral sensitivity was enhanced. Further analysis also showed that intestinal motility was </w:t>
      </w:r>
      <w:proofErr w:type="gramStart"/>
      <w:r>
        <w:rPr>
          <w:rFonts w:ascii="Book Antiqua" w:eastAsia="Times New Roman" w:hAnsi="Book Antiqua"/>
          <w:color w:val="000000" w:themeColor="text1"/>
          <w:sz w:val="24"/>
          <w:szCs w:val="24"/>
        </w:rPr>
        <w:t>enhanced</w:t>
      </w:r>
      <w:r>
        <w:rPr>
          <w:rFonts w:ascii="Book Antiqua" w:eastAsia="Arial" w:hAnsi="Book Antiqua"/>
          <w:color w:val="000000" w:themeColor="text1"/>
          <w:sz w:val="24"/>
          <w:szCs w:val="24"/>
          <w:shd w:val="clear" w:color="000000" w:fill="FFFFFF"/>
          <w:vertAlign w:val="superscript"/>
        </w:rPr>
        <w:t>[</w:t>
      </w:r>
      <w:proofErr w:type="gramEnd"/>
      <w:r>
        <w:fldChar w:fldCharType="begin"/>
      </w:r>
      <w:r>
        <w:instrText xml:space="preserve"> HYPERLINK "file:///C:\\Users\\Liansheng%20Ma\\Desktop\\Liansheng%20Ma\\Dispose\\2019-07-05-Final_Acceptance_WJG\\46893\\_ENREF_22" </w:instrText>
      </w:r>
      <w:r>
        <w:fldChar w:fldCharType="separate"/>
      </w:r>
      <w:r>
        <w:rPr>
          <w:rFonts w:ascii="Book Antiqua" w:eastAsia="Arial" w:hAnsi="Book Antiqua"/>
          <w:color w:val="000000" w:themeColor="text1"/>
          <w:sz w:val="24"/>
          <w:szCs w:val="24"/>
          <w:shd w:val="clear" w:color="000000" w:fill="FFFFFF"/>
          <w:vertAlign w:val="superscript"/>
        </w:rPr>
        <w:t>22</w:t>
      </w:r>
      <w:r>
        <w:rPr>
          <w:rFonts w:ascii="Book Antiqua" w:eastAsia="Arial" w:hAnsi="Book Antiqua"/>
          <w:color w:val="000000" w:themeColor="text1"/>
          <w:sz w:val="24"/>
          <w:szCs w:val="24"/>
          <w:shd w:val="clear" w:color="000000" w:fill="FFFFFF"/>
          <w:vertAlign w:val="superscript"/>
        </w:rPr>
        <w:fldChar w:fldCharType="end"/>
      </w:r>
      <w:r>
        <w:rPr>
          <w:rFonts w:ascii="Book Antiqua" w:eastAsia="Arial" w:hAnsi="Book Antiqua"/>
          <w:color w:val="000000" w:themeColor="text1"/>
          <w:sz w:val="24"/>
          <w:szCs w:val="24"/>
          <w:shd w:val="clear" w:color="000000" w:fill="FFFFFF"/>
          <w:vertAlign w:val="superscript"/>
        </w:rPr>
        <w:t>,</w:t>
      </w:r>
      <w:hyperlink r:id="rId17" w:history="1">
        <w:r>
          <w:rPr>
            <w:rFonts w:ascii="Book Antiqua" w:eastAsia="Arial" w:hAnsi="Book Antiqua"/>
            <w:color w:val="000000" w:themeColor="text1"/>
            <w:sz w:val="24"/>
            <w:szCs w:val="24"/>
            <w:shd w:val="clear" w:color="000000" w:fill="FFFFFF"/>
            <w:vertAlign w:val="superscript"/>
          </w:rPr>
          <w:t>30</w:t>
        </w:r>
      </w:hyperlink>
      <w:r>
        <w:rPr>
          <w:rFonts w:ascii="Book Antiqua" w:eastAsia="Arial" w:hAnsi="Book Antiqua"/>
          <w:color w:val="000000" w:themeColor="text1"/>
          <w:sz w:val="24"/>
          <w:szCs w:val="24"/>
          <w:shd w:val="clear" w:color="000000" w:fill="FFFFFF"/>
          <w:vertAlign w:val="superscript"/>
        </w:rPr>
        <w:t>,</w:t>
      </w:r>
      <w:hyperlink r:id="rId18" w:history="1">
        <w:r>
          <w:rPr>
            <w:rFonts w:ascii="Book Antiqua" w:eastAsia="Arial" w:hAnsi="Book Antiqua"/>
            <w:color w:val="000000" w:themeColor="text1"/>
            <w:sz w:val="24"/>
            <w:szCs w:val="24"/>
            <w:shd w:val="clear" w:color="000000" w:fill="FFFFFF"/>
            <w:vertAlign w:val="superscript"/>
          </w:rPr>
          <w:t>31</w:t>
        </w:r>
      </w:hyperlink>
      <w:r>
        <w:rPr>
          <w:rFonts w:ascii="Book Antiqua" w:eastAsia="Arial" w:hAnsi="Book Antiqua"/>
          <w:color w:val="000000" w:themeColor="text1"/>
          <w:sz w:val="24"/>
          <w:szCs w:val="24"/>
          <w:shd w:val="clear" w:color="000000" w:fill="FFFFFF"/>
          <w:vertAlign w:val="superscript"/>
        </w:rPr>
        <w:t>]</w:t>
      </w:r>
      <w:r>
        <w:rPr>
          <w:rFonts w:ascii="Book Antiqua" w:eastAsia="Arial" w:hAnsi="Book Antiqua"/>
          <w:color w:val="000000" w:themeColor="text1"/>
          <w:sz w:val="24"/>
          <w:szCs w:val="24"/>
          <w:shd w:val="clear" w:color="000000" w:fill="FFFFFF"/>
        </w:rPr>
        <w:t>.</w:t>
      </w:r>
    </w:p>
    <w:p w:rsidR="00EF7033" w:rsidRDefault="0035424A">
      <w:pPr>
        <w:widowControl w:val="0"/>
        <w:kinsoku w:val="0"/>
        <w:overflowPunct w:val="0"/>
        <w:autoSpaceDE w:val="0"/>
        <w:autoSpaceDN w:val="0"/>
        <w:spacing w:line="360" w:lineRule="auto"/>
        <w:ind w:firstLineChars="100" w:firstLine="240"/>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Our experiments showed that the mucosal inflammation occurred in the distal ileum in WAS group rats. </w:t>
      </w:r>
      <w:bookmarkStart w:id="54" w:name="_Hlk512086379"/>
      <w:r>
        <w:rPr>
          <w:rFonts w:ascii="Book Antiqua" w:eastAsia="Times New Roman" w:hAnsi="Book Antiqua"/>
          <w:color w:val="000000" w:themeColor="text1"/>
          <w:sz w:val="24"/>
          <w:szCs w:val="24"/>
        </w:rPr>
        <w:t>Previous studies have shown that there is positive feedback regulation between the NF-</w:t>
      </w:r>
      <w:proofErr w:type="spellStart"/>
      <w:r>
        <w:rPr>
          <w:rFonts w:ascii="Book Antiqua" w:eastAsia="Times New Roman" w:hAnsi="Book Antiqua"/>
          <w:color w:val="000000" w:themeColor="text1"/>
          <w:sz w:val="24"/>
          <w:szCs w:val="24"/>
        </w:rPr>
        <w:t>κB</w:t>
      </w:r>
      <w:proofErr w:type="spellEnd"/>
      <w:r>
        <w:rPr>
          <w:rFonts w:ascii="Book Antiqua" w:eastAsia="Times New Roman" w:hAnsi="Book Antiqua"/>
          <w:color w:val="000000" w:themeColor="text1"/>
          <w:sz w:val="24"/>
          <w:szCs w:val="24"/>
        </w:rPr>
        <w:t xml:space="preserve"> signaling pathway and inflammatory cytokines. On one hand, activated</w:t>
      </w:r>
      <w:r>
        <w:rPr>
          <w:rFonts w:ascii="Book Antiqua" w:hAnsi="Book Antiqua"/>
          <w:color w:val="000000" w:themeColor="text1"/>
          <w:sz w:val="24"/>
          <w:szCs w:val="24"/>
        </w:rPr>
        <w:t xml:space="preserve"> </w:t>
      </w:r>
      <w:r>
        <w:rPr>
          <w:rFonts w:ascii="Book Antiqua" w:eastAsia="Times New Roman" w:hAnsi="Book Antiqua"/>
          <w:color w:val="000000" w:themeColor="text1"/>
          <w:sz w:val="24"/>
          <w:szCs w:val="24"/>
        </w:rPr>
        <w:t>NF-</w:t>
      </w:r>
      <w:proofErr w:type="spellStart"/>
      <w:r>
        <w:rPr>
          <w:rFonts w:ascii="Book Antiqua" w:eastAsia="Times New Roman" w:hAnsi="Book Antiqua"/>
          <w:color w:val="000000" w:themeColor="text1"/>
          <w:sz w:val="24"/>
          <w:szCs w:val="24"/>
        </w:rPr>
        <w:t>κB</w:t>
      </w:r>
      <w:proofErr w:type="spellEnd"/>
      <w:r>
        <w:rPr>
          <w:rFonts w:ascii="Book Antiqua" w:eastAsia="Times New Roman" w:hAnsi="Book Antiqua"/>
          <w:color w:val="000000" w:themeColor="text1"/>
          <w:sz w:val="24"/>
          <w:szCs w:val="24"/>
        </w:rPr>
        <w:t xml:space="preserve"> can promote the expression of pro-inflammatory cytokines. On the other hand, the released pro-inflammatory cytokines react to the activation state of the NF-</w:t>
      </w:r>
      <w:proofErr w:type="spellStart"/>
      <w:r>
        <w:rPr>
          <w:rFonts w:ascii="Book Antiqua" w:eastAsia="Times New Roman" w:hAnsi="Book Antiqua"/>
          <w:color w:val="000000" w:themeColor="text1"/>
          <w:sz w:val="24"/>
          <w:szCs w:val="24"/>
        </w:rPr>
        <w:t>κB</w:t>
      </w:r>
      <w:proofErr w:type="spellEnd"/>
      <w:r>
        <w:rPr>
          <w:rFonts w:ascii="Book Antiqua" w:eastAsia="Times New Roman" w:hAnsi="Book Antiqua"/>
          <w:color w:val="000000" w:themeColor="text1"/>
          <w:sz w:val="24"/>
          <w:szCs w:val="24"/>
        </w:rPr>
        <w:t>, leading to a cascade of inflammatory response in the intestinal tract, and pro-inflammatory cytokines are further released</w:t>
      </w:r>
      <w:r>
        <w:rPr>
          <w:rFonts w:ascii="Book Antiqua" w:eastAsia="宋体" w:hAnsi="Book Antiqua"/>
          <w:color w:val="000000" w:themeColor="text1"/>
          <w:sz w:val="24"/>
          <w:szCs w:val="24"/>
          <w:vertAlign w:val="superscript"/>
        </w:rPr>
        <w:t>[</w:t>
      </w:r>
      <w:hyperlink r:id="rId19" w:history="1">
        <w:r>
          <w:rPr>
            <w:rFonts w:ascii="Book Antiqua" w:eastAsia="宋体" w:hAnsi="Book Antiqua"/>
            <w:color w:val="000000" w:themeColor="text1"/>
            <w:sz w:val="24"/>
            <w:szCs w:val="24"/>
            <w:vertAlign w:val="superscript"/>
          </w:rPr>
          <w:t>10</w:t>
        </w:r>
      </w:hyperlink>
      <w:r>
        <w:rPr>
          <w:rFonts w:ascii="Book Antiqua" w:eastAsia="宋体" w:hAnsi="Book Antiqua"/>
          <w:color w:val="000000" w:themeColor="text1"/>
          <w:sz w:val="24"/>
          <w:szCs w:val="24"/>
          <w:vertAlign w:val="superscript"/>
        </w:rPr>
        <w:t>,</w:t>
      </w:r>
      <w:hyperlink r:id="rId20" w:history="1">
        <w:r>
          <w:rPr>
            <w:rFonts w:ascii="Book Antiqua" w:eastAsia="宋体" w:hAnsi="Book Antiqua"/>
            <w:color w:val="000000" w:themeColor="text1"/>
            <w:sz w:val="24"/>
            <w:szCs w:val="24"/>
            <w:vertAlign w:val="superscript"/>
          </w:rPr>
          <w:t>32-34</w:t>
        </w:r>
      </w:hyperlink>
      <w:r>
        <w:rPr>
          <w:rFonts w:ascii="Book Antiqua" w:eastAsia="宋体" w:hAnsi="Book Antiqua"/>
          <w:color w:val="000000" w:themeColor="text1"/>
          <w:sz w:val="24"/>
          <w:szCs w:val="24"/>
          <w:vertAlign w:val="superscript"/>
        </w:rPr>
        <w:t>]</w:t>
      </w:r>
      <w:r>
        <w:rPr>
          <w:rFonts w:ascii="Book Antiqua" w:eastAsia="Times New Roman" w:hAnsi="Book Antiqua"/>
          <w:color w:val="000000" w:themeColor="text1"/>
          <w:sz w:val="24"/>
          <w:szCs w:val="24"/>
        </w:rPr>
        <w:t>.</w:t>
      </w:r>
      <w:r>
        <w:rPr>
          <w:rFonts w:ascii="Book Antiqua" w:hAnsi="Book Antiqua"/>
          <w:color w:val="000000" w:themeColor="text1"/>
          <w:sz w:val="24"/>
          <w:szCs w:val="24"/>
        </w:rPr>
        <w:t xml:space="preserve"> </w:t>
      </w:r>
      <w:r>
        <w:rPr>
          <w:rFonts w:ascii="Book Antiqua" w:eastAsia="Times New Roman" w:hAnsi="Book Antiqua"/>
          <w:color w:val="000000" w:themeColor="text1"/>
          <w:sz w:val="24"/>
          <w:szCs w:val="24"/>
        </w:rPr>
        <w:t>Thus, it is reasonable to consider that the activation of the NF-</w:t>
      </w:r>
      <w:proofErr w:type="spellStart"/>
      <w:r>
        <w:rPr>
          <w:rFonts w:ascii="Book Antiqua" w:eastAsia="Times New Roman" w:hAnsi="Book Antiqua"/>
          <w:color w:val="000000" w:themeColor="text1"/>
          <w:sz w:val="24"/>
          <w:szCs w:val="24"/>
        </w:rPr>
        <w:t>κB</w:t>
      </w:r>
      <w:proofErr w:type="spellEnd"/>
      <w:r>
        <w:rPr>
          <w:rFonts w:ascii="Book Antiqua" w:eastAsia="Times New Roman" w:hAnsi="Book Antiqua"/>
          <w:color w:val="000000" w:themeColor="text1"/>
          <w:sz w:val="24"/>
          <w:szCs w:val="24"/>
        </w:rPr>
        <w:t xml:space="preserve"> signaling pathway and the activation of inflammatory cytokines in IBS rats lead to low mucous mucosal inflammation in the distal ileum.</w:t>
      </w:r>
      <w:r>
        <w:rPr>
          <w:rFonts w:ascii="Book Antiqua" w:hAnsi="Book Antiqua"/>
          <w:color w:val="000000" w:themeColor="text1"/>
          <w:sz w:val="24"/>
          <w:szCs w:val="24"/>
        </w:rPr>
        <w:t xml:space="preserve"> </w:t>
      </w:r>
      <w:r>
        <w:rPr>
          <w:rFonts w:ascii="Book Antiqua" w:eastAsia="Times New Roman" w:hAnsi="Book Antiqua"/>
          <w:color w:val="000000" w:themeColor="text1"/>
          <w:sz w:val="24"/>
          <w:szCs w:val="24"/>
        </w:rPr>
        <w:t xml:space="preserve">Our experiments showed that oral administration of high-dose BBR or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can decrease the expression levels of NF-</w:t>
      </w:r>
      <w:proofErr w:type="spellStart"/>
      <w:r>
        <w:rPr>
          <w:rFonts w:ascii="Book Antiqua" w:eastAsia="Times New Roman" w:hAnsi="Book Antiqua"/>
          <w:color w:val="000000" w:themeColor="text1"/>
          <w:sz w:val="24"/>
          <w:szCs w:val="24"/>
        </w:rPr>
        <w:t>κB</w:t>
      </w:r>
      <w:proofErr w:type="spellEnd"/>
      <w:r>
        <w:rPr>
          <w:rFonts w:ascii="Book Antiqua" w:eastAsia="宋体" w:hAnsi="Book Antiqua" w:cs="宋体"/>
          <w:color w:val="000000" w:themeColor="text1"/>
          <w:sz w:val="24"/>
          <w:szCs w:val="24"/>
        </w:rPr>
        <w:t xml:space="preserve"> </w:t>
      </w:r>
      <w:r>
        <w:rPr>
          <w:rFonts w:ascii="Book Antiqua" w:eastAsia="宋体" w:hAnsi="Book Antiqua"/>
          <w:color w:val="000000" w:themeColor="text1"/>
          <w:sz w:val="24"/>
          <w:szCs w:val="24"/>
        </w:rPr>
        <w:t>(</w:t>
      </w:r>
      <w:r>
        <w:rPr>
          <w:rFonts w:ascii="Book Antiqua" w:eastAsia="Times New Roman" w:hAnsi="Book Antiqua"/>
          <w:color w:val="000000" w:themeColor="text1"/>
          <w:sz w:val="24"/>
          <w:szCs w:val="24"/>
        </w:rPr>
        <w:t>P65</w:t>
      </w:r>
      <w:r>
        <w:rPr>
          <w:rFonts w:ascii="Book Antiqua" w:eastAsia="宋体" w:hAnsi="Book Antiqua"/>
          <w:color w:val="000000" w:themeColor="text1"/>
          <w:sz w:val="24"/>
          <w:szCs w:val="24"/>
        </w:rPr>
        <w:t>)</w:t>
      </w:r>
      <w:r>
        <w:rPr>
          <w:rFonts w:ascii="Book Antiqua" w:eastAsia="宋体" w:hAnsi="Book Antiqua" w:cs="宋体"/>
          <w:color w:val="000000" w:themeColor="text1"/>
          <w:sz w:val="24"/>
          <w:szCs w:val="24"/>
        </w:rPr>
        <w:t xml:space="preserve"> </w:t>
      </w:r>
      <w:r>
        <w:rPr>
          <w:rFonts w:ascii="Book Antiqua" w:eastAsia="Times New Roman" w:hAnsi="Book Antiqua"/>
          <w:color w:val="000000" w:themeColor="text1"/>
          <w:sz w:val="24"/>
          <w:szCs w:val="24"/>
        </w:rPr>
        <w:t>DNA-binding protein and NF-</w:t>
      </w:r>
      <w:proofErr w:type="spellStart"/>
      <w:r>
        <w:rPr>
          <w:rFonts w:ascii="Book Antiqua" w:eastAsia="Times New Roman" w:hAnsi="Book Antiqua"/>
          <w:color w:val="000000" w:themeColor="text1"/>
          <w:sz w:val="24"/>
          <w:szCs w:val="24"/>
        </w:rPr>
        <w:t>κB</w:t>
      </w:r>
      <w:proofErr w:type="spellEnd"/>
      <w:r>
        <w:rPr>
          <w:rFonts w:ascii="Book Antiqua" w:eastAsiaTheme="minorEastAsia" w:hAnsi="Book Antiqua"/>
          <w:color w:val="000000" w:themeColor="text1"/>
          <w:sz w:val="24"/>
          <w:szCs w:val="24"/>
        </w:rPr>
        <w:t xml:space="preserve"> </w:t>
      </w:r>
      <w:r>
        <w:rPr>
          <w:rFonts w:ascii="Book Antiqua" w:eastAsia="宋体" w:hAnsi="Book Antiqua"/>
          <w:color w:val="000000" w:themeColor="text1"/>
          <w:sz w:val="24"/>
          <w:szCs w:val="24"/>
        </w:rPr>
        <w:t>(</w:t>
      </w:r>
      <w:r>
        <w:rPr>
          <w:rFonts w:ascii="Book Antiqua" w:eastAsia="Times New Roman" w:hAnsi="Book Antiqua"/>
          <w:color w:val="000000" w:themeColor="text1"/>
          <w:sz w:val="24"/>
          <w:szCs w:val="24"/>
        </w:rPr>
        <w:t>P65</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 xml:space="preserve">in IBS rats, which suggests that BBR or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may restrain the NF-</w:t>
      </w:r>
      <w:proofErr w:type="spellStart"/>
      <w:r>
        <w:rPr>
          <w:rFonts w:ascii="Book Antiqua" w:eastAsia="Times New Roman" w:hAnsi="Book Antiqua"/>
          <w:color w:val="000000" w:themeColor="text1"/>
          <w:sz w:val="24"/>
          <w:szCs w:val="24"/>
        </w:rPr>
        <w:t>κB</w:t>
      </w:r>
      <w:proofErr w:type="spellEnd"/>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 xml:space="preserve">signaling pathway, </w:t>
      </w:r>
      <w:r>
        <w:rPr>
          <w:rFonts w:ascii="Book Antiqua" w:eastAsia="Times New Roman" w:hAnsi="Book Antiqua"/>
          <w:color w:val="000000" w:themeColor="text1"/>
          <w:sz w:val="24"/>
          <w:szCs w:val="24"/>
        </w:rPr>
        <w:lastRenderedPageBreak/>
        <w:t>inhibit the activation of pro-inflammatory cytokines, increase the expression of anti-inflammatory cytokines, and reduce the inflammatory response in the distal ileum of rats.</w:t>
      </w:r>
      <w:r>
        <w:rPr>
          <w:rFonts w:ascii="Book Antiqua" w:hAnsi="Book Antiqua"/>
          <w:color w:val="000000" w:themeColor="text1"/>
          <w:sz w:val="24"/>
          <w:szCs w:val="24"/>
        </w:rPr>
        <w:t xml:space="preserve"> </w:t>
      </w:r>
      <w:r>
        <w:rPr>
          <w:rFonts w:ascii="Book Antiqua" w:eastAsia="Times New Roman" w:hAnsi="Book Antiqua"/>
          <w:color w:val="000000" w:themeColor="text1"/>
          <w:sz w:val="24"/>
          <w:szCs w:val="24"/>
        </w:rPr>
        <w:t>As mentioned above, high-dose BBR effectively inhibited mucosal inflammation by interdicting the positive feedback between the NF-</w:t>
      </w:r>
      <w:proofErr w:type="spellStart"/>
      <w:r>
        <w:rPr>
          <w:rFonts w:ascii="Book Antiqua" w:eastAsia="Times New Roman" w:hAnsi="Book Antiqua"/>
          <w:color w:val="000000" w:themeColor="text1"/>
          <w:sz w:val="24"/>
          <w:szCs w:val="24"/>
        </w:rPr>
        <w:t>κB</w:t>
      </w:r>
      <w:proofErr w:type="spellEnd"/>
      <w:r>
        <w:rPr>
          <w:rFonts w:ascii="Book Antiqua" w:eastAsia="Times New Roman" w:hAnsi="Book Antiqua"/>
          <w:color w:val="000000" w:themeColor="text1"/>
          <w:sz w:val="24"/>
          <w:szCs w:val="24"/>
        </w:rPr>
        <w:t xml:space="preserve"> signal pathway and inflammatory factors in IBS rats (Figure 10).</w:t>
      </w:r>
      <w:r>
        <w:rPr>
          <w:rFonts w:ascii="Book Antiqua" w:hAnsi="Book Antiqua"/>
          <w:color w:val="000000" w:themeColor="text1"/>
          <w:sz w:val="24"/>
          <w:szCs w:val="24"/>
        </w:rPr>
        <w:t xml:space="preserve"> </w:t>
      </w:r>
      <w:r>
        <w:rPr>
          <w:rFonts w:ascii="Book Antiqua" w:eastAsia="Times New Roman" w:hAnsi="Book Antiqua"/>
          <w:color w:val="000000" w:themeColor="text1"/>
          <w:sz w:val="24"/>
          <w:szCs w:val="24"/>
        </w:rPr>
        <w:t>Studies have shown that mucosal inflammation can lead to</w:t>
      </w:r>
      <w:r>
        <w:rPr>
          <w:rFonts w:ascii="Book Antiqua" w:hAnsi="Book Antiqua"/>
          <w:color w:val="000000" w:themeColor="text1"/>
          <w:sz w:val="24"/>
          <w:szCs w:val="24"/>
        </w:rPr>
        <w:t xml:space="preserve"> </w:t>
      </w:r>
      <w:r>
        <w:rPr>
          <w:rFonts w:ascii="Book Antiqua" w:eastAsia="Times New Roman" w:hAnsi="Book Antiqua"/>
          <w:color w:val="000000" w:themeColor="text1"/>
          <w:sz w:val="24"/>
          <w:szCs w:val="24"/>
        </w:rPr>
        <w:t xml:space="preserve">visceral </w:t>
      </w:r>
      <w:proofErr w:type="gramStart"/>
      <w:r>
        <w:rPr>
          <w:rFonts w:ascii="Book Antiqua" w:eastAsia="Times New Roman" w:hAnsi="Book Antiqua"/>
          <w:color w:val="000000" w:themeColor="text1"/>
          <w:sz w:val="24"/>
          <w:szCs w:val="24"/>
        </w:rPr>
        <w:t>hypersensitivity</w:t>
      </w:r>
      <w:r>
        <w:rPr>
          <w:rFonts w:ascii="Book Antiqua" w:eastAsia="Times New Roman" w:hAnsi="Book Antiqua"/>
          <w:color w:val="000000" w:themeColor="text1"/>
          <w:sz w:val="24"/>
          <w:szCs w:val="24"/>
          <w:vertAlign w:val="superscript"/>
        </w:rPr>
        <w:t>[</w:t>
      </w:r>
      <w:proofErr w:type="gramEnd"/>
      <w:r>
        <w:fldChar w:fldCharType="begin"/>
      </w:r>
      <w:r>
        <w:instrText xml:space="preserve"> HYPERLINK "file:///C:\\Users\\Liansheng%20Ma\\Desktop\\Liansheng%20Ma\\Dispose\\2019-07-05-Final_Acceptance_WJG\\46893\\_ENREF_35" </w:instrText>
      </w:r>
      <w:r>
        <w:fldChar w:fldCharType="separate"/>
      </w:r>
      <w:r>
        <w:rPr>
          <w:rFonts w:ascii="Book Antiqua" w:eastAsia="Times New Roman" w:hAnsi="Book Antiqua"/>
          <w:color w:val="000000" w:themeColor="text1"/>
          <w:sz w:val="24"/>
          <w:szCs w:val="24"/>
          <w:vertAlign w:val="superscript"/>
        </w:rPr>
        <w:t>35</w:t>
      </w:r>
      <w:r>
        <w:rPr>
          <w:rFonts w:ascii="Book Antiqua" w:eastAsia="Times New Roman" w:hAnsi="Book Antiqua"/>
          <w:color w:val="000000" w:themeColor="text1"/>
          <w:sz w:val="24"/>
          <w:szCs w:val="24"/>
          <w:vertAlign w:val="superscript"/>
        </w:rPr>
        <w:fldChar w:fldCharType="end"/>
      </w:r>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w:t>
      </w:r>
      <w:r>
        <w:rPr>
          <w:rFonts w:ascii="Book Antiqua" w:hAnsi="Book Antiqua"/>
          <w:color w:val="000000" w:themeColor="text1"/>
          <w:sz w:val="24"/>
          <w:szCs w:val="24"/>
        </w:rPr>
        <w:t xml:space="preserve"> </w:t>
      </w:r>
      <w:r>
        <w:rPr>
          <w:rFonts w:ascii="Book Antiqua" w:eastAsia="Times New Roman" w:hAnsi="Book Antiqua"/>
          <w:color w:val="000000" w:themeColor="text1"/>
          <w:sz w:val="24"/>
          <w:szCs w:val="24"/>
        </w:rPr>
        <w:t>Therefore, oral high-dose BBR reduced visceral sensitivity possibly by controlling mucosal inflammation in the intestine.</w:t>
      </w:r>
    </w:p>
    <w:p w:rsidR="00EF7033" w:rsidRDefault="0035424A">
      <w:pPr>
        <w:widowControl w:val="0"/>
        <w:kinsoku w:val="0"/>
        <w:overflowPunct w:val="0"/>
        <w:autoSpaceDE w:val="0"/>
        <w:autoSpaceDN w:val="0"/>
        <w:spacing w:line="360" w:lineRule="auto"/>
        <w:ind w:firstLineChars="100" w:firstLine="240"/>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The expression levels of BDNF and its receptor </w:t>
      </w:r>
      <w:proofErr w:type="spellStart"/>
      <w:r>
        <w:rPr>
          <w:rFonts w:ascii="Book Antiqua" w:eastAsia="Times New Roman" w:hAnsi="Book Antiqua"/>
          <w:color w:val="000000" w:themeColor="text1"/>
          <w:sz w:val="24"/>
          <w:szCs w:val="24"/>
        </w:rPr>
        <w:t>TrkB</w:t>
      </w:r>
      <w:proofErr w:type="spellEnd"/>
      <w:r>
        <w:rPr>
          <w:rFonts w:ascii="Book Antiqua" w:eastAsia="Times New Roman" w:hAnsi="Book Antiqua"/>
          <w:color w:val="000000" w:themeColor="text1"/>
          <w:sz w:val="24"/>
          <w:szCs w:val="24"/>
        </w:rPr>
        <w:t xml:space="preserve"> were increased in WAS group rats. Previous studies have shown that BDNF plays an important regulatory role in IBS patients’ visceral sensitivity and intestinal motility through the </w:t>
      </w:r>
      <w:proofErr w:type="spellStart"/>
      <w:r>
        <w:rPr>
          <w:rFonts w:ascii="Book Antiqua" w:eastAsia="Times New Roman" w:hAnsi="Book Antiqua"/>
          <w:color w:val="000000" w:themeColor="text1"/>
          <w:sz w:val="24"/>
          <w:szCs w:val="24"/>
        </w:rPr>
        <w:t>braingut</w:t>
      </w:r>
      <w:proofErr w:type="spellEnd"/>
      <w:r>
        <w:rPr>
          <w:rFonts w:ascii="Book Antiqua" w:eastAsia="Times New Roman" w:hAnsi="Book Antiqua"/>
          <w:color w:val="000000" w:themeColor="text1"/>
          <w:sz w:val="24"/>
          <w:szCs w:val="24"/>
        </w:rPr>
        <w:t xml:space="preserve"> axis. BDNF activates the signal transduction pathways of </w:t>
      </w:r>
      <w:proofErr w:type="spellStart"/>
      <w:r>
        <w:rPr>
          <w:rFonts w:ascii="Book Antiqua" w:eastAsia="Times New Roman" w:hAnsi="Book Antiqua"/>
          <w:color w:val="000000" w:themeColor="text1"/>
          <w:sz w:val="24"/>
          <w:szCs w:val="24"/>
        </w:rPr>
        <w:t>CaMK</w:t>
      </w:r>
      <w:proofErr w:type="spellEnd"/>
      <w:r>
        <w:rPr>
          <w:rFonts w:ascii="Book Antiqua" w:eastAsia="Times New Roman" w:hAnsi="Book Antiqua"/>
          <w:color w:val="000000" w:themeColor="text1"/>
          <w:sz w:val="24"/>
          <w:szCs w:val="24"/>
        </w:rPr>
        <w:t xml:space="preserve"> and MAPK after binding the high affinity receptor protein </w:t>
      </w:r>
      <w:proofErr w:type="spellStart"/>
      <w:proofErr w:type="gramStart"/>
      <w:r>
        <w:rPr>
          <w:rFonts w:ascii="Book Antiqua" w:eastAsia="Times New Roman" w:hAnsi="Book Antiqua"/>
          <w:color w:val="000000" w:themeColor="text1"/>
          <w:sz w:val="24"/>
          <w:szCs w:val="24"/>
        </w:rPr>
        <w:t>Trkb</w:t>
      </w:r>
      <w:proofErr w:type="spellEnd"/>
      <w:r>
        <w:rPr>
          <w:rFonts w:ascii="Book Antiqua" w:eastAsia="Times New Roman" w:hAnsi="Book Antiqua"/>
          <w:color w:val="000000" w:themeColor="text1"/>
          <w:sz w:val="24"/>
          <w:szCs w:val="24"/>
          <w:vertAlign w:val="superscript"/>
        </w:rPr>
        <w:t>[</w:t>
      </w:r>
      <w:proofErr w:type="gramEnd"/>
      <w:r>
        <w:fldChar w:fldCharType="begin"/>
      </w:r>
      <w:r>
        <w:instrText xml:space="preserve"> HYPERLINK "file:///C:\\Users\\Liansheng%20Ma\\Desktop\\Liansheng%20Ma\\Dispose\\2019-07-05-Final_Acceptance_WJG\\46893\\_ENREF_36" </w:instrText>
      </w:r>
      <w:r>
        <w:fldChar w:fldCharType="separate"/>
      </w:r>
      <w:r>
        <w:rPr>
          <w:rFonts w:ascii="Book Antiqua" w:eastAsia="Times New Roman" w:hAnsi="Book Antiqua"/>
          <w:color w:val="000000" w:themeColor="text1"/>
          <w:sz w:val="24"/>
          <w:szCs w:val="24"/>
          <w:vertAlign w:val="superscript"/>
        </w:rPr>
        <w:t>36</w:t>
      </w:r>
      <w:r>
        <w:rPr>
          <w:rFonts w:ascii="Book Antiqua" w:eastAsia="Times New Roman" w:hAnsi="Book Antiqua"/>
          <w:color w:val="000000" w:themeColor="text1"/>
          <w:sz w:val="24"/>
          <w:szCs w:val="24"/>
          <w:vertAlign w:val="superscript"/>
        </w:rPr>
        <w:fldChar w:fldCharType="end"/>
      </w:r>
      <w:r>
        <w:rPr>
          <w:rFonts w:ascii="Book Antiqua" w:eastAsia="Times New Roman" w:hAnsi="Book Antiqua"/>
          <w:color w:val="000000" w:themeColor="text1"/>
          <w:sz w:val="24"/>
          <w:szCs w:val="24"/>
          <w:vertAlign w:val="superscript"/>
        </w:rPr>
        <w:t>,</w:t>
      </w:r>
      <w:hyperlink r:id="rId21" w:history="1">
        <w:r>
          <w:rPr>
            <w:rFonts w:ascii="Book Antiqua" w:eastAsia="Times New Roman" w:hAnsi="Book Antiqua"/>
            <w:color w:val="000000" w:themeColor="text1"/>
            <w:sz w:val="24"/>
            <w:szCs w:val="24"/>
            <w:vertAlign w:val="superscript"/>
          </w:rPr>
          <w:t>37</w:t>
        </w:r>
      </w:hyperlink>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 xml:space="preserve">. High-dose BBR or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can reduce the visceral hypersensitivity and intestinal motility of IBS rats and decrease the expression levels of BDNF mRNA, </w:t>
      </w:r>
      <w:proofErr w:type="spellStart"/>
      <w:r>
        <w:rPr>
          <w:rFonts w:ascii="Book Antiqua" w:eastAsia="Times New Roman" w:hAnsi="Book Antiqua"/>
          <w:color w:val="000000" w:themeColor="text1"/>
          <w:sz w:val="24"/>
          <w:szCs w:val="24"/>
        </w:rPr>
        <w:t>Trkb</w:t>
      </w:r>
      <w:proofErr w:type="spellEnd"/>
      <w:r>
        <w:rPr>
          <w:rFonts w:ascii="Book Antiqua" w:eastAsia="Times New Roman" w:hAnsi="Book Antiqua"/>
          <w:color w:val="000000" w:themeColor="text1"/>
          <w:sz w:val="24"/>
          <w:szCs w:val="24"/>
        </w:rPr>
        <w:t xml:space="preserve"> mRNA, and </w:t>
      </w:r>
      <w:proofErr w:type="spellStart"/>
      <w:r>
        <w:rPr>
          <w:rFonts w:ascii="Book Antiqua" w:eastAsia="Times New Roman" w:hAnsi="Book Antiqua"/>
          <w:color w:val="000000" w:themeColor="text1"/>
          <w:sz w:val="24"/>
          <w:szCs w:val="24"/>
        </w:rPr>
        <w:t>Trkb</w:t>
      </w:r>
      <w:proofErr w:type="spellEnd"/>
      <w:r>
        <w:rPr>
          <w:rFonts w:ascii="Book Antiqua" w:eastAsia="Times New Roman" w:hAnsi="Book Antiqua"/>
          <w:color w:val="000000" w:themeColor="text1"/>
          <w:sz w:val="24"/>
          <w:szCs w:val="24"/>
        </w:rPr>
        <w:t xml:space="preserve"> protein in the distal ileum.</w:t>
      </w:r>
      <w:r>
        <w:rPr>
          <w:rFonts w:ascii="Book Antiqua" w:hAnsi="Book Antiqua"/>
          <w:color w:val="000000" w:themeColor="text1"/>
          <w:sz w:val="24"/>
          <w:szCs w:val="24"/>
        </w:rPr>
        <w:t xml:space="preserve"> </w:t>
      </w:r>
      <w:r>
        <w:rPr>
          <w:rFonts w:ascii="Book Antiqua" w:eastAsia="Times New Roman" w:hAnsi="Book Antiqua"/>
          <w:color w:val="000000" w:themeColor="text1"/>
          <w:sz w:val="24"/>
          <w:szCs w:val="24"/>
        </w:rPr>
        <w:t xml:space="preserve">BBR reduces visceral hypersensitivity and intestinal dynamics by reducing BDNF and its receptor </w:t>
      </w:r>
      <w:proofErr w:type="spellStart"/>
      <w:r>
        <w:rPr>
          <w:rFonts w:ascii="Book Antiqua" w:eastAsia="Times New Roman" w:hAnsi="Book Antiqua"/>
          <w:color w:val="000000" w:themeColor="text1"/>
          <w:sz w:val="24"/>
          <w:szCs w:val="24"/>
        </w:rPr>
        <w:t>Trkb</w:t>
      </w:r>
      <w:proofErr w:type="spellEnd"/>
      <w:r>
        <w:rPr>
          <w:rFonts w:ascii="Book Antiqua" w:eastAsia="Times New Roman" w:hAnsi="Book Antiqua"/>
          <w:color w:val="000000" w:themeColor="text1"/>
          <w:sz w:val="24"/>
          <w:szCs w:val="24"/>
        </w:rPr>
        <w:t xml:space="preserve"> expression perhaps </w:t>
      </w:r>
      <w:r w:rsidR="00F76626" w:rsidRPr="00F76626">
        <w:rPr>
          <w:rFonts w:ascii="Book Antiqua" w:eastAsia="Times New Roman" w:hAnsi="Book Antiqua"/>
          <w:i/>
          <w:color w:val="000000" w:themeColor="text1"/>
          <w:sz w:val="24"/>
          <w:szCs w:val="24"/>
        </w:rPr>
        <w:t>via</w:t>
      </w:r>
      <w:r>
        <w:rPr>
          <w:rFonts w:ascii="Book Antiqua" w:eastAsia="Times New Roman" w:hAnsi="Book Antiqua"/>
          <w:color w:val="000000" w:themeColor="text1"/>
          <w:sz w:val="24"/>
          <w:szCs w:val="24"/>
        </w:rPr>
        <w:t xml:space="preserve"> the following mechanisms: </w:t>
      </w:r>
      <w:r>
        <w:rPr>
          <w:rFonts w:ascii="Book Antiqua" w:eastAsia="宋体" w:hAnsi="Book Antiqua"/>
          <w:color w:val="000000" w:themeColor="text1"/>
          <w:sz w:val="24"/>
          <w:szCs w:val="24"/>
        </w:rPr>
        <w:t>(</w:t>
      </w:r>
      <w:r>
        <w:rPr>
          <w:rFonts w:ascii="Book Antiqua" w:eastAsia="Times New Roman" w:hAnsi="Book Antiqua"/>
          <w:color w:val="000000" w:themeColor="text1"/>
          <w:sz w:val="24"/>
          <w:szCs w:val="24"/>
        </w:rPr>
        <w:t>1</w:t>
      </w:r>
      <w:r>
        <w:rPr>
          <w:rFonts w:ascii="Book Antiqua" w:eastAsia="宋体" w:hAnsi="Book Antiqua"/>
          <w:color w:val="000000" w:themeColor="text1"/>
          <w:sz w:val="24"/>
          <w:szCs w:val="24"/>
        </w:rPr>
        <w:t>)</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The increased expression of BDNF may damage the ultrastructure of intestinal nerve fibers, and result in a higher density of nerve fibers in the intestinal tract and the release of excitatory neurotransmitters, leading to the allergy of intestinal neurons</w:t>
      </w:r>
      <w:r>
        <w:rPr>
          <w:rFonts w:ascii="Book Antiqua" w:eastAsia="Times New Roman" w:hAnsi="Book Antiqua"/>
          <w:color w:val="000000" w:themeColor="text1"/>
          <w:sz w:val="24"/>
          <w:szCs w:val="24"/>
          <w:vertAlign w:val="superscript"/>
        </w:rPr>
        <w:t>[</w:t>
      </w:r>
      <w:hyperlink r:id="rId22" w:history="1">
        <w:r>
          <w:rPr>
            <w:rFonts w:ascii="Book Antiqua" w:eastAsia="Times New Roman" w:hAnsi="Book Antiqua"/>
            <w:color w:val="000000" w:themeColor="text1"/>
            <w:sz w:val="24"/>
            <w:szCs w:val="24"/>
            <w:vertAlign w:val="superscript"/>
          </w:rPr>
          <w:t>38</w:t>
        </w:r>
      </w:hyperlink>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 BBR inhibits the expression of BDNF in the IBS rats to maintain the normal form of the enteric nervous system, keeps normal operation of the enteric nervous system, and eventually prevents the</w:t>
      </w:r>
      <w:r>
        <w:rPr>
          <w:rFonts w:ascii="Book Antiqua" w:hAnsi="Book Antiqua"/>
          <w:color w:val="000000" w:themeColor="text1"/>
          <w:sz w:val="24"/>
          <w:szCs w:val="24"/>
        </w:rPr>
        <w:t xml:space="preserve"> </w:t>
      </w:r>
      <w:r>
        <w:rPr>
          <w:rFonts w:ascii="Book Antiqua" w:eastAsia="Times New Roman" w:hAnsi="Book Antiqua"/>
          <w:color w:val="000000" w:themeColor="text1"/>
          <w:sz w:val="24"/>
          <w:szCs w:val="24"/>
        </w:rPr>
        <w:t>visceral hypersensitivity;</w:t>
      </w:r>
      <w:r>
        <w:rPr>
          <w:rFonts w:ascii="Book Antiqua" w:eastAsia="宋体" w:hAnsi="Book Antiqua" w:cs="宋体"/>
          <w:color w:val="000000" w:themeColor="text1"/>
          <w:sz w:val="24"/>
          <w:szCs w:val="24"/>
        </w:rPr>
        <w:t xml:space="preserve"> </w:t>
      </w:r>
      <w:r>
        <w:rPr>
          <w:rFonts w:ascii="Book Antiqua" w:eastAsia="宋体" w:hAnsi="Book Antiqua"/>
          <w:color w:val="000000" w:themeColor="text1"/>
          <w:sz w:val="24"/>
          <w:szCs w:val="24"/>
        </w:rPr>
        <w:t>(</w:t>
      </w:r>
      <w:r>
        <w:rPr>
          <w:rFonts w:ascii="Book Antiqua" w:eastAsia="Times New Roman" w:hAnsi="Book Antiqua"/>
          <w:color w:val="000000" w:themeColor="text1"/>
          <w:sz w:val="24"/>
          <w:szCs w:val="24"/>
        </w:rPr>
        <w:t>2</w:t>
      </w:r>
      <w:r>
        <w:rPr>
          <w:rFonts w:ascii="Book Antiqua" w:eastAsia="宋体" w:hAnsi="Book Antiqua"/>
          <w:color w:val="000000" w:themeColor="text1"/>
          <w:sz w:val="24"/>
          <w:szCs w:val="24"/>
        </w:rPr>
        <w:t>)</w:t>
      </w:r>
      <w:r>
        <w:rPr>
          <w:rFonts w:ascii="Book Antiqua" w:eastAsia="宋体" w:hAnsi="Book Antiqua" w:cs="宋体"/>
          <w:color w:val="000000" w:themeColor="text1"/>
          <w:sz w:val="24"/>
          <w:szCs w:val="24"/>
        </w:rPr>
        <w:t xml:space="preserve"> </w:t>
      </w:r>
      <w:r>
        <w:rPr>
          <w:rFonts w:ascii="Book Antiqua" w:eastAsia="Times New Roman" w:hAnsi="Book Antiqua"/>
          <w:color w:val="000000" w:themeColor="text1"/>
          <w:sz w:val="24"/>
          <w:szCs w:val="24"/>
        </w:rPr>
        <w:t>BDNF promotes the release of pain mediators in the intestinal tract</w:t>
      </w:r>
      <w:r>
        <w:rPr>
          <w:rFonts w:ascii="Book Antiqua" w:eastAsia="Times New Roman" w:hAnsi="Book Antiqua"/>
          <w:color w:val="000000" w:themeColor="text1"/>
          <w:sz w:val="24"/>
          <w:szCs w:val="24"/>
          <w:vertAlign w:val="superscript"/>
        </w:rPr>
        <w:t>[</w:t>
      </w:r>
      <w:hyperlink r:id="rId23" w:history="1">
        <w:r>
          <w:rPr>
            <w:rFonts w:ascii="Book Antiqua" w:eastAsia="Times New Roman" w:hAnsi="Book Antiqua"/>
            <w:color w:val="000000" w:themeColor="text1"/>
            <w:sz w:val="24"/>
            <w:szCs w:val="24"/>
            <w:vertAlign w:val="superscript"/>
          </w:rPr>
          <w:t>38</w:t>
        </w:r>
      </w:hyperlink>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 and BBR alleviates the pain of the IBS rats by reducing the expression of BDNF;</w:t>
      </w:r>
      <w:r>
        <w:rPr>
          <w:rFonts w:ascii="Book Antiqua" w:eastAsia="宋体" w:hAnsi="Book Antiqua" w:cs="宋体"/>
          <w:color w:val="000000" w:themeColor="text1"/>
          <w:sz w:val="24"/>
          <w:szCs w:val="24"/>
        </w:rPr>
        <w:t xml:space="preserve"> and </w:t>
      </w:r>
      <w:r>
        <w:rPr>
          <w:rFonts w:ascii="Book Antiqua" w:eastAsia="宋体" w:hAnsi="Book Antiqua"/>
          <w:color w:val="000000" w:themeColor="text1"/>
          <w:sz w:val="24"/>
          <w:szCs w:val="24"/>
        </w:rPr>
        <w:t>(</w:t>
      </w:r>
      <w:r>
        <w:rPr>
          <w:rFonts w:ascii="Book Antiqua" w:eastAsia="Times New Roman" w:hAnsi="Book Antiqua"/>
          <w:color w:val="000000" w:themeColor="text1"/>
          <w:sz w:val="24"/>
          <w:szCs w:val="24"/>
        </w:rPr>
        <w:t>3</w:t>
      </w:r>
      <w:r>
        <w:rPr>
          <w:rFonts w:ascii="Book Antiqua" w:eastAsiaTheme="minorEastAsia" w:hAnsi="Book Antiqua"/>
          <w:color w:val="000000" w:themeColor="text1"/>
          <w:sz w:val="24"/>
          <w:szCs w:val="24"/>
        </w:rPr>
        <w:t>)</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 xml:space="preserve">BBR reduces the activity of serine protease by reducing the expression of BDNF in the intestinal tract, thereby improving the symptoms of diarrhea in IBS patients, as well as the severity and frequency of </w:t>
      </w:r>
      <w:r>
        <w:rPr>
          <w:rFonts w:ascii="Book Antiqua" w:eastAsia="Times New Roman" w:hAnsi="Book Antiqua"/>
          <w:color w:val="000000" w:themeColor="text1"/>
          <w:sz w:val="24"/>
          <w:szCs w:val="24"/>
        </w:rPr>
        <w:lastRenderedPageBreak/>
        <w:t>abdominal pain.</w:t>
      </w:r>
    </w:p>
    <w:p w:rsidR="00EF7033" w:rsidRDefault="0035424A">
      <w:pPr>
        <w:widowControl w:val="0"/>
        <w:kinsoku w:val="0"/>
        <w:overflowPunct w:val="0"/>
        <w:autoSpaceDE w:val="0"/>
        <w:autoSpaceDN w:val="0"/>
        <w:spacing w:line="360" w:lineRule="auto"/>
        <w:ind w:firstLineChars="100" w:firstLine="240"/>
        <w:rPr>
          <w:rFonts w:ascii="Book Antiqua" w:eastAsia="宋体" w:hAnsi="Book Antiqua"/>
          <w:color w:val="000000" w:themeColor="text1"/>
          <w:sz w:val="24"/>
          <w:szCs w:val="24"/>
        </w:rPr>
      </w:pPr>
      <w:r>
        <w:rPr>
          <w:rFonts w:ascii="Book Antiqua" w:eastAsia="Times New Roman" w:hAnsi="Book Antiqua"/>
          <w:color w:val="000000" w:themeColor="text1"/>
          <w:sz w:val="24"/>
          <w:szCs w:val="24"/>
        </w:rPr>
        <w:t>C-kit mRNA and protein expression levels increased in the distal ileum of WAS group rats, suggesting that the C-kit signaling pathway in rats was activated. C-kit activation may affect the regulatory effect of ICC cells on intestinal sensitivity and intestinal motility in rats. ICC can spontaneously produce rhythmic slow wave, transmit the intestinal nerve signals to the smooth muscle cells to ensure the normal movement of the intestinal tract, and regulate the intestinal motility and visceral sensitivity of IBS patients through the brain-gut axis</w:t>
      </w:r>
      <w:r>
        <w:rPr>
          <w:rFonts w:ascii="Book Antiqua" w:eastAsia="Times New Roman" w:hAnsi="Book Antiqua"/>
          <w:color w:val="000000" w:themeColor="text1"/>
          <w:sz w:val="24"/>
          <w:szCs w:val="24"/>
          <w:vertAlign w:val="superscript"/>
        </w:rPr>
        <w:t>[</w:t>
      </w:r>
      <w:hyperlink r:id="rId24" w:history="1">
        <w:r>
          <w:rPr>
            <w:rFonts w:ascii="Book Antiqua" w:eastAsia="Times New Roman" w:hAnsi="Book Antiqua"/>
            <w:color w:val="000000" w:themeColor="text1"/>
            <w:sz w:val="24"/>
            <w:szCs w:val="24"/>
            <w:vertAlign w:val="superscript"/>
          </w:rPr>
          <w:t>20</w:t>
        </w:r>
      </w:hyperlink>
      <w:r>
        <w:rPr>
          <w:rFonts w:ascii="Book Antiqua" w:eastAsia="Times New Roman" w:hAnsi="Book Antiqua"/>
          <w:color w:val="000000" w:themeColor="text1"/>
          <w:sz w:val="24"/>
          <w:szCs w:val="24"/>
          <w:vertAlign w:val="superscript"/>
        </w:rPr>
        <w:t>,</w:t>
      </w:r>
      <w:hyperlink r:id="rId25" w:history="1">
        <w:r>
          <w:rPr>
            <w:rFonts w:ascii="Book Antiqua" w:eastAsia="Times New Roman" w:hAnsi="Book Antiqua"/>
            <w:color w:val="000000" w:themeColor="text1"/>
            <w:sz w:val="24"/>
            <w:szCs w:val="24"/>
            <w:vertAlign w:val="superscript"/>
          </w:rPr>
          <w:t>39</w:t>
        </w:r>
      </w:hyperlink>
      <w:r>
        <w:rPr>
          <w:rFonts w:ascii="Book Antiqua" w:eastAsia="Times New Roman" w:hAnsi="Book Antiqua"/>
          <w:color w:val="000000" w:themeColor="text1"/>
          <w:sz w:val="24"/>
          <w:szCs w:val="24"/>
          <w:vertAlign w:val="superscript"/>
        </w:rPr>
        <w:t>,</w:t>
      </w:r>
      <w:hyperlink r:id="rId26" w:history="1">
        <w:r>
          <w:rPr>
            <w:rFonts w:ascii="Book Antiqua" w:eastAsia="Times New Roman" w:hAnsi="Book Antiqua"/>
            <w:color w:val="000000" w:themeColor="text1"/>
            <w:sz w:val="24"/>
            <w:szCs w:val="24"/>
            <w:vertAlign w:val="superscript"/>
          </w:rPr>
          <w:t>40</w:t>
        </w:r>
      </w:hyperlink>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 xml:space="preserve">. The C-kit signal pathway plays an important role in the proliferation and development of ICC cells. Thus, C-kit protein expression is an important marker for ICC </w:t>
      </w:r>
      <w:proofErr w:type="gramStart"/>
      <w:r>
        <w:rPr>
          <w:rFonts w:ascii="Book Antiqua" w:eastAsia="Times New Roman" w:hAnsi="Book Antiqua"/>
          <w:color w:val="000000" w:themeColor="text1"/>
          <w:sz w:val="24"/>
          <w:szCs w:val="24"/>
        </w:rPr>
        <w:t>cells</w:t>
      </w:r>
      <w:r>
        <w:rPr>
          <w:rFonts w:ascii="Book Antiqua" w:eastAsia="Times New Roman" w:hAnsi="Book Antiqua"/>
          <w:color w:val="000000" w:themeColor="text1"/>
          <w:sz w:val="24"/>
          <w:szCs w:val="24"/>
          <w:vertAlign w:val="superscript"/>
        </w:rPr>
        <w:t>[</w:t>
      </w:r>
      <w:proofErr w:type="gramEnd"/>
      <w:r>
        <w:fldChar w:fldCharType="begin"/>
      </w:r>
      <w:r>
        <w:instrText xml:space="preserve"> HYPERLINK "file:///C:\\Users\\Liansheng%20Ma\\Desktop\\Liansheng%20Ma\\Dispose\\2019-07-05-Final_Acceptance_WJG\\46893\\_ENREF_41" </w:instrText>
      </w:r>
      <w:r>
        <w:fldChar w:fldCharType="separate"/>
      </w:r>
      <w:r>
        <w:rPr>
          <w:rFonts w:ascii="Book Antiqua" w:eastAsia="Times New Roman" w:hAnsi="Book Antiqua"/>
          <w:color w:val="000000" w:themeColor="text1"/>
          <w:sz w:val="24"/>
          <w:szCs w:val="24"/>
          <w:vertAlign w:val="superscript"/>
        </w:rPr>
        <w:t>41</w:t>
      </w:r>
      <w:r>
        <w:rPr>
          <w:rFonts w:ascii="Book Antiqua" w:eastAsia="Times New Roman" w:hAnsi="Book Antiqua"/>
          <w:color w:val="000000" w:themeColor="text1"/>
          <w:sz w:val="24"/>
          <w:szCs w:val="24"/>
          <w:vertAlign w:val="superscript"/>
        </w:rPr>
        <w:fldChar w:fldCharType="end"/>
      </w:r>
      <w:r>
        <w:rPr>
          <w:rFonts w:ascii="Book Antiqua" w:eastAsia="Times New Roman" w:hAnsi="Book Antiqua"/>
          <w:color w:val="000000" w:themeColor="text1"/>
          <w:sz w:val="24"/>
          <w:szCs w:val="24"/>
          <w:vertAlign w:val="superscript"/>
        </w:rPr>
        <w:t>,</w:t>
      </w:r>
      <w:hyperlink r:id="rId27" w:history="1">
        <w:r>
          <w:rPr>
            <w:rFonts w:ascii="Book Antiqua" w:eastAsia="Times New Roman" w:hAnsi="Book Antiqua"/>
            <w:color w:val="000000" w:themeColor="text1"/>
            <w:sz w:val="24"/>
            <w:szCs w:val="24"/>
            <w:vertAlign w:val="superscript"/>
          </w:rPr>
          <w:t>42</w:t>
        </w:r>
      </w:hyperlink>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 xml:space="preserve">. Stem cell factor (SCF), an important ligand of C-kit, is one of the important cytokines that induce </w:t>
      </w:r>
      <w:proofErr w:type="gramStart"/>
      <w:r>
        <w:rPr>
          <w:rFonts w:ascii="Book Antiqua" w:eastAsia="Times New Roman" w:hAnsi="Book Antiqua"/>
          <w:color w:val="000000" w:themeColor="text1"/>
          <w:sz w:val="24"/>
          <w:szCs w:val="24"/>
        </w:rPr>
        <w:t>IBS</w:t>
      </w:r>
      <w:r>
        <w:rPr>
          <w:rFonts w:ascii="Book Antiqua" w:eastAsia="Times New Roman" w:hAnsi="Book Antiqua"/>
          <w:color w:val="000000" w:themeColor="text1"/>
          <w:sz w:val="24"/>
          <w:szCs w:val="24"/>
          <w:vertAlign w:val="superscript"/>
        </w:rPr>
        <w:t>[</w:t>
      </w:r>
      <w:proofErr w:type="gramEnd"/>
      <w:r>
        <w:fldChar w:fldCharType="begin"/>
      </w:r>
      <w:r>
        <w:instrText xml:space="preserve"> HYPERLINK "file:///C:\\Users\\Liansheng%20Ma\\Desktop\\Liansheng%20Ma\\Dispose\\2019-07-05-Final_Acceptance_WJG\\46893\\_ENREF_19" </w:instrText>
      </w:r>
      <w:r>
        <w:fldChar w:fldCharType="separate"/>
      </w:r>
      <w:r>
        <w:rPr>
          <w:rFonts w:ascii="Book Antiqua" w:eastAsia="Times New Roman" w:hAnsi="Book Antiqua"/>
          <w:color w:val="000000" w:themeColor="text1"/>
          <w:sz w:val="24"/>
          <w:szCs w:val="24"/>
          <w:vertAlign w:val="superscript"/>
        </w:rPr>
        <w:t>19</w:t>
      </w:r>
      <w:r>
        <w:rPr>
          <w:rFonts w:ascii="Book Antiqua" w:eastAsia="Times New Roman" w:hAnsi="Book Antiqua"/>
          <w:color w:val="000000" w:themeColor="text1"/>
          <w:sz w:val="24"/>
          <w:szCs w:val="24"/>
          <w:vertAlign w:val="superscript"/>
        </w:rPr>
        <w:fldChar w:fldCharType="end"/>
      </w:r>
      <w:r>
        <w:rPr>
          <w:rFonts w:ascii="Book Antiqua" w:eastAsia="Times New Roman" w:hAnsi="Book Antiqua"/>
          <w:color w:val="000000" w:themeColor="text1"/>
          <w:sz w:val="24"/>
          <w:szCs w:val="24"/>
          <w:vertAlign w:val="superscript"/>
        </w:rPr>
        <w:t>,</w:t>
      </w:r>
      <w:hyperlink r:id="rId28" w:history="1">
        <w:r>
          <w:rPr>
            <w:rFonts w:ascii="Book Antiqua" w:eastAsia="Times New Roman" w:hAnsi="Book Antiqua"/>
            <w:color w:val="000000" w:themeColor="text1"/>
            <w:sz w:val="24"/>
            <w:szCs w:val="24"/>
            <w:vertAlign w:val="superscript"/>
          </w:rPr>
          <w:t>43</w:t>
        </w:r>
      </w:hyperlink>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w:t>
      </w:r>
      <w:r>
        <w:rPr>
          <w:rFonts w:ascii="Book Antiqua" w:hAnsi="Book Antiqua"/>
          <w:color w:val="000000" w:themeColor="text1"/>
          <w:sz w:val="24"/>
          <w:szCs w:val="24"/>
        </w:rPr>
        <w:t xml:space="preserve"> </w:t>
      </w:r>
      <w:r>
        <w:rPr>
          <w:rFonts w:ascii="Book Antiqua" w:eastAsia="Times New Roman" w:hAnsi="Book Antiqua"/>
          <w:color w:val="000000" w:themeColor="text1"/>
          <w:sz w:val="24"/>
          <w:szCs w:val="24"/>
        </w:rPr>
        <w:t xml:space="preserve">High-dose BBR or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can reduce the visceral hypersensitivity and intestinal motility of IBS rats, and decrease the expression levels of C-kit in the distal ileum. BBR reduces visceral hypersensitivity and intestinal dynamics by reducing C-kit expression, which may be associated with the following mechanisms:</w:t>
      </w:r>
      <w:r>
        <w:rPr>
          <w:rFonts w:ascii="Book Antiqua" w:eastAsia="宋体" w:hAnsi="Book Antiqua" w:cs="宋体"/>
          <w:color w:val="000000" w:themeColor="text1"/>
          <w:sz w:val="24"/>
          <w:szCs w:val="24"/>
        </w:rPr>
        <w:t xml:space="preserve"> </w:t>
      </w:r>
      <w:r>
        <w:rPr>
          <w:rFonts w:ascii="Book Antiqua" w:eastAsia="宋体" w:hAnsi="Book Antiqua"/>
          <w:color w:val="000000" w:themeColor="text1"/>
          <w:sz w:val="24"/>
          <w:szCs w:val="24"/>
        </w:rPr>
        <w:t>(</w:t>
      </w:r>
      <w:r>
        <w:rPr>
          <w:rFonts w:ascii="Book Antiqua" w:eastAsia="Times New Roman" w:hAnsi="Book Antiqua"/>
          <w:color w:val="000000" w:themeColor="text1"/>
          <w:sz w:val="24"/>
          <w:szCs w:val="24"/>
        </w:rPr>
        <w:t>1</w:t>
      </w:r>
      <w:r>
        <w:rPr>
          <w:rFonts w:ascii="Book Antiqua" w:eastAsia="宋体" w:hAnsi="Book Antiqua"/>
          <w:color w:val="000000" w:themeColor="text1"/>
          <w:sz w:val="24"/>
          <w:szCs w:val="24"/>
        </w:rPr>
        <w:t>)</w:t>
      </w:r>
      <w:r>
        <w:rPr>
          <w:rFonts w:ascii="Book Antiqua" w:eastAsia="宋体" w:hAnsi="Book Antiqua" w:cs="宋体"/>
          <w:color w:val="000000" w:themeColor="text1"/>
          <w:sz w:val="24"/>
          <w:szCs w:val="24"/>
        </w:rPr>
        <w:t xml:space="preserve"> </w:t>
      </w:r>
      <w:r>
        <w:rPr>
          <w:rFonts w:ascii="Book Antiqua" w:eastAsia="Times New Roman" w:hAnsi="Book Antiqua"/>
          <w:color w:val="000000" w:themeColor="text1"/>
          <w:sz w:val="24"/>
          <w:szCs w:val="24"/>
        </w:rPr>
        <w:t xml:space="preserve">Through both SCF and C-kit, the JAK/STAT signaling pathway is activated, and STAT </w:t>
      </w:r>
      <w:proofErr w:type="spellStart"/>
      <w:r>
        <w:rPr>
          <w:rFonts w:ascii="Book Antiqua" w:eastAsia="Times New Roman" w:hAnsi="Book Antiqua"/>
          <w:color w:val="000000" w:themeColor="text1"/>
          <w:sz w:val="24"/>
          <w:szCs w:val="24"/>
        </w:rPr>
        <w:t>translocates</w:t>
      </w:r>
      <w:proofErr w:type="spellEnd"/>
      <w:r>
        <w:rPr>
          <w:rFonts w:ascii="Book Antiqua" w:eastAsia="Times New Roman" w:hAnsi="Book Antiqua"/>
          <w:color w:val="000000" w:themeColor="text1"/>
          <w:sz w:val="24"/>
          <w:szCs w:val="24"/>
        </w:rPr>
        <w:t xml:space="preserve"> into the nucleus, leading to the proliferation of ICC cells. Pathological changes occur in the new ICC, leading to abnormal intestinal electrophysiological pacing. BBR may inhibit the activation of the JAK/STAT signaling pathway by decreasing the expression of C-kit, reducing the abnormal regeneration of ICC, inhibiting the generation of abnormal electrical signals,</w:t>
      </w:r>
      <w:r>
        <w:rPr>
          <w:rFonts w:ascii="Book Antiqua" w:eastAsia="Times New Roman" w:hAnsi="Book Antiqua"/>
          <w:b/>
          <w:color w:val="000000" w:themeColor="text1"/>
          <w:sz w:val="24"/>
          <w:szCs w:val="24"/>
        </w:rPr>
        <w:t xml:space="preserve"> </w:t>
      </w:r>
      <w:r>
        <w:rPr>
          <w:rFonts w:ascii="Book Antiqua" w:eastAsia="Times New Roman" w:hAnsi="Book Antiqua"/>
          <w:color w:val="000000" w:themeColor="text1"/>
          <w:sz w:val="24"/>
          <w:szCs w:val="24"/>
        </w:rPr>
        <w:t>and ultimately reducing the intestinal motility;</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2</w:t>
      </w:r>
      <w:r>
        <w:rPr>
          <w:rFonts w:ascii="Book Antiqua" w:eastAsia="宋体" w:hAnsi="Book Antiqua"/>
          <w:color w:val="000000" w:themeColor="text1"/>
          <w:sz w:val="24"/>
          <w:szCs w:val="24"/>
        </w:rPr>
        <w:t>)</w:t>
      </w:r>
      <w:r>
        <w:rPr>
          <w:rFonts w:ascii="Book Antiqua" w:eastAsia="宋体" w:hAnsi="Book Antiqua" w:cs="宋体"/>
          <w:color w:val="000000" w:themeColor="text1"/>
          <w:sz w:val="24"/>
          <w:szCs w:val="24"/>
        </w:rPr>
        <w:t xml:space="preserve"> </w:t>
      </w:r>
      <w:r>
        <w:rPr>
          <w:rFonts w:ascii="Book Antiqua" w:eastAsia="Times New Roman" w:hAnsi="Book Antiqua"/>
          <w:color w:val="000000" w:themeColor="text1"/>
          <w:sz w:val="24"/>
          <w:szCs w:val="24"/>
        </w:rPr>
        <w:t xml:space="preserve">SCF and C-kit activate the P13K-AKT signaling pathway, which increases the expression of gap junction proteins in the intestinal smooth muscle cells. The electrical signals generated by the ICC are more likely to be transmitted to each other, which increases intestinal movement. Reduction in the expression level of C-kit can inhibit the activity of the P13K-AKT signaling pathway, leading to a decline of the expression levels of gap junction proteins in the </w:t>
      </w:r>
      <w:r>
        <w:rPr>
          <w:rFonts w:ascii="Book Antiqua" w:eastAsia="Times New Roman" w:hAnsi="Book Antiqua"/>
          <w:color w:val="000000" w:themeColor="text1"/>
          <w:sz w:val="24"/>
          <w:szCs w:val="24"/>
        </w:rPr>
        <w:lastRenderedPageBreak/>
        <w:t>intestinal smooth muscle cells and transmission efficiency of abnormal electrical signals being reduced, which eventually causes reduction of the intestinal motility;</w:t>
      </w:r>
      <w:r>
        <w:rPr>
          <w:rFonts w:ascii="Book Antiqua" w:eastAsia="宋体" w:hAnsi="Book Antiqua"/>
          <w:color w:val="000000" w:themeColor="text1"/>
          <w:sz w:val="24"/>
          <w:szCs w:val="24"/>
        </w:rPr>
        <w:t xml:space="preserve"> and (</w:t>
      </w:r>
      <w:r>
        <w:rPr>
          <w:rFonts w:ascii="Book Antiqua" w:eastAsia="Times New Roman" w:hAnsi="Book Antiqua"/>
          <w:color w:val="000000" w:themeColor="text1"/>
          <w:sz w:val="24"/>
          <w:szCs w:val="24"/>
        </w:rPr>
        <w:t>3</w:t>
      </w:r>
      <w:r>
        <w:rPr>
          <w:rFonts w:ascii="Book Antiqua" w:eastAsia="宋体" w:hAnsi="Book Antiqua"/>
          <w:color w:val="000000" w:themeColor="text1"/>
          <w:sz w:val="24"/>
          <w:szCs w:val="24"/>
        </w:rPr>
        <w:t>)</w:t>
      </w:r>
      <w:r>
        <w:rPr>
          <w:rFonts w:ascii="Book Antiqua" w:eastAsia="宋体" w:hAnsi="Book Antiqua" w:cs="宋体"/>
          <w:color w:val="000000" w:themeColor="text1"/>
          <w:sz w:val="24"/>
          <w:szCs w:val="24"/>
        </w:rPr>
        <w:t xml:space="preserve"> </w:t>
      </w:r>
      <w:r>
        <w:rPr>
          <w:rFonts w:ascii="Book Antiqua" w:eastAsia="Times New Roman" w:hAnsi="Book Antiqua"/>
          <w:color w:val="000000" w:themeColor="text1"/>
          <w:sz w:val="24"/>
          <w:szCs w:val="24"/>
        </w:rPr>
        <w:t>Activation of the RAS-ERK signaling by SCF and C-kit increases the sensitivity of the neurotransmitter receptors on the ICC surface, making them easier to bind the neurotransmitter secreted by the central nervous system and the enteric nervous system. Thus, intestinal sensitivity and intestinal motility are increased.</w:t>
      </w:r>
      <w:r>
        <w:rPr>
          <w:rFonts w:ascii="Book Antiqua" w:hAnsi="Book Antiqua"/>
          <w:color w:val="000000" w:themeColor="text1"/>
          <w:sz w:val="24"/>
          <w:szCs w:val="24"/>
        </w:rPr>
        <w:t xml:space="preserve"> </w:t>
      </w:r>
      <w:r>
        <w:rPr>
          <w:rFonts w:ascii="Book Antiqua" w:eastAsia="Times New Roman" w:hAnsi="Book Antiqua"/>
          <w:color w:val="000000" w:themeColor="text1"/>
          <w:sz w:val="24"/>
          <w:szCs w:val="24"/>
        </w:rPr>
        <w:t>BBR inhibits the RAS-ERK signaling pathway by reducing the expression of C-kit, decreases the sensitivity of neuron receptors on the surface of ICC cells, and ultimately reduces visceral sensitivity and intestinal motility</w:t>
      </w:r>
      <w:r>
        <w:rPr>
          <w:rFonts w:ascii="Book Antiqua" w:eastAsia="宋体" w:hAnsi="Book Antiqua"/>
          <w:color w:val="000000" w:themeColor="text1"/>
          <w:sz w:val="24"/>
          <w:szCs w:val="24"/>
          <w:vertAlign w:val="superscript"/>
        </w:rPr>
        <w:t>[</w:t>
      </w:r>
      <w:hyperlink r:id="rId29" w:history="1">
        <w:r>
          <w:rPr>
            <w:rFonts w:ascii="Book Antiqua" w:eastAsia="宋体" w:hAnsi="Book Antiqua"/>
            <w:color w:val="000000" w:themeColor="text1"/>
            <w:sz w:val="24"/>
            <w:szCs w:val="24"/>
            <w:vertAlign w:val="superscript"/>
          </w:rPr>
          <w:t>6</w:t>
        </w:r>
      </w:hyperlink>
      <w:r>
        <w:rPr>
          <w:rFonts w:ascii="Book Antiqua" w:eastAsia="宋体" w:hAnsi="Book Antiqua"/>
          <w:color w:val="000000" w:themeColor="text1"/>
          <w:sz w:val="24"/>
          <w:szCs w:val="24"/>
          <w:vertAlign w:val="superscript"/>
        </w:rPr>
        <w:t>,</w:t>
      </w:r>
      <w:hyperlink r:id="rId30" w:history="1">
        <w:r>
          <w:rPr>
            <w:rFonts w:ascii="Book Antiqua" w:eastAsia="宋体" w:hAnsi="Book Antiqua"/>
            <w:color w:val="000000" w:themeColor="text1"/>
            <w:sz w:val="24"/>
            <w:szCs w:val="24"/>
            <w:vertAlign w:val="superscript"/>
          </w:rPr>
          <w:t>44</w:t>
        </w:r>
      </w:hyperlink>
      <w:r>
        <w:rPr>
          <w:rFonts w:ascii="Book Antiqua" w:eastAsia="宋体" w:hAnsi="Book Antiqua"/>
          <w:color w:val="000000" w:themeColor="text1"/>
          <w:sz w:val="24"/>
          <w:szCs w:val="24"/>
          <w:vertAlign w:val="superscript"/>
        </w:rPr>
        <w:t>,</w:t>
      </w:r>
      <w:hyperlink r:id="rId31" w:history="1">
        <w:r>
          <w:rPr>
            <w:rFonts w:ascii="Book Antiqua" w:eastAsia="宋体" w:hAnsi="Book Antiqua"/>
            <w:color w:val="000000" w:themeColor="text1"/>
            <w:sz w:val="24"/>
            <w:szCs w:val="24"/>
            <w:vertAlign w:val="superscript"/>
          </w:rPr>
          <w:t>45</w:t>
        </w:r>
      </w:hyperlink>
      <w:r>
        <w:rPr>
          <w:rFonts w:ascii="Book Antiqua" w:eastAsia="宋体" w:hAnsi="Book Antiqua"/>
          <w:color w:val="000000" w:themeColor="text1"/>
          <w:sz w:val="24"/>
          <w:szCs w:val="24"/>
          <w:vertAlign w:val="superscript"/>
        </w:rPr>
        <w:t>]</w:t>
      </w:r>
      <w:r>
        <w:rPr>
          <w:rFonts w:ascii="Book Antiqua" w:eastAsia="Times New Roman" w:hAnsi="Book Antiqua"/>
          <w:color w:val="000000" w:themeColor="text1"/>
          <w:sz w:val="24"/>
          <w:szCs w:val="24"/>
        </w:rPr>
        <w:t>.</w:t>
      </w:r>
    </w:p>
    <w:p w:rsidR="00EF7033" w:rsidRDefault="0035424A">
      <w:pPr>
        <w:widowControl w:val="0"/>
        <w:kinsoku w:val="0"/>
        <w:overflowPunct w:val="0"/>
        <w:autoSpaceDE w:val="0"/>
        <w:autoSpaceDN w:val="0"/>
        <w:spacing w:line="360" w:lineRule="auto"/>
        <w:ind w:firstLineChars="100" w:firstLine="240"/>
        <w:rPr>
          <w:rFonts w:ascii="Book Antiqua" w:eastAsia="Times New Roman" w:hAnsi="Book Antiqua"/>
          <w:color w:val="000000" w:themeColor="text1"/>
          <w:sz w:val="24"/>
          <w:szCs w:val="24"/>
        </w:rPr>
      </w:pPr>
      <w:bookmarkStart w:id="55" w:name="OLE_LINK3"/>
      <w:r>
        <w:rPr>
          <w:rFonts w:ascii="Book Antiqua" w:eastAsia="Times New Roman" w:hAnsi="Book Antiqua"/>
          <w:color w:val="000000" w:themeColor="text1"/>
          <w:sz w:val="24"/>
          <w:szCs w:val="24"/>
        </w:rPr>
        <w:t>Our results showed that BBR can reduce inflammation of the distal ileum in IBS rats by inhibiting NF-</w:t>
      </w:r>
      <w:proofErr w:type="spellStart"/>
      <w:r>
        <w:rPr>
          <w:rFonts w:ascii="Book Antiqua" w:eastAsia="Times New Roman" w:hAnsi="Book Antiqua"/>
          <w:color w:val="000000" w:themeColor="text1"/>
          <w:sz w:val="24"/>
          <w:szCs w:val="24"/>
        </w:rPr>
        <w:t>κB</w:t>
      </w:r>
      <w:proofErr w:type="spellEnd"/>
      <w:r>
        <w:rPr>
          <w:rFonts w:ascii="Book Antiqua" w:eastAsia="Times New Roman" w:hAnsi="Book Antiqua"/>
          <w:color w:val="000000" w:themeColor="text1"/>
          <w:sz w:val="24"/>
          <w:szCs w:val="24"/>
        </w:rPr>
        <w:t xml:space="preserve"> signal pathways, and regulate visceral sensitivity and intestinal motility in the treatment of IBS by reducing the expression of BDNF, its receptor </w:t>
      </w:r>
      <w:proofErr w:type="spellStart"/>
      <w:r>
        <w:rPr>
          <w:rFonts w:ascii="Book Antiqua" w:eastAsia="Times New Roman" w:hAnsi="Book Antiqua"/>
          <w:color w:val="000000" w:themeColor="text1"/>
          <w:sz w:val="24"/>
          <w:szCs w:val="24"/>
        </w:rPr>
        <w:t>TrkB</w:t>
      </w:r>
      <w:proofErr w:type="spellEnd"/>
      <w:r>
        <w:rPr>
          <w:rFonts w:ascii="Book Antiqua" w:eastAsia="Times New Roman" w:hAnsi="Book Antiqua"/>
          <w:color w:val="000000" w:themeColor="text1"/>
          <w:sz w:val="24"/>
          <w:szCs w:val="24"/>
        </w:rPr>
        <w:t>, and C-kit.</w:t>
      </w:r>
      <w:bookmarkEnd w:id="55"/>
      <w:r>
        <w:rPr>
          <w:rFonts w:ascii="Book Antiqua" w:eastAsia="Times New Roman" w:hAnsi="Book Antiqua"/>
          <w:color w:val="000000" w:themeColor="text1"/>
          <w:sz w:val="24"/>
          <w:szCs w:val="24"/>
        </w:rPr>
        <w:t xml:space="preserve"> Recent studies have shown that when patients experience the colon expansion test (CRD), IBS patients not only show increased abdominal withdrawal reflex, but also increased range of brain activity reflex. These results suggest that IBS patients not only have visceral hypersensitivity, but also have increased sensitivity of the central system. This interaction may be achieved through the axis of the brain. First, hormones and neurotransmitters secreted by the neuroendocrine system act on immune cells and mast cells in the intestinal mucosa. Mast cells release SCF and inflammatory media. Subsequently, inflammation reduces intestinal sensitivity and intestinal motivation </w:t>
      </w:r>
      <w:r>
        <w:rPr>
          <w:rFonts w:ascii="Book Antiqua" w:eastAsia="Times New Roman" w:hAnsi="Book Antiqua"/>
          <w:i/>
          <w:iCs/>
          <w:color w:val="000000" w:themeColor="text1"/>
          <w:sz w:val="24"/>
          <w:szCs w:val="24"/>
        </w:rPr>
        <w:t>via</w:t>
      </w:r>
      <w:r>
        <w:rPr>
          <w:rFonts w:ascii="Book Antiqua" w:eastAsia="Times New Roman" w:hAnsi="Book Antiqua"/>
          <w:color w:val="000000" w:themeColor="text1"/>
          <w:sz w:val="24"/>
          <w:szCs w:val="24"/>
        </w:rPr>
        <w:t xml:space="preserve"> influencing the intestinal smooth muscle cells and </w:t>
      </w:r>
      <w:proofErr w:type="gramStart"/>
      <w:r>
        <w:rPr>
          <w:rFonts w:ascii="Book Antiqua" w:eastAsia="Times New Roman" w:hAnsi="Book Antiqua"/>
          <w:color w:val="000000" w:themeColor="text1"/>
          <w:sz w:val="24"/>
          <w:szCs w:val="24"/>
        </w:rPr>
        <w:t>neurons</w:t>
      </w:r>
      <w:r>
        <w:rPr>
          <w:rFonts w:ascii="Book Antiqua" w:eastAsia="宋体" w:hAnsi="Book Antiqua"/>
          <w:color w:val="000000" w:themeColor="text1"/>
          <w:sz w:val="24"/>
          <w:szCs w:val="24"/>
          <w:vertAlign w:val="superscript"/>
        </w:rPr>
        <w:t>[</w:t>
      </w:r>
      <w:proofErr w:type="gramEnd"/>
      <w:r>
        <w:fldChar w:fldCharType="begin"/>
      </w:r>
      <w:r>
        <w:instrText xml:space="preserve"> HYPERLINK "file:///C:\\Users\\Liansheng%20Ma\\Desktop\\Liansheng%20Ma\\Dispose\\2019-07-05-Final_Acceptance_WJG\\46893\\_ENREF_46" </w:instrText>
      </w:r>
      <w:r>
        <w:fldChar w:fldCharType="separate"/>
      </w:r>
      <w:r>
        <w:rPr>
          <w:rFonts w:ascii="Book Antiqua" w:eastAsia="宋体" w:hAnsi="Book Antiqua"/>
          <w:color w:val="000000" w:themeColor="text1"/>
          <w:sz w:val="24"/>
          <w:szCs w:val="24"/>
          <w:vertAlign w:val="superscript"/>
        </w:rPr>
        <w:t>46-49</w:t>
      </w:r>
      <w:r>
        <w:rPr>
          <w:rFonts w:ascii="Book Antiqua" w:eastAsia="宋体" w:hAnsi="Book Antiqua"/>
          <w:color w:val="000000" w:themeColor="text1"/>
          <w:sz w:val="24"/>
          <w:szCs w:val="24"/>
          <w:vertAlign w:val="superscript"/>
        </w:rPr>
        <w:fldChar w:fldCharType="end"/>
      </w:r>
      <w:r>
        <w:rPr>
          <w:rFonts w:ascii="Book Antiqua" w:eastAsia="宋体" w:hAnsi="Book Antiqua"/>
          <w:color w:val="000000" w:themeColor="text1"/>
          <w:sz w:val="24"/>
          <w:szCs w:val="24"/>
          <w:vertAlign w:val="superscript"/>
        </w:rPr>
        <w:t>]</w:t>
      </w:r>
      <w:r>
        <w:rPr>
          <w:rFonts w:ascii="Book Antiqua" w:eastAsia="Times New Roman" w:hAnsi="Book Antiqua"/>
          <w:color w:val="000000" w:themeColor="text1"/>
          <w:sz w:val="24"/>
          <w:szCs w:val="24"/>
        </w:rPr>
        <w:t>.</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Second,</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in the stress state, the primary afferent neurons in the gastrointestinal tract are activated and the spinal cord is sensitized</w:t>
      </w:r>
      <w:r>
        <w:rPr>
          <w:rFonts w:ascii="Book Antiqua" w:eastAsia="Times New Roman" w:hAnsi="Book Antiqua"/>
          <w:color w:val="000000" w:themeColor="text1"/>
          <w:sz w:val="24"/>
          <w:szCs w:val="24"/>
          <w:vertAlign w:val="superscript"/>
        </w:rPr>
        <w:t>[</w:t>
      </w:r>
      <w:hyperlink r:id="rId32" w:history="1">
        <w:r>
          <w:rPr>
            <w:rFonts w:ascii="Book Antiqua" w:eastAsia="Times New Roman" w:hAnsi="Book Antiqua"/>
            <w:color w:val="000000" w:themeColor="text1"/>
            <w:sz w:val="24"/>
            <w:szCs w:val="24"/>
            <w:vertAlign w:val="superscript"/>
          </w:rPr>
          <w:t>50</w:t>
        </w:r>
      </w:hyperlink>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 which increases the permeability of the intestine</w:t>
      </w:r>
      <w:r>
        <w:rPr>
          <w:rFonts w:ascii="Book Antiqua" w:eastAsia="Times New Roman" w:hAnsi="Book Antiqua"/>
          <w:color w:val="000000" w:themeColor="text1"/>
          <w:sz w:val="24"/>
          <w:szCs w:val="24"/>
          <w:vertAlign w:val="superscript"/>
        </w:rPr>
        <w:t>[</w:t>
      </w:r>
      <w:hyperlink r:id="rId33" w:history="1">
        <w:r>
          <w:rPr>
            <w:rFonts w:ascii="Book Antiqua" w:eastAsia="Times New Roman" w:hAnsi="Book Antiqua"/>
            <w:color w:val="000000" w:themeColor="text1"/>
            <w:sz w:val="24"/>
            <w:szCs w:val="24"/>
            <w:vertAlign w:val="superscript"/>
          </w:rPr>
          <w:t>51</w:t>
        </w:r>
      </w:hyperlink>
      <w:r>
        <w:rPr>
          <w:rFonts w:ascii="Book Antiqua" w:eastAsia="Times New Roman" w:hAnsi="Book Antiqua"/>
          <w:color w:val="000000" w:themeColor="text1"/>
          <w:sz w:val="24"/>
          <w:szCs w:val="24"/>
          <w:vertAlign w:val="superscript"/>
        </w:rPr>
        <w:t>,</w:t>
      </w:r>
      <w:hyperlink r:id="rId34" w:history="1">
        <w:r>
          <w:rPr>
            <w:rFonts w:ascii="Book Antiqua" w:eastAsia="Times New Roman" w:hAnsi="Book Antiqua"/>
            <w:color w:val="000000" w:themeColor="text1"/>
            <w:sz w:val="24"/>
            <w:szCs w:val="24"/>
            <w:vertAlign w:val="superscript"/>
          </w:rPr>
          <w:t>52</w:t>
        </w:r>
      </w:hyperlink>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 xml:space="preserve">. The increase of intestinal permeability leads to the defect of mucosal barrier, and enhances bacterial adhesion and infiltration into the gastrointestinal </w:t>
      </w:r>
      <w:proofErr w:type="gramStart"/>
      <w:r>
        <w:rPr>
          <w:rFonts w:ascii="Book Antiqua" w:eastAsia="Times New Roman" w:hAnsi="Book Antiqua"/>
          <w:color w:val="000000" w:themeColor="text1"/>
          <w:sz w:val="24"/>
          <w:szCs w:val="24"/>
        </w:rPr>
        <w:t>mucosa</w:t>
      </w:r>
      <w:r>
        <w:rPr>
          <w:rFonts w:ascii="Book Antiqua" w:eastAsia="Times New Roman" w:hAnsi="Book Antiqua"/>
          <w:color w:val="000000" w:themeColor="text1"/>
          <w:sz w:val="24"/>
          <w:szCs w:val="24"/>
          <w:vertAlign w:val="superscript"/>
        </w:rPr>
        <w:t>[</w:t>
      </w:r>
      <w:proofErr w:type="gramEnd"/>
      <w:r>
        <w:fldChar w:fldCharType="begin"/>
      </w:r>
      <w:r>
        <w:instrText xml:space="preserve"> HYPERLINK "file:///C:\\Users\\Liansheng%20Ma\\Desktop\\Liansheng%20Ma\\Dispose\\2019-07-05-Final_Acceptance_WJG\\46893\\_ENREF_32" </w:instrText>
      </w:r>
      <w:r>
        <w:fldChar w:fldCharType="separate"/>
      </w:r>
      <w:r>
        <w:rPr>
          <w:rFonts w:ascii="Book Antiqua" w:eastAsia="Times New Roman" w:hAnsi="Book Antiqua"/>
          <w:color w:val="000000" w:themeColor="text1"/>
          <w:sz w:val="24"/>
          <w:szCs w:val="24"/>
          <w:vertAlign w:val="superscript"/>
        </w:rPr>
        <w:t>32</w:t>
      </w:r>
      <w:r>
        <w:rPr>
          <w:rFonts w:ascii="Book Antiqua" w:eastAsia="Times New Roman" w:hAnsi="Book Antiqua"/>
          <w:color w:val="000000" w:themeColor="text1"/>
          <w:sz w:val="24"/>
          <w:szCs w:val="24"/>
          <w:vertAlign w:val="superscript"/>
        </w:rPr>
        <w:fldChar w:fldCharType="end"/>
      </w:r>
      <w:r>
        <w:rPr>
          <w:rFonts w:ascii="Book Antiqua" w:eastAsia="Times New Roman" w:hAnsi="Book Antiqua"/>
          <w:color w:val="000000" w:themeColor="text1"/>
          <w:sz w:val="24"/>
          <w:szCs w:val="24"/>
          <w:vertAlign w:val="superscript"/>
        </w:rPr>
        <w:t>,</w:t>
      </w:r>
      <w:hyperlink r:id="rId35" w:history="1">
        <w:r>
          <w:rPr>
            <w:rFonts w:ascii="Book Antiqua" w:eastAsia="Times New Roman" w:hAnsi="Book Antiqua"/>
            <w:color w:val="000000" w:themeColor="text1"/>
            <w:sz w:val="24"/>
            <w:szCs w:val="24"/>
            <w:vertAlign w:val="superscript"/>
          </w:rPr>
          <w:t>48</w:t>
        </w:r>
      </w:hyperlink>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 DNA of these bacteria can interact with Toll-like receptors</w:t>
      </w:r>
      <w:r>
        <w:rPr>
          <w:rFonts w:ascii="Book Antiqua" w:eastAsia="Times New Roman" w:hAnsi="Book Antiqua"/>
          <w:color w:val="000000" w:themeColor="text1"/>
          <w:sz w:val="24"/>
          <w:szCs w:val="24"/>
          <w:vertAlign w:val="superscript"/>
        </w:rPr>
        <w:t>[</w:t>
      </w:r>
      <w:hyperlink r:id="rId36" w:history="1">
        <w:r>
          <w:rPr>
            <w:rFonts w:ascii="Book Antiqua" w:eastAsia="Times New Roman" w:hAnsi="Book Antiqua"/>
            <w:color w:val="000000" w:themeColor="text1"/>
            <w:sz w:val="24"/>
            <w:szCs w:val="24"/>
            <w:vertAlign w:val="superscript"/>
          </w:rPr>
          <w:t>53</w:t>
        </w:r>
      </w:hyperlink>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 xml:space="preserve"> to </w:t>
      </w:r>
      <w:r>
        <w:rPr>
          <w:rFonts w:ascii="Book Antiqua" w:eastAsia="Times New Roman" w:hAnsi="Book Antiqua"/>
          <w:color w:val="000000" w:themeColor="text1"/>
          <w:sz w:val="24"/>
          <w:szCs w:val="24"/>
        </w:rPr>
        <w:lastRenderedPageBreak/>
        <w:t>regulate cytokines such as TNF and IFN</w:t>
      </w:r>
      <w:r>
        <w:rPr>
          <w:rFonts w:ascii="Book Antiqua" w:eastAsia="Times New Roman" w:hAnsi="Book Antiqua"/>
          <w:color w:val="000000" w:themeColor="text1"/>
          <w:sz w:val="24"/>
          <w:szCs w:val="24"/>
          <w:vertAlign w:val="superscript"/>
        </w:rPr>
        <w:t>[</w:t>
      </w:r>
      <w:hyperlink r:id="rId37" w:history="1">
        <w:r>
          <w:rPr>
            <w:rFonts w:ascii="Book Antiqua" w:eastAsia="Times New Roman" w:hAnsi="Book Antiqua"/>
            <w:color w:val="000000" w:themeColor="text1"/>
            <w:sz w:val="24"/>
            <w:szCs w:val="24"/>
            <w:vertAlign w:val="superscript"/>
          </w:rPr>
          <w:t>54</w:t>
        </w:r>
      </w:hyperlink>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 xml:space="preserve"> and activate intestinal mucosal immune response</w:t>
      </w:r>
      <w:r>
        <w:rPr>
          <w:rFonts w:ascii="Book Antiqua" w:eastAsia="宋体" w:hAnsi="Book Antiqua"/>
          <w:color w:val="000000" w:themeColor="text1"/>
          <w:sz w:val="24"/>
          <w:szCs w:val="24"/>
          <w:vertAlign w:val="superscript"/>
        </w:rPr>
        <w:t>[</w:t>
      </w:r>
      <w:hyperlink r:id="rId38" w:history="1">
        <w:r>
          <w:rPr>
            <w:rFonts w:ascii="Book Antiqua" w:eastAsia="宋体" w:hAnsi="Book Antiqua"/>
            <w:color w:val="000000" w:themeColor="text1"/>
            <w:sz w:val="24"/>
            <w:szCs w:val="24"/>
            <w:vertAlign w:val="superscript"/>
          </w:rPr>
          <w:t>55</w:t>
        </w:r>
      </w:hyperlink>
      <w:r>
        <w:rPr>
          <w:rFonts w:ascii="Book Antiqua" w:eastAsia="宋体" w:hAnsi="Book Antiqua"/>
          <w:color w:val="000000" w:themeColor="text1"/>
          <w:sz w:val="24"/>
          <w:szCs w:val="24"/>
          <w:vertAlign w:val="superscript"/>
        </w:rPr>
        <w:t>]</w:t>
      </w:r>
      <w:r>
        <w:rPr>
          <w:rFonts w:ascii="Book Antiqua" w:eastAsia="Times New Roman" w:hAnsi="Book Antiqua"/>
          <w:color w:val="000000" w:themeColor="text1"/>
          <w:sz w:val="24"/>
          <w:szCs w:val="24"/>
        </w:rPr>
        <w:t xml:space="preserve">. Third, anatomically, the gut immune cells are closely linked to the axons of the gut neurons. The inflammatory factors may change the structure of the nerve and increase the visceral sensation through the distal end of the afferent nerve and the activated spinal dorsal </w:t>
      </w:r>
      <w:proofErr w:type="gramStart"/>
      <w:r>
        <w:rPr>
          <w:rFonts w:ascii="Book Antiqua" w:eastAsia="Times New Roman" w:hAnsi="Book Antiqua"/>
          <w:color w:val="000000" w:themeColor="text1"/>
          <w:sz w:val="24"/>
          <w:szCs w:val="24"/>
        </w:rPr>
        <w:t>horn</w:t>
      </w:r>
      <w:r>
        <w:rPr>
          <w:rFonts w:ascii="Book Antiqua" w:eastAsia="Times New Roman" w:hAnsi="Book Antiqua"/>
          <w:color w:val="000000" w:themeColor="text1"/>
          <w:sz w:val="24"/>
          <w:szCs w:val="24"/>
          <w:vertAlign w:val="superscript"/>
        </w:rPr>
        <w:t>[</w:t>
      </w:r>
      <w:proofErr w:type="gramEnd"/>
      <w:r>
        <w:fldChar w:fldCharType="begin"/>
      </w:r>
      <w:r>
        <w:instrText xml:space="preserve"> HYPERLINK "file:///C:\\Users\\Liansheng%20Ma\\Desktop\\Liansheng%20Ma\\Dispose\\2019-07-05-Final_Acceptance_WJG\\46893\\_ENREF_56" </w:instrText>
      </w:r>
      <w:r>
        <w:fldChar w:fldCharType="separate"/>
      </w:r>
      <w:r>
        <w:rPr>
          <w:rFonts w:ascii="Book Antiqua" w:eastAsia="Times New Roman" w:hAnsi="Book Antiqua"/>
          <w:color w:val="000000" w:themeColor="text1"/>
          <w:sz w:val="24"/>
          <w:szCs w:val="24"/>
          <w:vertAlign w:val="superscript"/>
        </w:rPr>
        <w:t>56</w:t>
      </w:r>
      <w:r>
        <w:rPr>
          <w:rFonts w:ascii="Book Antiqua" w:eastAsia="Times New Roman" w:hAnsi="Book Antiqua"/>
          <w:color w:val="000000" w:themeColor="text1"/>
          <w:sz w:val="24"/>
          <w:szCs w:val="24"/>
          <w:vertAlign w:val="superscript"/>
        </w:rPr>
        <w:fldChar w:fldCharType="end"/>
      </w:r>
      <w:r>
        <w:rPr>
          <w:rFonts w:ascii="Book Antiqua" w:eastAsia="Times New Roman" w:hAnsi="Book Antiqua"/>
          <w:color w:val="000000" w:themeColor="text1"/>
          <w:sz w:val="24"/>
          <w:szCs w:val="24"/>
          <w:vertAlign w:val="superscript"/>
        </w:rPr>
        <w:t>,</w:t>
      </w:r>
      <w:hyperlink r:id="rId39" w:history="1">
        <w:r>
          <w:rPr>
            <w:rFonts w:ascii="Book Antiqua" w:eastAsia="Times New Roman" w:hAnsi="Book Antiqua"/>
            <w:color w:val="000000" w:themeColor="text1"/>
            <w:sz w:val="24"/>
            <w:szCs w:val="24"/>
            <w:vertAlign w:val="superscript"/>
          </w:rPr>
          <w:t>57</w:t>
        </w:r>
      </w:hyperlink>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 xml:space="preserve">. Ultimately, the intestinal motility is </w:t>
      </w:r>
      <w:proofErr w:type="gramStart"/>
      <w:r>
        <w:rPr>
          <w:rFonts w:ascii="Book Antiqua" w:eastAsia="Times New Roman" w:hAnsi="Book Antiqua"/>
          <w:color w:val="000000" w:themeColor="text1"/>
          <w:sz w:val="24"/>
          <w:szCs w:val="24"/>
        </w:rPr>
        <w:t>enhanced</w:t>
      </w:r>
      <w:r>
        <w:rPr>
          <w:rFonts w:ascii="Book Antiqua" w:eastAsia="Times New Roman" w:hAnsi="Book Antiqua"/>
          <w:color w:val="000000" w:themeColor="text1"/>
          <w:sz w:val="24"/>
          <w:szCs w:val="24"/>
          <w:vertAlign w:val="superscript"/>
        </w:rPr>
        <w:t>[</w:t>
      </w:r>
      <w:proofErr w:type="gramEnd"/>
      <w:r>
        <w:fldChar w:fldCharType="begin"/>
      </w:r>
      <w:r>
        <w:instrText xml:space="preserve"> HYPERLINK "file:///C:\\Users\\Liansheng%20Ma\\Desktop\\Liansheng%20Ma\\Dispose\\2019-07-05-Final_Acceptance_WJG\\46893\\_ENREF_58" </w:instrText>
      </w:r>
      <w:r>
        <w:fldChar w:fldCharType="separate"/>
      </w:r>
      <w:r>
        <w:rPr>
          <w:rFonts w:ascii="Book Antiqua" w:eastAsia="Times New Roman" w:hAnsi="Book Antiqua"/>
          <w:color w:val="000000" w:themeColor="text1"/>
          <w:sz w:val="24"/>
          <w:szCs w:val="24"/>
          <w:vertAlign w:val="superscript"/>
        </w:rPr>
        <w:t>58</w:t>
      </w:r>
      <w:r>
        <w:rPr>
          <w:rFonts w:ascii="Book Antiqua" w:eastAsia="Times New Roman" w:hAnsi="Book Antiqua"/>
          <w:color w:val="000000" w:themeColor="text1"/>
          <w:sz w:val="24"/>
          <w:szCs w:val="24"/>
          <w:vertAlign w:val="superscript"/>
        </w:rPr>
        <w:fldChar w:fldCharType="end"/>
      </w:r>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w:t>
      </w:r>
      <w:r>
        <w:rPr>
          <w:rFonts w:ascii="Book Antiqua" w:hAnsi="Book Antiqua"/>
          <w:color w:val="000000" w:themeColor="text1"/>
          <w:sz w:val="24"/>
          <w:szCs w:val="24"/>
        </w:rPr>
        <w:t xml:space="preserve"> </w:t>
      </w:r>
      <w:r>
        <w:rPr>
          <w:rFonts w:ascii="Book Antiqua" w:eastAsia="Times New Roman" w:hAnsi="Book Antiqua"/>
          <w:color w:val="000000" w:themeColor="text1"/>
          <w:sz w:val="24"/>
          <w:szCs w:val="24"/>
        </w:rPr>
        <w:t>The three pathways studied in this study were also connected through the brain-gut axis. The immune activation of IBS is not only limited to the intestinal wall, but also the whole body, which is manifested by the increase of the pro-inflammatory cytokines and the reduction of anti-inflammatory cytokines mediated by the NF-</w:t>
      </w:r>
      <w:proofErr w:type="spellStart"/>
      <w:r>
        <w:rPr>
          <w:rFonts w:ascii="Book Antiqua" w:eastAsia="Times New Roman" w:hAnsi="Book Antiqua"/>
          <w:color w:val="000000" w:themeColor="text1"/>
          <w:sz w:val="24"/>
          <w:szCs w:val="24"/>
        </w:rPr>
        <w:t>κB</w:t>
      </w:r>
      <w:proofErr w:type="spellEnd"/>
      <w:r>
        <w:rPr>
          <w:rFonts w:ascii="Book Antiqua" w:eastAsia="Times New Roman" w:hAnsi="Book Antiqua"/>
          <w:color w:val="000000" w:themeColor="text1"/>
          <w:sz w:val="24"/>
          <w:szCs w:val="24"/>
        </w:rPr>
        <w:t xml:space="preserve"> signal pathway</w:t>
      </w:r>
      <w:r>
        <w:rPr>
          <w:rFonts w:ascii="Book Antiqua" w:eastAsia="Times New Roman" w:hAnsi="Book Antiqua"/>
          <w:color w:val="000000" w:themeColor="text1"/>
          <w:sz w:val="24"/>
          <w:szCs w:val="24"/>
          <w:vertAlign w:val="superscript"/>
        </w:rPr>
        <w:t>[</w:t>
      </w:r>
      <w:hyperlink r:id="rId40" w:history="1">
        <w:r>
          <w:rPr>
            <w:rFonts w:ascii="Book Antiqua" w:eastAsia="Times New Roman" w:hAnsi="Book Antiqua"/>
            <w:color w:val="000000" w:themeColor="text1"/>
            <w:sz w:val="24"/>
            <w:szCs w:val="24"/>
            <w:vertAlign w:val="superscript"/>
          </w:rPr>
          <w:t>13</w:t>
        </w:r>
      </w:hyperlink>
      <w:r>
        <w:rPr>
          <w:rFonts w:ascii="Book Antiqua" w:eastAsia="Times New Roman" w:hAnsi="Book Antiqua"/>
          <w:color w:val="000000" w:themeColor="text1"/>
          <w:sz w:val="24"/>
          <w:szCs w:val="24"/>
          <w:vertAlign w:val="superscript"/>
        </w:rPr>
        <w:t>,</w:t>
      </w:r>
      <w:hyperlink r:id="rId41" w:history="1">
        <w:r>
          <w:rPr>
            <w:rFonts w:ascii="Book Antiqua" w:eastAsia="Times New Roman" w:hAnsi="Book Antiqua"/>
            <w:color w:val="000000" w:themeColor="text1"/>
            <w:sz w:val="24"/>
            <w:szCs w:val="24"/>
            <w:vertAlign w:val="superscript"/>
          </w:rPr>
          <w:t>14</w:t>
        </w:r>
      </w:hyperlink>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 Cytokines are involved in the interaction of the brain-gut axis, and these inflammatory factors can act on smooth muscle cells and neurons in the gut, leading to the changes in intestinal motility and visceral sensitivity</w:t>
      </w:r>
      <w:r>
        <w:rPr>
          <w:rFonts w:ascii="Book Antiqua" w:eastAsia="Times New Roman" w:hAnsi="Book Antiqua"/>
          <w:color w:val="000000" w:themeColor="text1"/>
          <w:sz w:val="24"/>
          <w:szCs w:val="24"/>
          <w:vertAlign w:val="superscript"/>
        </w:rPr>
        <w:t>[</w:t>
      </w:r>
      <w:hyperlink r:id="rId42" w:history="1">
        <w:r>
          <w:rPr>
            <w:rFonts w:ascii="Book Antiqua" w:eastAsia="Times New Roman" w:hAnsi="Book Antiqua"/>
            <w:color w:val="000000" w:themeColor="text1"/>
            <w:sz w:val="24"/>
            <w:szCs w:val="24"/>
            <w:vertAlign w:val="superscript"/>
          </w:rPr>
          <w:t>13</w:t>
        </w:r>
      </w:hyperlink>
      <w:r>
        <w:rPr>
          <w:rFonts w:ascii="Book Antiqua" w:eastAsia="Times New Roman" w:hAnsi="Book Antiqua"/>
          <w:color w:val="000000" w:themeColor="text1"/>
          <w:sz w:val="24"/>
          <w:szCs w:val="24"/>
          <w:vertAlign w:val="superscript"/>
        </w:rPr>
        <w:t>,</w:t>
      </w:r>
      <w:hyperlink r:id="rId43" w:history="1">
        <w:r>
          <w:rPr>
            <w:rFonts w:ascii="Book Antiqua" w:eastAsia="Times New Roman" w:hAnsi="Book Antiqua"/>
            <w:color w:val="000000" w:themeColor="text1"/>
            <w:sz w:val="24"/>
            <w:szCs w:val="24"/>
            <w:vertAlign w:val="superscript"/>
          </w:rPr>
          <w:t>59</w:t>
        </w:r>
      </w:hyperlink>
      <w:r>
        <w:rPr>
          <w:rFonts w:ascii="Book Antiqua" w:eastAsia="Times New Roman" w:hAnsi="Book Antiqua"/>
          <w:color w:val="000000" w:themeColor="text1"/>
          <w:sz w:val="24"/>
          <w:szCs w:val="24"/>
          <w:vertAlign w:val="superscript"/>
        </w:rPr>
        <w:t>]</w:t>
      </w:r>
      <w:r>
        <w:rPr>
          <w:rFonts w:ascii="Book Antiqua" w:eastAsia="Times New Roman" w:hAnsi="Book Antiqua"/>
          <w:color w:val="000000" w:themeColor="text1"/>
          <w:sz w:val="24"/>
          <w:szCs w:val="24"/>
        </w:rPr>
        <w:t>. Stress stimulates intestinal smooth muscle cells to release SCF. Binding of SCF and C-kit activates C-kit kinase</w:t>
      </w:r>
      <w:r w:rsidR="00F76626">
        <w:rPr>
          <w:rFonts w:ascii="Book Antiqua" w:eastAsia="Times New Roman" w:hAnsi="Book Antiqua"/>
          <w:color w:val="000000" w:themeColor="text1"/>
          <w:sz w:val="24"/>
          <w:szCs w:val="24"/>
        </w:rPr>
        <w:t xml:space="preserve"> and </w:t>
      </w:r>
      <w:r>
        <w:rPr>
          <w:rFonts w:ascii="Book Antiqua" w:eastAsia="Times New Roman" w:hAnsi="Book Antiqua"/>
          <w:color w:val="000000" w:themeColor="text1"/>
          <w:sz w:val="24"/>
          <w:szCs w:val="24"/>
        </w:rPr>
        <w:t>promotes the secretion of mast cell</w:t>
      </w:r>
      <w:r w:rsidR="00F76626">
        <w:rPr>
          <w:rFonts w:ascii="Book Antiqua" w:eastAsia="Times New Roman" w:hAnsi="Book Antiqua"/>
          <w:color w:val="000000" w:themeColor="text1"/>
          <w:sz w:val="24"/>
          <w:szCs w:val="24"/>
        </w:rPr>
        <w:t>s</w:t>
      </w:r>
      <w:r>
        <w:rPr>
          <w:rFonts w:ascii="Book Antiqua" w:eastAsia="Times New Roman" w:hAnsi="Book Antiqua"/>
          <w:color w:val="000000" w:themeColor="text1"/>
          <w:sz w:val="24"/>
          <w:szCs w:val="24"/>
        </w:rPr>
        <w:t xml:space="preserve"> to release a series of inflammatory mediators and inflammatory factors, leading to low inflammatory response in the intestinal tract. In the central nervous system, BDNF promotes the release of pro-inflammatory cytokines by activating nerve cells such as astrocytes, and the inflammatory response also causes BDNF to increase in dorsal root ganglia. Therefore, BDNF interacts not only with the intestinal nervous system, but also with the intestinal immune system, which can affect the visceral sensitivity and intestinal dynamics of IBS </w:t>
      </w:r>
      <w:proofErr w:type="gramStart"/>
      <w:r>
        <w:rPr>
          <w:rFonts w:ascii="Book Antiqua" w:eastAsia="Times New Roman" w:hAnsi="Book Antiqua"/>
          <w:color w:val="000000" w:themeColor="text1"/>
          <w:sz w:val="24"/>
          <w:szCs w:val="24"/>
        </w:rPr>
        <w:t>rats</w:t>
      </w:r>
      <w:r>
        <w:rPr>
          <w:rFonts w:ascii="Book Antiqua" w:eastAsia="宋体" w:hAnsi="Book Antiqua"/>
          <w:color w:val="000000" w:themeColor="text1"/>
          <w:sz w:val="24"/>
          <w:szCs w:val="24"/>
          <w:vertAlign w:val="superscript"/>
        </w:rPr>
        <w:t>[</w:t>
      </w:r>
      <w:proofErr w:type="gramEnd"/>
      <w:hyperlink r:id="rId44" w:history="1">
        <w:r>
          <w:rPr>
            <w:rFonts w:ascii="Book Antiqua" w:eastAsia="宋体" w:hAnsi="Book Antiqua"/>
            <w:color w:val="000000" w:themeColor="text1"/>
            <w:sz w:val="24"/>
            <w:szCs w:val="24"/>
            <w:vertAlign w:val="superscript"/>
          </w:rPr>
          <w:t>60</w:t>
        </w:r>
      </w:hyperlink>
      <w:r>
        <w:rPr>
          <w:rFonts w:ascii="Book Antiqua" w:eastAsia="宋体" w:hAnsi="Book Antiqua"/>
          <w:color w:val="000000" w:themeColor="text1"/>
          <w:sz w:val="24"/>
          <w:szCs w:val="24"/>
          <w:vertAlign w:val="superscript"/>
        </w:rPr>
        <w:t>,</w:t>
      </w:r>
      <w:hyperlink r:id="rId45" w:history="1">
        <w:r>
          <w:rPr>
            <w:rFonts w:ascii="Book Antiqua" w:eastAsia="宋体" w:hAnsi="Book Antiqua"/>
            <w:color w:val="000000" w:themeColor="text1"/>
            <w:sz w:val="24"/>
            <w:szCs w:val="24"/>
            <w:vertAlign w:val="superscript"/>
          </w:rPr>
          <w:t>61</w:t>
        </w:r>
      </w:hyperlink>
      <w:r>
        <w:rPr>
          <w:rFonts w:ascii="Book Antiqua" w:eastAsia="宋体" w:hAnsi="Book Antiqua"/>
          <w:color w:val="000000" w:themeColor="text1"/>
          <w:sz w:val="24"/>
          <w:szCs w:val="24"/>
          <w:vertAlign w:val="superscript"/>
        </w:rPr>
        <w:t>]</w:t>
      </w:r>
      <w:r>
        <w:rPr>
          <w:rFonts w:ascii="Book Antiqua" w:eastAsia="Times New Roman" w:hAnsi="Book Antiqua"/>
          <w:color w:val="000000" w:themeColor="text1"/>
          <w:sz w:val="24"/>
          <w:szCs w:val="24"/>
        </w:rPr>
        <w:t>.</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These pathways reinforce each other through the brain-gut axis, resulting in intestinal inflammation, visceral hypersensitivity, and increased intestinal motility in IBS patients. BBR can treat IBS patients by regulating these three pathways and blocking the interaction among them.</w:t>
      </w:r>
    </w:p>
    <w:p w:rsidR="00EF7033" w:rsidRDefault="0035424A">
      <w:pPr>
        <w:widowControl w:val="0"/>
        <w:kinsoku w:val="0"/>
        <w:overflowPunct w:val="0"/>
        <w:autoSpaceDE w:val="0"/>
        <w:autoSpaceDN w:val="0"/>
        <w:spacing w:line="360" w:lineRule="auto"/>
        <w:ind w:firstLineChars="100" w:firstLine="240"/>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In conclusion, BBR inhibits the mucosal inflammation of the intestinal tract by inhibiting the intestinal NF-</w:t>
      </w:r>
      <w:proofErr w:type="spellStart"/>
      <w:r>
        <w:rPr>
          <w:rFonts w:ascii="Book Antiqua" w:eastAsia="Times New Roman" w:hAnsi="Book Antiqua"/>
          <w:color w:val="000000" w:themeColor="text1"/>
          <w:sz w:val="24"/>
          <w:szCs w:val="24"/>
        </w:rPr>
        <w:t>κB</w:t>
      </w:r>
      <w:proofErr w:type="spellEnd"/>
      <w:r>
        <w:rPr>
          <w:rFonts w:ascii="Book Antiqua" w:eastAsia="Times New Roman" w:hAnsi="Book Antiqua"/>
          <w:color w:val="000000" w:themeColor="text1"/>
          <w:sz w:val="24"/>
          <w:szCs w:val="24"/>
        </w:rPr>
        <w:t xml:space="preserve"> signal pathway in the IBS rats. BBR reduces </w:t>
      </w:r>
      <w:r>
        <w:rPr>
          <w:rFonts w:ascii="Book Antiqua" w:eastAsia="Times New Roman" w:hAnsi="Book Antiqua"/>
          <w:color w:val="000000" w:themeColor="text1"/>
          <w:sz w:val="24"/>
          <w:szCs w:val="24"/>
        </w:rPr>
        <w:lastRenderedPageBreak/>
        <w:t xml:space="preserve">the expression of BDNF and its receptor </w:t>
      </w:r>
      <w:proofErr w:type="spellStart"/>
      <w:r>
        <w:rPr>
          <w:rFonts w:ascii="Book Antiqua" w:eastAsia="Times New Roman" w:hAnsi="Book Antiqua"/>
          <w:color w:val="000000" w:themeColor="text1"/>
          <w:sz w:val="24"/>
          <w:szCs w:val="24"/>
        </w:rPr>
        <w:t>TrkB</w:t>
      </w:r>
      <w:proofErr w:type="spellEnd"/>
      <w:r>
        <w:rPr>
          <w:rFonts w:ascii="Book Antiqua" w:eastAsia="Times New Roman" w:hAnsi="Book Antiqua"/>
          <w:color w:val="000000" w:themeColor="text1"/>
          <w:sz w:val="24"/>
          <w:szCs w:val="24"/>
        </w:rPr>
        <w:t>, and the expression of C-kit to reduce intestinal motility and visceral sensitivity and produce a therapeutic effect on IBS.</w:t>
      </w:r>
      <w:r>
        <w:rPr>
          <w:rFonts w:ascii="Book Antiqua" w:hAnsi="Book Antiqua"/>
          <w:color w:val="000000" w:themeColor="text1"/>
          <w:sz w:val="24"/>
          <w:szCs w:val="24"/>
        </w:rPr>
        <w:t xml:space="preserve"> </w:t>
      </w:r>
      <w:r>
        <w:rPr>
          <w:rFonts w:ascii="Book Antiqua" w:eastAsia="Times New Roman" w:hAnsi="Book Antiqua"/>
          <w:color w:val="000000" w:themeColor="text1"/>
          <w:sz w:val="24"/>
          <w:szCs w:val="24"/>
        </w:rPr>
        <w:t>The therapeutic effect of 100 mg/kg BBR is superior to that of 25 mg/kg BBR.</w:t>
      </w:r>
    </w:p>
    <w:p w:rsidR="00EF7033" w:rsidRDefault="00EF7033">
      <w:pPr>
        <w:widowControl w:val="0"/>
        <w:kinsoku w:val="0"/>
        <w:overflowPunct w:val="0"/>
        <w:autoSpaceDE w:val="0"/>
        <w:autoSpaceDN w:val="0"/>
        <w:spacing w:line="360" w:lineRule="auto"/>
        <w:rPr>
          <w:rFonts w:ascii="Book Antiqua" w:hAnsi="Book Antiqua"/>
          <w:color w:val="000000" w:themeColor="text1"/>
          <w:sz w:val="24"/>
          <w:szCs w:val="24"/>
        </w:rPr>
      </w:pPr>
    </w:p>
    <w:p w:rsidR="00EF7033" w:rsidRDefault="0035424A">
      <w:pPr>
        <w:adjustRightInd w:val="0"/>
        <w:snapToGrid w:val="0"/>
        <w:spacing w:line="360" w:lineRule="auto"/>
        <w:rPr>
          <w:rFonts w:ascii="Book Antiqua" w:hAnsi="Book Antiqua"/>
          <w:b/>
          <w:color w:val="000000" w:themeColor="text1"/>
          <w:sz w:val="24"/>
          <w:szCs w:val="24"/>
        </w:rPr>
      </w:pPr>
      <w:bookmarkStart w:id="56" w:name="_Hlk5627588"/>
      <w:r>
        <w:rPr>
          <w:rFonts w:ascii="Book Antiqua" w:hAnsi="Book Antiqua" w:cs="Garamond-Bold"/>
          <w:b/>
          <w:bCs/>
          <w:color w:val="000000" w:themeColor="text1"/>
          <w:sz w:val="24"/>
          <w:szCs w:val="24"/>
        </w:rPr>
        <w:t>ARTICLE HIGHLIGHTS</w:t>
      </w:r>
    </w:p>
    <w:bookmarkEnd w:id="54"/>
    <w:bookmarkEnd w:id="56"/>
    <w:p w:rsidR="00EF7033" w:rsidRDefault="0035424A">
      <w:pPr>
        <w:widowControl w:val="0"/>
        <w:spacing w:line="360" w:lineRule="auto"/>
        <w:rPr>
          <w:rFonts w:ascii="Book Antiqua" w:eastAsia="Times New Roman" w:hAnsi="Book Antiqua"/>
          <w:b/>
          <w:bCs/>
          <w:i/>
          <w:iCs/>
          <w:color w:val="000000" w:themeColor="text1"/>
          <w:sz w:val="24"/>
          <w:szCs w:val="24"/>
        </w:rPr>
      </w:pPr>
      <w:r>
        <w:rPr>
          <w:rFonts w:ascii="Book Antiqua" w:eastAsia="Times New Roman" w:hAnsi="Book Antiqua"/>
          <w:b/>
          <w:bCs/>
          <w:i/>
          <w:iCs/>
          <w:color w:val="000000" w:themeColor="text1"/>
          <w:sz w:val="24"/>
          <w:szCs w:val="24"/>
        </w:rPr>
        <w:t>Research background</w:t>
      </w:r>
    </w:p>
    <w:p w:rsidR="00EF7033" w:rsidRDefault="0035424A">
      <w:pPr>
        <w:widowControl w:val="0"/>
        <w:kinsoku w:val="0"/>
        <w:overflowPunct w:val="0"/>
        <w:autoSpaceDE w:val="0"/>
        <w:autoSpaceDN w:val="0"/>
        <w:spacing w:line="360" w:lineRule="auto"/>
        <w:rPr>
          <w:rFonts w:ascii="Book Antiqua" w:eastAsia="宋体" w:hAnsi="Book Antiqua"/>
          <w:color w:val="000000" w:themeColor="text1"/>
          <w:sz w:val="24"/>
          <w:szCs w:val="24"/>
        </w:rPr>
      </w:pPr>
      <w:r>
        <w:rPr>
          <w:rFonts w:ascii="Book Antiqua" w:eastAsia="Times New Roman" w:hAnsi="Book Antiqua"/>
          <w:color w:val="000000" w:themeColor="text1"/>
          <w:sz w:val="24"/>
          <w:szCs w:val="24"/>
        </w:rPr>
        <w:t xml:space="preserve">Irritable bowel syndrome (IBS) is a common chronic non-organic disease of the digestive system. </w:t>
      </w:r>
      <w:proofErr w:type="spellStart"/>
      <w:r>
        <w:rPr>
          <w:rFonts w:ascii="Book Antiqua" w:eastAsia="Times New Roman" w:hAnsi="Book Antiqua"/>
          <w:color w:val="000000" w:themeColor="text1"/>
          <w:sz w:val="24"/>
          <w:szCs w:val="24"/>
        </w:rPr>
        <w:t>Rifaximin</w:t>
      </w:r>
      <w:proofErr w:type="spellEnd"/>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has been used in clinical treatment of patients with IBS and has achieved good efficacy.</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 xml:space="preserve">However,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is expensive, and long-term oral administration may lead to cross-resistance to </w:t>
      </w:r>
      <w:proofErr w:type="spellStart"/>
      <w:r>
        <w:rPr>
          <w:rFonts w:ascii="Book Antiqua" w:eastAsia="Times New Roman" w:hAnsi="Book Antiqua"/>
          <w:color w:val="000000" w:themeColor="text1"/>
          <w:sz w:val="24"/>
          <w:szCs w:val="24"/>
        </w:rPr>
        <w:t>rifabutin</w:t>
      </w:r>
      <w:proofErr w:type="spellEnd"/>
      <w:r>
        <w:rPr>
          <w:rFonts w:ascii="Book Antiqua" w:eastAsia="Times New Roman" w:hAnsi="Book Antiqua"/>
          <w:color w:val="000000" w:themeColor="text1"/>
          <w:sz w:val="24"/>
          <w:szCs w:val="24"/>
        </w:rPr>
        <w:t xml:space="preserve"> and rifampicin.</w:t>
      </w:r>
      <w:r>
        <w:rPr>
          <w:rFonts w:ascii="Book Antiqua" w:eastAsia="宋体" w:hAnsi="Book Antiqua"/>
          <w:color w:val="000000" w:themeColor="text1"/>
          <w:sz w:val="24"/>
          <w:szCs w:val="24"/>
        </w:rPr>
        <w:t xml:space="preserve"> A </w:t>
      </w:r>
      <w:r>
        <w:rPr>
          <w:rFonts w:ascii="Book Antiqua" w:eastAsia="Times New Roman" w:hAnsi="Book Antiqua"/>
          <w:color w:val="000000" w:themeColor="text1"/>
          <w:sz w:val="24"/>
          <w:szCs w:val="24"/>
        </w:rPr>
        <w:t xml:space="preserve">large number of basic and clinical studies have also shown the efficacy of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in the treatment of IBS</w:t>
      </w:r>
      <w:r>
        <w:rPr>
          <w:rFonts w:ascii="Book Antiqua" w:eastAsia="宋体" w:hAnsi="Book Antiqua"/>
          <w:color w:val="000000" w:themeColor="text1"/>
          <w:sz w:val="24"/>
          <w:szCs w:val="24"/>
        </w:rPr>
        <w:t>.</w:t>
      </w:r>
    </w:p>
    <w:p w:rsidR="00EF7033" w:rsidRDefault="00EF7033">
      <w:pPr>
        <w:widowControl w:val="0"/>
        <w:kinsoku w:val="0"/>
        <w:overflowPunct w:val="0"/>
        <w:autoSpaceDE w:val="0"/>
        <w:autoSpaceDN w:val="0"/>
        <w:spacing w:line="360" w:lineRule="auto"/>
        <w:rPr>
          <w:rFonts w:ascii="Book Antiqua" w:eastAsia="宋体"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宋体" w:hAnsi="Book Antiqua"/>
          <w:b/>
          <w:bCs/>
          <w:i/>
          <w:iCs/>
          <w:color w:val="000000" w:themeColor="text1"/>
          <w:sz w:val="24"/>
          <w:szCs w:val="24"/>
        </w:rPr>
      </w:pPr>
      <w:r>
        <w:rPr>
          <w:rFonts w:ascii="Book Antiqua" w:eastAsia="宋体" w:hAnsi="Book Antiqua"/>
          <w:b/>
          <w:bCs/>
          <w:i/>
          <w:iCs/>
          <w:color w:val="000000" w:themeColor="text1"/>
          <w:sz w:val="24"/>
          <w:szCs w:val="24"/>
        </w:rPr>
        <w:t>Research motivation</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 xml:space="preserve">Many studies have demonstrated that the pathogenesis </w:t>
      </w:r>
      <w:r w:rsidR="00F76626">
        <w:rPr>
          <w:rFonts w:ascii="Book Antiqua" w:eastAsia="Times New Roman" w:hAnsi="Book Antiqua"/>
          <w:color w:val="000000" w:themeColor="text1"/>
          <w:sz w:val="24"/>
          <w:szCs w:val="24"/>
        </w:rPr>
        <w:t xml:space="preserve">of </w:t>
      </w:r>
      <w:r>
        <w:rPr>
          <w:rFonts w:ascii="Book Antiqua" w:eastAsia="Times New Roman" w:hAnsi="Book Antiqua"/>
          <w:color w:val="000000" w:themeColor="text1"/>
          <w:sz w:val="24"/>
          <w:szCs w:val="24"/>
        </w:rPr>
        <w:t xml:space="preserve">IBS may be related to the disorder of brain-gut axis, visceral hypersensitivity, intestinal immune abnormality, intestinal motility change, increased intestinal mucosal permeability, and intestinal flora disorder. The treatment mechanism of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for IBS is still unclear.</w:t>
      </w:r>
      <w:r>
        <w:rPr>
          <w:rFonts w:ascii="Book Antiqua" w:hAnsi="Book Antiqua" w:hint="eastAsia"/>
          <w:color w:val="000000" w:themeColor="text1"/>
          <w:sz w:val="24"/>
          <w:szCs w:val="24"/>
        </w:rPr>
        <w:t xml:space="preserve"> </w:t>
      </w:r>
      <w:r>
        <w:rPr>
          <w:rFonts w:ascii="Book Antiqua" w:eastAsia="Times New Roman" w:hAnsi="Book Antiqua"/>
          <w:color w:val="000000" w:themeColor="text1"/>
          <w:sz w:val="24"/>
          <w:szCs w:val="24"/>
        </w:rPr>
        <w:t xml:space="preserve">In this study, we tried to investigate the effect of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on intestinal inflammation, intestinal motility, and intestinal sensitivity in rats with IBS and explore the therapeutic mechanism of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for IBS.</w:t>
      </w:r>
    </w:p>
    <w:p w:rsidR="00EF7033" w:rsidRDefault="00EF7033">
      <w:pPr>
        <w:widowControl w:val="0"/>
        <w:kinsoku w:val="0"/>
        <w:overflowPunct w:val="0"/>
        <w:autoSpaceDE w:val="0"/>
        <w:autoSpaceDN w:val="0"/>
        <w:spacing w:line="360" w:lineRule="auto"/>
        <w:rPr>
          <w:rFonts w:ascii="Book Antiqua" w:eastAsia="Times New Roman"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Times New Roman" w:hAnsi="Book Antiqua"/>
          <w:b/>
          <w:bCs/>
          <w:i/>
          <w:iCs/>
          <w:color w:val="000000" w:themeColor="text1"/>
          <w:sz w:val="24"/>
          <w:szCs w:val="24"/>
        </w:rPr>
      </w:pPr>
      <w:r>
        <w:rPr>
          <w:rFonts w:ascii="Book Antiqua" w:eastAsia="Times New Roman" w:hAnsi="Book Antiqua"/>
          <w:b/>
          <w:bCs/>
          <w:i/>
          <w:iCs/>
          <w:color w:val="000000" w:themeColor="text1"/>
          <w:sz w:val="24"/>
          <w:szCs w:val="24"/>
        </w:rPr>
        <w:t>Research objectives</w:t>
      </w:r>
    </w:p>
    <w:p w:rsidR="00EF7033" w:rsidRDefault="0035424A">
      <w:pPr>
        <w:widowControl w:val="0"/>
        <w:kinsoku w:val="0"/>
        <w:overflowPunct w:val="0"/>
        <w:autoSpaceDE w:val="0"/>
        <w:autoSpaceDN w:val="0"/>
        <w:spacing w:line="360" w:lineRule="auto"/>
        <w:rPr>
          <w:rFonts w:ascii="Book Antiqua" w:eastAsia="宋体" w:hAnsi="Book Antiqua"/>
          <w:color w:val="000000" w:themeColor="text1"/>
          <w:sz w:val="24"/>
          <w:szCs w:val="24"/>
        </w:rPr>
      </w:pPr>
      <w:r>
        <w:rPr>
          <w:rFonts w:ascii="Book Antiqua" w:eastAsia="宋体" w:hAnsi="Book Antiqua"/>
          <w:color w:val="000000" w:themeColor="text1"/>
          <w:sz w:val="24"/>
          <w:szCs w:val="24"/>
        </w:rPr>
        <w:t xml:space="preserve">The purpose of this study was to investigate the effect of </w:t>
      </w:r>
      <w:proofErr w:type="spellStart"/>
      <w:r>
        <w:rPr>
          <w:rFonts w:ascii="Book Antiqua" w:eastAsia="宋体" w:hAnsi="Book Antiqua"/>
          <w:color w:val="000000" w:themeColor="text1"/>
          <w:sz w:val="24"/>
          <w:szCs w:val="24"/>
        </w:rPr>
        <w:t>berberine</w:t>
      </w:r>
      <w:proofErr w:type="spellEnd"/>
      <w:r>
        <w:rPr>
          <w:rFonts w:ascii="Book Antiqua" w:eastAsia="宋体" w:hAnsi="Book Antiqua"/>
          <w:color w:val="000000" w:themeColor="text1"/>
          <w:sz w:val="24"/>
          <w:szCs w:val="24"/>
        </w:rPr>
        <w:t xml:space="preserve"> on the </w:t>
      </w:r>
      <w:r>
        <w:rPr>
          <w:rFonts w:ascii="Book Antiqua" w:eastAsia="Times New Roman" w:hAnsi="Book Antiqua"/>
          <w:color w:val="000000" w:themeColor="text1"/>
          <w:sz w:val="24"/>
          <w:szCs w:val="24"/>
        </w:rPr>
        <w:t>NF-</w:t>
      </w:r>
      <w:proofErr w:type="spellStart"/>
      <w:r>
        <w:rPr>
          <w:rFonts w:ascii="Book Antiqua" w:eastAsia="Times New Roman" w:hAnsi="Book Antiqua"/>
          <w:color w:val="000000" w:themeColor="text1"/>
          <w:sz w:val="24"/>
          <w:szCs w:val="24"/>
        </w:rPr>
        <w:t>κB</w:t>
      </w:r>
      <w:proofErr w:type="spellEnd"/>
      <w:r>
        <w:rPr>
          <w:rFonts w:ascii="Book Antiqua" w:eastAsia="宋体" w:hAnsi="Book Antiqua"/>
          <w:color w:val="000000" w:themeColor="text1"/>
          <w:sz w:val="24"/>
          <w:szCs w:val="24"/>
        </w:rPr>
        <w:t xml:space="preserve"> signaling pathway in rats with IBS, which may improve intestinal inflammation in rats with IBS. And we studied the influence of </w:t>
      </w:r>
      <w:proofErr w:type="spellStart"/>
      <w:r>
        <w:rPr>
          <w:rFonts w:ascii="Book Antiqua" w:eastAsia="宋体" w:hAnsi="Book Antiqua"/>
          <w:color w:val="000000" w:themeColor="text1"/>
          <w:sz w:val="24"/>
          <w:szCs w:val="24"/>
        </w:rPr>
        <w:t>berberine</w:t>
      </w:r>
      <w:proofErr w:type="spellEnd"/>
      <w:r>
        <w:rPr>
          <w:rFonts w:ascii="Book Antiqua" w:eastAsia="宋体" w:hAnsi="Book Antiqua"/>
          <w:color w:val="000000" w:themeColor="text1"/>
          <w:sz w:val="24"/>
          <w:szCs w:val="24"/>
        </w:rPr>
        <w:t xml:space="preserve"> on the expression levels of brain-derived neurotrophic factor (BDNF) and C-kit </w:t>
      </w:r>
      <w:r>
        <w:rPr>
          <w:rFonts w:ascii="Book Antiqua" w:eastAsia="宋体" w:hAnsi="Book Antiqua"/>
          <w:color w:val="000000" w:themeColor="text1"/>
          <w:sz w:val="24"/>
          <w:szCs w:val="24"/>
        </w:rPr>
        <w:lastRenderedPageBreak/>
        <w:t xml:space="preserve">in the intestinal tract of rats, which may affect the intestinal motility and visceral sensitivity of rats. </w:t>
      </w:r>
    </w:p>
    <w:p w:rsidR="00EF7033" w:rsidRDefault="00EF7033">
      <w:pPr>
        <w:widowControl w:val="0"/>
        <w:kinsoku w:val="0"/>
        <w:overflowPunct w:val="0"/>
        <w:autoSpaceDE w:val="0"/>
        <w:autoSpaceDN w:val="0"/>
        <w:spacing w:line="360" w:lineRule="auto"/>
        <w:rPr>
          <w:rFonts w:ascii="Book Antiqua" w:eastAsia="宋体"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宋体" w:hAnsi="Book Antiqua"/>
          <w:b/>
          <w:bCs/>
          <w:i/>
          <w:iCs/>
          <w:color w:val="000000" w:themeColor="text1"/>
          <w:sz w:val="24"/>
          <w:szCs w:val="24"/>
        </w:rPr>
      </w:pPr>
      <w:r>
        <w:rPr>
          <w:rFonts w:ascii="Book Antiqua" w:eastAsia="宋体" w:hAnsi="Book Antiqua"/>
          <w:b/>
          <w:bCs/>
          <w:i/>
          <w:iCs/>
          <w:color w:val="000000" w:themeColor="text1"/>
          <w:sz w:val="24"/>
          <w:szCs w:val="24"/>
        </w:rPr>
        <w:t>Research methods</w:t>
      </w:r>
    </w:p>
    <w:p w:rsidR="00EF7033" w:rsidRDefault="0035424A">
      <w:pPr>
        <w:widowControl w:val="0"/>
        <w:kinsoku w:val="0"/>
        <w:overflowPunct w:val="0"/>
        <w:autoSpaceDE w:val="0"/>
        <w:autoSpaceDN w:val="0"/>
        <w:spacing w:line="360" w:lineRule="auto"/>
        <w:rPr>
          <w:rFonts w:ascii="Book Antiqua" w:eastAsia="宋体" w:hAnsi="Book Antiqua"/>
          <w:color w:val="000000" w:themeColor="text1"/>
          <w:sz w:val="24"/>
          <w:szCs w:val="24"/>
        </w:rPr>
      </w:pPr>
      <w:r>
        <w:rPr>
          <w:rFonts w:ascii="Book Antiqua" w:eastAsia="宋体" w:hAnsi="Book Antiqua"/>
          <w:color w:val="000000" w:themeColor="text1"/>
          <w:sz w:val="24"/>
          <w:szCs w:val="24"/>
        </w:rPr>
        <w:t xml:space="preserve">Water avoidance stress (WAS) was used to establish an IBS rat model, and the rats were divided into a control group, </w:t>
      </w:r>
      <w:r w:rsidR="00F76626">
        <w:rPr>
          <w:rFonts w:ascii="Book Antiqua" w:eastAsia="宋体" w:hAnsi="Book Antiqua"/>
          <w:color w:val="000000" w:themeColor="text1"/>
          <w:sz w:val="24"/>
          <w:szCs w:val="24"/>
        </w:rPr>
        <w:t xml:space="preserve">a </w:t>
      </w:r>
      <w:r>
        <w:rPr>
          <w:rFonts w:ascii="Book Antiqua" w:eastAsia="宋体" w:hAnsi="Book Antiqua"/>
          <w:color w:val="000000" w:themeColor="text1"/>
          <w:sz w:val="24"/>
          <w:szCs w:val="24"/>
        </w:rPr>
        <w:t xml:space="preserve">WAS group, </w:t>
      </w:r>
      <w:r w:rsidR="00F76626">
        <w:rPr>
          <w:rFonts w:ascii="Book Antiqua" w:eastAsia="宋体" w:hAnsi="Book Antiqua"/>
          <w:color w:val="000000" w:themeColor="text1"/>
          <w:sz w:val="24"/>
          <w:szCs w:val="24"/>
        </w:rPr>
        <w:t xml:space="preserve">a </w:t>
      </w:r>
      <w:proofErr w:type="spellStart"/>
      <w:r>
        <w:rPr>
          <w:rFonts w:ascii="Book Antiqua" w:eastAsia="宋体" w:hAnsi="Book Antiqua"/>
          <w:color w:val="000000" w:themeColor="text1"/>
          <w:sz w:val="24"/>
          <w:szCs w:val="24"/>
        </w:rPr>
        <w:t>rifaximin</w:t>
      </w:r>
      <w:proofErr w:type="spellEnd"/>
      <w:r>
        <w:rPr>
          <w:rFonts w:ascii="Book Antiqua" w:eastAsia="宋体" w:hAnsi="Book Antiqua"/>
          <w:color w:val="000000" w:themeColor="text1"/>
          <w:sz w:val="24"/>
          <w:szCs w:val="24"/>
        </w:rPr>
        <w:t xml:space="preserve"> group, </w:t>
      </w:r>
      <w:r w:rsidR="00F76626">
        <w:rPr>
          <w:rFonts w:ascii="Book Antiqua" w:eastAsia="宋体" w:hAnsi="Book Antiqua"/>
          <w:color w:val="000000" w:themeColor="text1"/>
          <w:sz w:val="24"/>
          <w:szCs w:val="24"/>
        </w:rPr>
        <w:t xml:space="preserve">a </w:t>
      </w:r>
      <w:r>
        <w:rPr>
          <w:rFonts w:ascii="Book Antiqua" w:eastAsia="宋体" w:hAnsi="Book Antiqua"/>
          <w:color w:val="000000" w:themeColor="text1"/>
          <w:sz w:val="24"/>
          <w:szCs w:val="24"/>
        </w:rPr>
        <w:t xml:space="preserve">25 mg/kg BBR group, and </w:t>
      </w:r>
      <w:r w:rsidR="00F76626">
        <w:rPr>
          <w:rFonts w:ascii="Book Antiqua" w:eastAsia="宋体" w:hAnsi="Book Antiqua"/>
          <w:color w:val="000000" w:themeColor="text1"/>
          <w:sz w:val="24"/>
          <w:szCs w:val="24"/>
        </w:rPr>
        <w:t xml:space="preserve">a </w:t>
      </w:r>
      <w:r>
        <w:rPr>
          <w:rFonts w:ascii="Book Antiqua" w:eastAsia="宋体" w:hAnsi="Book Antiqua"/>
          <w:color w:val="000000" w:themeColor="text1"/>
          <w:sz w:val="24"/>
          <w:szCs w:val="24"/>
        </w:rPr>
        <w:t xml:space="preserve">100 mg/kg BBR group. We evaluated the histopathological changes of the terminal ileum in rats by </w:t>
      </w:r>
      <w:r>
        <w:rPr>
          <w:rFonts w:ascii="Book Antiqua" w:eastAsia="Times New Roman" w:hAnsi="Book Antiqua"/>
          <w:color w:val="000000" w:themeColor="text1"/>
          <w:sz w:val="24"/>
          <w:szCs w:val="24"/>
        </w:rPr>
        <w:t>hematoxylin and eosin</w:t>
      </w:r>
      <w:r>
        <w:rPr>
          <w:rFonts w:ascii="Book Antiqua" w:hAnsi="Book Antiqua"/>
          <w:color w:val="000000" w:themeColor="text1"/>
          <w:sz w:val="24"/>
          <w:szCs w:val="24"/>
        </w:rPr>
        <w:t xml:space="preserve"> (</w:t>
      </w:r>
      <w:r>
        <w:rPr>
          <w:rFonts w:ascii="Book Antiqua" w:eastAsia="宋体" w:hAnsi="Book Antiqua"/>
          <w:color w:val="000000" w:themeColor="text1"/>
          <w:sz w:val="24"/>
          <w:szCs w:val="24"/>
        </w:rPr>
        <w:t>HE) staining. We measured the expression levels of NF-</w:t>
      </w:r>
      <w:proofErr w:type="spellStart"/>
      <w:r>
        <w:rPr>
          <w:rFonts w:ascii="Book Antiqua" w:eastAsia="宋体" w:hAnsi="Book Antiqua"/>
          <w:color w:val="000000" w:themeColor="text1"/>
          <w:sz w:val="24"/>
          <w:szCs w:val="24"/>
        </w:rPr>
        <w:t>Κb</w:t>
      </w:r>
      <w:proofErr w:type="spellEnd"/>
      <w:r>
        <w:rPr>
          <w:rFonts w:ascii="Book Antiqua" w:eastAsia="宋体" w:hAnsi="Book Antiqua" w:hint="eastAsia"/>
          <w:color w:val="000000" w:themeColor="text1"/>
          <w:sz w:val="24"/>
          <w:szCs w:val="24"/>
        </w:rPr>
        <w:t xml:space="preserve"> </w:t>
      </w:r>
      <w:r>
        <w:rPr>
          <w:rFonts w:ascii="Book Antiqua" w:eastAsia="宋体" w:hAnsi="Book Antiqua"/>
          <w:color w:val="000000" w:themeColor="text1"/>
          <w:sz w:val="24"/>
          <w:szCs w:val="24"/>
        </w:rPr>
        <w:t>(P65) DNA binding protein in the terminal ileum tissues of rats of each group by modified ELISA and Western blot. The mRNA expression levels of IL-1β</w:t>
      </w:r>
      <w:r>
        <w:rPr>
          <w:rFonts w:ascii="Book Antiqua" w:eastAsia="宋体" w:hAnsi="Book Antiqua" w:hint="eastAsia"/>
          <w:color w:val="000000" w:themeColor="text1"/>
          <w:sz w:val="24"/>
          <w:szCs w:val="24"/>
        </w:rPr>
        <w:t>,</w:t>
      </w:r>
      <w:r>
        <w:rPr>
          <w:rFonts w:ascii="Book Antiqua" w:eastAsia="宋体" w:hAnsi="Book Antiqua"/>
          <w:color w:val="000000" w:themeColor="text1"/>
          <w:sz w:val="24"/>
          <w:szCs w:val="24"/>
        </w:rPr>
        <w:t xml:space="preserve"> IL-6</w:t>
      </w:r>
      <w:r>
        <w:rPr>
          <w:rFonts w:ascii="Book Antiqua" w:eastAsia="宋体" w:hAnsi="Book Antiqua" w:hint="eastAsia"/>
          <w:color w:val="000000" w:themeColor="text1"/>
          <w:sz w:val="24"/>
          <w:szCs w:val="24"/>
        </w:rPr>
        <w:t>,</w:t>
      </w:r>
      <w:r>
        <w:rPr>
          <w:rFonts w:ascii="Book Antiqua" w:eastAsia="宋体" w:hAnsi="Book Antiqua"/>
          <w:color w:val="000000" w:themeColor="text1"/>
          <w:sz w:val="24"/>
          <w:szCs w:val="24"/>
        </w:rPr>
        <w:t xml:space="preserve"> IFN-γ</w:t>
      </w:r>
      <w:r>
        <w:rPr>
          <w:rFonts w:ascii="Book Antiqua" w:eastAsia="宋体" w:hAnsi="Book Antiqua" w:hint="eastAsia"/>
          <w:color w:val="000000" w:themeColor="text1"/>
          <w:sz w:val="24"/>
          <w:szCs w:val="24"/>
        </w:rPr>
        <w:t>,</w:t>
      </w:r>
      <w:r>
        <w:rPr>
          <w:rFonts w:ascii="Book Antiqua" w:eastAsia="宋体" w:hAnsi="Book Antiqua"/>
          <w:color w:val="000000" w:themeColor="text1"/>
          <w:sz w:val="24"/>
          <w:szCs w:val="24"/>
        </w:rPr>
        <w:t xml:space="preserve"> TNF-</w:t>
      </w:r>
      <w:r>
        <w:rPr>
          <w:rFonts w:ascii="Book Antiqua" w:eastAsia="Times New Roman" w:hAnsi="Book Antiqua"/>
          <w:color w:val="000000" w:themeColor="text1"/>
          <w:sz w:val="24"/>
          <w:szCs w:val="24"/>
        </w:rPr>
        <w:t>α</w:t>
      </w:r>
      <w:r>
        <w:rPr>
          <w:rFonts w:ascii="Book Antiqua" w:eastAsia="宋体" w:hAnsi="Book Antiqua"/>
          <w:color w:val="000000" w:themeColor="text1"/>
          <w:sz w:val="24"/>
          <w:szCs w:val="24"/>
        </w:rPr>
        <w:t xml:space="preserve">, </w:t>
      </w:r>
      <w:r>
        <w:rPr>
          <w:rFonts w:ascii="Book Antiqua" w:eastAsia="宋体" w:hAnsi="Book Antiqua"/>
          <w:color w:val="000000" w:themeColor="text1"/>
          <w:sz w:val="24"/>
          <w:szCs w:val="24"/>
          <w:lang w:bidi="ar"/>
        </w:rPr>
        <w:t xml:space="preserve">IL-10, and TGF-β </w:t>
      </w:r>
      <w:r>
        <w:rPr>
          <w:rFonts w:ascii="Book Antiqua" w:eastAsia="宋体" w:hAnsi="Book Antiqua"/>
          <w:color w:val="000000" w:themeColor="text1"/>
          <w:sz w:val="24"/>
          <w:szCs w:val="24"/>
        </w:rPr>
        <w:t xml:space="preserve">were determined by </w:t>
      </w:r>
      <w:proofErr w:type="spellStart"/>
      <w:r>
        <w:rPr>
          <w:rFonts w:ascii="Book Antiqua" w:eastAsia="宋体" w:hAnsi="Book Antiqua"/>
          <w:color w:val="000000" w:themeColor="text1"/>
          <w:sz w:val="24"/>
          <w:szCs w:val="24"/>
        </w:rPr>
        <w:t>qRT</w:t>
      </w:r>
      <w:proofErr w:type="spellEnd"/>
      <w:r>
        <w:rPr>
          <w:rFonts w:ascii="Book Antiqua" w:eastAsia="宋体" w:hAnsi="Book Antiqua"/>
          <w:color w:val="000000" w:themeColor="text1"/>
          <w:sz w:val="24"/>
          <w:szCs w:val="24"/>
        </w:rPr>
        <w:t>-PCR. ELISA was used to detect the inflammatory cytokines.</w:t>
      </w:r>
      <w:r>
        <w:rPr>
          <w:rFonts w:ascii="Book Antiqua" w:eastAsia="宋体" w:hAnsi="Book Antiqua" w:hint="eastAsia"/>
          <w:color w:val="000000" w:themeColor="text1"/>
          <w:sz w:val="24"/>
          <w:szCs w:val="24"/>
        </w:rPr>
        <w:t xml:space="preserve"> </w:t>
      </w:r>
      <w:r>
        <w:rPr>
          <w:rFonts w:ascii="Book Antiqua" w:eastAsia="宋体" w:hAnsi="Book Antiqua"/>
          <w:color w:val="000000" w:themeColor="text1"/>
          <w:sz w:val="24"/>
          <w:szCs w:val="24"/>
        </w:rPr>
        <w:t xml:space="preserve">Intestinal motility of rats in each group was detected by total gastrointestinal and small intestinal transit functions. The mRNA expression levels of BDNF and its receptor </w:t>
      </w:r>
      <w:proofErr w:type="spellStart"/>
      <w:r>
        <w:rPr>
          <w:rFonts w:ascii="Book Antiqua" w:eastAsia="宋体" w:hAnsi="Book Antiqua"/>
          <w:color w:val="000000" w:themeColor="text1"/>
          <w:sz w:val="24"/>
          <w:szCs w:val="24"/>
        </w:rPr>
        <w:t>TrkB</w:t>
      </w:r>
      <w:proofErr w:type="spellEnd"/>
      <w:r>
        <w:rPr>
          <w:rFonts w:ascii="Book Antiqua" w:eastAsia="宋体" w:hAnsi="Book Antiqua"/>
          <w:color w:val="000000" w:themeColor="text1"/>
          <w:sz w:val="24"/>
          <w:szCs w:val="24"/>
        </w:rPr>
        <w:t xml:space="preserve"> were detected by </w:t>
      </w:r>
      <w:proofErr w:type="spellStart"/>
      <w:r>
        <w:rPr>
          <w:rFonts w:ascii="Book Antiqua" w:eastAsia="宋体" w:hAnsi="Book Antiqua"/>
          <w:color w:val="000000" w:themeColor="text1"/>
          <w:sz w:val="24"/>
          <w:szCs w:val="24"/>
        </w:rPr>
        <w:t>qRT</w:t>
      </w:r>
      <w:proofErr w:type="spellEnd"/>
      <w:r>
        <w:rPr>
          <w:rFonts w:ascii="Book Antiqua" w:eastAsia="宋体" w:hAnsi="Book Antiqua"/>
          <w:color w:val="000000" w:themeColor="text1"/>
          <w:sz w:val="24"/>
          <w:szCs w:val="24"/>
        </w:rPr>
        <w:t xml:space="preserve">-PCR. Western blot was used to detect the expression level of </w:t>
      </w:r>
      <w:proofErr w:type="spellStart"/>
      <w:r>
        <w:rPr>
          <w:rFonts w:ascii="Book Antiqua" w:eastAsia="宋体" w:hAnsi="Book Antiqua"/>
          <w:color w:val="000000" w:themeColor="text1"/>
          <w:sz w:val="24"/>
          <w:szCs w:val="24"/>
        </w:rPr>
        <w:t>TrkB</w:t>
      </w:r>
      <w:proofErr w:type="spellEnd"/>
      <w:r>
        <w:rPr>
          <w:rFonts w:ascii="Book Antiqua" w:eastAsia="宋体" w:hAnsi="Book Antiqua"/>
          <w:color w:val="000000" w:themeColor="text1"/>
          <w:sz w:val="24"/>
          <w:szCs w:val="24"/>
        </w:rPr>
        <w:t xml:space="preserve"> protein in the terminal ileum tissues in each group of rats. The mRNA expression levels of C-kit in ileum terminal tissues of rats in each group were detected by </w:t>
      </w:r>
      <w:proofErr w:type="spellStart"/>
      <w:r>
        <w:rPr>
          <w:rFonts w:ascii="Book Antiqua" w:eastAsia="宋体" w:hAnsi="Book Antiqua"/>
          <w:color w:val="000000" w:themeColor="text1"/>
          <w:sz w:val="24"/>
          <w:szCs w:val="24"/>
        </w:rPr>
        <w:t>qRT</w:t>
      </w:r>
      <w:proofErr w:type="spellEnd"/>
      <w:r>
        <w:rPr>
          <w:rFonts w:ascii="Book Antiqua" w:eastAsia="宋体" w:hAnsi="Book Antiqua"/>
          <w:color w:val="000000" w:themeColor="text1"/>
          <w:sz w:val="24"/>
          <w:szCs w:val="24"/>
        </w:rPr>
        <w:t>-PCR. The expression level of C-kit protein in ileum terminal tissues of each group of rats was detected by Western blot.</w:t>
      </w:r>
    </w:p>
    <w:p w:rsidR="00EF7033" w:rsidRDefault="00EF7033">
      <w:pPr>
        <w:widowControl w:val="0"/>
        <w:kinsoku w:val="0"/>
        <w:overflowPunct w:val="0"/>
        <w:autoSpaceDE w:val="0"/>
        <w:autoSpaceDN w:val="0"/>
        <w:spacing w:line="360" w:lineRule="auto"/>
        <w:rPr>
          <w:rFonts w:ascii="Book Antiqua" w:eastAsia="宋体" w:hAnsi="Book Antiqua"/>
          <w:color w:val="000000" w:themeColor="text1"/>
          <w:sz w:val="24"/>
          <w:szCs w:val="24"/>
        </w:rPr>
      </w:pPr>
    </w:p>
    <w:p w:rsidR="00EF7033" w:rsidRDefault="0035424A">
      <w:pPr>
        <w:widowControl w:val="0"/>
        <w:kinsoku w:val="0"/>
        <w:overflowPunct w:val="0"/>
        <w:autoSpaceDE w:val="0"/>
        <w:autoSpaceDN w:val="0"/>
        <w:spacing w:line="360" w:lineRule="auto"/>
        <w:rPr>
          <w:rFonts w:ascii="Book Antiqua" w:eastAsia="宋体" w:hAnsi="Book Antiqua"/>
          <w:b/>
          <w:bCs/>
          <w:i/>
          <w:iCs/>
          <w:color w:val="000000" w:themeColor="text1"/>
          <w:sz w:val="24"/>
          <w:szCs w:val="24"/>
        </w:rPr>
      </w:pPr>
      <w:r>
        <w:rPr>
          <w:rFonts w:ascii="Book Antiqua" w:eastAsia="宋体" w:hAnsi="Book Antiqua"/>
          <w:b/>
          <w:bCs/>
          <w:i/>
          <w:iCs/>
          <w:color w:val="000000" w:themeColor="text1"/>
          <w:sz w:val="24"/>
          <w:szCs w:val="24"/>
        </w:rPr>
        <w:t>Research results</w:t>
      </w:r>
    </w:p>
    <w:p w:rsidR="00EF7033" w:rsidRDefault="0035424A">
      <w:pPr>
        <w:widowControl w:val="0"/>
        <w:kinsoku w:val="0"/>
        <w:overflowPunct w:val="0"/>
        <w:autoSpaceDE w:val="0"/>
        <w:autoSpaceDN w:val="0"/>
        <w:spacing w:line="360" w:lineRule="auto"/>
        <w:rPr>
          <w:rFonts w:ascii="Book Antiqua" w:eastAsia="宋体" w:hAnsi="Book Antiqua"/>
          <w:color w:val="000000" w:themeColor="text1"/>
          <w:sz w:val="24"/>
          <w:szCs w:val="24"/>
        </w:rPr>
      </w:pPr>
      <w:r>
        <w:rPr>
          <w:rFonts w:ascii="Book Antiqua" w:eastAsia="宋体" w:hAnsi="Book Antiqua"/>
          <w:color w:val="000000" w:themeColor="text1"/>
          <w:sz w:val="24"/>
          <w:szCs w:val="24"/>
        </w:rPr>
        <w:t xml:space="preserve">We successfully applied the WAS model to induce visceral hypersensitivity in rats, changes in intestinal inflammation, and intestinal motility, which are consistent with the characteristics of IBS. </w:t>
      </w:r>
      <w:proofErr w:type="spellStart"/>
      <w:r>
        <w:rPr>
          <w:rFonts w:ascii="Book Antiqua" w:eastAsia="宋体" w:hAnsi="Book Antiqua"/>
          <w:color w:val="000000" w:themeColor="text1"/>
          <w:sz w:val="24"/>
          <w:szCs w:val="24"/>
        </w:rPr>
        <w:t>Berberine</w:t>
      </w:r>
      <w:proofErr w:type="spellEnd"/>
      <w:r>
        <w:rPr>
          <w:rFonts w:ascii="Book Antiqua" w:eastAsia="宋体" w:hAnsi="Book Antiqua"/>
          <w:color w:val="000000" w:themeColor="text1"/>
          <w:sz w:val="24"/>
          <w:szCs w:val="24"/>
        </w:rPr>
        <w:t xml:space="preserve"> can effectively improve the inflammation of in terminal tissues. </w:t>
      </w:r>
      <w:proofErr w:type="spellStart"/>
      <w:r>
        <w:rPr>
          <w:rFonts w:ascii="Book Antiqua" w:eastAsia="宋体" w:hAnsi="Book Antiqua"/>
          <w:color w:val="000000" w:themeColor="text1"/>
          <w:sz w:val="24"/>
          <w:szCs w:val="24"/>
        </w:rPr>
        <w:t>Berberine</w:t>
      </w:r>
      <w:proofErr w:type="spellEnd"/>
      <w:r>
        <w:rPr>
          <w:rFonts w:ascii="Book Antiqua" w:eastAsia="宋体" w:hAnsi="Book Antiqua"/>
          <w:color w:val="000000" w:themeColor="text1"/>
          <w:sz w:val="24"/>
          <w:szCs w:val="24"/>
        </w:rPr>
        <w:t xml:space="preserve"> can inhibit the activated NF-</w:t>
      </w:r>
      <w:proofErr w:type="spellStart"/>
      <w:r>
        <w:rPr>
          <w:rFonts w:ascii="Book Antiqua" w:eastAsia="宋体" w:hAnsi="Book Antiqua"/>
          <w:color w:val="000000" w:themeColor="text1"/>
          <w:sz w:val="24"/>
          <w:szCs w:val="24"/>
        </w:rPr>
        <w:t>κB</w:t>
      </w:r>
      <w:proofErr w:type="spellEnd"/>
      <w:r>
        <w:rPr>
          <w:rFonts w:ascii="Book Antiqua" w:eastAsia="宋体" w:hAnsi="Book Antiqua"/>
          <w:color w:val="000000" w:themeColor="text1"/>
          <w:sz w:val="24"/>
          <w:szCs w:val="24"/>
        </w:rPr>
        <w:t xml:space="preserve"> signal pathway in the intestinal tract of IBS rats, significantly reduce the expression of inflammatory IL-1β</w:t>
      </w:r>
      <w:r>
        <w:rPr>
          <w:rFonts w:ascii="Book Antiqua" w:eastAsia="宋体" w:hAnsi="Book Antiqua" w:hint="eastAsia"/>
          <w:color w:val="000000" w:themeColor="text1"/>
          <w:sz w:val="24"/>
          <w:szCs w:val="24"/>
        </w:rPr>
        <w:t>,</w:t>
      </w:r>
      <w:r>
        <w:rPr>
          <w:rFonts w:ascii="Book Antiqua" w:eastAsia="宋体" w:hAnsi="Book Antiqua"/>
          <w:color w:val="000000" w:themeColor="text1"/>
          <w:sz w:val="24"/>
          <w:szCs w:val="24"/>
        </w:rPr>
        <w:t xml:space="preserve"> IL-6</w:t>
      </w:r>
      <w:r>
        <w:rPr>
          <w:rFonts w:ascii="Book Antiqua" w:eastAsia="宋体" w:hAnsi="Book Antiqua" w:hint="eastAsia"/>
          <w:color w:val="000000" w:themeColor="text1"/>
          <w:sz w:val="24"/>
          <w:szCs w:val="24"/>
        </w:rPr>
        <w:t>,</w:t>
      </w:r>
      <w:r>
        <w:rPr>
          <w:rFonts w:ascii="Book Antiqua" w:eastAsia="宋体" w:hAnsi="Book Antiqua"/>
          <w:color w:val="000000" w:themeColor="text1"/>
          <w:sz w:val="24"/>
          <w:szCs w:val="24"/>
        </w:rPr>
        <w:t xml:space="preserve"> IFN-γ</w:t>
      </w:r>
      <w:r>
        <w:rPr>
          <w:rFonts w:ascii="Book Antiqua" w:eastAsia="宋体" w:hAnsi="Book Antiqua" w:hint="eastAsia"/>
          <w:color w:val="000000" w:themeColor="text1"/>
          <w:sz w:val="24"/>
          <w:szCs w:val="24"/>
        </w:rPr>
        <w:t>,</w:t>
      </w:r>
      <w:r>
        <w:rPr>
          <w:rFonts w:ascii="Book Antiqua" w:eastAsia="宋体" w:hAnsi="Book Antiqua"/>
          <w:color w:val="000000" w:themeColor="text1"/>
          <w:sz w:val="24"/>
          <w:szCs w:val="24"/>
        </w:rPr>
        <w:t xml:space="preserve"> and TNF-α in the terminal ileum tissues of IBS rats, and significantly increase the expression levels of </w:t>
      </w:r>
      <w:r>
        <w:rPr>
          <w:rFonts w:ascii="Book Antiqua" w:eastAsia="宋体" w:hAnsi="Book Antiqua"/>
          <w:color w:val="000000" w:themeColor="text1"/>
          <w:sz w:val="24"/>
          <w:szCs w:val="24"/>
        </w:rPr>
        <w:lastRenderedPageBreak/>
        <w:t xml:space="preserve">anti-inflammatory cytokines </w:t>
      </w:r>
      <w:r>
        <w:rPr>
          <w:rFonts w:ascii="Book Antiqua" w:eastAsia="宋体" w:hAnsi="Book Antiqua"/>
          <w:color w:val="000000" w:themeColor="text1"/>
          <w:sz w:val="24"/>
          <w:szCs w:val="24"/>
          <w:lang w:bidi="ar"/>
        </w:rPr>
        <w:t>IL-10 and TGF-β</w:t>
      </w:r>
      <w:r>
        <w:rPr>
          <w:rFonts w:ascii="Book Antiqua" w:eastAsia="宋体" w:hAnsi="Book Antiqua"/>
          <w:color w:val="000000" w:themeColor="text1"/>
          <w:sz w:val="24"/>
          <w:szCs w:val="24"/>
        </w:rPr>
        <w:t xml:space="preserve">. </w:t>
      </w:r>
      <w:proofErr w:type="spellStart"/>
      <w:r>
        <w:rPr>
          <w:rFonts w:ascii="Book Antiqua" w:eastAsia="宋体" w:hAnsi="Book Antiqua"/>
          <w:color w:val="000000" w:themeColor="text1"/>
          <w:sz w:val="24"/>
          <w:szCs w:val="24"/>
        </w:rPr>
        <w:t>Berberine</w:t>
      </w:r>
      <w:proofErr w:type="spellEnd"/>
      <w:r>
        <w:rPr>
          <w:rFonts w:ascii="Book Antiqua" w:eastAsia="宋体" w:hAnsi="Book Antiqua"/>
          <w:color w:val="000000" w:themeColor="text1"/>
          <w:sz w:val="24"/>
          <w:szCs w:val="24"/>
        </w:rPr>
        <w:t xml:space="preserve"> can effectively regulate the intestinal motility of IBS rats and inhibit the expression of BDNF and its receptor </w:t>
      </w:r>
      <w:proofErr w:type="spellStart"/>
      <w:r>
        <w:rPr>
          <w:rFonts w:ascii="Book Antiqua" w:eastAsia="宋体" w:hAnsi="Book Antiqua"/>
          <w:color w:val="000000" w:themeColor="text1"/>
          <w:sz w:val="24"/>
          <w:szCs w:val="24"/>
        </w:rPr>
        <w:t>TrkB</w:t>
      </w:r>
      <w:proofErr w:type="spellEnd"/>
      <w:r>
        <w:rPr>
          <w:rFonts w:ascii="Book Antiqua" w:eastAsia="宋体" w:hAnsi="Book Antiqua"/>
          <w:color w:val="000000" w:themeColor="text1"/>
          <w:sz w:val="24"/>
          <w:szCs w:val="24"/>
        </w:rPr>
        <w:t xml:space="preserve"> as well as C-kit in ileum terminal tissues of IBS rats. The treatment effect of large dose (100 mg/kg) </w:t>
      </w:r>
      <w:proofErr w:type="spellStart"/>
      <w:r>
        <w:rPr>
          <w:rFonts w:ascii="Book Antiqua" w:eastAsia="宋体" w:hAnsi="Book Antiqua"/>
          <w:color w:val="000000" w:themeColor="text1"/>
          <w:sz w:val="24"/>
          <w:szCs w:val="24"/>
        </w:rPr>
        <w:t>berberine</w:t>
      </w:r>
      <w:proofErr w:type="spellEnd"/>
      <w:r>
        <w:rPr>
          <w:rFonts w:ascii="Book Antiqua" w:eastAsia="宋体" w:hAnsi="Book Antiqua"/>
          <w:color w:val="000000" w:themeColor="text1"/>
          <w:sz w:val="24"/>
          <w:szCs w:val="24"/>
        </w:rPr>
        <w:t xml:space="preserve"> on IBS rats was significantly better than that of small dose (25 mg/kg) </w:t>
      </w:r>
      <w:proofErr w:type="spellStart"/>
      <w:r>
        <w:rPr>
          <w:rFonts w:ascii="Book Antiqua" w:eastAsia="宋体" w:hAnsi="Book Antiqua"/>
          <w:color w:val="000000" w:themeColor="text1"/>
          <w:sz w:val="24"/>
          <w:szCs w:val="24"/>
        </w:rPr>
        <w:t>berberine</w:t>
      </w:r>
      <w:proofErr w:type="spellEnd"/>
      <w:r>
        <w:rPr>
          <w:rFonts w:ascii="Book Antiqua" w:eastAsia="宋体" w:hAnsi="Book Antiqua"/>
          <w:color w:val="000000" w:themeColor="text1"/>
          <w:sz w:val="24"/>
          <w:szCs w:val="24"/>
        </w:rPr>
        <w:t>.</w:t>
      </w:r>
    </w:p>
    <w:p w:rsidR="00EF7033" w:rsidRDefault="00EF7033">
      <w:pPr>
        <w:widowControl w:val="0"/>
        <w:kinsoku w:val="0"/>
        <w:overflowPunct w:val="0"/>
        <w:autoSpaceDE w:val="0"/>
        <w:autoSpaceDN w:val="0"/>
        <w:spacing w:line="360" w:lineRule="auto"/>
        <w:rPr>
          <w:rFonts w:ascii="Book Antiqua" w:eastAsia="宋体" w:hAnsi="Book Antiqua"/>
          <w:color w:val="000000" w:themeColor="text1"/>
          <w:sz w:val="24"/>
          <w:szCs w:val="24"/>
        </w:rPr>
      </w:pPr>
    </w:p>
    <w:p w:rsidR="00EF7033" w:rsidRDefault="0035424A">
      <w:pPr>
        <w:spacing w:line="360" w:lineRule="auto"/>
        <w:rPr>
          <w:rFonts w:ascii="Book Antiqua" w:eastAsia="宋体" w:hAnsi="Book Antiqua"/>
          <w:b/>
          <w:bCs/>
          <w:i/>
          <w:iCs/>
          <w:color w:val="000000" w:themeColor="text1"/>
          <w:sz w:val="24"/>
          <w:szCs w:val="24"/>
          <w:lang w:bidi="ar"/>
        </w:rPr>
      </w:pPr>
      <w:r>
        <w:rPr>
          <w:rFonts w:ascii="Book Antiqua" w:eastAsia="宋体" w:hAnsi="Book Antiqua"/>
          <w:b/>
          <w:bCs/>
          <w:i/>
          <w:iCs/>
          <w:color w:val="000000" w:themeColor="text1"/>
          <w:sz w:val="24"/>
          <w:szCs w:val="24"/>
          <w:lang w:bidi="ar"/>
        </w:rPr>
        <w:t>Research conclusions</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proofErr w:type="spellStart"/>
      <w:r>
        <w:rPr>
          <w:rFonts w:ascii="Book Antiqua" w:eastAsia="宋体"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w:t>
      </w:r>
      <w:r>
        <w:rPr>
          <w:rFonts w:ascii="Book Antiqua" w:eastAsia="宋体" w:hAnsi="Book Antiqua"/>
          <w:color w:val="000000" w:themeColor="text1"/>
          <w:sz w:val="24"/>
          <w:szCs w:val="24"/>
        </w:rPr>
        <w:t xml:space="preserve">can </w:t>
      </w:r>
      <w:r>
        <w:rPr>
          <w:rFonts w:ascii="Book Antiqua" w:eastAsia="Times New Roman" w:hAnsi="Book Antiqua"/>
          <w:color w:val="000000" w:themeColor="text1"/>
          <w:sz w:val="24"/>
          <w:szCs w:val="24"/>
        </w:rPr>
        <w:t>inhibit the mucosal inflammation of the intestinal tract by inhibiting the intestinal NF-</w:t>
      </w:r>
      <w:proofErr w:type="spellStart"/>
      <w:r>
        <w:rPr>
          <w:rFonts w:ascii="Book Antiqua" w:eastAsia="Times New Roman" w:hAnsi="Book Antiqua"/>
          <w:color w:val="000000" w:themeColor="text1"/>
          <w:sz w:val="24"/>
          <w:szCs w:val="24"/>
        </w:rPr>
        <w:t>κB</w:t>
      </w:r>
      <w:proofErr w:type="spellEnd"/>
      <w:r>
        <w:rPr>
          <w:rFonts w:ascii="Book Antiqua" w:eastAsia="Times New Roman" w:hAnsi="Book Antiqua"/>
          <w:color w:val="000000" w:themeColor="text1"/>
          <w:sz w:val="24"/>
          <w:szCs w:val="24"/>
        </w:rPr>
        <w:t xml:space="preserve"> signal pathway in IBS rats. </w:t>
      </w:r>
      <w:proofErr w:type="spellStart"/>
      <w:r>
        <w:rPr>
          <w:rFonts w:ascii="Book Antiqua" w:eastAsia="宋体"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reduces the expression of BDNF and its receptor </w:t>
      </w:r>
      <w:proofErr w:type="spellStart"/>
      <w:r>
        <w:rPr>
          <w:rFonts w:ascii="Book Antiqua" w:eastAsia="Times New Roman" w:hAnsi="Book Antiqua"/>
          <w:color w:val="000000" w:themeColor="text1"/>
          <w:sz w:val="24"/>
          <w:szCs w:val="24"/>
        </w:rPr>
        <w:t>TrkB</w:t>
      </w:r>
      <w:proofErr w:type="spellEnd"/>
      <w:r>
        <w:rPr>
          <w:rFonts w:ascii="Book Antiqua" w:eastAsia="Times New Roman" w:hAnsi="Book Antiqua"/>
          <w:color w:val="000000" w:themeColor="text1"/>
          <w:sz w:val="24"/>
          <w:szCs w:val="24"/>
        </w:rPr>
        <w:t xml:space="preserve"> as well as C-kit to reduce intestinal motility and visceral sensitivity and produce a therapeutic effect on IBS.</w:t>
      </w:r>
      <w:r>
        <w:rPr>
          <w:rFonts w:ascii="Book Antiqua" w:hAnsi="Book Antiqua"/>
          <w:color w:val="000000" w:themeColor="text1"/>
          <w:sz w:val="24"/>
          <w:szCs w:val="24"/>
        </w:rPr>
        <w:t xml:space="preserve"> </w:t>
      </w:r>
      <w:r>
        <w:rPr>
          <w:rFonts w:ascii="Book Antiqua" w:eastAsia="Times New Roman" w:hAnsi="Book Antiqua"/>
          <w:color w:val="000000" w:themeColor="text1"/>
          <w:sz w:val="24"/>
          <w:szCs w:val="24"/>
        </w:rPr>
        <w:t>The therapeutic effect of 100 mg/kg</w:t>
      </w:r>
      <w:r>
        <w:rPr>
          <w:rFonts w:ascii="Book Antiqua" w:eastAsia="宋体" w:hAnsi="Book Antiqua"/>
          <w:color w:val="000000" w:themeColor="text1"/>
          <w:sz w:val="24"/>
          <w:szCs w:val="24"/>
        </w:rPr>
        <w:t xml:space="preserve"> </w:t>
      </w:r>
      <w:proofErr w:type="spellStart"/>
      <w:r>
        <w:rPr>
          <w:rFonts w:ascii="Book Antiqua" w:eastAsia="宋体" w:hAnsi="Book Antiqua"/>
          <w:color w:val="000000" w:themeColor="text1"/>
          <w:sz w:val="24"/>
          <w:szCs w:val="24"/>
        </w:rPr>
        <w:t>berberine</w:t>
      </w:r>
      <w:proofErr w:type="spellEnd"/>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 xml:space="preserve">is superior to that of 25 mg/kg </w:t>
      </w:r>
      <w:proofErr w:type="spellStart"/>
      <w:r>
        <w:rPr>
          <w:rFonts w:ascii="Book Antiqua" w:eastAsia="宋体" w:hAnsi="Book Antiqua"/>
          <w:color w:val="000000" w:themeColor="text1"/>
          <w:sz w:val="24"/>
          <w:szCs w:val="24"/>
        </w:rPr>
        <w:t>berberine</w:t>
      </w:r>
      <w:proofErr w:type="spellEnd"/>
      <w:r>
        <w:rPr>
          <w:rFonts w:ascii="Book Antiqua" w:eastAsia="Times New Roman" w:hAnsi="Book Antiqua"/>
          <w:color w:val="000000" w:themeColor="text1"/>
          <w:sz w:val="24"/>
          <w:szCs w:val="24"/>
        </w:rPr>
        <w:t>.</w:t>
      </w:r>
    </w:p>
    <w:p w:rsidR="00EF7033" w:rsidRDefault="00EF7033">
      <w:pPr>
        <w:widowControl w:val="0"/>
        <w:kinsoku w:val="0"/>
        <w:overflowPunct w:val="0"/>
        <w:autoSpaceDE w:val="0"/>
        <w:autoSpaceDN w:val="0"/>
        <w:spacing w:line="360" w:lineRule="auto"/>
        <w:rPr>
          <w:rFonts w:ascii="Book Antiqua" w:eastAsia="宋体" w:hAnsi="Book Antiqua" w:cs="宋体"/>
          <w:color w:val="000000" w:themeColor="text1"/>
          <w:sz w:val="24"/>
          <w:szCs w:val="24"/>
          <w:lang w:bidi="ar"/>
        </w:rPr>
      </w:pPr>
    </w:p>
    <w:p w:rsidR="00EF7033" w:rsidRDefault="0035424A">
      <w:pPr>
        <w:spacing w:line="360" w:lineRule="auto"/>
        <w:rPr>
          <w:rFonts w:ascii="Book Antiqua" w:eastAsia="宋体" w:hAnsi="Book Antiqua"/>
          <w:b/>
          <w:bCs/>
          <w:i/>
          <w:iCs/>
          <w:color w:val="000000" w:themeColor="text1"/>
          <w:sz w:val="24"/>
          <w:szCs w:val="24"/>
          <w:lang w:bidi="ar"/>
        </w:rPr>
      </w:pPr>
      <w:r>
        <w:rPr>
          <w:rFonts w:ascii="Book Antiqua" w:eastAsia="宋体" w:hAnsi="Book Antiqua"/>
          <w:b/>
          <w:bCs/>
          <w:i/>
          <w:iCs/>
          <w:color w:val="000000" w:themeColor="text1"/>
          <w:sz w:val="24"/>
          <w:szCs w:val="24"/>
          <w:lang w:bidi="ar"/>
        </w:rPr>
        <w:t>Research perspectives</w:t>
      </w:r>
    </w:p>
    <w:p w:rsidR="00EF7033" w:rsidRDefault="0035424A">
      <w:pPr>
        <w:widowControl w:val="0"/>
        <w:kinsoku w:val="0"/>
        <w:overflowPunct w:val="0"/>
        <w:autoSpaceDE w:val="0"/>
        <w:autoSpaceDN w:val="0"/>
        <w:spacing w:line="360" w:lineRule="auto"/>
        <w:rPr>
          <w:rFonts w:ascii="Book Antiqua" w:eastAsia="宋体" w:hAnsi="Book Antiqua"/>
          <w:color w:val="000000" w:themeColor="text1"/>
          <w:sz w:val="24"/>
          <w:szCs w:val="24"/>
        </w:rPr>
      </w:pPr>
      <w:r>
        <w:rPr>
          <w:rFonts w:ascii="Book Antiqua" w:eastAsia="宋体" w:hAnsi="Book Antiqua"/>
          <w:color w:val="000000" w:themeColor="text1"/>
          <w:sz w:val="24"/>
          <w:szCs w:val="24"/>
        </w:rPr>
        <w:t xml:space="preserve">This study confirms the exact therapeutic effect of </w:t>
      </w:r>
      <w:proofErr w:type="spellStart"/>
      <w:r>
        <w:rPr>
          <w:rFonts w:ascii="Book Antiqua" w:eastAsia="宋体" w:hAnsi="Book Antiqua"/>
          <w:color w:val="000000" w:themeColor="text1"/>
          <w:sz w:val="24"/>
          <w:szCs w:val="24"/>
        </w:rPr>
        <w:t>berberine</w:t>
      </w:r>
      <w:proofErr w:type="spellEnd"/>
      <w:r>
        <w:rPr>
          <w:rFonts w:ascii="Book Antiqua" w:eastAsia="宋体" w:hAnsi="Book Antiqua"/>
          <w:color w:val="000000" w:themeColor="text1"/>
          <w:sz w:val="24"/>
          <w:szCs w:val="24"/>
        </w:rPr>
        <w:t xml:space="preserve"> on IBS at the level of animal experiments, discusses the possible mechanism of its therapeutic effect, and provides a theoretical basis for the clinical application of </w:t>
      </w:r>
      <w:proofErr w:type="spellStart"/>
      <w:r>
        <w:rPr>
          <w:rFonts w:ascii="Book Antiqua" w:eastAsia="宋体" w:hAnsi="Book Antiqua"/>
          <w:color w:val="000000" w:themeColor="text1"/>
          <w:sz w:val="24"/>
          <w:szCs w:val="24"/>
        </w:rPr>
        <w:t>berberine</w:t>
      </w:r>
      <w:proofErr w:type="spellEnd"/>
      <w:r>
        <w:rPr>
          <w:rFonts w:ascii="Book Antiqua" w:eastAsia="宋体" w:hAnsi="Book Antiqua"/>
          <w:color w:val="000000" w:themeColor="text1"/>
          <w:sz w:val="24"/>
          <w:szCs w:val="24"/>
        </w:rPr>
        <w:t xml:space="preserve"> in the treatment of IBS. However, the optimal dosage of </w:t>
      </w:r>
      <w:proofErr w:type="spellStart"/>
      <w:r>
        <w:rPr>
          <w:rFonts w:ascii="Book Antiqua" w:eastAsia="宋体" w:hAnsi="Book Antiqua"/>
          <w:color w:val="000000" w:themeColor="text1"/>
          <w:sz w:val="24"/>
          <w:szCs w:val="24"/>
        </w:rPr>
        <w:t>berberine</w:t>
      </w:r>
      <w:proofErr w:type="spellEnd"/>
      <w:r>
        <w:rPr>
          <w:rFonts w:ascii="Book Antiqua" w:eastAsia="宋体" w:hAnsi="Book Antiqua"/>
          <w:color w:val="000000" w:themeColor="text1"/>
          <w:sz w:val="24"/>
          <w:szCs w:val="24"/>
        </w:rPr>
        <w:t xml:space="preserve"> in the clinical treatment of IBS still needs further pharmacological and toxicological studies</w:t>
      </w:r>
    </w:p>
    <w:p w:rsidR="00EF7033" w:rsidRDefault="0035424A">
      <w:pPr>
        <w:widowControl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br w:type="page"/>
      </w:r>
    </w:p>
    <w:p w:rsidR="00EF7033" w:rsidRDefault="0035424A">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Pr>
          <w:rFonts w:ascii="Book Antiqua" w:eastAsia="Times New Roman" w:hAnsi="Book Antiqua"/>
          <w:b/>
          <w:color w:val="000000" w:themeColor="text1"/>
          <w:sz w:val="24"/>
          <w:szCs w:val="24"/>
        </w:rPr>
        <w:lastRenderedPageBreak/>
        <w:t>REFERENCES</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1 </w:t>
      </w:r>
      <w:r>
        <w:rPr>
          <w:rFonts w:ascii="Book Antiqua" w:hAnsi="Book Antiqua"/>
          <w:b/>
          <w:kern w:val="2"/>
          <w:sz w:val="24"/>
          <w:szCs w:val="24"/>
        </w:rPr>
        <w:t>Chen C</w:t>
      </w:r>
      <w:r>
        <w:rPr>
          <w:rFonts w:ascii="Book Antiqua" w:hAnsi="Book Antiqua"/>
          <w:kern w:val="2"/>
          <w:sz w:val="24"/>
          <w:szCs w:val="24"/>
        </w:rPr>
        <w:t xml:space="preserve">, Lu M, Pan Q, </w:t>
      </w:r>
      <w:proofErr w:type="spellStart"/>
      <w:r>
        <w:rPr>
          <w:rFonts w:ascii="Book Antiqua" w:hAnsi="Book Antiqua"/>
          <w:kern w:val="2"/>
          <w:sz w:val="24"/>
          <w:szCs w:val="24"/>
        </w:rPr>
        <w:t>Fichna</w:t>
      </w:r>
      <w:proofErr w:type="spellEnd"/>
      <w:r>
        <w:rPr>
          <w:rFonts w:ascii="Book Antiqua" w:hAnsi="Book Antiqua"/>
          <w:kern w:val="2"/>
          <w:sz w:val="24"/>
          <w:szCs w:val="24"/>
        </w:rPr>
        <w:t xml:space="preserve"> J, </w:t>
      </w:r>
      <w:proofErr w:type="spellStart"/>
      <w:r>
        <w:rPr>
          <w:rFonts w:ascii="Book Antiqua" w:hAnsi="Book Antiqua"/>
          <w:kern w:val="2"/>
          <w:sz w:val="24"/>
          <w:szCs w:val="24"/>
        </w:rPr>
        <w:t>Zheng</w:t>
      </w:r>
      <w:proofErr w:type="spellEnd"/>
      <w:r>
        <w:rPr>
          <w:rFonts w:ascii="Book Antiqua" w:hAnsi="Book Antiqua"/>
          <w:kern w:val="2"/>
          <w:sz w:val="24"/>
          <w:szCs w:val="24"/>
        </w:rPr>
        <w:t xml:space="preserve"> L, Wang K, Yu Z, Li Y, Li K, Song A, Liu Z, Song Z, </w:t>
      </w:r>
      <w:proofErr w:type="spellStart"/>
      <w:r>
        <w:rPr>
          <w:rFonts w:ascii="Book Antiqua" w:hAnsi="Book Antiqua"/>
          <w:kern w:val="2"/>
          <w:sz w:val="24"/>
          <w:szCs w:val="24"/>
        </w:rPr>
        <w:t>Kreis</w:t>
      </w:r>
      <w:proofErr w:type="spellEnd"/>
      <w:r>
        <w:rPr>
          <w:rFonts w:ascii="Book Antiqua" w:hAnsi="Book Antiqua"/>
          <w:kern w:val="2"/>
          <w:sz w:val="24"/>
          <w:szCs w:val="24"/>
        </w:rPr>
        <w:t xml:space="preserve"> M. </w:t>
      </w:r>
      <w:proofErr w:type="spellStart"/>
      <w:r>
        <w:rPr>
          <w:rFonts w:ascii="Book Antiqua" w:hAnsi="Book Antiqua"/>
          <w:kern w:val="2"/>
          <w:sz w:val="24"/>
          <w:szCs w:val="24"/>
        </w:rPr>
        <w:t>Berberine</w:t>
      </w:r>
      <w:proofErr w:type="spellEnd"/>
      <w:r>
        <w:rPr>
          <w:rFonts w:ascii="Book Antiqua" w:hAnsi="Book Antiqua"/>
          <w:kern w:val="2"/>
          <w:sz w:val="24"/>
          <w:szCs w:val="24"/>
        </w:rPr>
        <w:t xml:space="preserve"> Improves Intestinal Motility and Visceral Pain in the Mouse Models Mimicking Diarrhea-Predominant Irritable Bowel Syndrome (IBS-D) Symptoms in an Opioid-Receptor Dependent Manner. </w:t>
      </w:r>
      <w:proofErr w:type="spellStart"/>
      <w:r>
        <w:rPr>
          <w:rFonts w:ascii="Book Antiqua" w:hAnsi="Book Antiqua"/>
          <w:i/>
          <w:kern w:val="2"/>
          <w:sz w:val="24"/>
          <w:szCs w:val="24"/>
        </w:rPr>
        <w:t>PLoS</w:t>
      </w:r>
      <w:proofErr w:type="spellEnd"/>
      <w:r>
        <w:rPr>
          <w:rFonts w:ascii="Book Antiqua" w:hAnsi="Book Antiqua"/>
          <w:i/>
          <w:kern w:val="2"/>
          <w:sz w:val="24"/>
          <w:szCs w:val="24"/>
        </w:rPr>
        <w:t xml:space="preserve"> One</w:t>
      </w:r>
      <w:r>
        <w:rPr>
          <w:rFonts w:ascii="Book Antiqua" w:hAnsi="Book Antiqua"/>
          <w:kern w:val="2"/>
          <w:sz w:val="24"/>
          <w:szCs w:val="24"/>
        </w:rPr>
        <w:t xml:space="preserve"> 2015; </w:t>
      </w:r>
      <w:r>
        <w:rPr>
          <w:rFonts w:ascii="Book Antiqua" w:hAnsi="Book Antiqua"/>
          <w:b/>
          <w:kern w:val="2"/>
          <w:sz w:val="24"/>
          <w:szCs w:val="24"/>
        </w:rPr>
        <w:t>10</w:t>
      </w:r>
      <w:r>
        <w:rPr>
          <w:rFonts w:ascii="Book Antiqua" w:hAnsi="Book Antiqua"/>
          <w:kern w:val="2"/>
          <w:sz w:val="24"/>
          <w:szCs w:val="24"/>
        </w:rPr>
        <w:t>: e0145556 [PMID: 26700862 DOI: 10.1371/journal.pone.0145556]</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2 </w:t>
      </w:r>
      <w:r>
        <w:rPr>
          <w:rFonts w:ascii="Book Antiqua" w:hAnsi="Book Antiqua"/>
          <w:b/>
          <w:kern w:val="2"/>
          <w:sz w:val="24"/>
          <w:szCs w:val="24"/>
        </w:rPr>
        <w:t>Chen FL</w:t>
      </w:r>
      <w:r>
        <w:rPr>
          <w:rFonts w:ascii="Book Antiqua" w:hAnsi="Book Antiqua"/>
          <w:kern w:val="2"/>
          <w:sz w:val="24"/>
          <w:szCs w:val="24"/>
        </w:rPr>
        <w:t xml:space="preserve">, Yang ZH, Liu Y, Li LX, Liang WC, Wang XC, Zhou WB, Yang YH, Hu RM. </w:t>
      </w:r>
      <w:proofErr w:type="spellStart"/>
      <w:r>
        <w:rPr>
          <w:rFonts w:ascii="Book Antiqua" w:hAnsi="Book Antiqua"/>
          <w:kern w:val="2"/>
          <w:sz w:val="24"/>
          <w:szCs w:val="24"/>
        </w:rPr>
        <w:t>Berberine</w:t>
      </w:r>
      <w:proofErr w:type="spellEnd"/>
      <w:r>
        <w:rPr>
          <w:rFonts w:ascii="Book Antiqua" w:hAnsi="Book Antiqua"/>
          <w:kern w:val="2"/>
          <w:sz w:val="24"/>
          <w:szCs w:val="24"/>
        </w:rPr>
        <w:t xml:space="preserve"> inhibits the expression of </w:t>
      </w:r>
      <w:proofErr w:type="spellStart"/>
      <w:r>
        <w:rPr>
          <w:rFonts w:ascii="Book Antiqua" w:hAnsi="Book Antiqua"/>
          <w:kern w:val="2"/>
          <w:sz w:val="24"/>
          <w:szCs w:val="24"/>
        </w:rPr>
        <w:t>TNFalpha</w:t>
      </w:r>
      <w:proofErr w:type="spellEnd"/>
      <w:r>
        <w:rPr>
          <w:rFonts w:ascii="Book Antiqua" w:hAnsi="Book Antiqua"/>
          <w:kern w:val="2"/>
          <w:sz w:val="24"/>
          <w:szCs w:val="24"/>
        </w:rPr>
        <w:t xml:space="preserve">, MCP-1, and IL-6 in </w:t>
      </w:r>
      <w:proofErr w:type="spellStart"/>
      <w:r>
        <w:rPr>
          <w:rFonts w:ascii="Book Antiqua" w:hAnsi="Book Antiqua"/>
          <w:kern w:val="2"/>
          <w:sz w:val="24"/>
          <w:szCs w:val="24"/>
        </w:rPr>
        <w:t>AcLDL</w:t>
      </w:r>
      <w:proofErr w:type="spellEnd"/>
      <w:r>
        <w:rPr>
          <w:rFonts w:ascii="Book Antiqua" w:hAnsi="Book Antiqua"/>
          <w:kern w:val="2"/>
          <w:sz w:val="24"/>
          <w:szCs w:val="24"/>
        </w:rPr>
        <w:t xml:space="preserve">-stimulated macrophages through </w:t>
      </w:r>
      <w:proofErr w:type="spellStart"/>
      <w:r>
        <w:rPr>
          <w:rFonts w:ascii="Book Antiqua" w:hAnsi="Book Antiqua"/>
          <w:kern w:val="2"/>
          <w:sz w:val="24"/>
          <w:szCs w:val="24"/>
        </w:rPr>
        <w:t>PPARgamma</w:t>
      </w:r>
      <w:proofErr w:type="spellEnd"/>
      <w:r>
        <w:rPr>
          <w:rFonts w:ascii="Book Antiqua" w:hAnsi="Book Antiqua"/>
          <w:kern w:val="2"/>
          <w:sz w:val="24"/>
          <w:szCs w:val="24"/>
        </w:rPr>
        <w:t xml:space="preserve"> pathway. </w:t>
      </w:r>
      <w:r>
        <w:rPr>
          <w:rFonts w:ascii="Book Antiqua" w:hAnsi="Book Antiqua"/>
          <w:i/>
          <w:kern w:val="2"/>
          <w:sz w:val="24"/>
          <w:szCs w:val="24"/>
        </w:rPr>
        <w:t>Endocrine</w:t>
      </w:r>
      <w:r>
        <w:rPr>
          <w:rFonts w:ascii="Book Antiqua" w:hAnsi="Book Antiqua"/>
          <w:kern w:val="2"/>
          <w:sz w:val="24"/>
          <w:szCs w:val="24"/>
        </w:rPr>
        <w:t xml:space="preserve"> 2008; </w:t>
      </w:r>
      <w:r>
        <w:rPr>
          <w:rFonts w:ascii="Book Antiqua" w:hAnsi="Book Antiqua"/>
          <w:b/>
          <w:kern w:val="2"/>
          <w:sz w:val="24"/>
          <w:szCs w:val="24"/>
        </w:rPr>
        <w:t>33</w:t>
      </w:r>
      <w:r>
        <w:rPr>
          <w:rFonts w:ascii="Book Antiqua" w:hAnsi="Book Antiqua"/>
          <w:kern w:val="2"/>
          <w:sz w:val="24"/>
          <w:szCs w:val="24"/>
        </w:rPr>
        <w:t>: 331-337 [PMID: 19034703 DOI: 10.1007/s12020-008-9089-3]</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3 </w:t>
      </w:r>
      <w:r>
        <w:rPr>
          <w:rFonts w:ascii="Book Antiqua" w:hAnsi="Book Antiqua"/>
          <w:b/>
          <w:kern w:val="2"/>
          <w:sz w:val="24"/>
          <w:szCs w:val="24"/>
        </w:rPr>
        <w:t>Kim S</w:t>
      </w:r>
      <w:r>
        <w:rPr>
          <w:rFonts w:ascii="Book Antiqua" w:hAnsi="Book Antiqua"/>
          <w:kern w:val="2"/>
          <w:sz w:val="24"/>
          <w:szCs w:val="24"/>
        </w:rPr>
        <w:t xml:space="preserve">, Kim Y, Kim JE, Cho KH, Chung JH. </w:t>
      </w:r>
      <w:proofErr w:type="spellStart"/>
      <w:r>
        <w:rPr>
          <w:rFonts w:ascii="Book Antiqua" w:hAnsi="Book Antiqua"/>
          <w:kern w:val="2"/>
          <w:sz w:val="24"/>
          <w:szCs w:val="24"/>
        </w:rPr>
        <w:t>Berberine</w:t>
      </w:r>
      <w:proofErr w:type="spellEnd"/>
      <w:r>
        <w:rPr>
          <w:rFonts w:ascii="Book Antiqua" w:hAnsi="Book Antiqua"/>
          <w:kern w:val="2"/>
          <w:sz w:val="24"/>
          <w:szCs w:val="24"/>
        </w:rPr>
        <w:t xml:space="preserve"> inhibits TPA-induced MMP-9 and IL-6 expression in normal human keratinocytes. </w:t>
      </w:r>
      <w:proofErr w:type="spellStart"/>
      <w:r>
        <w:rPr>
          <w:rFonts w:ascii="Book Antiqua" w:hAnsi="Book Antiqua"/>
          <w:i/>
          <w:kern w:val="2"/>
          <w:sz w:val="24"/>
          <w:szCs w:val="24"/>
        </w:rPr>
        <w:t>Phytomedicine</w:t>
      </w:r>
      <w:proofErr w:type="spellEnd"/>
      <w:r>
        <w:rPr>
          <w:rFonts w:ascii="Book Antiqua" w:hAnsi="Book Antiqua"/>
          <w:kern w:val="2"/>
          <w:sz w:val="24"/>
          <w:szCs w:val="24"/>
        </w:rPr>
        <w:t xml:space="preserve"> 2008; </w:t>
      </w:r>
      <w:r>
        <w:rPr>
          <w:rFonts w:ascii="Book Antiqua" w:hAnsi="Book Antiqua"/>
          <w:b/>
          <w:kern w:val="2"/>
          <w:sz w:val="24"/>
          <w:szCs w:val="24"/>
        </w:rPr>
        <w:t>15</w:t>
      </w:r>
      <w:r>
        <w:rPr>
          <w:rFonts w:ascii="Book Antiqua" w:hAnsi="Book Antiqua"/>
          <w:kern w:val="2"/>
          <w:sz w:val="24"/>
          <w:szCs w:val="24"/>
        </w:rPr>
        <w:t>: 340-347 [PMID: 17951041 DOI: 10.1016/j.phymed.2007.09.011]</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4 </w:t>
      </w:r>
      <w:proofErr w:type="spellStart"/>
      <w:r>
        <w:rPr>
          <w:rFonts w:ascii="Book Antiqua" w:hAnsi="Book Antiqua"/>
          <w:b/>
          <w:kern w:val="2"/>
          <w:sz w:val="24"/>
          <w:szCs w:val="24"/>
        </w:rPr>
        <w:t>Tjong</w:t>
      </w:r>
      <w:proofErr w:type="spellEnd"/>
      <w:r>
        <w:rPr>
          <w:rFonts w:ascii="Book Antiqua" w:hAnsi="Book Antiqua"/>
          <w:b/>
          <w:kern w:val="2"/>
          <w:sz w:val="24"/>
          <w:szCs w:val="24"/>
        </w:rPr>
        <w:t xml:space="preserve"> Y</w:t>
      </w:r>
      <w:r>
        <w:rPr>
          <w:rFonts w:ascii="Book Antiqua" w:hAnsi="Book Antiqua"/>
          <w:kern w:val="2"/>
          <w:sz w:val="24"/>
          <w:szCs w:val="24"/>
        </w:rPr>
        <w:t xml:space="preserve">, </w:t>
      </w:r>
      <w:proofErr w:type="spellStart"/>
      <w:r>
        <w:rPr>
          <w:rFonts w:ascii="Book Antiqua" w:hAnsi="Book Antiqua"/>
          <w:kern w:val="2"/>
          <w:sz w:val="24"/>
          <w:szCs w:val="24"/>
        </w:rPr>
        <w:t>Ip</w:t>
      </w:r>
      <w:proofErr w:type="spellEnd"/>
      <w:r>
        <w:rPr>
          <w:rFonts w:ascii="Book Antiqua" w:hAnsi="Book Antiqua"/>
          <w:kern w:val="2"/>
          <w:sz w:val="24"/>
          <w:szCs w:val="24"/>
        </w:rPr>
        <w:t xml:space="preserve"> S, Lao L, Fong HH, Sung JJ, Berman B, </w:t>
      </w:r>
      <w:proofErr w:type="spellStart"/>
      <w:r>
        <w:rPr>
          <w:rFonts w:ascii="Book Antiqua" w:hAnsi="Book Antiqua"/>
          <w:kern w:val="2"/>
          <w:sz w:val="24"/>
          <w:szCs w:val="24"/>
        </w:rPr>
        <w:t>Che</w:t>
      </w:r>
      <w:proofErr w:type="spellEnd"/>
      <w:r>
        <w:rPr>
          <w:rFonts w:ascii="Book Antiqua" w:hAnsi="Book Antiqua"/>
          <w:kern w:val="2"/>
          <w:sz w:val="24"/>
          <w:szCs w:val="24"/>
        </w:rPr>
        <w:t xml:space="preserve"> C. Analgesic effect of </w:t>
      </w:r>
      <w:proofErr w:type="spellStart"/>
      <w:r>
        <w:rPr>
          <w:rFonts w:ascii="Book Antiqua" w:hAnsi="Book Antiqua"/>
          <w:kern w:val="2"/>
          <w:sz w:val="24"/>
          <w:szCs w:val="24"/>
        </w:rPr>
        <w:t>Coptis</w:t>
      </w:r>
      <w:proofErr w:type="spellEnd"/>
      <w:r>
        <w:rPr>
          <w:rFonts w:ascii="Book Antiqua" w:hAnsi="Book Antiqua"/>
          <w:kern w:val="2"/>
          <w:sz w:val="24"/>
          <w:szCs w:val="24"/>
        </w:rPr>
        <w:t xml:space="preserve"> </w:t>
      </w:r>
      <w:proofErr w:type="spellStart"/>
      <w:r>
        <w:rPr>
          <w:rFonts w:ascii="Book Antiqua" w:hAnsi="Book Antiqua"/>
          <w:kern w:val="2"/>
          <w:sz w:val="24"/>
          <w:szCs w:val="24"/>
        </w:rPr>
        <w:t>chinensis</w:t>
      </w:r>
      <w:proofErr w:type="spellEnd"/>
      <w:r>
        <w:rPr>
          <w:rFonts w:ascii="Book Antiqua" w:hAnsi="Book Antiqua"/>
          <w:kern w:val="2"/>
          <w:sz w:val="24"/>
          <w:szCs w:val="24"/>
        </w:rPr>
        <w:t xml:space="preserve"> rhizomes (</w:t>
      </w:r>
      <w:proofErr w:type="spellStart"/>
      <w:r>
        <w:rPr>
          <w:rFonts w:ascii="Book Antiqua" w:hAnsi="Book Antiqua"/>
          <w:kern w:val="2"/>
          <w:sz w:val="24"/>
          <w:szCs w:val="24"/>
        </w:rPr>
        <w:t>Coptidis</w:t>
      </w:r>
      <w:proofErr w:type="spellEnd"/>
      <w:r>
        <w:rPr>
          <w:rFonts w:ascii="Book Antiqua" w:hAnsi="Book Antiqua"/>
          <w:kern w:val="2"/>
          <w:sz w:val="24"/>
          <w:szCs w:val="24"/>
        </w:rPr>
        <w:t xml:space="preserve"> </w:t>
      </w:r>
      <w:proofErr w:type="spellStart"/>
      <w:r>
        <w:rPr>
          <w:rFonts w:ascii="Book Antiqua" w:hAnsi="Book Antiqua"/>
          <w:kern w:val="2"/>
          <w:sz w:val="24"/>
          <w:szCs w:val="24"/>
        </w:rPr>
        <w:t>Rhizoma</w:t>
      </w:r>
      <w:proofErr w:type="spellEnd"/>
      <w:r>
        <w:rPr>
          <w:rFonts w:ascii="Book Antiqua" w:hAnsi="Book Antiqua"/>
          <w:kern w:val="2"/>
          <w:sz w:val="24"/>
          <w:szCs w:val="24"/>
        </w:rPr>
        <w:t xml:space="preserve">) extract on rat model of irritable bowel syndrome. </w:t>
      </w:r>
      <w:r>
        <w:rPr>
          <w:rFonts w:ascii="Book Antiqua" w:hAnsi="Book Antiqua"/>
          <w:i/>
          <w:kern w:val="2"/>
          <w:sz w:val="24"/>
          <w:szCs w:val="24"/>
        </w:rPr>
        <w:t xml:space="preserve">J </w:t>
      </w:r>
      <w:proofErr w:type="spellStart"/>
      <w:r>
        <w:rPr>
          <w:rFonts w:ascii="Book Antiqua" w:hAnsi="Book Antiqua"/>
          <w:i/>
          <w:kern w:val="2"/>
          <w:sz w:val="24"/>
          <w:szCs w:val="24"/>
        </w:rPr>
        <w:t>Ethnopharmacol</w:t>
      </w:r>
      <w:proofErr w:type="spellEnd"/>
      <w:r>
        <w:rPr>
          <w:rFonts w:ascii="Book Antiqua" w:hAnsi="Book Antiqua"/>
          <w:kern w:val="2"/>
          <w:sz w:val="24"/>
          <w:szCs w:val="24"/>
        </w:rPr>
        <w:t xml:space="preserve"> 2011; </w:t>
      </w:r>
      <w:r>
        <w:rPr>
          <w:rFonts w:ascii="Book Antiqua" w:hAnsi="Book Antiqua"/>
          <w:b/>
          <w:kern w:val="2"/>
          <w:sz w:val="24"/>
          <w:szCs w:val="24"/>
        </w:rPr>
        <w:t>135</w:t>
      </w:r>
      <w:r>
        <w:rPr>
          <w:rFonts w:ascii="Book Antiqua" w:hAnsi="Book Antiqua"/>
          <w:kern w:val="2"/>
          <w:sz w:val="24"/>
          <w:szCs w:val="24"/>
        </w:rPr>
        <w:t>: 754-761 [PMID: 21511022 DOI: 10.1016/j.jep.2011.04.007]</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5 </w:t>
      </w:r>
      <w:proofErr w:type="spellStart"/>
      <w:r>
        <w:rPr>
          <w:rFonts w:ascii="Book Antiqua" w:hAnsi="Book Antiqua"/>
          <w:b/>
          <w:kern w:val="2"/>
          <w:sz w:val="24"/>
          <w:szCs w:val="24"/>
        </w:rPr>
        <w:t>Camilleri</w:t>
      </w:r>
      <w:proofErr w:type="spellEnd"/>
      <w:r>
        <w:rPr>
          <w:rFonts w:ascii="Book Antiqua" w:hAnsi="Book Antiqua"/>
          <w:b/>
          <w:kern w:val="2"/>
          <w:sz w:val="24"/>
          <w:szCs w:val="24"/>
        </w:rPr>
        <w:t xml:space="preserve"> M</w:t>
      </w:r>
      <w:r>
        <w:rPr>
          <w:rFonts w:ascii="Book Antiqua" w:hAnsi="Book Antiqua"/>
          <w:kern w:val="2"/>
          <w:sz w:val="24"/>
          <w:szCs w:val="24"/>
        </w:rPr>
        <w:t xml:space="preserve">, </w:t>
      </w:r>
      <w:proofErr w:type="spellStart"/>
      <w:r>
        <w:rPr>
          <w:rFonts w:ascii="Book Antiqua" w:hAnsi="Book Antiqua"/>
          <w:kern w:val="2"/>
          <w:sz w:val="24"/>
          <w:szCs w:val="24"/>
        </w:rPr>
        <w:t>Lasch</w:t>
      </w:r>
      <w:proofErr w:type="spellEnd"/>
      <w:r>
        <w:rPr>
          <w:rFonts w:ascii="Book Antiqua" w:hAnsi="Book Antiqua"/>
          <w:kern w:val="2"/>
          <w:sz w:val="24"/>
          <w:szCs w:val="24"/>
        </w:rPr>
        <w:t xml:space="preserve"> K, Zhou W. Irritable bowel syndrome: Methods, mechanisms, and pathophysiology. The confluence of increased permeability, inflammation, and pain in irritable bowel syndrome. </w:t>
      </w:r>
      <w:r>
        <w:rPr>
          <w:rFonts w:ascii="Book Antiqua" w:hAnsi="Book Antiqua"/>
          <w:i/>
          <w:kern w:val="2"/>
          <w:sz w:val="24"/>
          <w:szCs w:val="24"/>
        </w:rPr>
        <w:t xml:space="preserve">Am J </w:t>
      </w:r>
      <w:proofErr w:type="spellStart"/>
      <w:r>
        <w:rPr>
          <w:rFonts w:ascii="Book Antiqua" w:hAnsi="Book Antiqua"/>
          <w:i/>
          <w:kern w:val="2"/>
          <w:sz w:val="24"/>
          <w:szCs w:val="24"/>
        </w:rPr>
        <w:t>Physiol</w:t>
      </w:r>
      <w:proofErr w:type="spellEnd"/>
      <w:r>
        <w:rPr>
          <w:rFonts w:ascii="Book Antiqua" w:hAnsi="Book Antiqua"/>
          <w:i/>
          <w:kern w:val="2"/>
          <w:sz w:val="24"/>
          <w:szCs w:val="24"/>
        </w:rPr>
        <w:t xml:space="preserve"> </w:t>
      </w:r>
      <w:proofErr w:type="spellStart"/>
      <w:r>
        <w:rPr>
          <w:rFonts w:ascii="Book Antiqua" w:hAnsi="Book Antiqua"/>
          <w:i/>
          <w:kern w:val="2"/>
          <w:sz w:val="24"/>
          <w:szCs w:val="24"/>
        </w:rPr>
        <w:t>Gastrointest</w:t>
      </w:r>
      <w:proofErr w:type="spellEnd"/>
      <w:r>
        <w:rPr>
          <w:rFonts w:ascii="Book Antiqua" w:hAnsi="Book Antiqua"/>
          <w:i/>
          <w:kern w:val="2"/>
          <w:sz w:val="24"/>
          <w:szCs w:val="24"/>
        </w:rPr>
        <w:t xml:space="preserve"> Liver </w:t>
      </w:r>
      <w:proofErr w:type="spellStart"/>
      <w:r>
        <w:rPr>
          <w:rFonts w:ascii="Book Antiqua" w:hAnsi="Book Antiqua"/>
          <w:i/>
          <w:kern w:val="2"/>
          <w:sz w:val="24"/>
          <w:szCs w:val="24"/>
        </w:rPr>
        <w:t>Physiol</w:t>
      </w:r>
      <w:proofErr w:type="spellEnd"/>
      <w:r>
        <w:rPr>
          <w:rFonts w:ascii="Book Antiqua" w:hAnsi="Book Antiqua"/>
          <w:kern w:val="2"/>
          <w:sz w:val="24"/>
          <w:szCs w:val="24"/>
        </w:rPr>
        <w:t xml:space="preserve"> 2012; </w:t>
      </w:r>
      <w:r>
        <w:rPr>
          <w:rFonts w:ascii="Book Antiqua" w:hAnsi="Book Antiqua"/>
          <w:b/>
          <w:kern w:val="2"/>
          <w:sz w:val="24"/>
          <w:szCs w:val="24"/>
        </w:rPr>
        <w:t>303</w:t>
      </w:r>
      <w:r>
        <w:rPr>
          <w:rFonts w:ascii="Book Antiqua" w:hAnsi="Book Antiqua"/>
          <w:kern w:val="2"/>
          <w:sz w:val="24"/>
          <w:szCs w:val="24"/>
        </w:rPr>
        <w:t>: G775-G785 [PMID: 22837345 DOI: 10.1152/ajpgi.00155.2012]</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6 </w:t>
      </w:r>
      <w:proofErr w:type="spellStart"/>
      <w:r>
        <w:rPr>
          <w:rFonts w:ascii="Book Antiqua" w:hAnsi="Book Antiqua"/>
          <w:b/>
          <w:kern w:val="2"/>
          <w:sz w:val="24"/>
          <w:szCs w:val="24"/>
        </w:rPr>
        <w:t>Ohman</w:t>
      </w:r>
      <w:proofErr w:type="spellEnd"/>
      <w:r>
        <w:rPr>
          <w:rFonts w:ascii="Book Antiqua" w:hAnsi="Book Antiqua"/>
          <w:b/>
          <w:kern w:val="2"/>
          <w:sz w:val="24"/>
          <w:szCs w:val="24"/>
        </w:rPr>
        <w:t xml:space="preserve"> L</w:t>
      </w:r>
      <w:r>
        <w:rPr>
          <w:rFonts w:ascii="Book Antiqua" w:hAnsi="Book Antiqua"/>
          <w:kern w:val="2"/>
          <w:sz w:val="24"/>
          <w:szCs w:val="24"/>
        </w:rPr>
        <w:t xml:space="preserve">, </w:t>
      </w:r>
      <w:proofErr w:type="spellStart"/>
      <w:r>
        <w:rPr>
          <w:rFonts w:ascii="Book Antiqua" w:hAnsi="Book Antiqua"/>
          <w:kern w:val="2"/>
          <w:sz w:val="24"/>
          <w:szCs w:val="24"/>
        </w:rPr>
        <w:t>Simrén</w:t>
      </w:r>
      <w:proofErr w:type="spellEnd"/>
      <w:r>
        <w:rPr>
          <w:rFonts w:ascii="Book Antiqua" w:hAnsi="Book Antiqua"/>
          <w:kern w:val="2"/>
          <w:sz w:val="24"/>
          <w:szCs w:val="24"/>
        </w:rPr>
        <w:t xml:space="preserve"> M. Pathogenesis of IBS: Role of inflammation, immunity and </w:t>
      </w:r>
      <w:proofErr w:type="spellStart"/>
      <w:r>
        <w:rPr>
          <w:rFonts w:ascii="Book Antiqua" w:hAnsi="Book Antiqua"/>
          <w:kern w:val="2"/>
          <w:sz w:val="24"/>
          <w:szCs w:val="24"/>
        </w:rPr>
        <w:t>neuroimmune</w:t>
      </w:r>
      <w:proofErr w:type="spellEnd"/>
      <w:r>
        <w:rPr>
          <w:rFonts w:ascii="Book Antiqua" w:hAnsi="Book Antiqua"/>
          <w:kern w:val="2"/>
          <w:sz w:val="24"/>
          <w:szCs w:val="24"/>
        </w:rPr>
        <w:t xml:space="preserve"> interactions. </w:t>
      </w:r>
      <w:r>
        <w:rPr>
          <w:rFonts w:ascii="Book Antiqua" w:hAnsi="Book Antiqua"/>
          <w:i/>
          <w:kern w:val="2"/>
          <w:sz w:val="24"/>
          <w:szCs w:val="24"/>
        </w:rPr>
        <w:t xml:space="preserve">Nat Rev </w:t>
      </w:r>
      <w:proofErr w:type="spellStart"/>
      <w:r>
        <w:rPr>
          <w:rFonts w:ascii="Book Antiqua" w:hAnsi="Book Antiqua"/>
          <w:i/>
          <w:kern w:val="2"/>
          <w:sz w:val="24"/>
          <w:szCs w:val="24"/>
        </w:rPr>
        <w:t>Gastroenterol</w:t>
      </w:r>
      <w:proofErr w:type="spellEnd"/>
      <w:r>
        <w:rPr>
          <w:rFonts w:ascii="Book Antiqua" w:hAnsi="Book Antiqua"/>
          <w:i/>
          <w:kern w:val="2"/>
          <w:sz w:val="24"/>
          <w:szCs w:val="24"/>
        </w:rPr>
        <w:t xml:space="preserve"> </w:t>
      </w:r>
      <w:proofErr w:type="spellStart"/>
      <w:r>
        <w:rPr>
          <w:rFonts w:ascii="Book Antiqua" w:hAnsi="Book Antiqua"/>
          <w:i/>
          <w:kern w:val="2"/>
          <w:sz w:val="24"/>
          <w:szCs w:val="24"/>
        </w:rPr>
        <w:t>Hepatol</w:t>
      </w:r>
      <w:proofErr w:type="spellEnd"/>
      <w:r>
        <w:rPr>
          <w:rFonts w:ascii="Book Antiqua" w:hAnsi="Book Antiqua"/>
          <w:kern w:val="2"/>
          <w:sz w:val="24"/>
          <w:szCs w:val="24"/>
        </w:rPr>
        <w:t xml:space="preserve"> 2010; </w:t>
      </w:r>
      <w:r>
        <w:rPr>
          <w:rFonts w:ascii="Book Antiqua" w:hAnsi="Book Antiqua"/>
          <w:b/>
          <w:kern w:val="2"/>
          <w:sz w:val="24"/>
          <w:szCs w:val="24"/>
        </w:rPr>
        <w:t>7</w:t>
      </w:r>
      <w:r>
        <w:rPr>
          <w:rFonts w:ascii="Book Antiqua" w:hAnsi="Book Antiqua"/>
          <w:kern w:val="2"/>
          <w:sz w:val="24"/>
          <w:szCs w:val="24"/>
        </w:rPr>
        <w:t>: 163-173 [PMID: 20101257 DOI: 10.1038/nrgastro.2010.4]</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7 </w:t>
      </w:r>
      <w:r>
        <w:rPr>
          <w:rFonts w:ascii="Book Antiqua" w:hAnsi="Book Antiqua"/>
          <w:b/>
          <w:kern w:val="2"/>
          <w:sz w:val="24"/>
          <w:szCs w:val="24"/>
        </w:rPr>
        <w:t>Langhorst J</w:t>
      </w:r>
      <w:r>
        <w:rPr>
          <w:rFonts w:ascii="Book Antiqua" w:hAnsi="Book Antiqua"/>
          <w:kern w:val="2"/>
          <w:sz w:val="24"/>
          <w:szCs w:val="24"/>
        </w:rPr>
        <w:t xml:space="preserve">, Choi KE. The role of human </w:t>
      </w:r>
      <w:proofErr w:type="spellStart"/>
      <w:r>
        <w:rPr>
          <w:rFonts w:ascii="Book Antiqua" w:hAnsi="Book Antiqua"/>
          <w:kern w:val="2"/>
          <w:sz w:val="24"/>
          <w:szCs w:val="24"/>
        </w:rPr>
        <w:t>defensins</w:t>
      </w:r>
      <w:proofErr w:type="spellEnd"/>
      <w:r>
        <w:rPr>
          <w:rFonts w:ascii="Book Antiqua" w:hAnsi="Book Antiqua"/>
          <w:kern w:val="2"/>
          <w:sz w:val="24"/>
          <w:szCs w:val="24"/>
        </w:rPr>
        <w:t xml:space="preserve"> in gastrointestinal diseases. </w:t>
      </w:r>
      <w:r>
        <w:rPr>
          <w:rFonts w:ascii="Book Antiqua" w:hAnsi="Book Antiqua"/>
          <w:i/>
          <w:kern w:val="2"/>
          <w:sz w:val="24"/>
          <w:szCs w:val="24"/>
        </w:rPr>
        <w:t xml:space="preserve">Expert Rev </w:t>
      </w:r>
      <w:proofErr w:type="spellStart"/>
      <w:r>
        <w:rPr>
          <w:rFonts w:ascii="Book Antiqua" w:hAnsi="Book Antiqua"/>
          <w:i/>
          <w:kern w:val="2"/>
          <w:sz w:val="24"/>
          <w:szCs w:val="24"/>
        </w:rPr>
        <w:t>Clin</w:t>
      </w:r>
      <w:proofErr w:type="spellEnd"/>
      <w:r>
        <w:rPr>
          <w:rFonts w:ascii="Book Antiqua" w:hAnsi="Book Antiqua"/>
          <w:i/>
          <w:kern w:val="2"/>
          <w:sz w:val="24"/>
          <w:szCs w:val="24"/>
        </w:rPr>
        <w:t xml:space="preserve"> </w:t>
      </w:r>
      <w:proofErr w:type="spellStart"/>
      <w:r>
        <w:rPr>
          <w:rFonts w:ascii="Book Antiqua" w:hAnsi="Book Antiqua"/>
          <w:i/>
          <w:kern w:val="2"/>
          <w:sz w:val="24"/>
          <w:szCs w:val="24"/>
        </w:rPr>
        <w:t>Immunol</w:t>
      </w:r>
      <w:proofErr w:type="spellEnd"/>
      <w:r>
        <w:rPr>
          <w:rFonts w:ascii="Book Antiqua" w:hAnsi="Book Antiqua"/>
          <w:kern w:val="2"/>
          <w:sz w:val="24"/>
          <w:szCs w:val="24"/>
        </w:rPr>
        <w:t xml:space="preserve"> 2011; </w:t>
      </w:r>
      <w:r>
        <w:rPr>
          <w:rFonts w:ascii="Book Antiqua" w:hAnsi="Book Antiqua"/>
          <w:b/>
          <w:kern w:val="2"/>
          <w:sz w:val="24"/>
          <w:szCs w:val="24"/>
        </w:rPr>
        <w:t>7</w:t>
      </w:r>
      <w:r>
        <w:rPr>
          <w:rFonts w:ascii="Book Antiqua" w:hAnsi="Book Antiqua"/>
          <w:kern w:val="2"/>
          <w:sz w:val="24"/>
          <w:szCs w:val="24"/>
        </w:rPr>
        <w:t>: 779-787 [PMID: 22014019 DOI: 10.1586/eci.11.62]</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lastRenderedPageBreak/>
        <w:t xml:space="preserve">8 </w:t>
      </w:r>
      <w:proofErr w:type="spellStart"/>
      <w:r>
        <w:rPr>
          <w:rFonts w:ascii="Book Antiqua" w:hAnsi="Book Antiqua"/>
          <w:b/>
          <w:kern w:val="2"/>
          <w:sz w:val="24"/>
          <w:szCs w:val="24"/>
        </w:rPr>
        <w:t>Bradesi</w:t>
      </w:r>
      <w:proofErr w:type="spellEnd"/>
      <w:r>
        <w:rPr>
          <w:rFonts w:ascii="Book Antiqua" w:hAnsi="Book Antiqua"/>
          <w:b/>
          <w:kern w:val="2"/>
          <w:sz w:val="24"/>
          <w:szCs w:val="24"/>
        </w:rPr>
        <w:t xml:space="preserve"> S</w:t>
      </w:r>
      <w:r>
        <w:rPr>
          <w:rFonts w:ascii="Book Antiqua" w:hAnsi="Book Antiqua"/>
          <w:kern w:val="2"/>
          <w:sz w:val="24"/>
          <w:szCs w:val="24"/>
        </w:rPr>
        <w:t xml:space="preserve">, </w:t>
      </w:r>
      <w:proofErr w:type="spellStart"/>
      <w:r>
        <w:rPr>
          <w:rFonts w:ascii="Book Antiqua" w:hAnsi="Book Antiqua"/>
          <w:kern w:val="2"/>
          <w:sz w:val="24"/>
          <w:szCs w:val="24"/>
        </w:rPr>
        <w:t>McRoberts</w:t>
      </w:r>
      <w:proofErr w:type="spellEnd"/>
      <w:r>
        <w:rPr>
          <w:rFonts w:ascii="Book Antiqua" w:hAnsi="Book Antiqua"/>
          <w:kern w:val="2"/>
          <w:sz w:val="24"/>
          <w:szCs w:val="24"/>
        </w:rPr>
        <w:t xml:space="preserve"> JA, Anton PA, Mayer EA. Inflammatory bowel disease and irritable bowel syndrome: Separate or unified? </w:t>
      </w:r>
      <w:proofErr w:type="spellStart"/>
      <w:r>
        <w:rPr>
          <w:rFonts w:ascii="Book Antiqua" w:hAnsi="Book Antiqua"/>
          <w:i/>
          <w:kern w:val="2"/>
          <w:sz w:val="24"/>
          <w:szCs w:val="24"/>
        </w:rPr>
        <w:t>Curr</w:t>
      </w:r>
      <w:proofErr w:type="spellEnd"/>
      <w:r>
        <w:rPr>
          <w:rFonts w:ascii="Book Antiqua" w:hAnsi="Book Antiqua"/>
          <w:i/>
          <w:kern w:val="2"/>
          <w:sz w:val="24"/>
          <w:szCs w:val="24"/>
        </w:rPr>
        <w:t xml:space="preserve"> </w:t>
      </w:r>
      <w:proofErr w:type="spellStart"/>
      <w:r>
        <w:rPr>
          <w:rFonts w:ascii="Book Antiqua" w:hAnsi="Book Antiqua"/>
          <w:i/>
          <w:kern w:val="2"/>
          <w:sz w:val="24"/>
          <w:szCs w:val="24"/>
        </w:rPr>
        <w:t>Opin</w:t>
      </w:r>
      <w:proofErr w:type="spellEnd"/>
      <w:r>
        <w:rPr>
          <w:rFonts w:ascii="Book Antiqua" w:hAnsi="Book Antiqua"/>
          <w:i/>
          <w:kern w:val="2"/>
          <w:sz w:val="24"/>
          <w:szCs w:val="24"/>
        </w:rPr>
        <w:t xml:space="preserve"> </w:t>
      </w:r>
      <w:proofErr w:type="spellStart"/>
      <w:r>
        <w:rPr>
          <w:rFonts w:ascii="Book Antiqua" w:hAnsi="Book Antiqua"/>
          <w:i/>
          <w:kern w:val="2"/>
          <w:sz w:val="24"/>
          <w:szCs w:val="24"/>
        </w:rPr>
        <w:t>Gastroenterol</w:t>
      </w:r>
      <w:proofErr w:type="spellEnd"/>
      <w:r>
        <w:rPr>
          <w:rFonts w:ascii="Book Antiqua" w:hAnsi="Book Antiqua"/>
          <w:kern w:val="2"/>
          <w:sz w:val="24"/>
          <w:szCs w:val="24"/>
        </w:rPr>
        <w:t xml:space="preserve"> 2003; </w:t>
      </w:r>
      <w:r>
        <w:rPr>
          <w:rFonts w:ascii="Book Antiqua" w:hAnsi="Book Antiqua"/>
          <w:b/>
          <w:kern w:val="2"/>
          <w:sz w:val="24"/>
          <w:szCs w:val="24"/>
        </w:rPr>
        <w:t>19</w:t>
      </w:r>
      <w:r>
        <w:rPr>
          <w:rFonts w:ascii="Book Antiqua" w:hAnsi="Book Antiqua"/>
          <w:kern w:val="2"/>
          <w:sz w:val="24"/>
          <w:szCs w:val="24"/>
        </w:rPr>
        <w:t>: 336-342 [PMID: 15703574 DOI: 10.1097/00001574-200307000-00003]</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9 </w:t>
      </w:r>
      <w:r>
        <w:rPr>
          <w:rFonts w:ascii="Book Antiqua" w:hAnsi="Book Antiqua"/>
          <w:b/>
          <w:kern w:val="2"/>
          <w:sz w:val="24"/>
          <w:szCs w:val="24"/>
        </w:rPr>
        <w:t>Spiller RC</w:t>
      </w:r>
      <w:r>
        <w:rPr>
          <w:rFonts w:ascii="Book Antiqua" w:hAnsi="Book Antiqua"/>
          <w:kern w:val="2"/>
          <w:sz w:val="24"/>
          <w:szCs w:val="24"/>
        </w:rPr>
        <w:t xml:space="preserve">. Neuropathology of IBS? </w:t>
      </w:r>
      <w:r>
        <w:rPr>
          <w:rFonts w:ascii="Book Antiqua" w:hAnsi="Book Antiqua"/>
          <w:i/>
          <w:kern w:val="2"/>
          <w:sz w:val="24"/>
          <w:szCs w:val="24"/>
        </w:rPr>
        <w:t>Gastroenterology</w:t>
      </w:r>
      <w:r>
        <w:rPr>
          <w:rFonts w:ascii="Book Antiqua" w:hAnsi="Book Antiqua"/>
          <w:kern w:val="2"/>
          <w:sz w:val="24"/>
          <w:szCs w:val="24"/>
        </w:rPr>
        <w:t xml:space="preserve"> 2002; </w:t>
      </w:r>
      <w:r>
        <w:rPr>
          <w:rFonts w:ascii="Book Antiqua" w:hAnsi="Book Antiqua"/>
          <w:b/>
          <w:kern w:val="2"/>
          <w:sz w:val="24"/>
          <w:szCs w:val="24"/>
        </w:rPr>
        <w:t>123</w:t>
      </w:r>
      <w:r>
        <w:rPr>
          <w:rFonts w:ascii="Book Antiqua" w:hAnsi="Book Antiqua"/>
          <w:kern w:val="2"/>
          <w:sz w:val="24"/>
          <w:szCs w:val="24"/>
        </w:rPr>
        <w:t>: 2144-2147 [PMID: 12454870 DOI: 10.1053/gast.2002.37287]</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10 </w:t>
      </w:r>
      <w:proofErr w:type="spellStart"/>
      <w:r>
        <w:rPr>
          <w:rFonts w:ascii="Book Antiqua" w:hAnsi="Book Antiqua"/>
          <w:b/>
          <w:kern w:val="2"/>
          <w:sz w:val="24"/>
          <w:szCs w:val="24"/>
        </w:rPr>
        <w:t>Hartung</w:t>
      </w:r>
      <w:proofErr w:type="spellEnd"/>
      <w:r>
        <w:rPr>
          <w:rFonts w:ascii="Book Antiqua" w:hAnsi="Book Antiqua"/>
          <w:b/>
          <w:kern w:val="2"/>
          <w:sz w:val="24"/>
          <w:szCs w:val="24"/>
        </w:rPr>
        <w:t xml:space="preserve"> JE</w:t>
      </w:r>
      <w:r>
        <w:rPr>
          <w:rFonts w:ascii="Book Antiqua" w:hAnsi="Book Antiqua"/>
          <w:kern w:val="2"/>
          <w:sz w:val="24"/>
          <w:szCs w:val="24"/>
        </w:rPr>
        <w:t xml:space="preserve">, </w:t>
      </w:r>
      <w:proofErr w:type="spellStart"/>
      <w:r>
        <w:rPr>
          <w:rFonts w:ascii="Book Antiqua" w:hAnsi="Book Antiqua"/>
          <w:kern w:val="2"/>
          <w:sz w:val="24"/>
          <w:szCs w:val="24"/>
        </w:rPr>
        <w:t>Eskew</w:t>
      </w:r>
      <w:proofErr w:type="spellEnd"/>
      <w:r>
        <w:rPr>
          <w:rFonts w:ascii="Book Antiqua" w:hAnsi="Book Antiqua"/>
          <w:kern w:val="2"/>
          <w:sz w:val="24"/>
          <w:szCs w:val="24"/>
        </w:rPr>
        <w:t xml:space="preserve"> O, Wong T, </w:t>
      </w:r>
      <w:proofErr w:type="spellStart"/>
      <w:r>
        <w:rPr>
          <w:rFonts w:ascii="Book Antiqua" w:hAnsi="Book Antiqua"/>
          <w:kern w:val="2"/>
          <w:sz w:val="24"/>
          <w:szCs w:val="24"/>
        </w:rPr>
        <w:t>Tchivileva</w:t>
      </w:r>
      <w:proofErr w:type="spellEnd"/>
      <w:r>
        <w:rPr>
          <w:rFonts w:ascii="Book Antiqua" w:hAnsi="Book Antiqua"/>
          <w:kern w:val="2"/>
          <w:sz w:val="24"/>
          <w:szCs w:val="24"/>
        </w:rPr>
        <w:t xml:space="preserve"> IE, </w:t>
      </w:r>
      <w:proofErr w:type="spellStart"/>
      <w:r>
        <w:rPr>
          <w:rFonts w:ascii="Book Antiqua" w:hAnsi="Book Antiqua"/>
          <w:kern w:val="2"/>
          <w:sz w:val="24"/>
          <w:szCs w:val="24"/>
        </w:rPr>
        <w:t>Oladosu</w:t>
      </w:r>
      <w:proofErr w:type="spellEnd"/>
      <w:r>
        <w:rPr>
          <w:rFonts w:ascii="Book Antiqua" w:hAnsi="Book Antiqua"/>
          <w:kern w:val="2"/>
          <w:sz w:val="24"/>
          <w:szCs w:val="24"/>
        </w:rPr>
        <w:t xml:space="preserve"> FA, </w:t>
      </w:r>
      <w:proofErr w:type="spellStart"/>
      <w:r>
        <w:rPr>
          <w:rFonts w:ascii="Book Antiqua" w:hAnsi="Book Antiqua"/>
          <w:kern w:val="2"/>
          <w:sz w:val="24"/>
          <w:szCs w:val="24"/>
        </w:rPr>
        <w:t>O'Buckley</w:t>
      </w:r>
      <w:proofErr w:type="spellEnd"/>
      <w:r>
        <w:rPr>
          <w:rFonts w:ascii="Book Antiqua" w:hAnsi="Book Antiqua"/>
          <w:kern w:val="2"/>
          <w:sz w:val="24"/>
          <w:szCs w:val="24"/>
        </w:rPr>
        <w:t xml:space="preserve"> SC, </w:t>
      </w:r>
      <w:proofErr w:type="spellStart"/>
      <w:r>
        <w:rPr>
          <w:rFonts w:ascii="Book Antiqua" w:hAnsi="Book Antiqua"/>
          <w:kern w:val="2"/>
          <w:sz w:val="24"/>
          <w:szCs w:val="24"/>
        </w:rPr>
        <w:t>Nackley</w:t>
      </w:r>
      <w:proofErr w:type="spellEnd"/>
      <w:r>
        <w:rPr>
          <w:rFonts w:ascii="Book Antiqua" w:hAnsi="Book Antiqua"/>
          <w:kern w:val="2"/>
          <w:sz w:val="24"/>
          <w:szCs w:val="24"/>
        </w:rPr>
        <w:t xml:space="preserve"> AG. Nuclear factor-kappa B regulates pain and COMT expression in a rodent model of inflammation. </w:t>
      </w:r>
      <w:r>
        <w:rPr>
          <w:rFonts w:ascii="Book Antiqua" w:hAnsi="Book Antiqua"/>
          <w:i/>
          <w:kern w:val="2"/>
          <w:sz w:val="24"/>
          <w:szCs w:val="24"/>
        </w:rPr>
        <w:t xml:space="preserve">Brain </w:t>
      </w:r>
      <w:proofErr w:type="spellStart"/>
      <w:r>
        <w:rPr>
          <w:rFonts w:ascii="Book Antiqua" w:hAnsi="Book Antiqua"/>
          <w:i/>
          <w:kern w:val="2"/>
          <w:sz w:val="24"/>
          <w:szCs w:val="24"/>
        </w:rPr>
        <w:t>Behav</w:t>
      </w:r>
      <w:proofErr w:type="spellEnd"/>
      <w:r>
        <w:rPr>
          <w:rFonts w:ascii="Book Antiqua" w:hAnsi="Book Antiqua"/>
          <w:i/>
          <w:kern w:val="2"/>
          <w:sz w:val="24"/>
          <w:szCs w:val="24"/>
        </w:rPr>
        <w:t xml:space="preserve"> </w:t>
      </w:r>
      <w:proofErr w:type="spellStart"/>
      <w:r>
        <w:rPr>
          <w:rFonts w:ascii="Book Antiqua" w:hAnsi="Book Antiqua"/>
          <w:i/>
          <w:kern w:val="2"/>
          <w:sz w:val="24"/>
          <w:szCs w:val="24"/>
        </w:rPr>
        <w:t>Immun</w:t>
      </w:r>
      <w:proofErr w:type="spellEnd"/>
      <w:r>
        <w:rPr>
          <w:rFonts w:ascii="Book Antiqua" w:hAnsi="Book Antiqua"/>
          <w:kern w:val="2"/>
          <w:sz w:val="24"/>
          <w:szCs w:val="24"/>
        </w:rPr>
        <w:t xml:space="preserve"> 2015; </w:t>
      </w:r>
      <w:r>
        <w:rPr>
          <w:rFonts w:ascii="Book Antiqua" w:hAnsi="Book Antiqua"/>
          <w:b/>
          <w:kern w:val="2"/>
          <w:sz w:val="24"/>
          <w:szCs w:val="24"/>
        </w:rPr>
        <w:t>50</w:t>
      </w:r>
      <w:r>
        <w:rPr>
          <w:rFonts w:ascii="Book Antiqua" w:hAnsi="Book Antiqua"/>
          <w:kern w:val="2"/>
          <w:sz w:val="24"/>
          <w:szCs w:val="24"/>
        </w:rPr>
        <w:t>: 196-202 [PMID: 26187567 DOI: 10.1016/j.bbi.2015.07.014]</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11 </w:t>
      </w:r>
      <w:proofErr w:type="spellStart"/>
      <w:r>
        <w:rPr>
          <w:rFonts w:ascii="Book Antiqua" w:hAnsi="Book Antiqua"/>
          <w:b/>
          <w:kern w:val="2"/>
          <w:sz w:val="24"/>
          <w:szCs w:val="24"/>
        </w:rPr>
        <w:t>Binshtok</w:t>
      </w:r>
      <w:proofErr w:type="spellEnd"/>
      <w:r>
        <w:rPr>
          <w:rFonts w:ascii="Book Antiqua" w:hAnsi="Book Antiqua"/>
          <w:b/>
          <w:kern w:val="2"/>
          <w:sz w:val="24"/>
          <w:szCs w:val="24"/>
        </w:rPr>
        <w:t xml:space="preserve"> AM</w:t>
      </w:r>
      <w:r>
        <w:rPr>
          <w:rFonts w:ascii="Book Antiqua" w:hAnsi="Book Antiqua"/>
          <w:kern w:val="2"/>
          <w:sz w:val="24"/>
          <w:szCs w:val="24"/>
        </w:rPr>
        <w:t xml:space="preserve">, Wang H, Zimmermann K, Amaya F, </w:t>
      </w:r>
      <w:proofErr w:type="spellStart"/>
      <w:r>
        <w:rPr>
          <w:rFonts w:ascii="Book Antiqua" w:hAnsi="Book Antiqua"/>
          <w:kern w:val="2"/>
          <w:sz w:val="24"/>
          <w:szCs w:val="24"/>
        </w:rPr>
        <w:t>Vardeh</w:t>
      </w:r>
      <w:proofErr w:type="spellEnd"/>
      <w:r>
        <w:rPr>
          <w:rFonts w:ascii="Book Antiqua" w:hAnsi="Book Antiqua"/>
          <w:kern w:val="2"/>
          <w:sz w:val="24"/>
          <w:szCs w:val="24"/>
        </w:rPr>
        <w:t xml:space="preserve"> D, Shi L, Brenner GJ, Ji RR, Bean BP, Woolf CJ, </w:t>
      </w:r>
      <w:proofErr w:type="spellStart"/>
      <w:r>
        <w:rPr>
          <w:rFonts w:ascii="Book Antiqua" w:hAnsi="Book Antiqua"/>
          <w:kern w:val="2"/>
          <w:sz w:val="24"/>
          <w:szCs w:val="24"/>
        </w:rPr>
        <w:t>Samad</w:t>
      </w:r>
      <w:proofErr w:type="spellEnd"/>
      <w:r>
        <w:rPr>
          <w:rFonts w:ascii="Book Antiqua" w:hAnsi="Book Antiqua"/>
          <w:kern w:val="2"/>
          <w:sz w:val="24"/>
          <w:szCs w:val="24"/>
        </w:rPr>
        <w:t xml:space="preserve"> TA. Nociceptors are interleukin-1beta sensors. </w:t>
      </w:r>
      <w:r>
        <w:rPr>
          <w:rFonts w:ascii="Book Antiqua" w:hAnsi="Book Antiqua"/>
          <w:i/>
          <w:kern w:val="2"/>
          <w:sz w:val="24"/>
          <w:szCs w:val="24"/>
        </w:rPr>
        <w:t xml:space="preserve">J </w:t>
      </w:r>
      <w:proofErr w:type="spellStart"/>
      <w:r>
        <w:rPr>
          <w:rFonts w:ascii="Book Antiqua" w:hAnsi="Book Antiqua"/>
          <w:i/>
          <w:kern w:val="2"/>
          <w:sz w:val="24"/>
          <w:szCs w:val="24"/>
        </w:rPr>
        <w:t>Neurosci</w:t>
      </w:r>
      <w:proofErr w:type="spellEnd"/>
      <w:r>
        <w:rPr>
          <w:rFonts w:ascii="Book Antiqua" w:hAnsi="Book Antiqua"/>
          <w:kern w:val="2"/>
          <w:sz w:val="24"/>
          <w:szCs w:val="24"/>
        </w:rPr>
        <w:t xml:space="preserve"> 2008; </w:t>
      </w:r>
      <w:r>
        <w:rPr>
          <w:rFonts w:ascii="Book Antiqua" w:hAnsi="Book Antiqua"/>
          <w:b/>
          <w:kern w:val="2"/>
          <w:sz w:val="24"/>
          <w:szCs w:val="24"/>
        </w:rPr>
        <w:t>28</w:t>
      </w:r>
      <w:r>
        <w:rPr>
          <w:rFonts w:ascii="Book Antiqua" w:hAnsi="Book Antiqua"/>
          <w:kern w:val="2"/>
          <w:sz w:val="24"/>
          <w:szCs w:val="24"/>
        </w:rPr>
        <w:t>: 14062-14073 [PMID: 19109489 DOI: 10.1523/JNEUROSCI.3795-08.2008]</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12 </w:t>
      </w:r>
      <w:proofErr w:type="spellStart"/>
      <w:r>
        <w:rPr>
          <w:rFonts w:ascii="Book Antiqua" w:hAnsi="Book Antiqua"/>
          <w:b/>
          <w:kern w:val="2"/>
          <w:sz w:val="24"/>
          <w:szCs w:val="24"/>
        </w:rPr>
        <w:t>Gudes</w:t>
      </w:r>
      <w:proofErr w:type="spellEnd"/>
      <w:r>
        <w:rPr>
          <w:rFonts w:ascii="Book Antiqua" w:hAnsi="Book Antiqua"/>
          <w:b/>
          <w:kern w:val="2"/>
          <w:sz w:val="24"/>
          <w:szCs w:val="24"/>
        </w:rPr>
        <w:t xml:space="preserve"> S</w:t>
      </w:r>
      <w:r>
        <w:rPr>
          <w:rFonts w:ascii="Book Antiqua" w:hAnsi="Book Antiqua"/>
          <w:kern w:val="2"/>
          <w:sz w:val="24"/>
          <w:szCs w:val="24"/>
        </w:rPr>
        <w:t xml:space="preserve">, </w:t>
      </w:r>
      <w:proofErr w:type="spellStart"/>
      <w:r>
        <w:rPr>
          <w:rFonts w:ascii="Book Antiqua" w:hAnsi="Book Antiqua"/>
          <w:kern w:val="2"/>
          <w:sz w:val="24"/>
          <w:szCs w:val="24"/>
        </w:rPr>
        <w:t>Barkai</w:t>
      </w:r>
      <w:proofErr w:type="spellEnd"/>
      <w:r>
        <w:rPr>
          <w:rFonts w:ascii="Book Antiqua" w:hAnsi="Book Antiqua"/>
          <w:kern w:val="2"/>
          <w:sz w:val="24"/>
          <w:szCs w:val="24"/>
        </w:rPr>
        <w:t xml:space="preserve"> O, </w:t>
      </w:r>
      <w:proofErr w:type="spellStart"/>
      <w:r>
        <w:rPr>
          <w:rFonts w:ascii="Book Antiqua" w:hAnsi="Book Antiqua"/>
          <w:kern w:val="2"/>
          <w:sz w:val="24"/>
          <w:szCs w:val="24"/>
        </w:rPr>
        <w:t>Caspi</w:t>
      </w:r>
      <w:proofErr w:type="spellEnd"/>
      <w:r>
        <w:rPr>
          <w:rFonts w:ascii="Book Antiqua" w:hAnsi="Book Antiqua"/>
          <w:kern w:val="2"/>
          <w:sz w:val="24"/>
          <w:szCs w:val="24"/>
        </w:rPr>
        <w:t xml:space="preserve"> Y, Katz B, Lev S, </w:t>
      </w:r>
      <w:proofErr w:type="spellStart"/>
      <w:r>
        <w:rPr>
          <w:rFonts w:ascii="Book Antiqua" w:hAnsi="Book Antiqua"/>
          <w:kern w:val="2"/>
          <w:sz w:val="24"/>
          <w:szCs w:val="24"/>
        </w:rPr>
        <w:t>Binshtok</w:t>
      </w:r>
      <w:proofErr w:type="spellEnd"/>
      <w:r>
        <w:rPr>
          <w:rFonts w:ascii="Book Antiqua" w:hAnsi="Book Antiqua"/>
          <w:kern w:val="2"/>
          <w:sz w:val="24"/>
          <w:szCs w:val="24"/>
        </w:rPr>
        <w:t xml:space="preserve"> AM. The role of slow and persistent TTX-resistant sodium currents in acute tumor necrosis factor-α-mediated increase in nociceptors excitability. </w:t>
      </w:r>
      <w:r>
        <w:rPr>
          <w:rFonts w:ascii="Book Antiqua" w:hAnsi="Book Antiqua"/>
          <w:i/>
          <w:kern w:val="2"/>
          <w:sz w:val="24"/>
          <w:szCs w:val="24"/>
        </w:rPr>
        <w:t xml:space="preserve">J </w:t>
      </w:r>
      <w:proofErr w:type="spellStart"/>
      <w:r>
        <w:rPr>
          <w:rFonts w:ascii="Book Antiqua" w:hAnsi="Book Antiqua"/>
          <w:i/>
          <w:kern w:val="2"/>
          <w:sz w:val="24"/>
          <w:szCs w:val="24"/>
        </w:rPr>
        <w:t>Neurophysiol</w:t>
      </w:r>
      <w:proofErr w:type="spellEnd"/>
      <w:r>
        <w:rPr>
          <w:rFonts w:ascii="Book Antiqua" w:hAnsi="Book Antiqua"/>
          <w:kern w:val="2"/>
          <w:sz w:val="24"/>
          <w:szCs w:val="24"/>
        </w:rPr>
        <w:t xml:space="preserve"> 2015; </w:t>
      </w:r>
      <w:r>
        <w:rPr>
          <w:rFonts w:ascii="Book Antiqua" w:hAnsi="Book Antiqua"/>
          <w:b/>
          <w:kern w:val="2"/>
          <w:sz w:val="24"/>
          <w:szCs w:val="24"/>
        </w:rPr>
        <w:t>113</w:t>
      </w:r>
      <w:r>
        <w:rPr>
          <w:rFonts w:ascii="Book Antiqua" w:hAnsi="Book Antiqua"/>
          <w:kern w:val="2"/>
          <w:sz w:val="24"/>
          <w:szCs w:val="24"/>
        </w:rPr>
        <w:t>: 601-619 [PMID: 25355965 DOI: 10.1152/jn.00652.2014]</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13 </w:t>
      </w:r>
      <w:proofErr w:type="spellStart"/>
      <w:r>
        <w:rPr>
          <w:rFonts w:ascii="Book Antiqua" w:hAnsi="Book Antiqua"/>
          <w:b/>
          <w:kern w:val="2"/>
          <w:sz w:val="24"/>
          <w:szCs w:val="24"/>
        </w:rPr>
        <w:t>Kindt</w:t>
      </w:r>
      <w:proofErr w:type="spellEnd"/>
      <w:r>
        <w:rPr>
          <w:rFonts w:ascii="Book Antiqua" w:hAnsi="Book Antiqua"/>
          <w:b/>
          <w:kern w:val="2"/>
          <w:sz w:val="24"/>
          <w:szCs w:val="24"/>
        </w:rPr>
        <w:t xml:space="preserve"> S</w:t>
      </w:r>
      <w:r>
        <w:rPr>
          <w:rFonts w:ascii="Book Antiqua" w:hAnsi="Book Antiqua"/>
          <w:kern w:val="2"/>
          <w:sz w:val="24"/>
          <w:szCs w:val="24"/>
        </w:rPr>
        <w:t xml:space="preserve">, Van </w:t>
      </w:r>
      <w:proofErr w:type="spellStart"/>
      <w:r>
        <w:rPr>
          <w:rFonts w:ascii="Book Antiqua" w:hAnsi="Book Antiqua"/>
          <w:kern w:val="2"/>
          <w:sz w:val="24"/>
          <w:szCs w:val="24"/>
        </w:rPr>
        <w:t>Oudenhove</w:t>
      </w:r>
      <w:proofErr w:type="spellEnd"/>
      <w:r>
        <w:rPr>
          <w:rFonts w:ascii="Book Antiqua" w:hAnsi="Book Antiqua"/>
          <w:kern w:val="2"/>
          <w:sz w:val="24"/>
          <w:szCs w:val="24"/>
        </w:rPr>
        <w:t xml:space="preserve"> L, </w:t>
      </w:r>
      <w:proofErr w:type="spellStart"/>
      <w:r>
        <w:rPr>
          <w:rFonts w:ascii="Book Antiqua" w:hAnsi="Book Antiqua"/>
          <w:kern w:val="2"/>
          <w:sz w:val="24"/>
          <w:szCs w:val="24"/>
        </w:rPr>
        <w:t>Broekaert</w:t>
      </w:r>
      <w:proofErr w:type="spellEnd"/>
      <w:r>
        <w:rPr>
          <w:rFonts w:ascii="Book Antiqua" w:hAnsi="Book Antiqua"/>
          <w:kern w:val="2"/>
          <w:sz w:val="24"/>
          <w:szCs w:val="24"/>
        </w:rPr>
        <w:t xml:space="preserve"> D, </w:t>
      </w:r>
      <w:proofErr w:type="spellStart"/>
      <w:r>
        <w:rPr>
          <w:rFonts w:ascii="Book Antiqua" w:hAnsi="Book Antiqua"/>
          <w:kern w:val="2"/>
          <w:sz w:val="24"/>
          <w:szCs w:val="24"/>
        </w:rPr>
        <w:t>Kasran</w:t>
      </w:r>
      <w:proofErr w:type="spellEnd"/>
      <w:r>
        <w:rPr>
          <w:rFonts w:ascii="Book Antiqua" w:hAnsi="Book Antiqua"/>
          <w:kern w:val="2"/>
          <w:sz w:val="24"/>
          <w:szCs w:val="24"/>
        </w:rPr>
        <w:t xml:space="preserve"> A, </w:t>
      </w:r>
      <w:proofErr w:type="spellStart"/>
      <w:r>
        <w:rPr>
          <w:rFonts w:ascii="Book Antiqua" w:hAnsi="Book Antiqua"/>
          <w:kern w:val="2"/>
          <w:sz w:val="24"/>
          <w:szCs w:val="24"/>
        </w:rPr>
        <w:t>Ceuppens</w:t>
      </w:r>
      <w:proofErr w:type="spellEnd"/>
      <w:r>
        <w:rPr>
          <w:rFonts w:ascii="Book Antiqua" w:hAnsi="Book Antiqua"/>
          <w:kern w:val="2"/>
          <w:sz w:val="24"/>
          <w:szCs w:val="24"/>
        </w:rPr>
        <w:t xml:space="preserve"> JL, </w:t>
      </w:r>
      <w:proofErr w:type="spellStart"/>
      <w:r>
        <w:rPr>
          <w:rFonts w:ascii="Book Antiqua" w:hAnsi="Book Antiqua"/>
          <w:kern w:val="2"/>
          <w:sz w:val="24"/>
          <w:szCs w:val="24"/>
        </w:rPr>
        <w:t>Bossuyt</w:t>
      </w:r>
      <w:proofErr w:type="spellEnd"/>
      <w:r>
        <w:rPr>
          <w:rFonts w:ascii="Book Antiqua" w:hAnsi="Book Antiqua"/>
          <w:kern w:val="2"/>
          <w:sz w:val="24"/>
          <w:szCs w:val="24"/>
        </w:rPr>
        <w:t xml:space="preserve"> X, </w:t>
      </w:r>
      <w:proofErr w:type="spellStart"/>
      <w:r>
        <w:rPr>
          <w:rFonts w:ascii="Book Antiqua" w:hAnsi="Book Antiqua"/>
          <w:kern w:val="2"/>
          <w:sz w:val="24"/>
          <w:szCs w:val="24"/>
        </w:rPr>
        <w:t>Fischler</w:t>
      </w:r>
      <w:proofErr w:type="spellEnd"/>
      <w:r>
        <w:rPr>
          <w:rFonts w:ascii="Book Antiqua" w:hAnsi="Book Antiqua"/>
          <w:kern w:val="2"/>
          <w:sz w:val="24"/>
          <w:szCs w:val="24"/>
        </w:rPr>
        <w:t xml:space="preserve"> B, Tack J. Immune dysfunction in patients with functional gastrointestinal disorders. </w:t>
      </w:r>
      <w:proofErr w:type="spellStart"/>
      <w:r>
        <w:rPr>
          <w:rFonts w:ascii="Book Antiqua" w:hAnsi="Book Antiqua"/>
          <w:i/>
          <w:kern w:val="2"/>
          <w:sz w:val="24"/>
          <w:szCs w:val="24"/>
        </w:rPr>
        <w:t>Neurogastroenterol</w:t>
      </w:r>
      <w:proofErr w:type="spellEnd"/>
      <w:r>
        <w:rPr>
          <w:rFonts w:ascii="Book Antiqua" w:hAnsi="Book Antiqua"/>
          <w:i/>
          <w:kern w:val="2"/>
          <w:sz w:val="24"/>
          <w:szCs w:val="24"/>
        </w:rPr>
        <w:t xml:space="preserve"> </w:t>
      </w:r>
      <w:proofErr w:type="spellStart"/>
      <w:r>
        <w:rPr>
          <w:rFonts w:ascii="Book Antiqua" w:hAnsi="Book Antiqua"/>
          <w:i/>
          <w:kern w:val="2"/>
          <w:sz w:val="24"/>
          <w:szCs w:val="24"/>
        </w:rPr>
        <w:t>Motil</w:t>
      </w:r>
      <w:proofErr w:type="spellEnd"/>
      <w:r>
        <w:rPr>
          <w:rFonts w:ascii="Book Antiqua" w:hAnsi="Book Antiqua"/>
          <w:kern w:val="2"/>
          <w:sz w:val="24"/>
          <w:szCs w:val="24"/>
        </w:rPr>
        <w:t xml:space="preserve"> 2009; </w:t>
      </w:r>
      <w:r>
        <w:rPr>
          <w:rFonts w:ascii="Book Antiqua" w:hAnsi="Book Antiqua"/>
          <w:b/>
          <w:kern w:val="2"/>
          <w:sz w:val="24"/>
          <w:szCs w:val="24"/>
        </w:rPr>
        <w:t>21</w:t>
      </w:r>
      <w:r>
        <w:rPr>
          <w:rFonts w:ascii="Book Antiqua" w:hAnsi="Book Antiqua"/>
          <w:kern w:val="2"/>
          <w:sz w:val="24"/>
          <w:szCs w:val="24"/>
        </w:rPr>
        <w:t>: 389-398 [PMID: 19126184 DOI: 10.1111/j.1365-2982.2008.01220.x]</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14 </w:t>
      </w:r>
      <w:proofErr w:type="spellStart"/>
      <w:r>
        <w:rPr>
          <w:rFonts w:ascii="Book Antiqua" w:hAnsi="Book Antiqua"/>
          <w:b/>
          <w:kern w:val="2"/>
          <w:sz w:val="24"/>
          <w:szCs w:val="24"/>
        </w:rPr>
        <w:t>Macsharry</w:t>
      </w:r>
      <w:proofErr w:type="spellEnd"/>
      <w:r>
        <w:rPr>
          <w:rFonts w:ascii="Book Antiqua" w:hAnsi="Book Antiqua"/>
          <w:b/>
          <w:kern w:val="2"/>
          <w:sz w:val="24"/>
          <w:szCs w:val="24"/>
        </w:rPr>
        <w:t xml:space="preserve"> J</w:t>
      </w:r>
      <w:r>
        <w:rPr>
          <w:rFonts w:ascii="Book Antiqua" w:hAnsi="Book Antiqua"/>
          <w:kern w:val="2"/>
          <w:sz w:val="24"/>
          <w:szCs w:val="24"/>
        </w:rPr>
        <w:t xml:space="preserve">, </w:t>
      </w:r>
      <w:proofErr w:type="spellStart"/>
      <w:r>
        <w:rPr>
          <w:rFonts w:ascii="Book Antiqua" w:hAnsi="Book Antiqua"/>
          <w:kern w:val="2"/>
          <w:sz w:val="24"/>
          <w:szCs w:val="24"/>
        </w:rPr>
        <w:t>O'Mahony</w:t>
      </w:r>
      <w:proofErr w:type="spellEnd"/>
      <w:r>
        <w:rPr>
          <w:rFonts w:ascii="Book Antiqua" w:hAnsi="Book Antiqua"/>
          <w:kern w:val="2"/>
          <w:sz w:val="24"/>
          <w:szCs w:val="24"/>
        </w:rPr>
        <w:t xml:space="preserve"> L, Fanning A, </w:t>
      </w:r>
      <w:proofErr w:type="spellStart"/>
      <w:r>
        <w:rPr>
          <w:rFonts w:ascii="Book Antiqua" w:hAnsi="Book Antiqua"/>
          <w:kern w:val="2"/>
          <w:sz w:val="24"/>
          <w:szCs w:val="24"/>
        </w:rPr>
        <w:t>Bairead</w:t>
      </w:r>
      <w:proofErr w:type="spellEnd"/>
      <w:r>
        <w:rPr>
          <w:rFonts w:ascii="Book Antiqua" w:hAnsi="Book Antiqua"/>
          <w:kern w:val="2"/>
          <w:sz w:val="24"/>
          <w:szCs w:val="24"/>
        </w:rPr>
        <w:t xml:space="preserve"> E, Sherlock G, </w:t>
      </w:r>
      <w:proofErr w:type="spellStart"/>
      <w:r>
        <w:rPr>
          <w:rFonts w:ascii="Book Antiqua" w:hAnsi="Book Antiqua"/>
          <w:kern w:val="2"/>
          <w:sz w:val="24"/>
          <w:szCs w:val="24"/>
        </w:rPr>
        <w:t>Tiesman</w:t>
      </w:r>
      <w:proofErr w:type="spellEnd"/>
      <w:r>
        <w:rPr>
          <w:rFonts w:ascii="Book Antiqua" w:hAnsi="Book Antiqua"/>
          <w:kern w:val="2"/>
          <w:sz w:val="24"/>
          <w:szCs w:val="24"/>
        </w:rPr>
        <w:t xml:space="preserve"> J, Fulmer A, </w:t>
      </w:r>
      <w:proofErr w:type="spellStart"/>
      <w:r>
        <w:rPr>
          <w:rFonts w:ascii="Book Antiqua" w:hAnsi="Book Antiqua"/>
          <w:kern w:val="2"/>
          <w:sz w:val="24"/>
          <w:szCs w:val="24"/>
        </w:rPr>
        <w:t>Kiely</w:t>
      </w:r>
      <w:proofErr w:type="spellEnd"/>
      <w:r>
        <w:rPr>
          <w:rFonts w:ascii="Book Antiqua" w:hAnsi="Book Antiqua"/>
          <w:kern w:val="2"/>
          <w:sz w:val="24"/>
          <w:szCs w:val="24"/>
        </w:rPr>
        <w:t xml:space="preserve"> B, </w:t>
      </w:r>
      <w:proofErr w:type="spellStart"/>
      <w:r>
        <w:rPr>
          <w:rFonts w:ascii="Book Antiqua" w:hAnsi="Book Antiqua"/>
          <w:kern w:val="2"/>
          <w:sz w:val="24"/>
          <w:szCs w:val="24"/>
        </w:rPr>
        <w:t>Dinan</w:t>
      </w:r>
      <w:proofErr w:type="spellEnd"/>
      <w:r>
        <w:rPr>
          <w:rFonts w:ascii="Book Antiqua" w:hAnsi="Book Antiqua"/>
          <w:kern w:val="2"/>
          <w:sz w:val="24"/>
          <w:szCs w:val="24"/>
        </w:rPr>
        <w:t xml:space="preserve"> TG, Shanahan F, Quigley EM. Mucosal cytokine imbalance in irritable bowel syndrome. </w:t>
      </w:r>
      <w:proofErr w:type="spellStart"/>
      <w:r>
        <w:rPr>
          <w:rFonts w:ascii="Book Antiqua" w:hAnsi="Book Antiqua"/>
          <w:i/>
          <w:kern w:val="2"/>
          <w:sz w:val="24"/>
          <w:szCs w:val="24"/>
        </w:rPr>
        <w:t>Scand</w:t>
      </w:r>
      <w:proofErr w:type="spellEnd"/>
      <w:r>
        <w:rPr>
          <w:rFonts w:ascii="Book Antiqua" w:hAnsi="Book Antiqua"/>
          <w:i/>
          <w:kern w:val="2"/>
          <w:sz w:val="24"/>
          <w:szCs w:val="24"/>
        </w:rPr>
        <w:t xml:space="preserve"> J </w:t>
      </w:r>
      <w:proofErr w:type="spellStart"/>
      <w:r>
        <w:rPr>
          <w:rFonts w:ascii="Book Antiqua" w:hAnsi="Book Antiqua"/>
          <w:i/>
          <w:kern w:val="2"/>
          <w:sz w:val="24"/>
          <w:szCs w:val="24"/>
        </w:rPr>
        <w:t>Gastroenterol</w:t>
      </w:r>
      <w:proofErr w:type="spellEnd"/>
      <w:r>
        <w:rPr>
          <w:rFonts w:ascii="Book Antiqua" w:hAnsi="Book Antiqua"/>
          <w:kern w:val="2"/>
          <w:sz w:val="24"/>
          <w:szCs w:val="24"/>
        </w:rPr>
        <w:t xml:space="preserve"> 2008; </w:t>
      </w:r>
      <w:r>
        <w:rPr>
          <w:rFonts w:ascii="Book Antiqua" w:hAnsi="Book Antiqua"/>
          <w:b/>
          <w:kern w:val="2"/>
          <w:sz w:val="24"/>
          <w:szCs w:val="24"/>
        </w:rPr>
        <w:t>43</w:t>
      </w:r>
      <w:r>
        <w:rPr>
          <w:rFonts w:ascii="Book Antiqua" w:hAnsi="Book Antiqua"/>
          <w:kern w:val="2"/>
          <w:sz w:val="24"/>
          <w:szCs w:val="24"/>
        </w:rPr>
        <w:t>: 1467-1476 [PMID: 18752146 DOI: 10.1080/00365520802276127]</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15 </w:t>
      </w:r>
      <w:r>
        <w:rPr>
          <w:rFonts w:ascii="Book Antiqua" w:hAnsi="Book Antiqua"/>
          <w:b/>
          <w:kern w:val="2"/>
          <w:sz w:val="24"/>
          <w:szCs w:val="24"/>
        </w:rPr>
        <w:t>Yu YB</w:t>
      </w:r>
      <w:r>
        <w:rPr>
          <w:rFonts w:ascii="Book Antiqua" w:hAnsi="Book Antiqua"/>
          <w:kern w:val="2"/>
          <w:sz w:val="24"/>
          <w:szCs w:val="24"/>
        </w:rPr>
        <w:t xml:space="preserve">, </w:t>
      </w:r>
      <w:proofErr w:type="spellStart"/>
      <w:r>
        <w:rPr>
          <w:rFonts w:ascii="Book Antiqua" w:hAnsi="Book Antiqua"/>
          <w:kern w:val="2"/>
          <w:sz w:val="24"/>
          <w:szCs w:val="24"/>
        </w:rPr>
        <w:t>Zuo</w:t>
      </w:r>
      <w:proofErr w:type="spellEnd"/>
      <w:r>
        <w:rPr>
          <w:rFonts w:ascii="Book Antiqua" w:hAnsi="Book Antiqua"/>
          <w:kern w:val="2"/>
          <w:sz w:val="24"/>
          <w:szCs w:val="24"/>
        </w:rPr>
        <w:t xml:space="preserve"> XL, Zhao QJ, Chen FX, Yang J, Dong YY, Wang P, Li YQ. Brain-derived neurotrophic factor contributes to abdominal pain in irritable bowel syndrome. </w:t>
      </w:r>
      <w:r>
        <w:rPr>
          <w:rFonts w:ascii="Book Antiqua" w:hAnsi="Book Antiqua"/>
          <w:i/>
          <w:kern w:val="2"/>
          <w:sz w:val="24"/>
          <w:szCs w:val="24"/>
        </w:rPr>
        <w:t>Gut</w:t>
      </w:r>
      <w:r>
        <w:rPr>
          <w:rFonts w:ascii="Book Antiqua" w:hAnsi="Book Antiqua"/>
          <w:kern w:val="2"/>
          <w:sz w:val="24"/>
          <w:szCs w:val="24"/>
        </w:rPr>
        <w:t xml:space="preserve"> 2012; </w:t>
      </w:r>
      <w:r>
        <w:rPr>
          <w:rFonts w:ascii="Book Antiqua" w:hAnsi="Book Antiqua"/>
          <w:b/>
          <w:kern w:val="2"/>
          <w:sz w:val="24"/>
          <w:szCs w:val="24"/>
        </w:rPr>
        <w:t>61</w:t>
      </w:r>
      <w:r>
        <w:rPr>
          <w:rFonts w:ascii="Book Antiqua" w:hAnsi="Book Antiqua"/>
          <w:kern w:val="2"/>
          <w:sz w:val="24"/>
          <w:szCs w:val="24"/>
        </w:rPr>
        <w:t xml:space="preserve">: 685-694 [PMID: 21997550 DOI: </w:t>
      </w:r>
      <w:r>
        <w:rPr>
          <w:rFonts w:ascii="Book Antiqua" w:hAnsi="Book Antiqua"/>
          <w:kern w:val="2"/>
          <w:sz w:val="24"/>
          <w:szCs w:val="24"/>
        </w:rPr>
        <w:lastRenderedPageBreak/>
        <w:t>10.1136/gutjnl-2011-300265]</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16 </w:t>
      </w:r>
      <w:r>
        <w:rPr>
          <w:rFonts w:ascii="Book Antiqua" w:hAnsi="Book Antiqua"/>
          <w:b/>
          <w:kern w:val="2"/>
          <w:sz w:val="24"/>
          <w:szCs w:val="24"/>
        </w:rPr>
        <w:t>O'Sullivan E</w:t>
      </w:r>
      <w:r>
        <w:rPr>
          <w:rFonts w:ascii="Book Antiqua" w:hAnsi="Book Antiqua"/>
          <w:kern w:val="2"/>
          <w:sz w:val="24"/>
          <w:szCs w:val="24"/>
        </w:rPr>
        <w:t xml:space="preserve">, Barrett E, </w:t>
      </w:r>
      <w:proofErr w:type="spellStart"/>
      <w:r>
        <w:rPr>
          <w:rFonts w:ascii="Book Antiqua" w:hAnsi="Book Antiqua"/>
          <w:kern w:val="2"/>
          <w:sz w:val="24"/>
          <w:szCs w:val="24"/>
        </w:rPr>
        <w:t>Grenham</w:t>
      </w:r>
      <w:proofErr w:type="spellEnd"/>
      <w:r>
        <w:rPr>
          <w:rFonts w:ascii="Book Antiqua" w:hAnsi="Book Antiqua"/>
          <w:kern w:val="2"/>
          <w:sz w:val="24"/>
          <w:szCs w:val="24"/>
        </w:rPr>
        <w:t xml:space="preserve"> S, Fitzgerald P, Stanton C, Ross RP, Quigley EM, </w:t>
      </w:r>
      <w:proofErr w:type="spellStart"/>
      <w:r>
        <w:rPr>
          <w:rFonts w:ascii="Book Antiqua" w:hAnsi="Book Antiqua"/>
          <w:kern w:val="2"/>
          <w:sz w:val="24"/>
          <w:szCs w:val="24"/>
        </w:rPr>
        <w:t>Cryan</w:t>
      </w:r>
      <w:proofErr w:type="spellEnd"/>
      <w:r>
        <w:rPr>
          <w:rFonts w:ascii="Book Antiqua" w:hAnsi="Book Antiqua"/>
          <w:kern w:val="2"/>
          <w:sz w:val="24"/>
          <w:szCs w:val="24"/>
        </w:rPr>
        <w:t xml:space="preserve"> JF, </w:t>
      </w:r>
      <w:proofErr w:type="spellStart"/>
      <w:r>
        <w:rPr>
          <w:rFonts w:ascii="Book Antiqua" w:hAnsi="Book Antiqua"/>
          <w:kern w:val="2"/>
          <w:sz w:val="24"/>
          <w:szCs w:val="24"/>
        </w:rPr>
        <w:t>Dinan</w:t>
      </w:r>
      <w:proofErr w:type="spellEnd"/>
      <w:r>
        <w:rPr>
          <w:rFonts w:ascii="Book Antiqua" w:hAnsi="Book Antiqua"/>
          <w:kern w:val="2"/>
          <w:sz w:val="24"/>
          <w:szCs w:val="24"/>
        </w:rPr>
        <w:t xml:space="preserve"> TG. BDNF expression in the hippocampus of maternally separated rats: Does Bifidobacterium breve 6330 alter BDNF levels? </w:t>
      </w:r>
      <w:proofErr w:type="spellStart"/>
      <w:r>
        <w:rPr>
          <w:rFonts w:ascii="Book Antiqua" w:hAnsi="Book Antiqua"/>
          <w:i/>
          <w:kern w:val="2"/>
          <w:sz w:val="24"/>
          <w:szCs w:val="24"/>
        </w:rPr>
        <w:t>Benef</w:t>
      </w:r>
      <w:proofErr w:type="spellEnd"/>
      <w:r>
        <w:rPr>
          <w:rFonts w:ascii="Book Antiqua" w:hAnsi="Book Antiqua"/>
          <w:i/>
          <w:kern w:val="2"/>
          <w:sz w:val="24"/>
          <w:szCs w:val="24"/>
        </w:rPr>
        <w:t xml:space="preserve"> Microbes</w:t>
      </w:r>
      <w:r>
        <w:rPr>
          <w:rFonts w:ascii="Book Antiqua" w:hAnsi="Book Antiqua"/>
          <w:kern w:val="2"/>
          <w:sz w:val="24"/>
          <w:szCs w:val="24"/>
        </w:rPr>
        <w:t xml:space="preserve"> 2011; </w:t>
      </w:r>
      <w:r>
        <w:rPr>
          <w:rFonts w:ascii="Book Antiqua" w:hAnsi="Book Antiqua"/>
          <w:b/>
          <w:kern w:val="2"/>
          <w:sz w:val="24"/>
          <w:szCs w:val="24"/>
        </w:rPr>
        <w:t>2</w:t>
      </w:r>
      <w:r>
        <w:rPr>
          <w:rFonts w:ascii="Book Antiqua" w:hAnsi="Book Antiqua"/>
          <w:kern w:val="2"/>
          <w:sz w:val="24"/>
          <w:szCs w:val="24"/>
        </w:rPr>
        <w:t>: 199-207 [PMID: 21986359 DOI: 10.3920/BM2011.0015]</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17 </w:t>
      </w:r>
      <w:proofErr w:type="spellStart"/>
      <w:r>
        <w:rPr>
          <w:rFonts w:ascii="Book Antiqua" w:hAnsi="Book Antiqua"/>
          <w:b/>
          <w:kern w:val="2"/>
          <w:sz w:val="24"/>
          <w:szCs w:val="24"/>
        </w:rPr>
        <w:t>Koh</w:t>
      </w:r>
      <w:proofErr w:type="spellEnd"/>
      <w:r>
        <w:rPr>
          <w:rFonts w:ascii="Book Antiqua" w:hAnsi="Book Antiqua"/>
          <w:b/>
          <w:kern w:val="2"/>
          <w:sz w:val="24"/>
          <w:szCs w:val="24"/>
        </w:rPr>
        <w:t xml:space="preserve"> SD</w:t>
      </w:r>
      <w:r>
        <w:rPr>
          <w:rFonts w:ascii="Book Antiqua" w:hAnsi="Book Antiqua"/>
          <w:kern w:val="2"/>
          <w:sz w:val="24"/>
          <w:szCs w:val="24"/>
        </w:rPr>
        <w:t xml:space="preserve">, Kim TW, Jun JY, Glasgow NJ, Ward SM, Sanders KM. Regulation of pacemaker currents in interstitial cells of </w:t>
      </w:r>
      <w:proofErr w:type="spellStart"/>
      <w:r>
        <w:rPr>
          <w:rFonts w:ascii="Book Antiqua" w:hAnsi="Book Antiqua"/>
          <w:kern w:val="2"/>
          <w:sz w:val="24"/>
          <w:szCs w:val="24"/>
        </w:rPr>
        <w:t>Cajal</w:t>
      </w:r>
      <w:proofErr w:type="spellEnd"/>
      <w:r>
        <w:rPr>
          <w:rFonts w:ascii="Book Antiqua" w:hAnsi="Book Antiqua"/>
          <w:kern w:val="2"/>
          <w:sz w:val="24"/>
          <w:szCs w:val="24"/>
        </w:rPr>
        <w:t xml:space="preserve"> from murine small intestine by cyclic nucleotides. </w:t>
      </w:r>
      <w:r>
        <w:rPr>
          <w:rFonts w:ascii="Book Antiqua" w:hAnsi="Book Antiqua"/>
          <w:i/>
          <w:kern w:val="2"/>
          <w:sz w:val="24"/>
          <w:szCs w:val="24"/>
        </w:rPr>
        <w:t xml:space="preserve">J </w:t>
      </w:r>
      <w:proofErr w:type="spellStart"/>
      <w:r>
        <w:rPr>
          <w:rFonts w:ascii="Book Antiqua" w:hAnsi="Book Antiqua"/>
          <w:i/>
          <w:kern w:val="2"/>
          <w:sz w:val="24"/>
          <w:szCs w:val="24"/>
        </w:rPr>
        <w:t>Physiol</w:t>
      </w:r>
      <w:proofErr w:type="spellEnd"/>
      <w:r>
        <w:rPr>
          <w:rFonts w:ascii="Book Antiqua" w:hAnsi="Book Antiqua"/>
          <w:kern w:val="2"/>
          <w:sz w:val="24"/>
          <w:szCs w:val="24"/>
        </w:rPr>
        <w:t xml:space="preserve"> 2000; </w:t>
      </w:r>
      <w:r>
        <w:rPr>
          <w:rFonts w:ascii="Book Antiqua" w:hAnsi="Book Antiqua"/>
          <w:b/>
          <w:kern w:val="2"/>
          <w:sz w:val="24"/>
          <w:szCs w:val="24"/>
        </w:rPr>
        <w:t xml:space="preserve">527 </w:t>
      </w:r>
      <w:proofErr w:type="spellStart"/>
      <w:r>
        <w:rPr>
          <w:rFonts w:ascii="Book Antiqua" w:hAnsi="Book Antiqua"/>
          <w:b/>
          <w:kern w:val="2"/>
          <w:sz w:val="24"/>
          <w:szCs w:val="24"/>
        </w:rPr>
        <w:t>Pt</w:t>
      </w:r>
      <w:proofErr w:type="spellEnd"/>
      <w:r>
        <w:rPr>
          <w:rFonts w:ascii="Book Antiqua" w:hAnsi="Book Antiqua"/>
          <w:b/>
          <w:kern w:val="2"/>
          <w:sz w:val="24"/>
          <w:szCs w:val="24"/>
        </w:rPr>
        <w:t xml:space="preserve"> 1</w:t>
      </w:r>
      <w:r>
        <w:rPr>
          <w:rFonts w:ascii="Book Antiqua" w:hAnsi="Book Antiqua"/>
          <w:kern w:val="2"/>
          <w:sz w:val="24"/>
          <w:szCs w:val="24"/>
        </w:rPr>
        <w:t>: 149-162 [PMID: 10944178 DOI: 10.1111/j.1469-7793.2000.00149.x]</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18 </w:t>
      </w:r>
      <w:r>
        <w:rPr>
          <w:rFonts w:ascii="Book Antiqua" w:hAnsi="Book Antiqua"/>
          <w:b/>
          <w:kern w:val="2"/>
          <w:sz w:val="24"/>
          <w:szCs w:val="24"/>
        </w:rPr>
        <w:t>Wang XY</w:t>
      </w:r>
      <w:r>
        <w:rPr>
          <w:rFonts w:ascii="Book Antiqua" w:hAnsi="Book Antiqua"/>
          <w:kern w:val="2"/>
          <w:sz w:val="24"/>
          <w:szCs w:val="24"/>
        </w:rPr>
        <w:t xml:space="preserve">, </w:t>
      </w:r>
      <w:proofErr w:type="spellStart"/>
      <w:r>
        <w:rPr>
          <w:rFonts w:ascii="Book Antiqua" w:hAnsi="Book Antiqua"/>
          <w:kern w:val="2"/>
          <w:sz w:val="24"/>
          <w:szCs w:val="24"/>
        </w:rPr>
        <w:t>Vannucchi</w:t>
      </w:r>
      <w:proofErr w:type="spellEnd"/>
      <w:r>
        <w:rPr>
          <w:rFonts w:ascii="Book Antiqua" w:hAnsi="Book Antiqua"/>
          <w:kern w:val="2"/>
          <w:sz w:val="24"/>
          <w:szCs w:val="24"/>
        </w:rPr>
        <w:t xml:space="preserve"> MG, </w:t>
      </w:r>
      <w:proofErr w:type="spellStart"/>
      <w:r>
        <w:rPr>
          <w:rFonts w:ascii="Book Antiqua" w:hAnsi="Book Antiqua"/>
          <w:kern w:val="2"/>
          <w:sz w:val="24"/>
          <w:szCs w:val="24"/>
        </w:rPr>
        <w:t>Nieuwmeyer</w:t>
      </w:r>
      <w:proofErr w:type="spellEnd"/>
      <w:r>
        <w:rPr>
          <w:rFonts w:ascii="Book Antiqua" w:hAnsi="Book Antiqua"/>
          <w:kern w:val="2"/>
          <w:sz w:val="24"/>
          <w:szCs w:val="24"/>
        </w:rPr>
        <w:t xml:space="preserve"> F, Ye J, </w:t>
      </w:r>
      <w:proofErr w:type="spellStart"/>
      <w:r>
        <w:rPr>
          <w:rFonts w:ascii="Book Antiqua" w:hAnsi="Book Antiqua"/>
          <w:kern w:val="2"/>
          <w:sz w:val="24"/>
          <w:szCs w:val="24"/>
        </w:rPr>
        <w:t>Faussone-Pellegrini</w:t>
      </w:r>
      <w:proofErr w:type="spellEnd"/>
      <w:r>
        <w:rPr>
          <w:rFonts w:ascii="Book Antiqua" w:hAnsi="Book Antiqua"/>
          <w:kern w:val="2"/>
          <w:sz w:val="24"/>
          <w:szCs w:val="24"/>
        </w:rPr>
        <w:t xml:space="preserve"> MS, Huizinga JD. Changes in interstitial cells of </w:t>
      </w:r>
      <w:proofErr w:type="spellStart"/>
      <w:r>
        <w:rPr>
          <w:rFonts w:ascii="Book Antiqua" w:hAnsi="Book Antiqua"/>
          <w:kern w:val="2"/>
          <w:sz w:val="24"/>
          <w:szCs w:val="24"/>
        </w:rPr>
        <w:t>Cajal</w:t>
      </w:r>
      <w:proofErr w:type="spellEnd"/>
      <w:r>
        <w:rPr>
          <w:rFonts w:ascii="Book Antiqua" w:hAnsi="Book Antiqua"/>
          <w:kern w:val="2"/>
          <w:sz w:val="24"/>
          <w:szCs w:val="24"/>
        </w:rPr>
        <w:t xml:space="preserve"> at the deep muscular plexus are associated with loss of distention-induced burst-type muscle activity in mice infected by </w:t>
      </w:r>
      <w:proofErr w:type="spellStart"/>
      <w:r>
        <w:rPr>
          <w:rFonts w:ascii="Book Antiqua" w:hAnsi="Book Antiqua"/>
          <w:kern w:val="2"/>
          <w:sz w:val="24"/>
          <w:szCs w:val="24"/>
        </w:rPr>
        <w:t>Trichinella</w:t>
      </w:r>
      <w:proofErr w:type="spellEnd"/>
      <w:r>
        <w:rPr>
          <w:rFonts w:ascii="Book Antiqua" w:hAnsi="Book Antiqua"/>
          <w:kern w:val="2"/>
          <w:sz w:val="24"/>
          <w:szCs w:val="24"/>
        </w:rPr>
        <w:t xml:space="preserve"> </w:t>
      </w:r>
      <w:proofErr w:type="spellStart"/>
      <w:r>
        <w:rPr>
          <w:rFonts w:ascii="Book Antiqua" w:hAnsi="Book Antiqua"/>
          <w:kern w:val="2"/>
          <w:sz w:val="24"/>
          <w:szCs w:val="24"/>
        </w:rPr>
        <w:t>spiralis</w:t>
      </w:r>
      <w:proofErr w:type="spellEnd"/>
      <w:r>
        <w:rPr>
          <w:rFonts w:ascii="Book Antiqua" w:hAnsi="Book Antiqua"/>
          <w:kern w:val="2"/>
          <w:sz w:val="24"/>
          <w:szCs w:val="24"/>
        </w:rPr>
        <w:t xml:space="preserve">. </w:t>
      </w:r>
      <w:r>
        <w:rPr>
          <w:rFonts w:ascii="Book Antiqua" w:hAnsi="Book Antiqua"/>
          <w:i/>
          <w:kern w:val="2"/>
          <w:sz w:val="24"/>
          <w:szCs w:val="24"/>
        </w:rPr>
        <w:t xml:space="preserve">Am J </w:t>
      </w:r>
      <w:proofErr w:type="spellStart"/>
      <w:r>
        <w:rPr>
          <w:rFonts w:ascii="Book Antiqua" w:hAnsi="Book Antiqua"/>
          <w:i/>
          <w:kern w:val="2"/>
          <w:sz w:val="24"/>
          <w:szCs w:val="24"/>
        </w:rPr>
        <w:t>Pathol</w:t>
      </w:r>
      <w:proofErr w:type="spellEnd"/>
      <w:r>
        <w:rPr>
          <w:rFonts w:ascii="Book Antiqua" w:hAnsi="Book Antiqua"/>
          <w:kern w:val="2"/>
          <w:sz w:val="24"/>
          <w:szCs w:val="24"/>
        </w:rPr>
        <w:t xml:space="preserve"> 2005; </w:t>
      </w:r>
      <w:r>
        <w:rPr>
          <w:rFonts w:ascii="Book Antiqua" w:hAnsi="Book Antiqua"/>
          <w:b/>
          <w:kern w:val="2"/>
          <w:sz w:val="24"/>
          <w:szCs w:val="24"/>
        </w:rPr>
        <w:t>167</w:t>
      </w:r>
      <w:r>
        <w:rPr>
          <w:rFonts w:ascii="Book Antiqua" w:hAnsi="Book Antiqua"/>
          <w:kern w:val="2"/>
          <w:sz w:val="24"/>
          <w:szCs w:val="24"/>
        </w:rPr>
        <w:t>: 437-453 [PMID: 16049330 DOI: 10.1016/S0002-9440(10)62988-4]</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19 </w:t>
      </w:r>
      <w:r>
        <w:rPr>
          <w:rFonts w:ascii="Book Antiqua" w:hAnsi="Book Antiqua"/>
          <w:b/>
          <w:kern w:val="2"/>
          <w:sz w:val="24"/>
          <w:szCs w:val="24"/>
        </w:rPr>
        <w:t>Rich A</w:t>
      </w:r>
      <w:r>
        <w:rPr>
          <w:rFonts w:ascii="Book Antiqua" w:hAnsi="Book Antiqua"/>
          <w:kern w:val="2"/>
          <w:sz w:val="24"/>
          <w:szCs w:val="24"/>
        </w:rPr>
        <w:t xml:space="preserve">, Gordon S, Brown C, Gibbons SJ, Schaefer K, </w:t>
      </w:r>
      <w:proofErr w:type="spellStart"/>
      <w:r>
        <w:rPr>
          <w:rFonts w:ascii="Book Antiqua" w:hAnsi="Book Antiqua"/>
          <w:kern w:val="2"/>
          <w:sz w:val="24"/>
          <w:szCs w:val="24"/>
        </w:rPr>
        <w:t>Hennig</w:t>
      </w:r>
      <w:proofErr w:type="spellEnd"/>
      <w:r>
        <w:rPr>
          <w:rFonts w:ascii="Book Antiqua" w:hAnsi="Book Antiqua"/>
          <w:kern w:val="2"/>
          <w:sz w:val="24"/>
          <w:szCs w:val="24"/>
        </w:rPr>
        <w:t xml:space="preserve"> G, </w:t>
      </w:r>
      <w:proofErr w:type="spellStart"/>
      <w:r>
        <w:rPr>
          <w:rFonts w:ascii="Book Antiqua" w:hAnsi="Book Antiqua"/>
          <w:kern w:val="2"/>
          <w:sz w:val="24"/>
          <w:szCs w:val="24"/>
        </w:rPr>
        <w:t>Farrugia</w:t>
      </w:r>
      <w:proofErr w:type="spellEnd"/>
      <w:r>
        <w:rPr>
          <w:rFonts w:ascii="Book Antiqua" w:hAnsi="Book Antiqua"/>
          <w:kern w:val="2"/>
          <w:sz w:val="24"/>
          <w:szCs w:val="24"/>
        </w:rPr>
        <w:t xml:space="preserve"> G. Kit signaling is required for development of coordinated motility patterns in zebrafish gastrointestinal tract. </w:t>
      </w:r>
      <w:r>
        <w:rPr>
          <w:rFonts w:ascii="Book Antiqua" w:hAnsi="Book Antiqua"/>
          <w:i/>
          <w:kern w:val="2"/>
          <w:sz w:val="24"/>
          <w:szCs w:val="24"/>
        </w:rPr>
        <w:t>Zebrafish</w:t>
      </w:r>
      <w:r>
        <w:rPr>
          <w:rFonts w:ascii="Book Antiqua" w:hAnsi="Book Antiqua"/>
          <w:kern w:val="2"/>
          <w:sz w:val="24"/>
          <w:szCs w:val="24"/>
        </w:rPr>
        <w:t xml:space="preserve"> 2013; </w:t>
      </w:r>
      <w:r>
        <w:rPr>
          <w:rFonts w:ascii="Book Antiqua" w:hAnsi="Book Antiqua"/>
          <w:b/>
          <w:kern w:val="2"/>
          <w:sz w:val="24"/>
          <w:szCs w:val="24"/>
        </w:rPr>
        <w:t>10</w:t>
      </w:r>
      <w:r>
        <w:rPr>
          <w:rFonts w:ascii="Book Antiqua" w:hAnsi="Book Antiqua"/>
          <w:kern w:val="2"/>
          <w:sz w:val="24"/>
          <w:szCs w:val="24"/>
        </w:rPr>
        <w:t>: 154-160 [PMID: 23297728 DOI: 10.1089/zeb.2012.0766]</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20 </w:t>
      </w:r>
      <w:proofErr w:type="spellStart"/>
      <w:r>
        <w:rPr>
          <w:rFonts w:ascii="Book Antiqua" w:hAnsi="Book Antiqua"/>
          <w:b/>
          <w:kern w:val="2"/>
          <w:sz w:val="24"/>
          <w:szCs w:val="24"/>
        </w:rPr>
        <w:t>Eshraghian</w:t>
      </w:r>
      <w:proofErr w:type="spellEnd"/>
      <w:r>
        <w:rPr>
          <w:rFonts w:ascii="Book Antiqua" w:hAnsi="Book Antiqua"/>
          <w:b/>
          <w:kern w:val="2"/>
          <w:sz w:val="24"/>
          <w:szCs w:val="24"/>
        </w:rPr>
        <w:t xml:space="preserve"> A</w:t>
      </w:r>
      <w:r>
        <w:rPr>
          <w:rFonts w:ascii="Book Antiqua" w:hAnsi="Book Antiqua"/>
          <w:kern w:val="2"/>
          <w:sz w:val="24"/>
          <w:szCs w:val="24"/>
        </w:rPr>
        <w:t xml:space="preserve">, </w:t>
      </w:r>
      <w:proofErr w:type="spellStart"/>
      <w:r>
        <w:rPr>
          <w:rFonts w:ascii="Book Antiqua" w:hAnsi="Book Antiqua"/>
          <w:kern w:val="2"/>
          <w:sz w:val="24"/>
          <w:szCs w:val="24"/>
        </w:rPr>
        <w:t>Eshraghian</w:t>
      </w:r>
      <w:proofErr w:type="spellEnd"/>
      <w:r>
        <w:rPr>
          <w:rFonts w:ascii="Book Antiqua" w:hAnsi="Book Antiqua"/>
          <w:kern w:val="2"/>
          <w:sz w:val="24"/>
          <w:szCs w:val="24"/>
        </w:rPr>
        <w:t xml:space="preserve"> H. Interstitial cells of </w:t>
      </w:r>
      <w:proofErr w:type="spellStart"/>
      <w:r>
        <w:rPr>
          <w:rFonts w:ascii="Book Antiqua" w:hAnsi="Book Antiqua"/>
          <w:kern w:val="2"/>
          <w:sz w:val="24"/>
          <w:szCs w:val="24"/>
        </w:rPr>
        <w:t>Cajal</w:t>
      </w:r>
      <w:proofErr w:type="spellEnd"/>
      <w:r>
        <w:rPr>
          <w:rFonts w:ascii="Book Antiqua" w:hAnsi="Book Antiqua"/>
          <w:kern w:val="2"/>
          <w:sz w:val="24"/>
          <w:szCs w:val="24"/>
        </w:rPr>
        <w:t xml:space="preserve">: A novel hypothesis for the pathophysiology of irritable bowel syndrome. </w:t>
      </w:r>
      <w:r>
        <w:rPr>
          <w:rFonts w:ascii="Book Antiqua" w:hAnsi="Book Antiqua"/>
          <w:i/>
          <w:kern w:val="2"/>
          <w:sz w:val="24"/>
          <w:szCs w:val="24"/>
        </w:rPr>
        <w:t xml:space="preserve">Can J </w:t>
      </w:r>
      <w:proofErr w:type="spellStart"/>
      <w:r>
        <w:rPr>
          <w:rFonts w:ascii="Book Antiqua" w:hAnsi="Book Antiqua"/>
          <w:i/>
          <w:kern w:val="2"/>
          <w:sz w:val="24"/>
          <w:szCs w:val="24"/>
        </w:rPr>
        <w:t>Gastroenterol</w:t>
      </w:r>
      <w:proofErr w:type="spellEnd"/>
      <w:r>
        <w:rPr>
          <w:rFonts w:ascii="Book Antiqua" w:hAnsi="Book Antiqua"/>
          <w:kern w:val="2"/>
          <w:sz w:val="24"/>
          <w:szCs w:val="24"/>
        </w:rPr>
        <w:t xml:space="preserve"> 2011; </w:t>
      </w:r>
      <w:r>
        <w:rPr>
          <w:rFonts w:ascii="Book Antiqua" w:hAnsi="Book Antiqua"/>
          <w:b/>
          <w:kern w:val="2"/>
          <w:sz w:val="24"/>
          <w:szCs w:val="24"/>
        </w:rPr>
        <w:t>25</w:t>
      </w:r>
      <w:r>
        <w:rPr>
          <w:rFonts w:ascii="Book Antiqua" w:hAnsi="Book Antiqua"/>
          <w:kern w:val="2"/>
          <w:sz w:val="24"/>
          <w:szCs w:val="24"/>
        </w:rPr>
        <w:t>: 277-279 [PMID: 21647464 DOI: 10.1155/2011/478370]</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21 </w:t>
      </w:r>
      <w:r>
        <w:rPr>
          <w:rFonts w:ascii="Book Antiqua" w:hAnsi="Book Antiqua"/>
          <w:b/>
          <w:kern w:val="2"/>
          <w:sz w:val="24"/>
          <w:szCs w:val="24"/>
        </w:rPr>
        <w:t>Pimentel M</w:t>
      </w:r>
      <w:r>
        <w:rPr>
          <w:rFonts w:ascii="Book Antiqua" w:hAnsi="Book Antiqua"/>
          <w:kern w:val="2"/>
          <w:sz w:val="24"/>
          <w:szCs w:val="24"/>
        </w:rPr>
        <w:t xml:space="preserve">, </w:t>
      </w:r>
      <w:proofErr w:type="spellStart"/>
      <w:r>
        <w:rPr>
          <w:rFonts w:ascii="Book Antiqua" w:hAnsi="Book Antiqua"/>
          <w:kern w:val="2"/>
          <w:sz w:val="24"/>
          <w:szCs w:val="24"/>
        </w:rPr>
        <w:t>Lembo</w:t>
      </w:r>
      <w:proofErr w:type="spellEnd"/>
      <w:r>
        <w:rPr>
          <w:rFonts w:ascii="Book Antiqua" w:hAnsi="Book Antiqua"/>
          <w:kern w:val="2"/>
          <w:sz w:val="24"/>
          <w:szCs w:val="24"/>
        </w:rPr>
        <w:t xml:space="preserve"> A, </w:t>
      </w:r>
      <w:proofErr w:type="spellStart"/>
      <w:r>
        <w:rPr>
          <w:rFonts w:ascii="Book Antiqua" w:hAnsi="Book Antiqua"/>
          <w:kern w:val="2"/>
          <w:sz w:val="24"/>
          <w:szCs w:val="24"/>
        </w:rPr>
        <w:t>Chey</w:t>
      </w:r>
      <w:proofErr w:type="spellEnd"/>
      <w:r>
        <w:rPr>
          <w:rFonts w:ascii="Book Antiqua" w:hAnsi="Book Antiqua"/>
          <w:kern w:val="2"/>
          <w:sz w:val="24"/>
          <w:szCs w:val="24"/>
        </w:rPr>
        <w:t xml:space="preserve"> WD, </w:t>
      </w:r>
      <w:proofErr w:type="spellStart"/>
      <w:r>
        <w:rPr>
          <w:rFonts w:ascii="Book Antiqua" w:hAnsi="Book Antiqua"/>
          <w:kern w:val="2"/>
          <w:sz w:val="24"/>
          <w:szCs w:val="24"/>
        </w:rPr>
        <w:t>Zakko</w:t>
      </w:r>
      <w:proofErr w:type="spellEnd"/>
      <w:r>
        <w:rPr>
          <w:rFonts w:ascii="Book Antiqua" w:hAnsi="Book Antiqua"/>
          <w:kern w:val="2"/>
          <w:sz w:val="24"/>
          <w:szCs w:val="24"/>
        </w:rPr>
        <w:t xml:space="preserve"> S, </w:t>
      </w:r>
      <w:proofErr w:type="spellStart"/>
      <w:r>
        <w:rPr>
          <w:rFonts w:ascii="Book Antiqua" w:hAnsi="Book Antiqua"/>
          <w:kern w:val="2"/>
          <w:sz w:val="24"/>
          <w:szCs w:val="24"/>
        </w:rPr>
        <w:t>Ringel</w:t>
      </w:r>
      <w:proofErr w:type="spellEnd"/>
      <w:r>
        <w:rPr>
          <w:rFonts w:ascii="Book Antiqua" w:hAnsi="Book Antiqua"/>
          <w:kern w:val="2"/>
          <w:sz w:val="24"/>
          <w:szCs w:val="24"/>
        </w:rPr>
        <w:t xml:space="preserve"> Y, Yu J, </w:t>
      </w:r>
      <w:proofErr w:type="spellStart"/>
      <w:r>
        <w:rPr>
          <w:rFonts w:ascii="Book Antiqua" w:hAnsi="Book Antiqua"/>
          <w:kern w:val="2"/>
          <w:sz w:val="24"/>
          <w:szCs w:val="24"/>
        </w:rPr>
        <w:t>Mareya</w:t>
      </w:r>
      <w:proofErr w:type="spellEnd"/>
      <w:r>
        <w:rPr>
          <w:rFonts w:ascii="Book Antiqua" w:hAnsi="Book Antiqua"/>
          <w:kern w:val="2"/>
          <w:sz w:val="24"/>
          <w:szCs w:val="24"/>
        </w:rPr>
        <w:t xml:space="preserve"> SM, Shaw AL, </w:t>
      </w:r>
      <w:proofErr w:type="spellStart"/>
      <w:r>
        <w:rPr>
          <w:rFonts w:ascii="Book Antiqua" w:hAnsi="Book Antiqua"/>
          <w:kern w:val="2"/>
          <w:sz w:val="24"/>
          <w:szCs w:val="24"/>
        </w:rPr>
        <w:t>Bortey</w:t>
      </w:r>
      <w:proofErr w:type="spellEnd"/>
      <w:r>
        <w:rPr>
          <w:rFonts w:ascii="Book Antiqua" w:hAnsi="Book Antiqua"/>
          <w:kern w:val="2"/>
          <w:sz w:val="24"/>
          <w:szCs w:val="24"/>
        </w:rPr>
        <w:t xml:space="preserve"> E, Forbes WP; TARGET Study Group. </w:t>
      </w:r>
      <w:proofErr w:type="spellStart"/>
      <w:r>
        <w:rPr>
          <w:rFonts w:ascii="Book Antiqua" w:hAnsi="Book Antiqua"/>
          <w:kern w:val="2"/>
          <w:sz w:val="24"/>
          <w:szCs w:val="24"/>
        </w:rPr>
        <w:t>Rifaximin</w:t>
      </w:r>
      <w:proofErr w:type="spellEnd"/>
      <w:r>
        <w:rPr>
          <w:rFonts w:ascii="Book Antiqua" w:hAnsi="Book Antiqua"/>
          <w:kern w:val="2"/>
          <w:sz w:val="24"/>
          <w:szCs w:val="24"/>
        </w:rPr>
        <w:t xml:space="preserve"> therapy for patients with irritable bowel syndrome without constipation. </w:t>
      </w:r>
      <w:r>
        <w:rPr>
          <w:rFonts w:ascii="Book Antiqua" w:hAnsi="Book Antiqua"/>
          <w:i/>
          <w:kern w:val="2"/>
          <w:sz w:val="24"/>
          <w:szCs w:val="24"/>
        </w:rPr>
        <w:t xml:space="preserve">N </w:t>
      </w:r>
      <w:proofErr w:type="spellStart"/>
      <w:r>
        <w:rPr>
          <w:rFonts w:ascii="Book Antiqua" w:hAnsi="Book Antiqua"/>
          <w:i/>
          <w:kern w:val="2"/>
          <w:sz w:val="24"/>
          <w:szCs w:val="24"/>
        </w:rPr>
        <w:t>Engl</w:t>
      </w:r>
      <w:proofErr w:type="spellEnd"/>
      <w:r>
        <w:rPr>
          <w:rFonts w:ascii="Book Antiqua" w:hAnsi="Book Antiqua"/>
          <w:i/>
          <w:kern w:val="2"/>
          <w:sz w:val="24"/>
          <w:szCs w:val="24"/>
        </w:rPr>
        <w:t xml:space="preserve"> J Med</w:t>
      </w:r>
      <w:r>
        <w:rPr>
          <w:rFonts w:ascii="Book Antiqua" w:hAnsi="Book Antiqua"/>
          <w:kern w:val="2"/>
          <w:sz w:val="24"/>
          <w:szCs w:val="24"/>
        </w:rPr>
        <w:t xml:space="preserve"> 2011; </w:t>
      </w:r>
      <w:r>
        <w:rPr>
          <w:rFonts w:ascii="Book Antiqua" w:hAnsi="Book Antiqua"/>
          <w:b/>
          <w:kern w:val="2"/>
          <w:sz w:val="24"/>
          <w:szCs w:val="24"/>
        </w:rPr>
        <w:t>364</w:t>
      </w:r>
      <w:r>
        <w:rPr>
          <w:rFonts w:ascii="Book Antiqua" w:hAnsi="Book Antiqua"/>
          <w:kern w:val="2"/>
          <w:sz w:val="24"/>
          <w:szCs w:val="24"/>
        </w:rPr>
        <w:t>: 22-32 [PMID: 21208106 DOI: 10.1056/NEJMoa1004409]</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22 </w:t>
      </w:r>
      <w:r>
        <w:rPr>
          <w:rFonts w:ascii="Book Antiqua" w:hAnsi="Book Antiqua"/>
          <w:b/>
          <w:kern w:val="2"/>
          <w:sz w:val="24"/>
          <w:szCs w:val="24"/>
        </w:rPr>
        <w:t>Xu D</w:t>
      </w:r>
      <w:r>
        <w:rPr>
          <w:rFonts w:ascii="Book Antiqua" w:hAnsi="Book Antiqua"/>
          <w:kern w:val="2"/>
          <w:sz w:val="24"/>
          <w:szCs w:val="24"/>
        </w:rPr>
        <w:t xml:space="preserve">, </w:t>
      </w:r>
      <w:proofErr w:type="spellStart"/>
      <w:r>
        <w:rPr>
          <w:rFonts w:ascii="Book Antiqua" w:hAnsi="Book Antiqua"/>
          <w:kern w:val="2"/>
          <w:sz w:val="24"/>
          <w:szCs w:val="24"/>
        </w:rPr>
        <w:t>Gao</w:t>
      </w:r>
      <w:proofErr w:type="spellEnd"/>
      <w:r>
        <w:rPr>
          <w:rFonts w:ascii="Book Antiqua" w:hAnsi="Book Antiqua"/>
          <w:kern w:val="2"/>
          <w:sz w:val="24"/>
          <w:szCs w:val="24"/>
        </w:rPr>
        <w:t xml:space="preserve"> J, </w:t>
      </w:r>
      <w:proofErr w:type="spellStart"/>
      <w:r>
        <w:rPr>
          <w:rFonts w:ascii="Book Antiqua" w:hAnsi="Book Antiqua"/>
          <w:kern w:val="2"/>
          <w:sz w:val="24"/>
          <w:szCs w:val="24"/>
        </w:rPr>
        <w:t>Gillilland</w:t>
      </w:r>
      <w:proofErr w:type="spellEnd"/>
      <w:r>
        <w:rPr>
          <w:rFonts w:ascii="Book Antiqua" w:hAnsi="Book Antiqua"/>
          <w:kern w:val="2"/>
          <w:sz w:val="24"/>
          <w:szCs w:val="24"/>
        </w:rPr>
        <w:t xml:space="preserve"> M 3rd, Wu X, Song I, Kao JY, </w:t>
      </w:r>
      <w:proofErr w:type="spellStart"/>
      <w:r>
        <w:rPr>
          <w:rFonts w:ascii="Book Antiqua" w:hAnsi="Book Antiqua"/>
          <w:kern w:val="2"/>
          <w:sz w:val="24"/>
          <w:szCs w:val="24"/>
        </w:rPr>
        <w:t>Owyang</w:t>
      </w:r>
      <w:proofErr w:type="spellEnd"/>
      <w:r>
        <w:rPr>
          <w:rFonts w:ascii="Book Antiqua" w:hAnsi="Book Antiqua"/>
          <w:kern w:val="2"/>
          <w:sz w:val="24"/>
          <w:szCs w:val="24"/>
        </w:rPr>
        <w:t xml:space="preserve"> C. </w:t>
      </w:r>
      <w:proofErr w:type="spellStart"/>
      <w:r>
        <w:rPr>
          <w:rFonts w:ascii="Book Antiqua" w:hAnsi="Book Antiqua"/>
          <w:kern w:val="2"/>
          <w:sz w:val="24"/>
          <w:szCs w:val="24"/>
        </w:rPr>
        <w:t>Rifaximin</w:t>
      </w:r>
      <w:proofErr w:type="spellEnd"/>
      <w:r>
        <w:rPr>
          <w:rFonts w:ascii="Book Antiqua" w:hAnsi="Book Antiqua"/>
          <w:kern w:val="2"/>
          <w:sz w:val="24"/>
          <w:szCs w:val="24"/>
        </w:rPr>
        <w:t xml:space="preserve"> alters intestinal bacteria and prevents stress-induced gut inflammation and visceral hyperalgesia in rats. </w:t>
      </w:r>
      <w:r>
        <w:rPr>
          <w:rFonts w:ascii="Book Antiqua" w:hAnsi="Book Antiqua"/>
          <w:i/>
          <w:kern w:val="2"/>
          <w:sz w:val="24"/>
          <w:szCs w:val="24"/>
        </w:rPr>
        <w:t>Gastroenterology</w:t>
      </w:r>
      <w:r>
        <w:rPr>
          <w:rFonts w:ascii="Book Antiqua" w:hAnsi="Book Antiqua"/>
          <w:kern w:val="2"/>
          <w:sz w:val="24"/>
          <w:szCs w:val="24"/>
        </w:rPr>
        <w:t xml:space="preserve"> 2014; </w:t>
      </w:r>
      <w:r>
        <w:rPr>
          <w:rFonts w:ascii="Book Antiqua" w:hAnsi="Book Antiqua"/>
          <w:b/>
          <w:kern w:val="2"/>
          <w:sz w:val="24"/>
          <w:szCs w:val="24"/>
        </w:rPr>
        <w:t>146</w:t>
      </w:r>
      <w:r>
        <w:rPr>
          <w:rFonts w:ascii="Book Antiqua" w:hAnsi="Book Antiqua"/>
          <w:kern w:val="2"/>
          <w:sz w:val="24"/>
          <w:szCs w:val="24"/>
        </w:rPr>
        <w:t>: 484-96.e4 [PMID: 24161699 DOI: 10.1053/j.gastro.2013.10.026]</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lastRenderedPageBreak/>
        <w:t xml:space="preserve">23 </w:t>
      </w:r>
      <w:r>
        <w:rPr>
          <w:rFonts w:ascii="Book Antiqua" w:hAnsi="Book Antiqua"/>
          <w:b/>
          <w:kern w:val="2"/>
          <w:sz w:val="24"/>
          <w:szCs w:val="24"/>
        </w:rPr>
        <w:t>Farrell DJ</w:t>
      </w:r>
      <w:r>
        <w:rPr>
          <w:rFonts w:ascii="Book Antiqua" w:hAnsi="Book Antiqua"/>
          <w:kern w:val="2"/>
          <w:sz w:val="24"/>
          <w:szCs w:val="24"/>
        </w:rPr>
        <w:t xml:space="preserve">. </w:t>
      </w:r>
      <w:proofErr w:type="spellStart"/>
      <w:r>
        <w:rPr>
          <w:rFonts w:ascii="Book Antiqua" w:hAnsi="Book Antiqua"/>
          <w:kern w:val="2"/>
          <w:sz w:val="24"/>
          <w:szCs w:val="24"/>
        </w:rPr>
        <w:t>Rifaximin</w:t>
      </w:r>
      <w:proofErr w:type="spellEnd"/>
      <w:r>
        <w:rPr>
          <w:rFonts w:ascii="Book Antiqua" w:hAnsi="Book Antiqua"/>
          <w:kern w:val="2"/>
          <w:sz w:val="24"/>
          <w:szCs w:val="24"/>
        </w:rPr>
        <w:t xml:space="preserve"> in the treatment of irritable bowel syndrome: Is there a high risk for development of antimicrobial resistance? </w:t>
      </w:r>
      <w:r>
        <w:rPr>
          <w:rFonts w:ascii="Book Antiqua" w:hAnsi="Book Antiqua"/>
          <w:i/>
          <w:kern w:val="2"/>
          <w:sz w:val="24"/>
          <w:szCs w:val="24"/>
        </w:rPr>
        <w:t xml:space="preserve">J </w:t>
      </w:r>
      <w:proofErr w:type="spellStart"/>
      <w:r>
        <w:rPr>
          <w:rFonts w:ascii="Book Antiqua" w:hAnsi="Book Antiqua"/>
          <w:i/>
          <w:kern w:val="2"/>
          <w:sz w:val="24"/>
          <w:szCs w:val="24"/>
        </w:rPr>
        <w:t>Clin</w:t>
      </w:r>
      <w:proofErr w:type="spellEnd"/>
      <w:r>
        <w:rPr>
          <w:rFonts w:ascii="Book Antiqua" w:hAnsi="Book Antiqua"/>
          <w:i/>
          <w:kern w:val="2"/>
          <w:sz w:val="24"/>
          <w:szCs w:val="24"/>
        </w:rPr>
        <w:t xml:space="preserve"> </w:t>
      </w:r>
      <w:proofErr w:type="spellStart"/>
      <w:r>
        <w:rPr>
          <w:rFonts w:ascii="Book Antiqua" w:hAnsi="Book Antiqua"/>
          <w:i/>
          <w:kern w:val="2"/>
          <w:sz w:val="24"/>
          <w:szCs w:val="24"/>
        </w:rPr>
        <w:t>Gastroenterol</w:t>
      </w:r>
      <w:proofErr w:type="spellEnd"/>
      <w:r>
        <w:rPr>
          <w:rFonts w:ascii="Book Antiqua" w:hAnsi="Book Antiqua"/>
          <w:kern w:val="2"/>
          <w:sz w:val="24"/>
          <w:szCs w:val="24"/>
        </w:rPr>
        <w:t xml:space="preserve"> 2013; </w:t>
      </w:r>
      <w:r>
        <w:rPr>
          <w:rFonts w:ascii="Book Antiqua" w:hAnsi="Book Antiqua"/>
          <w:b/>
          <w:kern w:val="2"/>
          <w:sz w:val="24"/>
          <w:szCs w:val="24"/>
        </w:rPr>
        <w:t>47</w:t>
      </w:r>
      <w:r>
        <w:rPr>
          <w:rFonts w:ascii="Book Antiqua" w:hAnsi="Book Antiqua"/>
          <w:kern w:val="2"/>
          <w:sz w:val="24"/>
          <w:szCs w:val="24"/>
        </w:rPr>
        <w:t>: 205-211 [PMID: 23340064 DOI: 10.1097/MCG.0b013e31827559a3]</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24 </w:t>
      </w:r>
      <w:proofErr w:type="spellStart"/>
      <w:r>
        <w:rPr>
          <w:rFonts w:ascii="Book Antiqua" w:hAnsi="Book Antiqua"/>
          <w:b/>
          <w:kern w:val="2"/>
          <w:sz w:val="24"/>
          <w:szCs w:val="24"/>
        </w:rPr>
        <w:t>Senol</w:t>
      </w:r>
      <w:proofErr w:type="spellEnd"/>
      <w:r>
        <w:rPr>
          <w:rFonts w:ascii="Book Antiqua" w:hAnsi="Book Antiqua"/>
          <w:b/>
          <w:kern w:val="2"/>
          <w:sz w:val="24"/>
          <w:szCs w:val="24"/>
        </w:rPr>
        <w:t xml:space="preserve"> G</w:t>
      </w:r>
      <w:r>
        <w:rPr>
          <w:rFonts w:ascii="Book Antiqua" w:hAnsi="Book Antiqua"/>
          <w:kern w:val="2"/>
          <w:sz w:val="24"/>
          <w:szCs w:val="24"/>
        </w:rPr>
        <w:t xml:space="preserve">, </w:t>
      </w:r>
      <w:proofErr w:type="spellStart"/>
      <w:r>
        <w:rPr>
          <w:rFonts w:ascii="Book Antiqua" w:hAnsi="Book Antiqua"/>
          <w:kern w:val="2"/>
          <w:sz w:val="24"/>
          <w:szCs w:val="24"/>
        </w:rPr>
        <w:t>Erbaycu</w:t>
      </w:r>
      <w:proofErr w:type="spellEnd"/>
      <w:r>
        <w:rPr>
          <w:rFonts w:ascii="Book Antiqua" w:hAnsi="Book Antiqua"/>
          <w:kern w:val="2"/>
          <w:sz w:val="24"/>
          <w:szCs w:val="24"/>
        </w:rPr>
        <w:t xml:space="preserve"> A, </w:t>
      </w:r>
      <w:proofErr w:type="spellStart"/>
      <w:r>
        <w:rPr>
          <w:rFonts w:ascii="Book Antiqua" w:hAnsi="Book Antiqua"/>
          <w:kern w:val="2"/>
          <w:sz w:val="24"/>
          <w:szCs w:val="24"/>
        </w:rPr>
        <w:t>Ozsöz</w:t>
      </w:r>
      <w:proofErr w:type="spellEnd"/>
      <w:r>
        <w:rPr>
          <w:rFonts w:ascii="Book Antiqua" w:hAnsi="Book Antiqua"/>
          <w:kern w:val="2"/>
          <w:sz w:val="24"/>
          <w:szCs w:val="24"/>
        </w:rPr>
        <w:t xml:space="preserve"> A. Incidence of cross resistance between rifampicin and </w:t>
      </w:r>
      <w:proofErr w:type="spellStart"/>
      <w:r>
        <w:rPr>
          <w:rFonts w:ascii="Book Antiqua" w:hAnsi="Book Antiqua"/>
          <w:kern w:val="2"/>
          <w:sz w:val="24"/>
          <w:szCs w:val="24"/>
        </w:rPr>
        <w:t>rifabutin</w:t>
      </w:r>
      <w:proofErr w:type="spellEnd"/>
      <w:r>
        <w:rPr>
          <w:rFonts w:ascii="Book Antiqua" w:hAnsi="Book Antiqua"/>
          <w:kern w:val="2"/>
          <w:sz w:val="24"/>
          <w:szCs w:val="24"/>
        </w:rPr>
        <w:t xml:space="preserve"> in Mycobacterium tuberculosis strains in Izmir, Turkey. </w:t>
      </w:r>
      <w:r>
        <w:rPr>
          <w:rFonts w:ascii="Book Antiqua" w:hAnsi="Book Antiqua"/>
          <w:i/>
          <w:kern w:val="2"/>
          <w:sz w:val="24"/>
          <w:szCs w:val="24"/>
        </w:rPr>
        <w:t xml:space="preserve">J </w:t>
      </w:r>
      <w:proofErr w:type="spellStart"/>
      <w:r>
        <w:rPr>
          <w:rFonts w:ascii="Book Antiqua" w:hAnsi="Book Antiqua"/>
          <w:i/>
          <w:kern w:val="2"/>
          <w:sz w:val="24"/>
          <w:szCs w:val="24"/>
        </w:rPr>
        <w:t>Chemother</w:t>
      </w:r>
      <w:proofErr w:type="spellEnd"/>
      <w:r>
        <w:rPr>
          <w:rFonts w:ascii="Book Antiqua" w:hAnsi="Book Antiqua"/>
          <w:kern w:val="2"/>
          <w:sz w:val="24"/>
          <w:szCs w:val="24"/>
        </w:rPr>
        <w:t xml:space="preserve"> 2005; </w:t>
      </w:r>
      <w:r>
        <w:rPr>
          <w:rFonts w:ascii="Book Antiqua" w:hAnsi="Book Antiqua"/>
          <w:b/>
          <w:kern w:val="2"/>
          <w:sz w:val="24"/>
          <w:szCs w:val="24"/>
        </w:rPr>
        <w:t>17</w:t>
      </w:r>
      <w:r>
        <w:rPr>
          <w:rFonts w:ascii="Book Antiqua" w:hAnsi="Book Antiqua"/>
          <w:kern w:val="2"/>
          <w:sz w:val="24"/>
          <w:szCs w:val="24"/>
        </w:rPr>
        <w:t>: 380-384 [PMID: 16167516 DOI: 10.1179/joc.2005.17.4.380]</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25 </w:t>
      </w:r>
      <w:proofErr w:type="spellStart"/>
      <w:r>
        <w:rPr>
          <w:rFonts w:ascii="Book Antiqua" w:hAnsi="Book Antiqua"/>
          <w:b/>
          <w:kern w:val="2"/>
          <w:sz w:val="24"/>
          <w:szCs w:val="24"/>
        </w:rPr>
        <w:t>Bradesi</w:t>
      </w:r>
      <w:proofErr w:type="spellEnd"/>
      <w:r>
        <w:rPr>
          <w:rFonts w:ascii="Book Antiqua" w:hAnsi="Book Antiqua"/>
          <w:b/>
          <w:kern w:val="2"/>
          <w:sz w:val="24"/>
          <w:szCs w:val="24"/>
        </w:rPr>
        <w:t xml:space="preserve"> S</w:t>
      </w:r>
      <w:r>
        <w:rPr>
          <w:rFonts w:ascii="Book Antiqua" w:hAnsi="Book Antiqua"/>
          <w:kern w:val="2"/>
          <w:sz w:val="24"/>
          <w:szCs w:val="24"/>
        </w:rPr>
        <w:t xml:space="preserve">, </w:t>
      </w:r>
      <w:proofErr w:type="spellStart"/>
      <w:r>
        <w:rPr>
          <w:rFonts w:ascii="Book Antiqua" w:hAnsi="Book Antiqua"/>
          <w:kern w:val="2"/>
          <w:sz w:val="24"/>
          <w:szCs w:val="24"/>
        </w:rPr>
        <w:t>Schwetz</w:t>
      </w:r>
      <w:proofErr w:type="spellEnd"/>
      <w:r>
        <w:rPr>
          <w:rFonts w:ascii="Book Antiqua" w:hAnsi="Book Antiqua"/>
          <w:kern w:val="2"/>
          <w:sz w:val="24"/>
          <w:szCs w:val="24"/>
        </w:rPr>
        <w:t xml:space="preserve"> I, </w:t>
      </w:r>
      <w:proofErr w:type="spellStart"/>
      <w:r>
        <w:rPr>
          <w:rFonts w:ascii="Book Antiqua" w:hAnsi="Book Antiqua"/>
          <w:kern w:val="2"/>
          <w:sz w:val="24"/>
          <w:szCs w:val="24"/>
        </w:rPr>
        <w:t>Ennes</w:t>
      </w:r>
      <w:proofErr w:type="spellEnd"/>
      <w:r>
        <w:rPr>
          <w:rFonts w:ascii="Book Antiqua" w:hAnsi="Book Antiqua"/>
          <w:kern w:val="2"/>
          <w:sz w:val="24"/>
          <w:szCs w:val="24"/>
        </w:rPr>
        <w:t xml:space="preserve"> HS, </w:t>
      </w:r>
      <w:proofErr w:type="spellStart"/>
      <w:r>
        <w:rPr>
          <w:rFonts w:ascii="Book Antiqua" w:hAnsi="Book Antiqua"/>
          <w:kern w:val="2"/>
          <w:sz w:val="24"/>
          <w:szCs w:val="24"/>
        </w:rPr>
        <w:t>Lamy</w:t>
      </w:r>
      <w:proofErr w:type="spellEnd"/>
      <w:r>
        <w:rPr>
          <w:rFonts w:ascii="Book Antiqua" w:hAnsi="Book Antiqua"/>
          <w:kern w:val="2"/>
          <w:sz w:val="24"/>
          <w:szCs w:val="24"/>
        </w:rPr>
        <w:t xml:space="preserve"> CM, </w:t>
      </w:r>
      <w:proofErr w:type="spellStart"/>
      <w:r>
        <w:rPr>
          <w:rFonts w:ascii="Book Antiqua" w:hAnsi="Book Antiqua"/>
          <w:kern w:val="2"/>
          <w:sz w:val="24"/>
          <w:szCs w:val="24"/>
        </w:rPr>
        <w:t>Ohning</w:t>
      </w:r>
      <w:proofErr w:type="spellEnd"/>
      <w:r>
        <w:rPr>
          <w:rFonts w:ascii="Book Antiqua" w:hAnsi="Book Antiqua"/>
          <w:kern w:val="2"/>
          <w:sz w:val="24"/>
          <w:szCs w:val="24"/>
        </w:rPr>
        <w:t xml:space="preserve"> G, </w:t>
      </w:r>
      <w:proofErr w:type="spellStart"/>
      <w:r>
        <w:rPr>
          <w:rFonts w:ascii="Book Antiqua" w:hAnsi="Book Antiqua"/>
          <w:kern w:val="2"/>
          <w:sz w:val="24"/>
          <w:szCs w:val="24"/>
        </w:rPr>
        <w:t>Fanselow</w:t>
      </w:r>
      <w:proofErr w:type="spellEnd"/>
      <w:r>
        <w:rPr>
          <w:rFonts w:ascii="Book Antiqua" w:hAnsi="Book Antiqua"/>
          <w:kern w:val="2"/>
          <w:sz w:val="24"/>
          <w:szCs w:val="24"/>
        </w:rPr>
        <w:t xml:space="preserve"> M, </w:t>
      </w:r>
      <w:proofErr w:type="spellStart"/>
      <w:r>
        <w:rPr>
          <w:rFonts w:ascii="Book Antiqua" w:hAnsi="Book Antiqua"/>
          <w:kern w:val="2"/>
          <w:sz w:val="24"/>
          <w:szCs w:val="24"/>
        </w:rPr>
        <w:t>Pothoulakis</w:t>
      </w:r>
      <w:proofErr w:type="spellEnd"/>
      <w:r>
        <w:rPr>
          <w:rFonts w:ascii="Book Antiqua" w:hAnsi="Book Antiqua"/>
          <w:kern w:val="2"/>
          <w:sz w:val="24"/>
          <w:szCs w:val="24"/>
        </w:rPr>
        <w:t xml:space="preserve"> C, </w:t>
      </w:r>
      <w:proofErr w:type="spellStart"/>
      <w:r>
        <w:rPr>
          <w:rFonts w:ascii="Book Antiqua" w:hAnsi="Book Antiqua"/>
          <w:kern w:val="2"/>
          <w:sz w:val="24"/>
          <w:szCs w:val="24"/>
        </w:rPr>
        <w:t>McRoberts</w:t>
      </w:r>
      <w:proofErr w:type="spellEnd"/>
      <w:r>
        <w:rPr>
          <w:rFonts w:ascii="Book Antiqua" w:hAnsi="Book Antiqua"/>
          <w:kern w:val="2"/>
          <w:sz w:val="24"/>
          <w:szCs w:val="24"/>
        </w:rPr>
        <w:t xml:space="preserve"> JA, Mayer EA. Repeated exposure to water avoidance stress in rats: A new model for sustained visceral hyperalgesia. </w:t>
      </w:r>
      <w:r>
        <w:rPr>
          <w:rFonts w:ascii="Book Antiqua" w:hAnsi="Book Antiqua"/>
          <w:i/>
          <w:kern w:val="2"/>
          <w:sz w:val="24"/>
          <w:szCs w:val="24"/>
        </w:rPr>
        <w:t xml:space="preserve">Am J </w:t>
      </w:r>
      <w:proofErr w:type="spellStart"/>
      <w:r>
        <w:rPr>
          <w:rFonts w:ascii="Book Antiqua" w:hAnsi="Book Antiqua"/>
          <w:i/>
          <w:kern w:val="2"/>
          <w:sz w:val="24"/>
          <w:szCs w:val="24"/>
        </w:rPr>
        <w:t>Physiol</w:t>
      </w:r>
      <w:proofErr w:type="spellEnd"/>
      <w:r>
        <w:rPr>
          <w:rFonts w:ascii="Book Antiqua" w:hAnsi="Book Antiqua"/>
          <w:i/>
          <w:kern w:val="2"/>
          <w:sz w:val="24"/>
          <w:szCs w:val="24"/>
        </w:rPr>
        <w:t xml:space="preserve"> </w:t>
      </w:r>
      <w:proofErr w:type="spellStart"/>
      <w:r>
        <w:rPr>
          <w:rFonts w:ascii="Book Antiqua" w:hAnsi="Book Antiqua"/>
          <w:i/>
          <w:kern w:val="2"/>
          <w:sz w:val="24"/>
          <w:szCs w:val="24"/>
        </w:rPr>
        <w:t>Gastrointest</w:t>
      </w:r>
      <w:proofErr w:type="spellEnd"/>
      <w:r>
        <w:rPr>
          <w:rFonts w:ascii="Book Antiqua" w:hAnsi="Book Antiqua"/>
          <w:i/>
          <w:kern w:val="2"/>
          <w:sz w:val="24"/>
          <w:szCs w:val="24"/>
        </w:rPr>
        <w:t xml:space="preserve"> Liver </w:t>
      </w:r>
      <w:proofErr w:type="spellStart"/>
      <w:r>
        <w:rPr>
          <w:rFonts w:ascii="Book Antiqua" w:hAnsi="Book Antiqua"/>
          <w:i/>
          <w:kern w:val="2"/>
          <w:sz w:val="24"/>
          <w:szCs w:val="24"/>
        </w:rPr>
        <w:t>Physiol</w:t>
      </w:r>
      <w:proofErr w:type="spellEnd"/>
      <w:r>
        <w:rPr>
          <w:rFonts w:ascii="Book Antiqua" w:hAnsi="Book Antiqua"/>
          <w:kern w:val="2"/>
          <w:sz w:val="24"/>
          <w:szCs w:val="24"/>
        </w:rPr>
        <w:t xml:space="preserve"> 2005; </w:t>
      </w:r>
      <w:r>
        <w:rPr>
          <w:rFonts w:ascii="Book Antiqua" w:hAnsi="Book Antiqua"/>
          <w:b/>
          <w:kern w:val="2"/>
          <w:sz w:val="24"/>
          <w:szCs w:val="24"/>
        </w:rPr>
        <w:t>289</w:t>
      </w:r>
      <w:r>
        <w:rPr>
          <w:rFonts w:ascii="Book Antiqua" w:hAnsi="Book Antiqua"/>
          <w:kern w:val="2"/>
          <w:sz w:val="24"/>
          <w:szCs w:val="24"/>
        </w:rPr>
        <w:t>: G42-G53 [PMID: 15746211 DOI: 10.1152/ajpgi.00500.2004]</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26 </w:t>
      </w:r>
      <w:r>
        <w:rPr>
          <w:rFonts w:ascii="Book Antiqua" w:hAnsi="Book Antiqua"/>
          <w:b/>
          <w:kern w:val="2"/>
          <w:sz w:val="24"/>
          <w:szCs w:val="24"/>
        </w:rPr>
        <w:t>Gong Z</w:t>
      </w:r>
      <w:r>
        <w:rPr>
          <w:rFonts w:ascii="Book Antiqua" w:hAnsi="Book Antiqua"/>
          <w:kern w:val="2"/>
          <w:sz w:val="24"/>
          <w:szCs w:val="24"/>
        </w:rPr>
        <w:t xml:space="preserve">, Chen Y, Zhang R, Yang Q, Wang Y, </w:t>
      </w:r>
      <w:proofErr w:type="spellStart"/>
      <w:r>
        <w:rPr>
          <w:rFonts w:ascii="Book Antiqua" w:hAnsi="Book Antiqua"/>
          <w:kern w:val="2"/>
          <w:sz w:val="24"/>
          <w:szCs w:val="24"/>
        </w:rPr>
        <w:t>Guo</w:t>
      </w:r>
      <w:proofErr w:type="spellEnd"/>
      <w:r>
        <w:rPr>
          <w:rFonts w:ascii="Book Antiqua" w:hAnsi="Book Antiqua"/>
          <w:kern w:val="2"/>
          <w:sz w:val="24"/>
          <w:szCs w:val="24"/>
        </w:rPr>
        <w:t xml:space="preserve"> Y, Zhou B, </w:t>
      </w:r>
      <w:proofErr w:type="spellStart"/>
      <w:r>
        <w:rPr>
          <w:rFonts w:ascii="Book Antiqua" w:hAnsi="Book Antiqua"/>
          <w:kern w:val="2"/>
          <w:sz w:val="24"/>
          <w:szCs w:val="24"/>
        </w:rPr>
        <w:t>Weng</w:t>
      </w:r>
      <w:proofErr w:type="spellEnd"/>
      <w:r>
        <w:rPr>
          <w:rFonts w:ascii="Book Antiqua" w:hAnsi="Book Antiqua"/>
          <w:kern w:val="2"/>
          <w:sz w:val="24"/>
          <w:szCs w:val="24"/>
        </w:rPr>
        <w:t xml:space="preserve"> X, Liu X, Li Y, Zhu X, Dong Y. Pharmacokinetic difference of </w:t>
      </w:r>
      <w:proofErr w:type="spellStart"/>
      <w:r>
        <w:rPr>
          <w:rFonts w:ascii="Book Antiqua" w:hAnsi="Book Antiqua"/>
          <w:kern w:val="2"/>
          <w:sz w:val="24"/>
          <w:szCs w:val="24"/>
        </w:rPr>
        <w:t>berberine</w:t>
      </w:r>
      <w:proofErr w:type="spellEnd"/>
      <w:r>
        <w:rPr>
          <w:rFonts w:ascii="Book Antiqua" w:hAnsi="Book Antiqua"/>
          <w:kern w:val="2"/>
          <w:sz w:val="24"/>
          <w:szCs w:val="24"/>
        </w:rPr>
        <w:t xml:space="preserve"> between normal and chronic visceral hypersensitivity irritable bowel syndrome rats and its mechanism. </w:t>
      </w:r>
      <w:r>
        <w:rPr>
          <w:rFonts w:ascii="Book Antiqua" w:hAnsi="Book Antiqua"/>
          <w:i/>
          <w:kern w:val="2"/>
          <w:sz w:val="24"/>
          <w:szCs w:val="24"/>
        </w:rPr>
        <w:t>Arch Pharm Res</w:t>
      </w:r>
      <w:r>
        <w:rPr>
          <w:rFonts w:ascii="Book Antiqua" w:hAnsi="Book Antiqua"/>
          <w:kern w:val="2"/>
          <w:sz w:val="24"/>
          <w:szCs w:val="24"/>
        </w:rPr>
        <w:t xml:space="preserve"> 2015; </w:t>
      </w:r>
      <w:r>
        <w:rPr>
          <w:rFonts w:ascii="Book Antiqua" w:hAnsi="Book Antiqua"/>
          <w:b/>
          <w:kern w:val="2"/>
          <w:sz w:val="24"/>
          <w:szCs w:val="24"/>
        </w:rPr>
        <w:t>38</w:t>
      </w:r>
      <w:r>
        <w:rPr>
          <w:rFonts w:ascii="Book Antiqua" w:hAnsi="Book Antiqua"/>
          <w:kern w:val="2"/>
          <w:sz w:val="24"/>
          <w:szCs w:val="24"/>
        </w:rPr>
        <w:t>: 1888-1896 [PMID: 25716428 DOI: 10.1007/s12272-015-0568-9]</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27 </w:t>
      </w:r>
      <w:r>
        <w:rPr>
          <w:rFonts w:ascii="Book Antiqua" w:hAnsi="Book Antiqua"/>
          <w:b/>
          <w:kern w:val="2"/>
          <w:sz w:val="24"/>
          <w:szCs w:val="24"/>
        </w:rPr>
        <w:t>Tang QL</w:t>
      </w:r>
      <w:r>
        <w:rPr>
          <w:rFonts w:ascii="Book Antiqua" w:hAnsi="Book Antiqua"/>
          <w:kern w:val="2"/>
          <w:sz w:val="24"/>
          <w:szCs w:val="24"/>
        </w:rPr>
        <w:t xml:space="preserve">, Lai ML, </w:t>
      </w:r>
      <w:proofErr w:type="spellStart"/>
      <w:r>
        <w:rPr>
          <w:rFonts w:ascii="Book Antiqua" w:hAnsi="Book Antiqua"/>
          <w:kern w:val="2"/>
          <w:sz w:val="24"/>
          <w:szCs w:val="24"/>
        </w:rPr>
        <w:t>Zhong</w:t>
      </w:r>
      <w:proofErr w:type="spellEnd"/>
      <w:r>
        <w:rPr>
          <w:rFonts w:ascii="Book Antiqua" w:hAnsi="Book Antiqua"/>
          <w:kern w:val="2"/>
          <w:sz w:val="24"/>
          <w:szCs w:val="24"/>
        </w:rPr>
        <w:t xml:space="preserve"> YF, Wang AM, Su JK, Zhang MQ. </w:t>
      </w:r>
      <w:proofErr w:type="spellStart"/>
      <w:r>
        <w:rPr>
          <w:rFonts w:ascii="Book Antiqua" w:hAnsi="Book Antiqua"/>
          <w:kern w:val="2"/>
          <w:sz w:val="24"/>
          <w:szCs w:val="24"/>
        </w:rPr>
        <w:t>Antinociceptive</w:t>
      </w:r>
      <w:proofErr w:type="spellEnd"/>
      <w:r>
        <w:rPr>
          <w:rFonts w:ascii="Book Antiqua" w:hAnsi="Book Antiqua"/>
          <w:kern w:val="2"/>
          <w:sz w:val="24"/>
          <w:szCs w:val="24"/>
        </w:rPr>
        <w:t xml:space="preserve"> effect of </w:t>
      </w:r>
      <w:proofErr w:type="spellStart"/>
      <w:r>
        <w:rPr>
          <w:rFonts w:ascii="Book Antiqua" w:hAnsi="Book Antiqua"/>
          <w:kern w:val="2"/>
          <w:sz w:val="24"/>
          <w:szCs w:val="24"/>
        </w:rPr>
        <w:t>berberine</w:t>
      </w:r>
      <w:proofErr w:type="spellEnd"/>
      <w:r>
        <w:rPr>
          <w:rFonts w:ascii="Book Antiqua" w:hAnsi="Book Antiqua"/>
          <w:kern w:val="2"/>
          <w:sz w:val="24"/>
          <w:szCs w:val="24"/>
        </w:rPr>
        <w:t xml:space="preserve"> on visceral hypersensitivity in rats. </w:t>
      </w:r>
      <w:r>
        <w:rPr>
          <w:rFonts w:ascii="Book Antiqua" w:hAnsi="Book Antiqua"/>
          <w:i/>
          <w:kern w:val="2"/>
          <w:sz w:val="24"/>
          <w:szCs w:val="24"/>
        </w:rPr>
        <w:t xml:space="preserve">World J </w:t>
      </w:r>
      <w:proofErr w:type="spellStart"/>
      <w:r>
        <w:rPr>
          <w:rFonts w:ascii="Book Antiqua" w:hAnsi="Book Antiqua"/>
          <w:i/>
          <w:kern w:val="2"/>
          <w:sz w:val="24"/>
          <w:szCs w:val="24"/>
        </w:rPr>
        <w:t>Gastroenterol</w:t>
      </w:r>
      <w:proofErr w:type="spellEnd"/>
      <w:r>
        <w:rPr>
          <w:rFonts w:ascii="Book Antiqua" w:hAnsi="Book Antiqua"/>
          <w:kern w:val="2"/>
          <w:sz w:val="24"/>
          <w:szCs w:val="24"/>
        </w:rPr>
        <w:t xml:space="preserve"> 2013; </w:t>
      </w:r>
      <w:r>
        <w:rPr>
          <w:rFonts w:ascii="Book Antiqua" w:hAnsi="Book Antiqua"/>
          <w:b/>
          <w:kern w:val="2"/>
          <w:sz w:val="24"/>
          <w:szCs w:val="24"/>
        </w:rPr>
        <w:t>19</w:t>
      </w:r>
      <w:r>
        <w:rPr>
          <w:rFonts w:ascii="Book Antiqua" w:hAnsi="Book Antiqua"/>
          <w:kern w:val="2"/>
          <w:sz w:val="24"/>
          <w:szCs w:val="24"/>
        </w:rPr>
        <w:t>: 4582-4589 [PMID: 23901236 DOI: 10.3748/wjg.v19.i28.4582]</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28 </w:t>
      </w:r>
      <w:r>
        <w:rPr>
          <w:rFonts w:ascii="Book Antiqua" w:hAnsi="Book Antiqua"/>
          <w:b/>
          <w:kern w:val="2"/>
          <w:sz w:val="24"/>
          <w:szCs w:val="24"/>
        </w:rPr>
        <w:t>Wang P</w:t>
      </w:r>
      <w:r>
        <w:rPr>
          <w:rFonts w:ascii="Book Antiqua" w:hAnsi="Book Antiqua"/>
          <w:kern w:val="2"/>
          <w:sz w:val="24"/>
          <w:szCs w:val="24"/>
        </w:rPr>
        <w:t xml:space="preserve">, Chen FX, Du C, Li CQ, Yu YB, </w:t>
      </w:r>
      <w:proofErr w:type="spellStart"/>
      <w:r>
        <w:rPr>
          <w:rFonts w:ascii="Book Antiqua" w:hAnsi="Book Antiqua"/>
          <w:kern w:val="2"/>
          <w:sz w:val="24"/>
          <w:szCs w:val="24"/>
        </w:rPr>
        <w:t>Zuo</w:t>
      </w:r>
      <w:proofErr w:type="spellEnd"/>
      <w:r>
        <w:rPr>
          <w:rFonts w:ascii="Book Antiqua" w:hAnsi="Book Antiqua"/>
          <w:kern w:val="2"/>
          <w:sz w:val="24"/>
          <w:szCs w:val="24"/>
        </w:rPr>
        <w:t xml:space="preserve"> XL, Li YQ. Increased production of BDNF in colonic epithelial cells induced by fecal supernatants from diarrheic IBS patients. </w:t>
      </w:r>
      <w:proofErr w:type="spellStart"/>
      <w:r>
        <w:rPr>
          <w:rFonts w:ascii="Book Antiqua" w:hAnsi="Book Antiqua"/>
          <w:i/>
          <w:kern w:val="2"/>
          <w:sz w:val="24"/>
          <w:szCs w:val="24"/>
        </w:rPr>
        <w:t>Sci</w:t>
      </w:r>
      <w:proofErr w:type="spellEnd"/>
      <w:r>
        <w:rPr>
          <w:rFonts w:ascii="Book Antiqua" w:hAnsi="Book Antiqua"/>
          <w:i/>
          <w:kern w:val="2"/>
          <w:sz w:val="24"/>
          <w:szCs w:val="24"/>
        </w:rPr>
        <w:t xml:space="preserve"> Rep</w:t>
      </w:r>
      <w:r>
        <w:rPr>
          <w:rFonts w:ascii="Book Antiqua" w:hAnsi="Book Antiqua"/>
          <w:kern w:val="2"/>
          <w:sz w:val="24"/>
          <w:szCs w:val="24"/>
        </w:rPr>
        <w:t xml:space="preserve"> 2015; </w:t>
      </w:r>
      <w:r>
        <w:rPr>
          <w:rFonts w:ascii="Book Antiqua" w:hAnsi="Book Antiqua"/>
          <w:b/>
          <w:kern w:val="2"/>
          <w:sz w:val="24"/>
          <w:szCs w:val="24"/>
        </w:rPr>
        <w:t>5</w:t>
      </w:r>
      <w:r>
        <w:rPr>
          <w:rFonts w:ascii="Book Antiqua" w:hAnsi="Book Antiqua"/>
          <w:kern w:val="2"/>
          <w:sz w:val="24"/>
          <w:szCs w:val="24"/>
        </w:rPr>
        <w:t>: 10121 [PMID: 25998025 DOI: 10.1038/srep10121]</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29 </w:t>
      </w:r>
      <w:proofErr w:type="spellStart"/>
      <w:r>
        <w:rPr>
          <w:rFonts w:ascii="Book Antiqua" w:hAnsi="Book Antiqua"/>
          <w:b/>
          <w:kern w:val="2"/>
          <w:sz w:val="24"/>
          <w:szCs w:val="24"/>
        </w:rPr>
        <w:t>Xie</w:t>
      </w:r>
      <w:proofErr w:type="spellEnd"/>
      <w:r>
        <w:rPr>
          <w:rFonts w:ascii="Book Antiqua" w:hAnsi="Book Antiqua"/>
          <w:b/>
          <w:kern w:val="2"/>
          <w:sz w:val="24"/>
          <w:szCs w:val="24"/>
        </w:rPr>
        <w:t xml:space="preserve"> W</w:t>
      </w:r>
      <w:r>
        <w:rPr>
          <w:rFonts w:ascii="Book Antiqua" w:hAnsi="Book Antiqua"/>
          <w:kern w:val="2"/>
          <w:sz w:val="24"/>
          <w:szCs w:val="24"/>
        </w:rPr>
        <w:t xml:space="preserve">, Xing D, Zhao Y, Su H, </w:t>
      </w:r>
      <w:proofErr w:type="spellStart"/>
      <w:r>
        <w:rPr>
          <w:rFonts w:ascii="Book Antiqua" w:hAnsi="Book Antiqua"/>
          <w:kern w:val="2"/>
          <w:sz w:val="24"/>
          <w:szCs w:val="24"/>
        </w:rPr>
        <w:t>Meng</w:t>
      </w:r>
      <w:proofErr w:type="spellEnd"/>
      <w:r>
        <w:rPr>
          <w:rFonts w:ascii="Book Antiqua" w:hAnsi="Book Antiqua"/>
          <w:kern w:val="2"/>
          <w:sz w:val="24"/>
          <w:szCs w:val="24"/>
        </w:rPr>
        <w:t xml:space="preserve"> Z, Chen Y, Du L. A new tactic to treat postprandial hyperlipidemia in diabetic rats with gastroparesis by improving gastrointestinal transit. </w:t>
      </w:r>
      <w:proofErr w:type="spellStart"/>
      <w:r>
        <w:rPr>
          <w:rFonts w:ascii="Book Antiqua" w:hAnsi="Book Antiqua"/>
          <w:i/>
          <w:kern w:val="2"/>
          <w:sz w:val="24"/>
          <w:szCs w:val="24"/>
        </w:rPr>
        <w:t>Eur</w:t>
      </w:r>
      <w:proofErr w:type="spellEnd"/>
      <w:r>
        <w:rPr>
          <w:rFonts w:ascii="Book Antiqua" w:hAnsi="Book Antiqua"/>
          <w:i/>
          <w:kern w:val="2"/>
          <w:sz w:val="24"/>
          <w:szCs w:val="24"/>
        </w:rPr>
        <w:t xml:space="preserve"> J </w:t>
      </w:r>
      <w:proofErr w:type="spellStart"/>
      <w:r>
        <w:rPr>
          <w:rFonts w:ascii="Book Antiqua" w:hAnsi="Book Antiqua"/>
          <w:i/>
          <w:kern w:val="2"/>
          <w:sz w:val="24"/>
          <w:szCs w:val="24"/>
        </w:rPr>
        <w:t>Pharmacol</w:t>
      </w:r>
      <w:proofErr w:type="spellEnd"/>
      <w:r>
        <w:rPr>
          <w:rFonts w:ascii="Book Antiqua" w:hAnsi="Book Antiqua"/>
          <w:kern w:val="2"/>
          <w:sz w:val="24"/>
          <w:szCs w:val="24"/>
        </w:rPr>
        <w:t xml:space="preserve"> 2005; </w:t>
      </w:r>
      <w:r>
        <w:rPr>
          <w:rFonts w:ascii="Book Antiqua" w:hAnsi="Book Antiqua"/>
          <w:b/>
          <w:kern w:val="2"/>
          <w:sz w:val="24"/>
          <w:szCs w:val="24"/>
        </w:rPr>
        <w:t>510</w:t>
      </w:r>
      <w:r>
        <w:rPr>
          <w:rFonts w:ascii="Book Antiqua" w:hAnsi="Book Antiqua"/>
          <w:kern w:val="2"/>
          <w:sz w:val="24"/>
          <w:szCs w:val="24"/>
        </w:rPr>
        <w:t>: 113-120 [PMID: 15740731 DOI: 10.1016/j.ejphar.2005.01.019]</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lastRenderedPageBreak/>
        <w:t xml:space="preserve">30 </w:t>
      </w:r>
      <w:proofErr w:type="spellStart"/>
      <w:r>
        <w:rPr>
          <w:rFonts w:ascii="Book Antiqua" w:hAnsi="Book Antiqua"/>
          <w:b/>
          <w:kern w:val="2"/>
          <w:sz w:val="24"/>
          <w:szCs w:val="24"/>
        </w:rPr>
        <w:t>Morteau</w:t>
      </w:r>
      <w:proofErr w:type="spellEnd"/>
      <w:r>
        <w:rPr>
          <w:rFonts w:ascii="Book Antiqua" w:hAnsi="Book Antiqua"/>
          <w:b/>
          <w:kern w:val="2"/>
          <w:sz w:val="24"/>
          <w:szCs w:val="24"/>
        </w:rPr>
        <w:t xml:space="preserve"> O</w:t>
      </w:r>
      <w:r>
        <w:rPr>
          <w:rFonts w:ascii="Book Antiqua" w:hAnsi="Book Antiqua"/>
          <w:kern w:val="2"/>
          <w:sz w:val="24"/>
          <w:szCs w:val="24"/>
        </w:rPr>
        <w:t xml:space="preserve">, </w:t>
      </w:r>
      <w:proofErr w:type="spellStart"/>
      <w:r>
        <w:rPr>
          <w:rFonts w:ascii="Book Antiqua" w:hAnsi="Book Antiqua"/>
          <w:kern w:val="2"/>
          <w:sz w:val="24"/>
          <w:szCs w:val="24"/>
        </w:rPr>
        <w:t>Hachet</w:t>
      </w:r>
      <w:proofErr w:type="spellEnd"/>
      <w:r>
        <w:rPr>
          <w:rFonts w:ascii="Book Antiqua" w:hAnsi="Book Antiqua"/>
          <w:kern w:val="2"/>
          <w:sz w:val="24"/>
          <w:szCs w:val="24"/>
        </w:rPr>
        <w:t xml:space="preserve"> T, </w:t>
      </w:r>
      <w:proofErr w:type="spellStart"/>
      <w:r>
        <w:rPr>
          <w:rFonts w:ascii="Book Antiqua" w:hAnsi="Book Antiqua"/>
          <w:kern w:val="2"/>
          <w:sz w:val="24"/>
          <w:szCs w:val="24"/>
        </w:rPr>
        <w:t>Caussette</w:t>
      </w:r>
      <w:proofErr w:type="spellEnd"/>
      <w:r>
        <w:rPr>
          <w:rFonts w:ascii="Book Antiqua" w:hAnsi="Book Antiqua"/>
          <w:kern w:val="2"/>
          <w:sz w:val="24"/>
          <w:szCs w:val="24"/>
        </w:rPr>
        <w:t xml:space="preserve"> M, </w:t>
      </w:r>
      <w:proofErr w:type="spellStart"/>
      <w:r>
        <w:rPr>
          <w:rFonts w:ascii="Book Antiqua" w:hAnsi="Book Antiqua"/>
          <w:kern w:val="2"/>
          <w:sz w:val="24"/>
          <w:szCs w:val="24"/>
        </w:rPr>
        <w:t>Bueno</w:t>
      </w:r>
      <w:proofErr w:type="spellEnd"/>
      <w:r>
        <w:rPr>
          <w:rFonts w:ascii="Book Antiqua" w:hAnsi="Book Antiqua"/>
          <w:kern w:val="2"/>
          <w:sz w:val="24"/>
          <w:szCs w:val="24"/>
        </w:rPr>
        <w:t xml:space="preserve"> L. Experimental colitis alters visceromotor response to colorectal distension in awake rats. </w:t>
      </w:r>
      <w:r>
        <w:rPr>
          <w:rFonts w:ascii="Book Antiqua" w:hAnsi="Book Antiqua"/>
          <w:i/>
          <w:kern w:val="2"/>
          <w:sz w:val="24"/>
          <w:szCs w:val="24"/>
        </w:rPr>
        <w:t xml:space="preserve">Dig Dis </w:t>
      </w:r>
      <w:proofErr w:type="spellStart"/>
      <w:r>
        <w:rPr>
          <w:rFonts w:ascii="Book Antiqua" w:hAnsi="Book Antiqua"/>
          <w:i/>
          <w:kern w:val="2"/>
          <w:sz w:val="24"/>
          <w:szCs w:val="24"/>
        </w:rPr>
        <w:t>Sci</w:t>
      </w:r>
      <w:proofErr w:type="spellEnd"/>
      <w:r>
        <w:rPr>
          <w:rFonts w:ascii="Book Antiqua" w:hAnsi="Book Antiqua"/>
          <w:kern w:val="2"/>
          <w:sz w:val="24"/>
          <w:szCs w:val="24"/>
        </w:rPr>
        <w:t xml:space="preserve"> 1994; </w:t>
      </w:r>
      <w:r>
        <w:rPr>
          <w:rFonts w:ascii="Book Antiqua" w:hAnsi="Book Antiqua"/>
          <w:b/>
          <w:kern w:val="2"/>
          <w:sz w:val="24"/>
          <w:szCs w:val="24"/>
        </w:rPr>
        <w:t>39</w:t>
      </w:r>
      <w:r>
        <w:rPr>
          <w:rFonts w:ascii="Book Antiqua" w:hAnsi="Book Antiqua"/>
          <w:kern w:val="2"/>
          <w:sz w:val="24"/>
          <w:szCs w:val="24"/>
        </w:rPr>
        <w:t>: 1239-1248 [PMID: 8200256 DOI: 10.1007/BF02093789]</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31 </w:t>
      </w:r>
      <w:r>
        <w:rPr>
          <w:rFonts w:ascii="Book Antiqua" w:hAnsi="Book Antiqua"/>
          <w:b/>
          <w:kern w:val="2"/>
          <w:sz w:val="24"/>
          <w:szCs w:val="24"/>
        </w:rPr>
        <w:t>Davey KJ</w:t>
      </w:r>
      <w:r>
        <w:rPr>
          <w:rFonts w:ascii="Book Antiqua" w:hAnsi="Book Antiqua"/>
          <w:kern w:val="2"/>
          <w:sz w:val="24"/>
          <w:szCs w:val="24"/>
        </w:rPr>
        <w:t xml:space="preserve">, </w:t>
      </w:r>
      <w:proofErr w:type="spellStart"/>
      <w:r>
        <w:rPr>
          <w:rFonts w:ascii="Book Antiqua" w:hAnsi="Book Antiqua"/>
          <w:kern w:val="2"/>
          <w:sz w:val="24"/>
          <w:szCs w:val="24"/>
        </w:rPr>
        <w:t>O'Mahony</w:t>
      </w:r>
      <w:proofErr w:type="spellEnd"/>
      <w:r>
        <w:rPr>
          <w:rFonts w:ascii="Book Antiqua" w:hAnsi="Book Antiqua"/>
          <w:kern w:val="2"/>
          <w:sz w:val="24"/>
          <w:szCs w:val="24"/>
        </w:rPr>
        <w:t xml:space="preserve"> SM, </w:t>
      </w:r>
      <w:proofErr w:type="spellStart"/>
      <w:r>
        <w:rPr>
          <w:rFonts w:ascii="Book Antiqua" w:hAnsi="Book Antiqua"/>
          <w:kern w:val="2"/>
          <w:sz w:val="24"/>
          <w:szCs w:val="24"/>
        </w:rPr>
        <w:t>Schellekens</w:t>
      </w:r>
      <w:proofErr w:type="spellEnd"/>
      <w:r>
        <w:rPr>
          <w:rFonts w:ascii="Book Antiqua" w:hAnsi="Book Antiqua"/>
          <w:kern w:val="2"/>
          <w:sz w:val="24"/>
          <w:szCs w:val="24"/>
        </w:rPr>
        <w:t xml:space="preserve"> H, O'Sullivan O, </w:t>
      </w:r>
      <w:proofErr w:type="spellStart"/>
      <w:r>
        <w:rPr>
          <w:rFonts w:ascii="Book Antiqua" w:hAnsi="Book Antiqua"/>
          <w:kern w:val="2"/>
          <w:sz w:val="24"/>
          <w:szCs w:val="24"/>
        </w:rPr>
        <w:t>Bienenstock</w:t>
      </w:r>
      <w:proofErr w:type="spellEnd"/>
      <w:r>
        <w:rPr>
          <w:rFonts w:ascii="Book Antiqua" w:hAnsi="Book Antiqua"/>
          <w:kern w:val="2"/>
          <w:sz w:val="24"/>
          <w:szCs w:val="24"/>
        </w:rPr>
        <w:t xml:space="preserve"> J, Cotter PD, </w:t>
      </w:r>
      <w:proofErr w:type="spellStart"/>
      <w:r>
        <w:rPr>
          <w:rFonts w:ascii="Book Antiqua" w:hAnsi="Book Antiqua"/>
          <w:kern w:val="2"/>
          <w:sz w:val="24"/>
          <w:szCs w:val="24"/>
        </w:rPr>
        <w:t>Dinan</w:t>
      </w:r>
      <w:proofErr w:type="spellEnd"/>
      <w:r>
        <w:rPr>
          <w:rFonts w:ascii="Book Antiqua" w:hAnsi="Book Antiqua"/>
          <w:kern w:val="2"/>
          <w:sz w:val="24"/>
          <w:szCs w:val="24"/>
        </w:rPr>
        <w:t xml:space="preserve"> TG, </w:t>
      </w:r>
      <w:proofErr w:type="spellStart"/>
      <w:r>
        <w:rPr>
          <w:rFonts w:ascii="Book Antiqua" w:hAnsi="Book Antiqua"/>
          <w:kern w:val="2"/>
          <w:sz w:val="24"/>
          <w:szCs w:val="24"/>
        </w:rPr>
        <w:t>Cryan</w:t>
      </w:r>
      <w:proofErr w:type="spellEnd"/>
      <w:r>
        <w:rPr>
          <w:rFonts w:ascii="Book Antiqua" w:hAnsi="Book Antiqua"/>
          <w:kern w:val="2"/>
          <w:sz w:val="24"/>
          <w:szCs w:val="24"/>
        </w:rPr>
        <w:t xml:space="preserve"> JF. Gender-dependent consequences of chronic olanzapine in the rat: Effects on body weight, inflammatory, metabolic and microbiota parameters. </w:t>
      </w:r>
      <w:r>
        <w:rPr>
          <w:rFonts w:ascii="Book Antiqua" w:hAnsi="Book Antiqua"/>
          <w:i/>
          <w:kern w:val="2"/>
          <w:sz w:val="24"/>
          <w:szCs w:val="24"/>
        </w:rPr>
        <w:t>Psychopharmacology (</w:t>
      </w:r>
      <w:proofErr w:type="spellStart"/>
      <w:r>
        <w:rPr>
          <w:rFonts w:ascii="Book Antiqua" w:hAnsi="Book Antiqua"/>
          <w:i/>
          <w:kern w:val="2"/>
          <w:sz w:val="24"/>
          <w:szCs w:val="24"/>
        </w:rPr>
        <w:t>Berl</w:t>
      </w:r>
      <w:proofErr w:type="spellEnd"/>
      <w:r>
        <w:rPr>
          <w:rFonts w:ascii="Book Antiqua" w:hAnsi="Book Antiqua"/>
          <w:i/>
          <w:kern w:val="2"/>
          <w:sz w:val="24"/>
          <w:szCs w:val="24"/>
        </w:rPr>
        <w:t>)</w:t>
      </w:r>
      <w:r>
        <w:rPr>
          <w:rFonts w:ascii="Book Antiqua" w:hAnsi="Book Antiqua"/>
          <w:kern w:val="2"/>
          <w:sz w:val="24"/>
          <w:szCs w:val="24"/>
        </w:rPr>
        <w:t xml:space="preserve"> 2012; </w:t>
      </w:r>
      <w:r>
        <w:rPr>
          <w:rFonts w:ascii="Book Antiqua" w:hAnsi="Book Antiqua"/>
          <w:b/>
          <w:kern w:val="2"/>
          <w:sz w:val="24"/>
          <w:szCs w:val="24"/>
        </w:rPr>
        <w:t>221</w:t>
      </w:r>
      <w:r>
        <w:rPr>
          <w:rFonts w:ascii="Book Antiqua" w:hAnsi="Book Antiqua"/>
          <w:kern w:val="2"/>
          <w:sz w:val="24"/>
          <w:szCs w:val="24"/>
        </w:rPr>
        <w:t>: 155-169 [PMID: 22234378 DOI: 10.1007/s00213-011-2555-2]</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32 </w:t>
      </w:r>
      <w:proofErr w:type="spellStart"/>
      <w:r>
        <w:rPr>
          <w:rFonts w:ascii="Book Antiqua" w:hAnsi="Book Antiqua"/>
          <w:b/>
          <w:kern w:val="2"/>
          <w:sz w:val="24"/>
          <w:szCs w:val="24"/>
        </w:rPr>
        <w:t>Gareau</w:t>
      </w:r>
      <w:proofErr w:type="spellEnd"/>
      <w:r>
        <w:rPr>
          <w:rFonts w:ascii="Book Antiqua" w:hAnsi="Book Antiqua"/>
          <w:b/>
          <w:kern w:val="2"/>
          <w:sz w:val="24"/>
          <w:szCs w:val="24"/>
        </w:rPr>
        <w:t xml:space="preserve"> MG</w:t>
      </w:r>
      <w:r>
        <w:rPr>
          <w:rFonts w:ascii="Book Antiqua" w:hAnsi="Book Antiqua"/>
          <w:kern w:val="2"/>
          <w:sz w:val="24"/>
          <w:szCs w:val="24"/>
        </w:rPr>
        <w:t xml:space="preserve">, Jury J, Yang PC, </w:t>
      </w:r>
      <w:proofErr w:type="spellStart"/>
      <w:r>
        <w:rPr>
          <w:rFonts w:ascii="Book Antiqua" w:hAnsi="Book Antiqua"/>
          <w:kern w:val="2"/>
          <w:sz w:val="24"/>
          <w:szCs w:val="24"/>
        </w:rPr>
        <w:t>MacQueen</w:t>
      </w:r>
      <w:proofErr w:type="spellEnd"/>
      <w:r>
        <w:rPr>
          <w:rFonts w:ascii="Book Antiqua" w:hAnsi="Book Antiqua"/>
          <w:kern w:val="2"/>
          <w:sz w:val="24"/>
          <w:szCs w:val="24"/>
        </w:rPr>
        <w:t xml:space="preserve"> G, Perdue MH. Neonatal maternal separation causes colonic dysfunction in rat pups including impaired host resistance. </w:t>
      </w:r>
      <w:proofErr w:type="spellStart"/>
      <w:r>
        <w:rPr>
          <w:rFonts w:ascii="Book Antiqua" w:hAnsi="Book Antiqua"/>
          <w:i/>
          <w:kern w:val="2"/>
          <w:sz w:val="24"/>
          <w:szCs w:val="24"/>
        </w:rPr>
        <w:t>Pediatr</w:t>
      </w:r>
      <w:proofErr w:type="spellEnd"/>
      <w:r>
        <w:rPr>
          <w:rFonts w:ascii="Book Antiqua" w:hAnsi="Book Antiqua"/>
          <w:i/>
          <w:kern w:val="2"/>
          <w:sz w:val="24"/>
          <w:szCs w:val="24"/>
        </w:rPr>
        <w:t xml:space="preserve"> Res</w:t>
      </w:r>
      <w:r>
        <w:rPr>
          <w:rFonts w:ascii="Book Antiqua" w:hAnsi="Book Antiqua"/>
          <w:kern w:val="2"/>
          <w:sz w:val="24"/>
          <w:szCs w:val="24"/>
        </w:rPr>
        <w:t xml:space="preserve"> 2006; </w:t>
      </w:r>
      <w:r>
        <w:rPr>
          <w:rFonts w:ascii="Book Antiqua" w:hAnsi="Book Antiqua"/>
          <w:b/>
          <w:kern w:val="2"/>
          <w:sz w:val="24"/>
          <w:szCs w:val="24"/>
        </w:rPr>
        <w:t>59</w:t>
      </w:r>
      <w:r>
        <w:rPr>
          <w:rFonts w:ascii="Book Antiqua" w:hAnsi="Book Antiqua"/>
          <w:kern w:val="2"/>
          <w:sz w:val="24"/>
          <w:szCs w:val="24"/>
        </w:rPr>
        <w:t>: 83-88 [PMID: 16326990 DOI: 10.1203/01.pdr.0000190577.62426.45]</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33 </w:t>
      </w:r>
      <w:r>
        <w:rPr>
          <w:rFonts w:ascii="Book Antiqua" w:hAnsi="Book Antiqua"/>
          <w:b/>
          <w:kern w:val="2"/>
          <w:sz w:val="24"/>
          <w:szCs w:val="24"/>
        </w:rPr>
        <w:t>Ogata H</w:t>
      </w:r>
      <w:r>
        <w:rPr>
          <w:rFonts w:ascii="Book Antiqua" w:hAnsi="Book Antiqua"/>
          <w:kern w:val="2"/>
          <w:sz w:val="24"/>
          <w:szCs w:val="24"/>
        </w:rPr>
        <w:t xml:space="preserve">, </w:t>
      </w:r>
      <w:proofErr w:type="spellStart"/>
      <w:r>
        <w:rPr>
          <w:rFonts w:ascii="Book Antiqua" w:hAnsi="Book Antiqua"/>
          <w:kern w:val="2"/>
          <w:sz w:val="24"/>
          <w:szCs w:val="24"/>
        </w:rPr>
        <w:t>Hibi</w:t>
      </w:r>
      <w:proofErr w:type="spellEnd"/>
      <w:r>
        <w:rPr>
          <w:rFonts w:ascii="Book Antiqua" w:hAnsi="Book Antiqua"/>
          <w:kern w:val="2"/>
          <w:sz w:val="24"/>
          <w:szCs w:val="24"/>
        </w:rPr>
        <w:t xml:space="preserve"> T. Cytokine and anti-cytokine therapies for inflammatory bowel disease. </w:t>
      </w:r>
      <w:proofErr w:type="spellStart"/>
      <w:r>
        <w:rPr>
          <w:rFonts w:ascii="Book Antiqua" w:hAnsi="Book Antiqua"/>
          <w:i/>
          <w:kern w:val="2"/>
          <w:sz w:val="24"/>
          <w:szCs w:val="24"/>
        </w:rPr>
        <w:t>Curr</w:t>
      </w:r>
      <w:proofErr w:type="spellEnd"/>
      <w:r>
        <w:rPr>
          <w:rFonts w:ascii="Book Antiqua" w:hAnsi="Book Antiqua"/>
          <w:i/>
          <w:kern w:val="2"/>
          <w:sz w:val="24"/>
          <w:szCs w:val="24"/>
        </w:rPr>
        <w:t xml:space="preserve"> Pharm Des</w:t>
      </w:r>
      <w:r>
        <w:rPr>
          <w:rFonts w:ascii="Book Antiqua" w:hAnsi="Book Antiqua"/>
          <w:kern w:val="2"/>
          <w:sz w:val="24"/>
          <w:szCs w:val="24"/>
        </w:rPr>
        <w:t xml:space="preserve"> 2003; </w:t>
      </w:r>
      <w:r>
        <w:rPr>
          <w:rFonts w:ascii="Book Antiqua" w:hAnsi="Book Antiqua"/>
          <w:b/>
          <w:kern w:val="2"/>
          <w:sz w:val="24"/>
          <w:szCs w:val="24"/>
        </w:rPr>
        <w:t>9</w:t>
      </w:r>
      <w:r>
        <w:rPr>
          <w:rFonts w:ascii="Book Antiqua" w:hAnsi="Book Antiqua"/>
          <w:kern w:val="2"/>
          <w:sz w:val="24"/>
          <w:szCs w:val="24"/>
        </w:rPr>
        <w:t>: 1107-1113 [PMID: 12769750 DOI: 10.2174/1381612033455035]</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34 </w:t>
      </w:r>
      <w:r>
        <w:rPr>
          <w:rFonts w:ascii="Book Antiqua" w:hAnsi="Book Antiqua"/>
          <w:b/>
          <w:kern w:val="2"/>
          <w:sz w:val="24"/>
          <w:szCs w:val="24"/>
        </w:rPr>
        <w:t>Christianson JA</w:t>
      </w:r>
      <w:r>
        <w:rPr>
          <w:rFonts w:ascii="Book Antiqua" w:hAnsi="Book Antiqua"/>
          <w:kern w:val="2"/>
          <w:sz w:val="24"/>
          <w:szCs w:val="24"/>
        </w:rPr>
        <w:t xml:space="preserve">, </w:t>
      </w:r>
      <w:proofErr w:type="spellStart"/>
      <w:r>
        <w:rPr>
          <w:rFonts w:ascii="Book Antiqua" w:hAnsi="Book Antiqua"/>
          <w:kern w:val="2"/>
          <w:sz w:val="24"/>
          <w:szCs w:val="24"/>
        </w:rPr>
        <w:t>Gebhart</w:t>
      </w:r>
      <w:proofErr w:type="spellEnd"/>
      <w:r>
        <w:rPr>
          <w:rFonts w:ascii="Book Antiqua" w:hAnsi="Book Antiqua"/>
          <w:kern w:val="2"/>
          <w:sz w:val="24"/>
          <w:szCs w:val="24"/>
        </w:rPr>
        <w:t xml:space="preserve"> GF. Assessment of colon sensitivity by luminal distension in mice. </w:t>
      </w:r>
      <w:r>
        <w:rPr>
          <w:rFonts w:ascii="Book Antiqua" w:hAnsi="Book Antiqua"/>
          <w:i/>
          <w:kern w:val="2"/>
          <w:sz w:val="24"/>
          <w:szCs w:val="24"/>
        </w:rPr>
        <w:t xml:space="preserve">Nat </w:t>
      </w:r>
      <w:proofErr w:type="spellStart"/>
      <w:r>
        <w:rPr>
          <w:rFonts w:ascii="Book Antiqua" w:hAnsi="Book Antiqua"/>
          <w:i/>
          <w:kern w:val="2"/>
          <w:sz w:val="24"/>
          <w:szCs w:val="24"/>
        </w:rPr>
        <w:t>Protoc</w:t>
      </w:r>
      <w:proofErr w:type="spellEnd"/>
      <w:r>
        <w:rPr>
          <w:rFonts w:ascii="Book Antiqua" w:hAnsi="Book Antiqua"/>
          <w:kern w:val="2"/>
          <w:sz w:val="24"/>
          <w:szCs w:val="24"/>
        </w:rPr>
        <w:t xml:space="preserve"> 2007; </w:t>
      </w:r>
      <w:r>
        <w:rPr>
          <w:rFonts w:ascii="Book Antiqua" w:hAnsi="Book Antiqua"/>
          <w:b/>
          <w:kern w:val="2"/>
          <w:sz w:val="24"/>
          <w:szCs w:val="24"/>
        </w:rPr>
        <w:t>2</w:t>
      </w:r>
      <w:r>
        <w:rPr>
          <w:rFonts w:ascii="Book Antiqua" w:hAnsi="Book Antiqua"/>
          <w:kern w:val="2"/>
          <w:sz w:val="24"/>
          <w:szCs w:val="24"/>
        </w:rPr>
        <w:t>: 2624-2631 [PMID: 17948005 DOI: 10.1038/nprot.2007.392]</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35 </w:t>
      </w:r>
      <w:r>
        <w:rPr>
          <w:rFonts w:ascii="Book Antiqua" w:hAnsi="Book Antiqua"/>
          <w:b/>
          <w:kern w:val="2"/>
          <w:sz w:val="24"/>
          <w:szCs w:val="24"/>
        </w:rPr>
        <w:t xml:space="preserve">Dal </w:t>
      </w:r>
      <w:proofErr w:type="spellStart"/>
      <w:r>
        <w:rPr>
          <w:rFonts w:ascii="Book Antiqua" w:hAnsi="Book Antiqua"/>
          <w:b/>
          <w:kern w:val="2"/>
          <w:sz w:val="24"/>
          <w:szCs w:val="24"/>
        </w:rPr>
        <w:t>Sasso</w:t>
      </w:r>
      <w:proofErr w:type="spellEnd"/>
      <w:r>
        <w:rPr>
          <w:rFonts w:ascii="Book Antiqua" w:hAnsi="Book Antiqua"/>
          <w:b/>
          <w:kern w:val="2"/>
          <w:sz w:val="24"/>
          <w:szCs w:val="24"/>
        </w:rPr>
        <w:t xml:space="preserve"> M</w:t>
      </w:r>
      <w:r>
        <w:rPr>
          <w:rFonts w:ascii="Book Antiqua" w:hAnsi="Book Antiqua"/>
          <w:kern w:val="2"/>
          <w:sz w:val="24"/>
          <w:szCs w:val="24"/>
        </w:rPr>
        <w:t xml:space="preserve">, </w:t>
      </w:r>
      <w:proofErr w:type="spellStart"/>
      <w:r>
        <w:rPr>
          <w:rFonts w:ascii="Book Antiqua" w:hAnsi="Book Antiqua"/>
          <w:kern w:val="2"/>
          <w:sz w:val="24"/>
          <w:szCs w:val="24"/>
        </w:rPr>
        <w:t>Culici</w:t>
      </w:r>
      <w:proofErr w:type="spellEnd"/>
      <w:r>
        <w:rPr>
          <w:rFonts w:ascii="Book Antiqua" w:hAnsi="Book Antiqua"/>
          <w:kern w:val="2"/>
          <w:sz w:val="24"/>
          <w:szCs w:val="24"/>
        </w:rPr>
        <w:t xml:space="preserve"> M, </w:t>
      </w:r>
      <w:proofErr w:type="spellStart"/>
      <w:r>
        <w:rPr>
          <w:rFonts w:ascii="Book Antiqua" w:hAnsi="Book Antiqua"/>
          <w:kern w:val="2"/>
          <w:sz w:val="24"/>
          <w:szCs w:val="24"/>
        </w:rPr>
        <w:t>Guffanti</w:t>
      </w:r>
      <w:proofErr w:type="spellEnd"/>
      <w:r>
        <w:rPr>
          <w:rFonts w:ascii="Book Antiqua" w:hAnsi="Book Antiqua"/>
          <w:kern w:val="2"/>
          <w:sz w:val="24"/>
          <w:szCs w:val="24"/>
        </w:rPr>
        <w:t xml:space="preserve"> EE, Bianchi T, </w:t>
      </w:r>
      <w:proofErr w:type="spellStart"/>
      <w:r>
        <w:rPr>
          <w:rFonts w:ascii="Book Antiqua" w:hAnsi="Book Antiqua"/>
          <w:kern w:val="2"/>
          <w:sz w:val="24"/>
          <w:szCs w:val="24"/>
        </w:rPr>
        <w:t>Fonti</w:t>
      </w:r>
      <w:proofErr w:type="spellEnd"/>
      <w:r>
        <w:rPr>
          <w:rFonts w:ascii="Book Antiqua" w:hAnsi="Book Antiqua"/>
          <w:kern w:val="2"/>
          <w:sz w:val="24"/>
          <w:szCs w:val="24"/>
        </w:rPr>
        <w:t xml:space="preserve"> E, Braga PC. A combination of budesonide and the SH-metabolite I of </w:t>
      </w:r>
      <w:proofErr w:type="spellStart"/>
      <w:r>
        <w:rPr>
          <w:rFonts w:ascii="Book Antiqua" w:hAnsi="Book Antiqua"/>
          <w:kern w:val="2"/>
          <w:sz w:val="24"/>
          <w:szCs w:val="24"/>
        </w:rPr>
        <w:t>erdosteine</w:t>
      </w:r>
      <w:proofErr w:type="spellEnd"/>
      <w:r>
        <w:rPr>
          <w:rFonts w:ascii="Book Antiqua" w:hAnsi="Book Antiqua"/>
          <w:kern w:val="2"/>
          <w:sz w:val="24"/>
          <w:szCs w:val="24"/>
        </w:rPr>
        <w:t xml:space="preserve"> acts synergistically in reducing </w:t>
      </w:r>
      <w:proofErr w:type="spellStart"/>
      <w:r>
        <w:rPr>
          <w:rFonts w:ascii="Book Antiqua" w:hAnsi="Book Antiqua"/>
          <w:kern w:val="2"/>
          <w:sz w:val="24"/>
          <w:szCs w:val="24"/>
        </w:rPr>
        <w:t>chemiluminescence</w:t>
      </w:r>
      <w:proofErr w:type="spellEnd"/>
      <w:r>
        <w:rPr>
          <w:rFonts w:ascii="Book Antiqua" w:hAnsi="Book Antiqua"/>
          <w:kern w:val="2"/>
          <w:sz w:val="24"/>
          <w:szCs w:val="24"/>
        </w:rPr>
        <w:t xml:space="preserve"> during human neutrophil respiratory burst. </w:t>
      </w:r>
      <w:r>
        <w:rPr>
          <w:rFonts w:ascii="Book Antiqua" w:hAnsi="Book Antiqua"/>
          <w:i/>
          <w:kern w:val="2"/>
          <w:sz w:val="24"/>
          <w:szCs w:val="24"/>
        </w:rPr>
        <w:t>Pharmacology</w:t>
      </w:r>
      <w:r>
        <w:rPr>
          <w:rFonts w:ascii="Book Antiqua" w:hAnsi="Book Antiqua"/>
          <w:kern w:val="2"/>
          <w:sz w:val="24"/>
          <w:szCs w:val="24"/>
        </w:rPr>
        <w:t xml:space="preserve"> 2005; </w:t>
      </w:r>
      <w:r>
        <w:rPr>
          <w:rFonts w:ascii="Book Antiqua" w:hAnsi="Book Antiqua"/>
          <w:b/>
          <w:kern w:val="2"/>
          <w:sz w:val="24"/>
          <w:szCs w:val="24"/>
        </w:rPr>
        <w:t>74</w:t>
      </w:r>
      <w:r>
        <w:rPr>
          <w:rFonts w:ascii="Book Antiqua" w:hAnsi="Book Antiqua"/>
          <w:kern w:val="2"/>
          <w:sz w:val="24"/>
          <w:szCs w:val="24"/>
        </w:rPr>
        <w:t>: 127-134 [PMID: 15753624 DOI: 10.1159/000084295]</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36 </w:t>
      </w:r>
      <w:r>
        <w:rPr>
          <w:rFonts w:ascii="Book Antiqua" w:hAnsi="Book Antiqua"/>
          <w:b/>
          <w:kern w:val="2"/>
          <w:sz w:val="24"/>
          <w:szCs w:val="24"/>
        </w:rPr>
        <w:t>Wang P</w:t>
      </w:r>
      <w:r>
        <w:rPr>
          <w:rFonts w:ascii="Book Antiqua" w:hAnsi="Book Antiqua"/>
          <w:kern w:val="2"/>
          <w:sz w:val="24"/>
          <w:szCs w:val="24"/>
        </w:rPr>
        <w:t xml:space="preserve">, Du C, Chen FX, Li CQ, Yu YB, Han T, </w:t>
      </w:r>
      <w:proofErr w:type="spellStart"/>
      <w:r>
        <w:rPr>
          <w:rFonts w:ascii="Book Antiqua" w:hAnsi="Book Antiqua"/>
          <w:kern w:val="2"/>
          <w:sz w:val="24"/>
          <w:szCs w:val="24"/>
        </w:rPr>
        <w:t>Akhtar</w:t>
      </w:r>
      <w:proofErr w:type="spellEnd"/>
      <w:r>
        <w:rPr>
          <w:rFonts w:ascii="Book Antiqua" w:hAnsi="Book Antiqua"/>
          <w:kern w:val="2"/>
          <w:sz w:val="24"/>
          <w:szCs w:val="24"/>
        </w:rPr>
        <w:t xml:space="preserve"> S, </w:t>
      </w:r>
      <w:proofErr w:type="spellStart"/>
      <w:r>
        <w:rPr>
          <w:rFonts w:ascii="Book Antiqua" w:hAnsi="Book Antiqua"/>
          <w:kern w:val="2"/>
          <w:sz w:val="24"/>
          <w:szCs w:val="24"/>
        </w:rPr>
        <w:t>Zuo</w:t>
      </w:r>
      <w:proofErr w:type="spellEnd"/>
      <w:r>
        <w:rPr>
          <w:rFonts w:ascii="Book Antiqua" w:hAnsi="Book Antiqua"/>
          <w:kern w:val="2"/>
          <w:sz w:val="24"/>
          <w:szCs w:val="24"/>
        </w:rPr>
        <w:t xml:space="preserve"> XL, Tan XD, Li YQ. BDNF contributes to IBS-like colonic hypersensitivity via activating the </w:t>
      </w:r>
      <w:proofErr w:type="spellStart"/>
      <w:r>
        <w:rPr>
          <w:rFonts w:ascii="Book Antiqua" w:hAnsi="Book Antiqua"/>
          <w:kern w:val="2"/>
          <w:sz w:val="24"/>
          <w:szCs w:val="24"/>
        </w:rPr>
        <w:t>enteroglia</w:t>
      </w:r>
      <w:proofErr w:type="spellEnd"/>
      <w:r>
        <w:rPr>
          <w:rFonts w:ascii="Book Antiqua" w:hAnsi="Book Antiqua"/>
          <w:kern w:val="2"/>
          <w:sz w:val="24"/>
          <w:szCs w:val="24"/>
        </w:rPr>
        <w:t xml:space="preserve">-nerve unit. </w:t>
      </w:r>
      <w:proofErr w:type="spellStart"/>
      <w:r>
        <w:rPr>
          <w:rFonts w:ascii="Book Antiqua" w:hAnsi="Book Antiqua"/>
          <w:i/>
          <w:kern w:val="2"/>
          <w:sz w:val="24"/>
          <w:szCs w:val="24"/>
        </w:rPr>
        <w:t>Sci</w:t>
      </w:r>
      <w:proofErr w:type="spellEnd"/>
      <w:r>
        <w:rPr>
          <w:rFonts w:ascii="Book Antiqua" w:hAnsi="Book Antiqua"/>
          <w:i/>
          <w:kern w:val="2"/>
          <w:sz w:val="24"/>
          <w:szCs w:val="24"/>
        </w:rPr>
        <w:t xml:space="preserve"> Rep</w:t>
      </w:r>
      <w:r>
        <w:rPr>
          <w:rFonts w:ascii="Book Antiqua" w:hAnsi="Book Antiqua"/>
          <w:kern w:val="2"/>
          <w:sz w:val="24"/>
          <w:szCs w:val="24"/>
        </w:rPr>
        <w:t xml:space="preserve"> 2016; </w:t>
      </w:r>
      <w:r>
        <w:rPr>
          <w:rFonts w:ascii="Book Antiqua" w:hAnsi="Book Antiqua"/>
          <w:b/>
          <w:kern w:val="2"/>
          <w:sz w:val="24"/>
          <w:szCs w:val="24"/>
        </w:rPr>
        <w:t>6</w:t>
      </w:r>
      <w:r>
        <w:rPr>
          <w:rFonts w:ascii="Book Antiqua" w:hAnsi="Book Antiqua"/>
          <w:kern w:val="2"/>
          <w:sz w:val="24"/>
          <w:szCs w:val="24"/>
        </w:rPr>
        <w:t>: 20320 [PMID: 26837784 DOI: 10.1038/srep20320]</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37 </w:t>
      </w:r>
      <w:proofErr w:type="spellStart"/>
      <w:r>
        <w:rPr>
          <w:rFonts w:ascii="Book Antiqua" w:hAnsi="Book Antiqua"/>
          <w:b/>
          <w:kern w:val="2"/>
          <w:sz w:val="24"/>
          <w:szCs w:val="24"/>
        </w:rPr>
        <w:t>Andero</w:t>
      </w:r>
      <w:proofErr w:type="spellEnd"/>
      <w:r>
        <w:rPr>
          <w:rFonts w:ascii="Book Antiqua" w:hAnsi="Book Antiqua"/>
          <w:b/>
          <w:kern w:val="2"/>
          <w:sz w:val="24"/>
          <w:szCs w:val="24"/>
        </w:rPr>
        <w:t xml:space="preserve"> R</w:t>
      </w:r>
      <w:r>
        <w:rPr>
          <w:rFonts w:ascii="Book Antiqua" w:hAnsi="Book Antiqua"/>
          <w:kern w:val="2"/>
          <w:sz w:val="24"/>
          <w:szCs w:val="24"/>
        </w:rPr>
        <w:t>, Choi DC, Ressler KJ. BDNF-</w:t>
      </w:r>
      <w:proofErr w:type="spellStart"/>
      <w:r>
        <w:rPr>
          <w:rFonts w:ascii="Book Antiqua" w:hAnsi="Book Antiqua"/>
          <w:kern w:val="2"/>
          <w:sz w:val="24"/>
          <w:szCs w:val="24"/>
        </w:rPr>
        <w:t>TrkB</w:t>
      </w:r>
      <w:proofErr w:type="spellEnd"/>
      <w:r>
        <w:rPr>
          <w:rFonts w:ascii="Book Antiqua" w:hAnsi="Book Antiqua"/>
          <w:kern w:val="2"/>
          <w:sz w:val="24"/>
          <w:szCs w:val="24"/>
        </w:rPr>
        <w:t xml:space="preserve"> receptor regulation of distributed adult neural plasticity, memory formation, and psychiatric </w:t>
      </w:r>
      <w:r>
        <w:rPr>
          <w:rFonts w:ascii="Book Antiqua" w:hAnsi="Book Antiqua"/>
          <w:kern w:val="2"/>
          <w:sz w:val="24"/>
          <w:szCs w:val="24"/>
        </w:rPr>
        <w:lastRenderedPageBreak/>
        <w:t xml:space="preserve">disorders. </w:t>
      </w:r>
      <w:proofErr w:type="spellStart"/>
      <w:r>
        <w:rPr>
          <w:rFonts w:ascii="Book Antiqua" w:hAnsi="Book Antiqua"/>
          <w:i/>
          <w:kern w:val="2"/>
          <w:sz w:val="24"/>
          <w:szCs w:val="24"/>
        </w:rPr>
        <w:t>Prog</w:t>
      </w:r>
      <w:proofErr w:type="spellEnd"/>
      <w:r>
        <w:rPr>
          <w:rFonts w:ascii="Book Antiqua" w:hAnsi="Book Antiqua"/>
          <w:i/>
          <w:kern w:val="2"/>
          <w:sz w:val="24"/>
          <w:szCs w:val="24"/>
        </w:rPr>
        <w:t xml:space="preserve"> </w:t>
      </w:r>
      <w:proofErr w:type="spellStart"/>
      <w:r>
        <w:rPr>
          <w:rFonts w:ascii="Book Antiqua" w:hAnsi="Book Antiqua"/>
          <w:i/>
          <w:kern w:val="2"/>
          <w:sz w:val="24"/>
          <w:szCs w:val="24"/>
        </w:rPr>
        <w:t>Mol</w:t>
      </w:r>
      <w:proofErr w:type="spellEnd"/>
      <w:r>
        <w:rPr>
          <w:rFonts w:ascii="Book Antiqua" w:hAnsi="Book Antiqua"/>
          <w:i/>
          <w:kern w:val="2"/>
          <w:sz w:val="24"/>
          <w:szCs w:val="24"/>
        </w:rPr>
        <w:t xml:space="preserve"> </w:t>
      </w:r>
      <w:proofErr w:type="spellStart"/>
      <w:r>
        <w:rPr>
          <w:rFonts w:ascii="Book Antiqua" w:hAnsi="Book Antiqua"/>
          <w:i/>
          <w:kern w:val="2"/>
          <w:sz w:val="24"/>
          <w:szCs w:val="24"/>
        </w:rPr>
        <w:t>Biol</w:t>
      </w:r>
      <w:proofErr w:type="spellEnd"/>
      <w:r>
        <w:rPr>
          <w:rFonts w:ascii="Book Antiqua" w:hAnsi="Book Antiqua"/>
          <w:i/>
          <w:kern w:val="2"/>
          <w:sz w:val="24"/>
          <w:szCs w:val="24"/>
        </w:rPr>
        <w:t xml:space="preserve"> </w:t>
      </w:r>
      <w:proofErr w:type="spellStart"/>
      <w:r>
        <w:rPr>
          <w:rFonts w:ascii="Book Antiqua" w:hAnsi="Book Antiqua"/>
          <w:i/>
          <w:kern w:val="2"/>
          <w:sz w:val="24"/>
          <w:szCs w:val="24"/>
        </w:rPr>
        <w:t>Transl</w:t>
      </w:r>
      <w:proofErr w:type="spellEnd"/>
      <w:r>
        <w:rPr>
          <w:rFonts w:ascii="Book Antiqua" w:hAnsi="Book Antiqua"/>
          <w:i/>
          <w:kern w:val="2"/>
          <w:sz w:val="24"/>
          <w:szCs w:val="24"/>
        </w:rPr>
        <w:t xml:space="preserve"> </w:t>
      </w:r>
      <w:proofErr w:type="spellStart"/>
      <w:r>
        <w:rPr>
          <w:rFonts w:ascii="Book Antiqua" w:hAnsi="Book Antiqua"/>
          <w:i/>
          <w:kern w:val="2"/>
          <w:sz w:val="24"/>
          <w:szCs w:val="24"/>
        </w:rPr>
        <w:t>Sci</w:t>
      </w:r>
      <w:proofErr w:type="spellEnd"/>
      <w:r>
        <w:rPr>
          <w:rFonts w:ascii="Book Antiqua" w:hAnsi="Book Antiqua"/>
          <w:kern w:val="2"/>
          <w:sz w:val="24"/>
          <w:szCs w:val="24"/>
        </w:rPr>
        <w:t xml:space="preserve"> 2014; </w:t>
      </w:r>
      <w:r>
        <w:rPr>
          <w:rFonts w:ascii="Book Antiqua" w:hAnsi="Book Antiqua"/>
          <w:b/>
          <w:kern w:val="2"/>
          <w:sz w:val="24"/>
          <w:szCs w:val="24"/>
        </w:rPr>
        <w:t>122</w:t>
      </w:r>
      <w:r>
        <w:rPr>
          <w:rFonts w:ascii="Book Antiqua" w:hAnsi="Book Antiqua"/>
          <w:kern w:val="2"/>
          <w:sz w:val="24"/>
          <w:szCs w:val="24"/>
        </w:rPr>
        <w:t>: 169-192 [PMID: 24484701 DOI: 10.1016/B978-0-12-420170-5.00006-4]</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38 </w:t>
      </w:r>
      <w:proofErr w:type="spellStart"/>
      <w:r>
        <w:rPr>
          <w:rFonts w:ascii="Book Antiqua" w:hAnsi="Book Antiqua"/>
          <w:b/>
          <w:kern w:val="2"/>
          <w:sz w:val="24"/>
          <w:szCs w:val="24"/>
        </w:rPr>
        <w:t>Boesmans</w:t>
      </w:r>
      <w:proofErr w:type="spellEnd"/>
      <w:r>
        <w:rPr>
          <w:rFonts w:ascii="Book Antiqua" w:hAnsi="Book Antiqua"/>
          <w:b/>
          <w:kern w:val="2"/>
          <w:sz w:val="24"/>
          <w:szCs w:val="24"/>
        </w:rPr>
        <w:t xml:space="preserve"> W</w:t>
      </w:r>
      <w:r>
        <w:rPr>
          <w:rFonts w:ascii="Book Antiqua" w:hAnsi="Book Antiqua"/>
          <w:kern w:val="2"/>
          <w:sz w:val="24"/>
          <w:szCs w:val="24"/>
        </w:rPr>
        <w:t xml:space="preserve">, Gomes P, </w:t>
      </w:r>
      <w:proofErr w:type="spellStart"/>
      <w:r>
        <w:rPr>
          <w:rFonts w:ascii="Book Antiqua" w:hAnsi="Book Antiqua"/>
          <w:kern w:val="2"/>
          <w:sz w:val="24"/>
          <w:szCs w:val="24"/>
        </w:rPr>
        <w:t>Janssens</w:t>
      </w:r>
      <w:proofErr w:type="spellEnd"/>
      <w:r>
        <w:rPr>
          <w:rFonts w:ascii="Book Antiqua" w:hAnsi="Book Antiqua"/>
          <w:kern w:val="2"/>
          <w:sz w:val="24"/>
          <w:szCs w:val="24"/>
        </w:rPr>
        <w:t xml:space="preserve"> J, Tack J, </w:t>
      </w:r>
      <w:proofErr w:type="spellStart"/>
      <w:r>
        <w:rPr>
          <w:rFonts w:ascii="Book Antiqua" w:hAnsi="Book Antiqua"/>
          <w:kern w:val="2"/>
          <w:sz w:val="24"/>
          <w:szCs w:val="24"/>
        </w:rPr>
        <w:t>Vanden</w:t>
      </w:r>
      <w:proofErr w:type="spellEnd"/>
      <w:r>
        <w:rPr>
          <w:rFonts w:ascii="Book Antiqua" w:hAnsi="Book Antiqua"/>
          <w:kern w:val="2"/>
          <w:sz w:val="24"/>
          <w:szCs w:val="24"/>
        </w:rPr>
        <w:t xml:space="preserve"> </w:t>
      </w:r>
      <w:proofErr w:type="spellStart"/>
      <w:r>
        <w:rPr>
          <w:rFonts w:ascii="Book Antiqua" w:hAnsi="Book Antiqua"/>
          <w:kern w:val="2"/>
          <w:sz w:val="24"/>
          <w:szCs w:val="24"/>
        </w:rPr>
        <w:t>Berghe</w:t>
      </w:r>
      <w:proofErr w:type="spellEnd"/>
      <w:r>
        <w:rPr>
          <w:rFonts w:ascii="Book Antiqua" w:hAnsi="Book Antiqua"/>
          <w:kern w:val="2"/>
          <w:sz w:val="24"/>
          <w:szCs w:val="24"/>
        </w:rPr>
        <w:t xml:space="preserve"> P. Brain-derived neurotrophic factor amplifies neurotransmitter responses and promotes synaptic communication in the enteric nervous system. </w:t>
      </w:r>
      <w:r>
        <w:rPr>
          <w:rFonts w:ascii="Book Antiqua" w:hAnsi="Book Antiqua"/>
          <w:i/>
          <w:kern w:val="2"/>
          <w:sz w:val="24"/>
          <w:szCs w:val="24"/>
        </w:rPr>
        <w:t>Gut</w:t>
      </w:r>
      <w:r>
        <w:rPr>
          <w:rFonts w:ascii="Book Antiqua" w:hAnsi="Book Antiqua"/>
          <w:kern w:val="2"/>
          <w:sz w:val="24"/>
          <w:szCs w:val="24"/>
        </w:rPr>
        <w:t xml:space="preserve"> 2008; </w:t>
      </w:r>
      <w:r>
        <w:rPr>
          <w:rFonts w:ascii="Book Antiqua" w:hAnsi="Book Antiqua"/>
          <w:b/>
          <w:kern w:val="2"/>
          <w:sz w:val="24"/>
          <w:szCs w:val="24"/>
        </w:rPr>
        <w:t>57</w:t>
      </w:r>
      <w:r>
        <w:rPr>
          <w:rFonts w:ascii="Book Antiqua" w:hAnsi="Book Antiqua"/>
          <w:kern w:val="2"/>
          <w:sz w:val="24"/>
          <w:szCs w:val="24"/>
        </w:rPr>
        <w:t>: 314-322 [PMID: 17965066 DOI: 10.1136/gut.2007.131839]</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39 </w:t>
      </w:r>
      <w:r>
        <w:rPr>
          <w:rFonts w:ascii="Book Antiqua" w:hAnsi="Book Antiqua"/>
          <w:b/>
          <w:kern w:val="2"/>
          <w:sz w:val="24"/>
          <w:szCs w:val="24"/>
        </w:rPr>
        <w:t>Deng J</w:t>
      </w:r>
      <w:r>
        <w:rPr>
          <w:rFonts w:ascii="Book Antiqua" w:hAnsi="Book Antiqua"/>
          <w:kern w:val="2"/>
          <w:sz w:val="24"/>
          <w:szCs w:val="24"/>
        </w:rPr>
        <w:t xml:space="preserve">, He P, </w:t>
      </w:r>
      <w:proofErr w:type="spellStart"/>
      <w:r>
        <w:rPr>
          <w:rFonts w:ascii="Book Antiqua" w:hAnsi="Book Antiqua"/>
          <w:kern w:val="2"/>
          <w:sz w:val="24"/>
          <w:szCs w:val="24"/>
        </w:rPr>
        <w:t>Zhong</w:t>
      </w:r>
      <w:proofErr w:type="spellEnd"/>
      <w:r>
        <w:rPr>
          <w:rFonts w:ascii="Book Antiqua" w:hAnsi="Book Antiqua"/>
          <w:kern w:val="2"/>
          <w:sz w:val="24"/>
          <w:szCs w:val="24"/>
        </w:rPr>
        <w:t xml:space="preserve"> X, Wang Q, Li L, Song B. Identification of T-type calcium channels in the interstitial cells of </w:t>
      </w:r>
      <w:proofErr w:type="spellStart"/>
      <w:r>
        <w:rPr>
          <w:rFonts w:ascii="Book Antiqua" w:hAnsi="Book Antiqua"/>
          <w:kern w:val="2"/>
          <w:sz w:val="24"/>
          <w:szCs w:val="24"/>
        </w:rPr>
        <w:t>Cajal</w:t>
      </w:r>
      <w:proofErr w:type="spellEnd"/>
      <w:r>
        <w:rPr>
          <w:rFonts w:ascii="Book Antiqua" w:hAnsi="Book Antiqua"/>
          <w:kern w:val="2"/>
          <w:sz w:val="24"/>
          <w:szCs w:val="24"/>
        </w:rPr>
        <w:t xml:space="preserve"> in rat bladder. </w:t>
      </w:r>
      <w:r>
        <w:rPr>
          <w:rFonts w:ascii="Book Antiqua" w:hAnsi="Book Antiqua"/>
          <w:i/>
          <w:kern w:val="2"/>
          <w:sz w:val="24"/>
          <w:szCs w:val="24"/>
        </w:rPr>
        <w:t>Urology</w:t>
      </w:r>
      <w:r>
        <w:rPr>
          <w:rFonts w:ascii="Book Antiqua" w:hAnsi="Book Antiqua"/>
          <w:kern w:val="2"/>
          <w:sz w:val="24"/>
          <w:szCs w:val="24"/>
        </w:rPr>
        <w:t xml:space="preserve"> 2012; </w:t>
      </w:r>
      <w:r>
        <w:rPr>
          <w:rFonts w:ascii="Book Antiqua" w:hAnsi="Book Antiqua"/>
          <w:b/>
          <w:kern w:val="2"/>
          <w:sz w:val="24"/>
          <w:szCs w:val="24"/>
        </w:rPr>
        <w:t>80</w:t>
      </w:r>
      <w:r>
        <w:rPr>
          <w:rFonts w:ascii="Book Antiqua" w:hAnsi="Book Antiqua"/>
          <w:kern w:val="2"/>
          <w:sz w:val="24"/>
          <w:szCs w:val="24"/>
        </w:rPr>
        <w:t>: 1389.e1-1389.e7 [PMID: 22995572 DOI: 10.1016/j.urology.2012.07.031]</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40 </w:t>
      </w:r>
      <w:proofErr w:type="spellStart"/>
      <w:r>
        <w:rPr>
          <w:rFonts w:ascii="Book Antiqua" w:hAnsi="Book Antiqua"/>
          <w:b/>
          <w:kern w:val="2"/>
          <w:sz w:val="24"/>
          <w:szCs w:val="24"/>
        </w:rPr>
        <w:t>Jee</w:t>
      </w:r>
      <w:proofErr w:type="spellEnd"/>
      <w:r>
        <w:rPr>
          <w:rFonts w:ascii="Book Antiqua" w:hAnsi="Book Antiqua"/>
          <w:b/>
          <w:kern w:val="2"/>
          <w:sz w:val="24"/>
          <w:szCs w:val="24"/>
        </w:rPr>
        <w:t xml:space="preserve"> SR</w:t>
      </w:r>
      <w:r>
        <w:rPr>
          <w:rFonts w:ascii="Book Antiqua" w:hAnsi="Book Antiqua"/>
          <w:kern w:val="2"/>
          <w:sz w:val="24"/>
          <w:szCs w:val="24"/>
        </w:rPr>
        <w:t xml:space="preserve">, Morales W, Low K, Chang C, Zhu A, </w:t>
      </w:r>
      <w:proofErr w:type="spellStart"/>
      <w:r>
        <w:rPr>
          <w:rFonts w:ascii="Book Antiqua" w:hAnsi="Book Antiqua"/>
          <w:kern w:val="2"/>
          <w:sz w:val="24"/>
          <w:szCs w:val="24"/>
        </w:rPr>
        <w:t>Pokkunuri</w:t>
      </w:r>
      <w:proofErr w:type="spellEnd"/>
      <w:r>
        <w:rPr>
          <w:rFonts w:ascii="Book Antiqua" w:hAnsi="Book Antiqua"/>
          <w:kern w:val="2"/>
          <w:sz w:val="24"/>
          <w:szCs w:val="24"/>
        </w:rPr>
        <w:t xml:space="preserve"> V, </w:t>
      </w:r>
      <w:proofErr w:type="spellStart"/>
      <w:r>
        <w:rPr>
          <w:rFonts w:ascii="Book Antiqua" w:hAnsi="Book Antiqua"/>
          <w:kern w:val="2"/>
          <w:sz w:val="24"/>
          <w:szCs w:val="24"/>
        </w:rPr>
        <w:t>Chatterjee</w:t>
      </w:r>
      <w:proofErr w:type="spellEnd"/>
      <w:r>
        <w:rPr>
          <w:rFonts w:ascii="Book Antiqua" w:hAnsi="Book Antiqua"/>
          <w:kern w:val="2"/>
          <w:sz w:val="24"/>
          <w:szCs w:val="24"/>
        </w:rPr>
        <w:t xml:space="preserve"> S, </w:t>
      </w:r>
      <w:proofErr w:type="spellStart"/>
      <w:r>
        <w:rPr>
          <w:rFonts w:ascii="Book Antiqua" w:hAnsi="Book Antiqua"/>
          <w:kern w:val="2"/>
          <w:sz w:val="24"/>
          <w:szCs w:val="24"/>
        </w:rPr>
        <w:t>Soffer</w:t>
      </w:r>
      <w:proofErr w:type="spellEnd"/>
      <w:r>
        <w:rPr>
          <w:rFonts w:ascii="Book Antiqua" w:hAnsi="Book Antiqua"/>
          <w:kern w:val="2"/>
          <w:sz w:val="24"/>
          <w:szCs w:val="24"/>
        </w:rPr>
        <w:t xml:space="preserve"> E, Conklin JL, Pimentel M. ICC density predicts bacterial overgrowth in a rat model of post-infectious IBS. </w:t>
      </w:r>
      <w:r>
        <w:rPr>
          <w:rFonts w:ascii="Book Antiqua" w:hAnsi="Book Antiqua"/>
          <w:i/>
          <w:kern w:val="2"/>
          <w:sz w:val="24"/>
          <w:szCs w:val="24"/>
        </w:rPr>
        <w:t xml:space="preserve">World J </w:t>
      </w:r>
      <w:proofErr w:type="spellStart"/>
      <w:r>
        <w:rPr>
          <w:rFonts w:ascii="Book Antiqua" w:hAnsi="Book Antiqua"/>
          <w:i/>
          <w:kern w:val="2"/>
          <w:sz w:val="24"/>
          <w:szCs w:val="24"/>
        </w:rPr>
        <w:t>Gastroenterol</w:t>
      </w:r>
      <w:proofErr w:type="spellEnd"/>
      <w:r>
        <w:rPr>
          <w:rFonts w:ascii="Book Antiqua" w:hAnsi="Book Antiqua"/>
          <w:kern w:val="2"/>
          <w:sz w:val="24"/>
          <w:szCs w:val="24"/>
        </w:rPr>
        <w:t xml:space="preserve"> 2010; </w:t>
      </w:r>
      <w:r>
        <w:rPr>
          <w:rFonts w:ascii="Book Antiqua" w:hAnsi="Book Antiqua"/>
          <w:b/>
          <w:kern w:val="2"/>
          <w:sz w:val="24"/>
          <w:szCs w:val="24"/>
        </w:rPr>
        <w:t>16</w:t>
      </w:r>
      <w:r>
        <w:rPr>
          <w:rFonts w:ascii="Book Antiqua" w:hAnsi="Book Antiqua"/>
          <w:kern w:val="2"/>
          <w:sz w:val="24"/>
          <w:szCs w:val="24"/>
        </w:rPr>
        <w:t>: 3680-3686 [PMID: 20677340 DOI: 10.3748/wjg.v16.i29.3680]</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41 </w:t>
      </w:r>
      <w:proofErr w:type="spellStart"/>
      <w:r>
        <w:rPr>
          <w:rFonts w:ascii="Book Antiqua" w:hAnsi="Book Antiqua"/>
          <w:b/>
          <w:kern w:val="2"/>
          <w:sz w:val="24"/>
          <w:szCs w:val="24"/>
        </w:rPr>
        <w:t>Abramovic</w:t>
      </w:r>
      <w:proofErr w:type="spellEnd"/>
      <w:r>
        <w:rPr>
          <w:rFonts w:ascii="Book Antiqua" w:hAnsi="Book Antiqua"/>
          <w:b/>
          <w:kern w:val="2"/>
          <w:sz w:val="24"/>
          <w:szCs w:val="24"/>
        </w:rPr>
        <w:t xml:space="preserve"> M</w:t>
      </w:r>
      <w:r>
        <w:rPr>
          <w:rFonts w:ascii="Book Antiqua" w:hAnsi="Book Antiqua"/>
          <w:kern w:val="2"/>
          <w:sz w:val="24"/>
          <w:szCs w:val="24"/>
        </w:rPr>
        <w:t xml:space="preserve">, </w:t>
      </w:r>
      <w:proofErr w:type="spellStart"/>
      <w:r>
        <w:rPr>
          <w:rFonts w:ascii="Book Antiqua" w:hAnsi="Book Antiqua"/>
          <w:kern w:val="2"/>
          <w:sz w:val="24"/>
          <w:szCs w:val="24"/>
        </w:rPr>
        <w:t>Radenkovic</w:t>
      </w:r>
      <w:proofErr w:type="spellEnd"/>
      <w:r>
        <w:rPr>
          <w:rFonts w:ascii="Book Antiqua" w:hAnsi="Book Antiqua"/>
          <w:kern w:val="2"/>
          <w:sz w:val="24"/>
          <w:szCs w:val="24"/>
        </w:rPr>
        <w:t xml:space="preserve"> G, </w:t>
      </w:r>
      <w:proofErr w:type="spellStart"/>
      <w:r>
        <w:rPr>
          <w:rFonts w:ascii="Book Antiqua" w:hAnsi="Book Antiqua"/>
          <w:kern w:val="2"/>
          <w:sz w:val="24"/>
          <w:szCs w:val="24"/>
        </w:rPr>
        <w:t>Velickov</w:t>
      </w:r>
      <w:proofErr w:type="spellEnd"/>
      <w:r>
        <w:rPr>
          <w:rFonts w:ascii="Book Antiqua" w:hAnsi="Book Antiqua"/>
          <w:kern w:val="2"/>
          <w:sz w:val="24"/>
          <w:szCs w:val="24"/>
        </w:rPr>
        <w:t xml:space="preserve"> A. Appearance of interstitial cells of </w:t>
      </w:r>
      <w:proofErr w:type="spellStart"/>
      <w:r>
        <w:rPr>
          <w:rFonts w:ascii="Book Antiqua" w:hAnsi="Book Antiqua"/>
          <w:kern w:val="2"/>
          <w:sz w:val="24"/>
          <w:szCs w:val="24"/>
        </w:rPr>
        <w:t>Cajal</w:t>
      </w:r>
      <w:proofErr w:type="spellEnd"/>
      <w:r>
        <w:rPr>
          <w:rFonts w:ascii="Book Antiqua" w:hAnsi="Book Antiqua"/>
          <w:kern w:val="2"/>
          <w:sz w:val="24"/>
          <w:szCs w:val="24"/>
        </w:rPr>
        <w:t xml:space="preserve"> in the human midgut. </w:t>
      </w:r>
      <w:r>
        <w:rPr>
          <w:rFonts w:ascii="Book Antiqua" w:hAnsi="Book Antiqua"/>
          <w:i/>
          <w:kern w:val="2"/>
          <w:sz w:val="24"/>
          <w:szCs w:val="24"/>
        </w:rPr>
        <w:t>Cell Tissue Res</w:t>
      </w:r>
      <w:r>
        <w:rPr>
          <w:rFonts w:ascii="Book Antiqua" w:hAnsi="Book Antiqua"/>
          <w:kern w:val="2"/>
          <w:sz w:val="24"/>
          <w:szCs w:val="24"/>
        </w:rPr>
        <w:t xml:space="preserve"> 2014; </w:t>
      </w:r>
      <w:r>
        <w:rPr>
          <w:rFonts w:ascii="Book Antiqua" w:hAnsi="Book Antiqua"/>
          <w:b/>
          <w:kern w:val="2"/>
          <w:sz w:val="24"/>
          <w:szCs w:val="24"/>
        </w:rPr>
        <w:t>356</w:t>
      </w:r>
      <w:r>
        <w:rPr>
          <w:rFonts w:ascii="Book Antiqua" w:hAnsi="Book Antiqua"/>
          <w:kern w:val="2"/>
          <w:sz w:val="24"/>
          <w:szCs w:val="24"/>
        </w:rPr>
        <w:t>: 9-14 [PMID: 24414177 DOI: 10.1007/s00441-013-1772-x]</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42 </w:t>
      </w:r>
      <w:r>
        <w:rPr>
          <w:rFonts w:ascii="Book Antiqua" w:hAnsi="Book Antiqua"/>
          <w:b/>
          <w:kern w:val="2"/>
          <w:sz w:val="24"/>
          <w:szCs w:val="24"/>
        </w:rPr>
        <w:t>Li Z</w:t>
      </w:r>
      <w:r>
        <w:rPr>
          <w:rFonts w:ascii="Book Antiqua" w:hAnsi="Book Antiqua"/>
          <w:kern w:val="2"/>
          <w:sz w:val="24"/>
          <w:szCs w:val="24"/>
        </w:rPr>
        <w:t xml:space="preserve">, Zheng H, Li GB, </w:t>
      </w:r>
      <w:proofErr w:type="spellStart"/>
      <w:r>
        <w:rPr>
          <w:rFonts w:ascii="Book Antiqua" w:hAnsi="Book Antiqua"/>
          <w:kern w:val="2"/>
          <w:sz w:val="24"/>
          <w:szCs w:val="24"/>
        </w:rPr>
        <w:t>Zhi</w:t>
      </w:r>
      <w:proofErr w:type="spellEnd"/>
      <w:r>
        <w:rPr>
          <w:rFonts w:ascii="Book Antiqua" w:hAnsi="Book Antiqua"/>
          <w:kern w:val="2"/>
          <w:sz w:val="24"/>
          <w:szCs w:val="24"/>
        </w:rPr>
        <w:t xml:space="preserve"> H, Yuan WT. [Alterations of </w:t>
      </w:r>
      <w:proofErr w:type="spellStart"/>
      <w:r>
        <w:rPr>
          <w:rFonts w:ascii="Book Antiqua" w:hAnsi="Book Antiqua"/>
          <w:kern w:val="2"/>
          <w:sz w:val="24"/>
          <w:szCs w:val="24"/>
        </w:rPr>
        <w:t>Cajal</w:t>
      </w:r>
      <w:proofErr w:type="spellEnd"/>
      <w:r>
        <w:rPr>
          <w:rFonts w:ascii="Book Antiqua" w:hAnsi="Book Antiqua"/>
          <w:kern w:val="2"/>
          <w:sz w:val="24"/>
          <w:szCs w:val="24"/>
        </w:rPr>
        <w:t xml:space="preserve"> cells in the colon of slow transit constipation rats]. </w:t>
      </w:r>
      <w:proofErr w:type="spellStart"/>
      <w:r>
        <w:rPr>
          <w:rFonts w:ascii="Book Antiqua" w:hAnsi="Book Antiqua"/>
          <w:i/>
          <w:kern w:val="2"/>
          <w:sz w:val="24"/>
          <w:szCs w:val="24"/>
        </w:rPr>
        <w:t>Zhonghua</w:t>
      </w:r>
      <w:proofErr w:type="spellEnd"/>
      <w:r>
        <w:rPr>
          <w:rFonts w:ascii="Book Antiqua" w:hAnsi="Book Antiqua"/>
          <w:i/>
          <w:kern w:val="2"/>
          <w:sz w:val="24"/>
          <w:szCs w:val="24"/>
        </w:rPr>
        <w:t xml:space="preserve"> Wei Chang </w:t>
      </w:r>
      <w:proofErr w:type="spellStart"/>
      <w:r>
        <w:rPr>
          <w:rFonts w:ascii="Book Antiqua" w:hAnsi="Book Antiqua"/>
          <w:i/>
          <w:kern w:val="2"/>
          <w:sz w:val="24"/>
          <w:szCs w:val="24"/>
        </w:rPr>
        <w:t>Wai</w:t>
      </w:r>
      <w:proofErr w:type="spellEnd"/>
      <w:r>
        <w:rPr>
          <w:rFonts w:ascii="Book Antiqua" w:hAnsi="Book Antiqua"/>
          <w:i/>
          <w:kern w:val="2"/>
          <w:sz w:val="24"/>
          <w:szCs w:val="24"/>
        </w:rPr>
        <w:t xml:space="preserve"> </w:t>
      </w:r>
      <w:proofErr w:type="spellStart"/>
      <w:r>
        <w:rPr>
          <w:rFonts w:ascii="Book Antiqua" w:hAnsi="Book Antiqua"/>
          <w:i/>
          <w:kern w:val="2"/>
          <w:sz w:val="24"/>
          <w:szCs w:val="24"/>
        </w:rPr>
        <w:t>Ke</w:t>
      </w:r>
      <w:proofErr w:type="spellEnd"/>
      <w:r>
        <w:rPr>
          <w:rFonts w:ascii="Book Antiqua" w:hAnsi="Book Antiqua"/>
          <w:i/>
          <w:kern w:val="2"/>
          <w:sz w:val="24"/>
          <w:szCs w:val="24"/>
        </w:rPr>
        <w:t xml:space="preserve"> </w:t>
      </w:r>
      <w:proofErr w:type="spellStart"/>
      <w:r>
        <w:rPr>
          <w:rFonts w:ascii="Book Antiqua" w:hAnsi="Book Antiqua"/>
          <w:i/>
          <w:kern w:val="2"/>
          <w:sz w:val="24"/>
          <w:szCs w:val="24"/>
        </w:rPr>
        <w:t>Za</w:t>
      </w:r>
      <w:proofErr w:type="spellEnd"/>
      <w:r>
        <w:rPr>
          <w:rFonts w:ascii="Book Antiqua" w:hAnsi="Book Antiqua"/>
          <w:i/>
          <w:kern w:val="2"/>
          <w:sz w:val="24"/>
          <w:szCs w:val="24"/>
        </w:rPr>
        <w:t xml:space="preserve"> </w:t>
      </w:r>
      <w:proofErr w:type="spellStart"/>
      <w:r>
        <w:rPr>
          <w:rFonts w:ascii="Book Antiqua" w:hAnsi="Book Antiqua"/>
          <w:i/>
          <w:kern w:val="2"/>
          <w:sz w:val="24"/>
          <w:szCs w:val="24"/>
        </w:rPr>
        <w:t>Zhi</w:t>
      </w:r>
      <w:proofErr w:type="spellEnd"/>
      <w:r>
        <w:rPr>
          <w:rFonts w:ascii="Book Antiqua" w:hAnsi="Book Antiqua"/>
          <w:kern w:val="2"/>
          <w:sz w:val="24"/>
          <w:szCs w:val="24"/>
        </w:rPr>
        <w:t xml:space="preserve"> 2013; </w:t>
      </w:r>
      <w:r>
        <w:rPr>
          <w:rFonts w:ascii="Book Antiqua" w:hAnsi="Book Antiqua"/>
          <w:b/>
          <w:kern w:val="2"/>
          <w:sz w:val="24"/>
          <w:szCs w:val="24"/>
        </w:rPr>
        <w:t>16</w:t>
      </w:r>
      <w:r>
        <w:rPr>
          <w:rFonts w:ascii="Book Antiqua" w:hAnsi="Book Antiqua"/>
          <w:kern w:val="2"/>
          <w:sz w:val="24"/>
          <w:szCs w:val="24"/>
        </w:rPr>
        <w:t>: 777-779 [PMID: 23980052]</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43 </w:t>
      </w:r>
      <w:proofErr w:type="spellStart"/>
      <w:r>
        <w:rPr>
          <w:rFonts w:ascii="Book Antiqua" w:hAnsi="Book Antiqua"/>
          <w:b/>
          <w:kern w:val="2"/>
          <w:sz w:val="24"/>
          <w:szCs w:val="24"/>
        </w:rPr>
        <w:t>Ghaith</w:t>
      </w:r>
      <w:proofErr w:type="spellEnd"/>
      <w:r>
        <w:rPr>
          <w:rFonts w:ascii="Book Antiqua" w:hAnsi="Book Antiqua"/>
          <w:b/>
          <w:kern w:val="2"/>
          <w:sz w:val="24"/>
          <w:szCs w:val="24"/>
        </w:rPr>
        <w:t xml:space="preserve"> O</w:t>
      </w:r>
      <w:r>
        <w:rPr>
          <w:rFonts w:ascii="Book Antiqua" w:hAnsi="Book Antiqua"/>
          <w:kern w:val="2"/>
          <w:sz w:val="24"/>
          <w:szCs w:val="24"/>
        </w:rPr>
        <w:t>, El-</w:t>
      </w:r>
      <w:proofErr w:type="spellStart"/>
      <w:r>
        <w:rPr>
          <w:rFonts w:ascii="Book Antiqua" w:hAnsi="Book Antiqua"/>
          <w:kern w:val="2"/>
          <w:sz w:val="24"/>
          <w:szCs w:val="24"/>
        </w:rPr>
        <w:t>Halabi</w:t>
      </w:r>
      <w:proofErr w:type="spellEnd"/>
      <w:r>
        <w:rPr>
          <w:rFonts w:ascii="Book Antiqua" w:hAnsi="Book Antiqua"/>
          <w:kern w:val="2"/>
          <w:sz w:val="24"/>
          <w:szCs w:val="24"/>
        </w:rPr>
        <w:t xml:space="preserve"> M, </w:t>
      </w:r>
      <w:proofErr w:type="spellStart"/>
      <w:r>
        <w:rPr>
          <w:rFonts w:ascii="Book Antiqua" w:hAnsi="Book Antiqua"/>
          <w:kern w:val="2"/>
          <w:sz w:val="24"/>
          <w:szCs w:val="24"/>
        </w:rPr>
        <w:t>Hashash</w:t>
      </w:r>
      <w:proofErr w:type="spellEnd"/>
      <w:r>
        <w:rPr>
          <w:rFonts w:ascii="Book Antiqua" w:hAnsi="Book Antiqua"/>
          <w:kern w:val="2"/>
          <w:sz w:val="24"/>
          <w:szCs w:val="24"/>
        </w:rPr>
        <w:t xml:space="preserve"> JG, </w:t>
      </w:r>
      <w:proofErr w:type="spellStart"/>
      <w:r>
        <w:rPr>
          <w:rFonts w:ascii="Book Antiqua" w:hAnsi="Book Antiqua"/>
          <w:kern w:val="2"/>
          <w:sz w:val="24"/>
          <w:szCs w:val="24"/>
        </w:rPr>
        <w:t>Sharara</w:t>
      </w:r>
      <w:proofErr w:type="spellEnd"/>
      <w:r>
        <w:rPr>
          <w:rFonts w:ascii="Book Antiqua" w:hAnsi="Book Antiqua"/>
          <w:kern w:val="2"/>
          <w:sz w:val="24"/>
          <w:szCs w:val="24"/>
        </w:rPr>
        <w:t xml:space="preserve"> AI. Investigational agents for the irritable bowel syndrome. </w:t>
      </w:r>
      <w:r>
        <w:rPr>
          <w:rFonts w:ascii="Book Antiqua" w:hAnsi="Book Antiqua"/>
          <w:i/>
          <w:kern w:val="2"/>
          <w:sz w:val="24"/>
          <w:szCs w:val="24"/>
        </w:rPr>
        <w:t xml:space="preserve">Expert </w:t>
      </w:r>
      <w:proofErr w:type="spellStart"/>
      <w:r>
        <w:rPr>
          <w:rFonts w:ascii="Book Antiqua" w:hAnsi="Book Antiqua"/>
          <w:i/>
          <w:kern w:val="2"/>
          <w:sz w:val="24"/>
          <w:szCs w:val="24"/>
        </w:rPr>
        <w:t>Opin</w:t>
      </w:r>
      <w:proofErr w:type="spellEnd"/>
      <w:r>
        <w:rPr>
          <w:rFonts w:ascii="Book Antiqua" w:hAnsi="Book Antiqua"/>
          <w:i/>
          <w:kern w:val="2"/>
          <w:sz w:val="24"/>
          <w:szCs w:val="24"/>
        </w:rPr>
        <w:t xml:space="preserve"> </w:t>
      </w:r>
      <w:proofErr w:type="spellStart"/>
      <w:r>
        <w:rPr>
          <w:rFonts w:ascii="Book Antiqua" w:hAnsi="Book Antiqua"/>
          <w:i/>
          <w:kern w:val="2"/>
          <w:sz w:val="24"/>
          <w:szCs w:val="24"/>
        </w:rPr>
        <w:t>Investig</w:t>
      </w:r>
      <w:proofErr w:type="spellEnd"/>
      <w:r>
        <w:rPr>
          <w:rFonts w:ascii="Book Antiqua" w:hAnsi="Book Antiqua"/>
          <w:i/>
          <w:kern w:val="2"/>
          <w:sz w:val="24"/>
          <w:szCs w:val="24"/>
        </w:rPr>
        <w:t xml:space="preserve"> Drugs</w:t>
      </w:r>
      <w:r>
        <w:rPr>
          <w:rFonts w:ascii="Book Antiqua" w:hAnsi="Book Antiqua"/>
          <w:kern w:val="2"/>
          <w:sz w:val="24"/>
          <w:szCs w:val="24"/>
        </w:rPr>
        <w:t xml:space="preserve"> 2010; </w:t>
      </w:r>
      <w:r>
        <w:rPr>
          <w:rFonts w:ascii="Book Antiqua" w:hAnsi="Book Antiqua"/>
          <w:b/>
          <w:kern w:val="2"/>
          <w:sz w:val="24"/>
          <w:szCs w:val="24"/>
        </w:rPr>
        <w:t>19</w:t>
      </w:r>
      <w:r>
        <w:rPr>
          <w:rFonts w:ascii="Book Antiqua" w:hAnsi="Book Antiqua"/>
          <w:kern w:val="2"/>
          <w:sz w:val="24"/>
          <w:szCs w:val="24"/>
        </w:rPr>
        <w:t>: 1161-1178 [PMID: 20836617 DOI: 10.1517/13543784.2010.513380]</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44 </w:t>
      </w:r>
      <w:proofErr w:type="spellStart"/>
      <w:r>
        <w:rPr>
          <w:rFonts w:ascii="Book Antiqua" w:hAnsi="Book Antiqua"/>
          <w:b/>
          <w:kern w:val="2"/>
          <w:sz w:val="24"/>
          <w:szCs w:val="24"/>
        </w:rPr>
        <w:t>DiNitto</w:t>
      </w:r>
      <w:proofErr w:type="spellEnd"/>
      <w:r>
        <w:rPr>
          <w:rFonts w:ascii="Book Antiqua" w:hAnsi="Book Antiqua"/>
          <w:b/>
          <w:kern w:val="2"/>
          <w:sz w:val="24"/>
          <w:szCs w:val="24"/>
        </w:rPr>
        <w:t xml:space="preserve"> JP</w:t>
      </w:r>
      <w:r>
        <w:rPr>
          <w:rFonts w:ascii="Book Antiqua" w:hAnsi="Book Antiqua"/>
          <w:kern w:val="2"/>
          <w:sz w:val="24"/>
          <w:szCs w:val="24"/>
        </w:rPr>
        <w:t xml:space="preserve">, </w:t>
      </w:r>
      <w:proofErr w:type="spellStart"/>
      <w:r>
        <w:rPr>
          <w:rFonts w:ascii="Book Antiqua" w:hAnsi="Book Antiqua"/>
          <w:kern w:val="2"/>
          <w:sz w:val="24"/>
          <w:szCs w:val="24"/>
        </w:rPr>
        <w:t>Deshmukh</w:t>
      </w:r>
      <w:proofErr w:type="spellEnd"/>
      <w:r>
        <w:rPr>
          <w:rFonts w:ascii="Book Antiqua" w:hAnsi="Book Antiqua"/>
          <w:kern w:val="2"/>
          <w:sz w:val="24"/>
          <w:szCs w:val="24"/>
        </w:rPr>
        <w:t xml:space="preserve"> GD, Zhang Y, Jacques SL, Coli R, Worrall JW, Diehl W, English JM, Wu JC. Function of activation loop tyrosine phosphorylation in the mechanism of c-Kit auto-activation and its implication in </w:t>
      </w:r>
      <w:proofErr w:type="spellStart"/>
      <w:r>
        <w:rPr>
          <w:rFonts w:ascii="Book Antiqua" w:hAnsi="Book Antiqua"/>
          <w:kern w:val="2"/>
          <w:sz w:val="24"/>
          <w:szCs w:val="24"/>
        </w:rPr>
        <w:t>sunitinib</w:t>
      </w:r>
      <w:proofErr w:type="spellEnd"/>
      <w:r>
        <w:rPr>
          <w:rFonts w:ascii="Book Antiqua" w:hAnsi="Book Antiqua"/>
          <w:kern w:val="2"/>
          <w:sz w:val="24"/>
          <w:szCs w:val="24"/>
        </w:rPr>
        <w:t xml:space="preserve"> resistance. </w:t>
      </w:r>
      <w:r>
        <w:rPr>
          <w:rFonts w:ascii="Book Antiqua" w:hAnsi="Book Antiqua"/>
          <w:i/>
          <w:kern w:val="2"/>
          <w:sz w:val="24"/>
          <w:szCs w:val="24"/>
        </w:rPr>
        <w:t xml:space="preserve">J </w:t>
      </w:r>
      <w:proofErr w:type="spellStart"/>
      <w:r>
        <w:rPr>
          <w:rFonts w:ascii="Book Antiqua" w:hAnsi="Book Antiqua"/>
          <w:i/>
          <w:kern w:val="2"/>
          <w:sz w:val="24"/>
          <w:szCs w:val="24"/>
        </w:rPr>
        <w:t>Biochem</w:t>
      </w:r>
      <w:proofErr w:type="spellEnd"/>
      <w:r>
        <w:rPr>
          <w:rFonts w:ascii="Book Antiqua" w:hAnsi="Book Antiqua"/>
          <w:kern w:val="2"/>
          <w:sz w:val="24"/>
          <w:szCs w:val="24"/>
        </w:rPr>
        <w:t xml:space="preserve"> 2010; </w:t>
      </w:r>
      <w:r>
        <w:rPr>
          <w:rFonts w:ascii="Book Antiqua" w:hAnsi="Book Antiqua"/>
          <w:b/>
          <w:kern w:val="2"/>
          <w:sz w:val="24"/>
          <w:szCs w:val="24"/>
        </w:rPr>
        <w:t>147</w:t>
      </w:r>
      <w:r>
        <w:rPr>
          <w:rFonts w:ascii="Book Antiqua" w:hAnsi="Book Antiqua"/>
          <w:kern w:val="2"/>
          <w:sz w:val="24"/>
          <w:szCs w:val="24"/>
        </w:rPr>
        <w:t>: 601-609 [PMID: 20147452 DOI: 10.1093/</w:t>
      </w:r>
      <w:proofErr w:type="spellStart"/>
      <w:r>
        <w:rPr>
          <w:rFonts w:ascii="Book Antiqua" w:hAnsi="Book Antiqua"/>
          <w:kern w:val="2"/>
          <w:sz w:val="24"/>
          <w:szCs w:val="24"/>
        </w:rPr>
        <w:t>jb</w:t>
      </w:r>
      <w:proofErr w:type="spellEnd"/>
      <w:r>
        <w:rPr>
          <w:rFonts w:ascii="Book Antiqua" w:hAnsi="Book Antiqua"/>
          <w:kern w:val="2"/>
          <w:sz w:val="24"/>
          <w:szCs w:val="24"/>
        </w:rPr>
        <w:t>/mvq015]</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45 </w:t>
      </w:r>
      <w:proofErr w:type="spellStart"/>
      <w:r>
        <w:rPr>
          <w:rFonts w:ascii="Book Antiqua" w:hAnsi="Book Antiqua"/>
          <w:b/>
          <w:kern w:val="2"/>
          <w:sz w:val="24"/>
          <w:szCs w:val="24"/>
        </w:rPr>
        <w:t>Midrio</w:t>
      </w:r>
      <w:proofErr w:type="spellEnd"/>
      <w:r>
        <w:rPr>
          <w:rFonts w:ascii="Book Antiqua" w:hAnsi="Book Antiqua"/>
          <w:b/>
          <w:kern w:val="2"/>
          <w:sz w:val="24"/>
          <w:szCs w:val="24"/>
        </w:rPr>
        <w:t xml:space="preserve"> P</w:t>
      </w:r>
      <w:r>
        <w:rPr>
          <w:rFonts w:ascii="Book Antiqua" w:hAnsi="Book Antiqua"/>
          <w:kern w:val="2"/>
          <w:sz w:val="24"/>
          <w:szCs w:val="24"/>
        </w:rPr>
        <w:t xml:space="preserve">, </w:t>
      </w:r>
      <w:proofErr w:type="spellStart"/>
      <w:r>
        <w:rPr>
          <w:rFonts w:ascii="Book Antiqua" w:hAnsi="Book Antiqua"/>
          <w:kern w:val="2"/>
          <w:sz w:val="24"/>
          <w:szCs w:val="24"/>
        </w:rPr>
        <w:t>Vannucchi</w:t>
      </w:r>
      <w:proofErr w:type="spellEnd"/>
      <w:r>
        <w:rPr>
          <w:rFonts w:ascii="Book Antiqua" w:hAnsi="Book Antiqua"/>
          <w:kern w:val="2"/>
          <w:sz w:val="24"/>
          <w:szCs w:val="24"/>
        </w:rPr>
        <w:t xml:space="preserve"> MG, </w:t>
      </w:r>
      <w:proofErr w:type="spellStart"/>
      <w:r>
        <w:rPr>
          <w:rFonts w:ascii="Book Antiqua" w:hAnsi="Book Antiqua"/>
          <w:kern w:val="2"/>
          <w:sz w:val="24"/>
          <w:szCs w:val="24"/>
        </w:rPr>
        <w:t>Pieri</w:t>
      </w:r>
      <w:proofErr w:type="spellEnd"/>
      <w:r>
        <w:rPr>
          <w:rFonts w:ascii="Book Antiqua" w:hAnsi="Book Antiqua"/>
          <w:kern w:val="2"/>
          <w:sz w:val="24"/>
          <w:szCs w:val="24"/>
        </w:rPr>
        <w:t xml:space="preserve"> L, </w:t>
      </w:r>
      <w:proofErr w:type="spellStart"/>
      <w:r>
        <w:rPr>
          <w:rFonts w:ascii="Book Antiqua" w:hAnsi="Book Antiqua"/>
          <w:kern w:val="2"/>
          <w:sz w:val="24"/>
          <w:szCs w:val="24"/>
        </w:rPr>
        <w:t>Alaggio</w:t>
      </w:r>
      <w:proofErr w:type="spellEnd"/>
      <w:r>
        <w:rPr>
          <w:rFonts w:ascii="Book Antiqua" w:hAnsi="Book Antiqua"/>
          <w:kern w:val="2"/>
          <w:sz w:val="24"/>
          <w:szCs w:val="24"/>
        </w:rPr>
        <w:t xml:space="preserve"> R, </w:t>
      </w:r>
      <w:proofErr w:type="spellStart"/>
      <w:r>
        <w:rPr>
          <w:rFonts w:ascii="Book Antiqua" w:hAnsi="Book Antiqua"/>
          <w:kern w:val="2"/>
          <w:sz w:val="24"/>
          <w:szCs w:val="24"/>
        </w:rPr>
        <w:t>Faussone-Pellegrini</w:t>
      </w:r>
      <w:proofErr w:type="spellEnd"/>
      <w:r>
        <w:rPr>
          <w:rFonts w:ascii="Book Antiqua" w:hAnsi="Book Antiqua"/>
          <w:kern w:val="2"/>
          <w:sz w:val="24"/>
          <w:szCs w:val="24"/>
        </w:rPr>
        <w:t xml:space="preserve"> MS. Delayed development of interstitial cells of </w:t>
      </w:r>
      <w:proofErr w:type="spellStart"/>
      <w:r>
        <w:rPr>
          <w:rFonts w:ascii="Book Antiqua" w:hAnsi="Book Antiqua"/>
          <w:kern w:val="2"/>
          <w:sz w:val="24"/>
          <w:szCs w:val="24"/>
        </w:rPr>
        <w:t>Cajal</w:t>
      </w:r>
      <w:proofErr w:type="spellEnd"/>
      <w:r>
        <w:rPr>
          <w:rFonts w:ascii="Book Antiqua" w:hAnsi="Book Antiqua"/>
          <w:kern w:val="2"/>
          <w:sz w:val="24"/>
          <w:szCs w:val="24"/>
        </w:rPr>
        <w:t xml:space="preserve"> in the ileum of a human case </w:t>
      </w:r>
      <w:r>
        <w:rPr>
          <w:rFonts w:ascii="Book Antiqua" w:hAnsi="Book Antiqua"/>
          <w:kern w:val="2"/>
          <w:sz w:val="24"/>
          <w:szCs w:val="24"/>
        </w:rPr>
        <w:lastRenderedPageBreak/>
        <w:t xml:space="preserve">of </w:t>
      </w:r>
      <w:proofErr w:type="spellStart"/>
      <w:r>
        <w:rPr>
          <w:rFonts w:ascii="Book Antiqua" w:hAnsi="Book Antiqua"/>
          <w:kern w:val="2"/>
          <w:sz w:val="24"/>
          <w:szCs w:val="24"/>
        </w:rPr>
        <w:t>gastroschisis</w:t>
      </w:r>
      <w:proofErr w:type="spellEnd"/>
      <w:r>
        <w:rPr>
          <w:rFonts w:ascii="Book Antiqua" w:hAnsi="Book Antiqua"/>
          <w:kern w:val="2"/>
          <w:sz w:val="24"/>
          <w:szCs w:val="24"/>
        </w:rPr>
        <w:t xml:space="preserve">. </w:t>
      </w:r>
      <w:r>
        <w:rPr>
          <w:rFonts w:ascii="Book Antiqua" w:hAnsi="Book Antiqua"/>
          <w:i/>
          <w:kern w:val="2"/>
          <w:sz w:val="24"/>
          <w:szCs w:val="24"/>
        </w:rPr>
        <w:t xml:space="preserve">J Cell </w:t>
      </w:r>
      <w:proofErr w:type="spellStart"/>
      <w:r>
        <w:rPr>
          <w:rFonts w:ascii="Book Antiqua" w:hAnsi="Book Antiqua"/>
          <w:i/>
          <w:kern w:val="2"/>
          <w:sz w:val="24"/>
          <w:szCs w:val="24"/>
        </w:rPr>
        <w:t>Mol</w:t>
      </w:r>
      <w:proofErr w:type="spellEnd"/>
      <w:r>
        <w:rPr>
          <w:rFonts w:ascii="Book Antiqua" w:hAnsi="Book Antiqua"/>
          <w:i/>
          <w:kern w:val="2"/>
          <w:sz w:val="24"/>
          <w:szCs w:val="24"/>
        </w:rPr>
        <w:t xml:space="preserve"> Med</w:t>
      </w:r>
      <w:r>
        <w:rPr>
          <w:rFonts w:ascii="Book Antiqua" w:hAnsi="Book Antiqua"/>
          <w:kern w:val="2"/>
          <w:sz w:val="24"/>
          <w:szCs w:val="24"/>
        </w:rPr>
        <w:t xml:space="preserve"> 2008; </w:t>
      </w:r>
      <w:r>
        <w:rPr>
          <w:rFonts w:ascii="Book Antiqua" w:hAnsi="Book Antiqua"/>
          <w:b/>
          <w:kern w:val="2"/>
          <w:sz w:val="24"/>
          <w:szCs w:val="24"/>
        </w:rPr>
        <w:t>12</w:t>
      </w:r>
      <w:r>
        <w:rPr>
          <w:rFonts w:ascii="Book Antiqua" w:hAnsi="Book Antiqua"/>
          <w:kern w:val="2"/>
          <w:sz w:val="24"/>
          <w:szCs w:val="24"/>
        </w:rPr>
        <w:t>: 471-478 [PMID: 18266958 DOI: 10.1111/j.1582-4934.2008.00277.x]</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46 </w:t>
      </w:r>
      <w:proofErr w:type="spellStart"/>
      <w:r>
        <w:rPr>
          <w:rFonts w:ascii="Book Antiqua" w:hAnsi="Book Antiqua"/>
          <w:b/>
          <w:kern w:val="2"/>
          <w:sz w:val="24"/>
          <w:szCs w:val="24"/>
        </w:rPr>
        <w:t>Mazzon</w:t>
      </w:r>
      <w:proofErr w:type="spellEnd"/>
      <w:r>
        <w:rPr>
          <w:rFonts w:ascii="Book Antiqua" w:hAnsi="Book Antiqua"/>
          <w:b/>
          <w:kern w:val="2"/>
          <w:sz w:val="24"/>
          <w:szCs w:val="24"/>
        </w:rPr>
        <w:t xml:space="preserve"> E</w:t>
      </w:r>
      <w:r>
        <w:rPr>
          <w:rFonts w:ascii="Book Antiqua" w:hAnsi="Book Antiqua"/>
          <w:kern w:val="2"/>
          <w:sz w:val="24"/>
          <w:szCs w:val="24"/>
        </w:rPr>
        <w:t xml:space="preserve">, </w:t>
      </w:r>
      <w:proofErr w:type="spellStart"/>
      <w:r>
        <w:rPr>
          <w:rFonts w:ascii="Book Antiqua" w:hAnsi="Book Antiqua"/>
          <w:kern w:val="2"/>
          <w:sz w:val="24"/>
          <w:szCs w:val="24"/>
        </w:rPr>
        <w:t>Sturniolo</w:t>
      </w:r>
      <w:proofErr w:type="spellEnd"/>
      <w:r>
        <w:rPr>
          <w:rFonts w:ascii="Book Antiqua" w:hAnsi="Book Antiqua"/>
          <w:kern w:val="2"/>
          <w:sz w:val="24"/>
          <w:szCs w:val="24"/>
        </w:rPr>
        <w:t xml:space="preserve"> GC, </w:t>
      </w:r>
      <w:proofErr w:type="spellStart"/>
      <w:r>
        <w:rPr>
          <w:rFonts w:ascii="Book Antiqua" w:hAnsi="Book Antiqua"/>
          <w:kern w:val="2"/>
          <w:sz w:val="24"/>
          <w:szCs w:val="24"/>
        </w:rPr>
        <w:t>Puzzolo</w:t>
      </w:r>
      <w:proofErr w:type="spellEnd"/>
      <w:r>
        <w:rPr>
          <w:rFonts w:ascii="Book Antiqua" w:hAnsi="Book Antiqua"/>
          <w:kern w:val="2"/>
          <w:sz w:val="24"/>
          <w:szCs w:val="24"/>
        </w:rPr>
        <w:t xml:space="preserve"> D, </w:t>
      </w:r>
      <w:proofErr w:type="spellStart"/>
      <w:r>
        <w:rPr>
          <w:rFonts w:ascii="Book Antiqua" w:hAnsi="Book Antiqua"/>
          <w:kern w:val="2"/>
          <w:sz w:val="24"/>
          <w:szCs w:val="24"/>
        </w:rPr>
        <w:t>Frisina</w:t>
      </w:r>
      <w:proofErr w:type="spellEnd"/>
      <w:r>
        <w:rPr>
          <w:rFonts w:ascii="Book Antiqua" w:hAnsi="Book Antiqua"/>
          <w:kern w:val="2"/>
          <w:sz w:val="24"/>
          <w:szCs w:val="24"/>
        </w:rPr>
        <w:t xml:space="preserve"> N, Fries W. Effect of stress on the </w:t>
      </w:r>
      <w:proofErr w:type="spellStart"/>
      <w:r>
        <w:rPr>
          <w:rFonts w:ascii="Book Antiqua" w:hAnsi="Book Antiqua"/>
          <w:kern w:val="2"/>
          <w:sz w:val="24"/>
          <w:szCs w:val="24"/>
        </w:rPr>
        <w:t>paracellular</w:t>
      </w:r>
      <w:proofErr w:type="spellEnd"/>
      <w:r>
        <w:rPr>
          <w:rFonts w:ascii="Book Antiqua" w:hAnsi="Book Antiqua"/>
          <w:kern w:val="2"/>
          <w:sz w:val="24"/>
          <w:szCs w:val="24"/>
        </w:rPr>
        <w:t xml:space="preserve"> barrier in the rat ileum. </w:t>
      </w:r>
      <w:r>
        <w:rPr>
          <w:rFonts w:ascii="Book Antiqua" w:hAnsi="Book Antiqua"/>
          <w:i/>
          <w:kern w:val="2"/>
          <w:sz w:val="24"/>
          <w:szCs w:val="24"/>
        </w:rPr>
        <w:t>Gut</w:t>
      </w:r>
      <w:r>
        <w:rPr>
          <w:rFonts w:ascii="Book Antiqua" w:hAnsi="Book Antiqua"/>
          <w:kern w:val="2"/>
          <w:sz w:val="24"/>
          <w:szCs w:val="24"/>
        </w:rPr>
        <w:t xml:space="preserve"> 2002; </w:t>
      </w:r>
      <w:r>
        <w:rPr>
          <w:rFonts w:ascii="Book Antiqua" w:hAnsi="Book Antiqua"/>
          <w:b/>
          <w:kern w:val="2"/>
          <w:sz w:val="24"/>
          <w:szCs w:val="24"/>
        </w:rPr>
        <w:t>51</w:t>
      </w:r>
      <w:r>
        <w:rPr>
          <w:rFonts w:ascii="Book Antiqua" w:hAnsi="Book Antiqua"/>
          <w:kern w:val="2"/>
          <w:sz w:val="24"/>
          <w:szCs w:val="24"/>
        </w:rPr>
        <w:t>: 507-513 [PMID: 12235072 DOI: 10.1136/gut.51.4.507]</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47 </w:t>
      </w:r>
      <w:proofErr w:type="spellStart"/>
      <w:r>
        <w:rPr>
          <w:rFonts w:ascii="Book Antiqua" w:hAnsi="Book Antiqua"/>
          <w:b/>
          <w:kern w:val="2"/>
          <w:sz w:val="24"/>
          <w:szCs w:val="24"/>
        </w:rPr>
        <w:t>Barreau</w:t>
      </w:r>
      <w:proofErr w:type="spellEnd"/>
      <w:r>
        <w:rPr>
          <w:rFonts w:ascii="Book Antiqua" w:hAnsi="Book Antiqua"/>
          <w:b/>
          <w:kern w:val="2"/>
          <w:sz w:val="24"/>
          <w:szCs w:val="24"/>
        </w:rPr>
        <w:t xml:space="preserve"> F</w:t>
      </w:r>
      <w:r>
        <w:rPr>
          <w:rFonts w:ascii="Book Antiqua" w:hAnsi="Book Antiqua"/>
          <w:kern w:val="2"/>
          <w:sz w:val="24"/>
          <w:szCs w:val="24"/>
        </w:rPr>
        <w:t xml:space="preserve">, Cartier C, Leveque M, Ferrier L, </w:t>
      </w:r>
      <w:proofErr w:type="spellStart"/>
      <w:r>
        <w:rPr>
          <w:rFonts w:ascii="Book Antiqua" w:hAnsi="Book Antiqua"/>
          <w:kern w:val="2"/>
          <w:sz w:val="24"/>
          <w:szCs w:val="24"/>
        </w:rPr>
        <w:t>Moriez</w:t>
      </w:r>
      <w:proofErr w:type="spellEnd"/>
      <w:r>
        <w:rPr>
          <w:rFonts w:ascii="Book Antiqua" w:hAnsi="Book Antiqua"/>
          <w:kern w:val="2"/>
          <w:sz w:val="24"/>
          <w:szCs w:val="24"/>
        </w:rPr>
        <w:t xml:space="preserve"> R, </w:t>
      </w:r>
      <w:proofErr w:type="spellStart"/>
      <w:r>
        <w:rPr>
          <w:rFonts w:ascii="Book Antiqua" w:hAnsi="Book Antiqua"/>
          <w:kern w:val="2"/>
          <w:sz w:val="24"/>
          <w:szCs w:val="24"/>
        </w:rPr>
        <w:t>Laroute</w:t>
      </w:r>
      <w:proofErr w:type="spellEnd"/>
      <w:r>
        <w:rPr>
          <w:rFonts w:ascii="Book Antiqua" w:hAnsi="Book Antiqua"/>
          <w:kern w:val="2"/>
          <w:sz w:val="24"/>
          <w:szCs w:val="24"/>
        </w:rPr>
        <w:t xml:space="preserve"> V, </w:t>
      </w:r>
      <w:proofErr w:type="spellStart"/>
      <w:r>
        <w:rPr>
          <w:rFonts w:ascii="Book Antiqua" w:hAnsi="Book Antiqua"/>
          <w:kern w:val="2"/>
          <w:sz w:val="24"/>
          <w:szCs w:val="24"/>
        </w:rPr>
        <w:t>Rosztoczy</w:t>
      </w:r>
      <w:proofErr w:type="spellEnd"/>
      <w:r>
        <w:rPr>
          <w:rFonts w:ascii="Book Antiqua" w:hAnsi="Book Antiqua"/>
          <w:kern w:val="2"/>
          <w:sz w:val="24"/>
          <w:szCs w:val="24"/>
        </w:rPr>
        <w:t xml:space="preserve"> A, </w:t>
      </w:r>
      <w:proofErr w:type="spellStart"/>
      <w:r>
        <w:rPr>
          <w:rFonts w:ascii="Book Antiqua" w:hAnsi="Book Antiqua"/>
          <w:kern w:val="2"/>
          <w:sz w:val="24"/>
          <w:szCs w:val="24"/>
        </w:rPr>
        <w:t>Fioramonti</w:t>
      </w:r>
      <w:proofErr w:type="spellEnd"/>
      <w:r>
        <w:rPr>
          <w:rFonts w:ascii="Book Antiqua" w:hAnsi="Book Antiqua"/>
          <w:kern w:val="2"/>
          <w:sz w:val="24"/>
          <w:szCs w:val="24"/>
        </w:rPr>
        <w:t xml:space="preserve"> J, Bueno L. Pathways involved in gut mucosal barrier dysfunction induced in adult rats by maternal deprivation: Corticotrophin-releasing factor and nerve growth factor interplay. </w:t>
      </w:r>
      <w:r>
        <w:rPr>
          <w:rFonts w:ascii="Book Antiqua" w:hAnsi="Book Antiqua"/>
          <w:i/>
          <w:kern w:val="2"/>
          <w:sz w:val="24"/>
          <w:szCs w:val="24"/>
        </w:rPr>
        <w:t xml:space="preserve">J </w:t>
      </w:r>
      <w:proofErr w:type="spellStart"/>
      <w:r>
        <w:rPr>
          <w:rFonts w:ascii="Book Antiqua" w:hAnsi="Book Antiqua"/>
          <w:i/>
          <w:kern w:val="2"/>
          <w:sz w:val="24"/>
          <w:szCs w:val="24"/>
        </w:rPr>
        <w:t>Physiol</w:t>
      </w:r>
      <w:proofErr w:type="spellEnd"/>
      <w:r>
        <w:rPr>
          <w:rFonts w:ascii="Book Antiqua" w:hAnsi="Book Antiqua"/>
          <w:kern w:val="2"/>
          <w:sz w:val="24"/>
          <w:szCs w:val="24"/>
        </w:rPr>
        <w:t xml:space="preserve"> 2007; </w:t>
      </w:r>
      <w:r>
        <w:rPr>
          <w:rFonts w:ascii="Book Antiqua" w:hAnsi="Book Antiqua"/>
          <w:b/>
          <w:kern w:val="2"/>
          <w:sz w:val="24"/>
          <w:szCs w:val="24"/>
        </w:rPr>
        <w:t>580</w:t>
      </w:r>
      <w:r>
        <w:rPr>
          <w:rFonts w:ascii="Book Antiqua" w:hAnsi="Book Antiqua"/>
          <w:kern w:val="2"/>
          <w:sz w:val="24"/>
          <w:szCs w:val="24"/>
        </w:rPr>
        <w:t>: 347-356 [PMID: 17234701 DOI: 10.1113/jphysiol.2006.120907]</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48 </w:t>
      </w:r>
      <w:proofErr w:type="spellStart"/>
      <w:r>
        <w:rPr>
          <w:rFonts w:ascii="Book Antiqua" w:hAnsi="Book Antiqua"/>
          <w:b/>
          <w:kern w:val="2"/>
          <w:sz w:val="24"/>
          <w:szCs w:val="24"/>
        </w:rPr>
        <w:t>Zareie</w:t>
      </w:r>
      <w:proofErr w:type="spellEnd"/>
      <w:r>
        <w:rPr>
          <w:rFonts w:ascii="Book Antiqua" w:hAnsi="Book Antiqua"/>
          <w:b/>
          <w:kern w:val="2"/>
          <w:sz w:val="24"/>
          <w:szCs w:val="24"/>
        </w:rPr>
        <w:t xml:space="preserve"> M</w:t>
      </w:r>
      <w:r>
        <w:rPr>
          <w:rFonts w:ascii="Book Antiqua" w:hAnsi="Book Antiqua"/>
          <w:kern w:val="2"/>
          <w:sz w:val="24"/>
          <w:szCs w:val="24"/>
        </w:rPr>
        <w:t xml:space="preserve">, Johnson-Henry K, Jury J, Yang PC, Ngan BY, McKay DM, </w:t>
      </w:r>
      <w:proofErr w:type="spellStart"/>
      <w:r>
        <w:rPr>
          <w:rFonts w:ascii="Book Antiqua" w:hAnsi="Book Antiqua"/>
          <w:kern w:val="2"/>
          <w:sz w:val="24"/>
          <w:szCs w:val="24"/>
        </w:rPr>
        <w:t>Soderholm</w:t>
      </w:r>
      <w:proofErr w:type="spellEnd"/>
      <w:r>
        <w:rPr>
          <w:rFonts w:ascii="Book Antiqua" w:hAnsi="Book Antiqua"/>
          <w:kern w:val="2"/>
          <w:sz w:val="24"/>
          <w:szCs w:val="24"/>
        </w:rPr>
        <w:t xml:space="preserve"> JD, Perdue MH, Sherman PM. Probiotics prevent bacterial translocation and improve intestinal barrier function in rats following chronic psychological stress. </w:t>
      </w:r>
      <w:r>
        <w:rPr>
          <w:rFonts w:ascii="Book Antiqua" w:hAnsi="Book Antiqua"/>
          <w:i/>
          <w:kern w:val="2"/>
          <w:sz w:val="24"/>
          <w:szCs w:val="24"/>
        </w:rPr>
        <w:t>Gut</w:t>
      </w:r>
      <w:r>
        <w:rPr>
          <w:rFonts w:ascii="Book Antiqua" w:hAnsi="Book Antiqua"/>
          <w:kern w:val="2"/>
          <w:sz w:val="24"/>
          <w:szCs w:val="24"/>
        </w:rPr>
        <w:t xml:space="preserve"> 2006; </w:t>
      </w:r>
      <w:r>
        <w:rPr>
          <w:rFonts w:ascii="Book Antiqua" w:hAnsi="Book Antiqua"/>
          <w:b/>
          <w:kern w:val="2"/>
          <w:sz w:val="24"/>
          <w:szCs w:val="24"/>
        </w:rPr>
        <w:t>55</w:t>
      </w:r>
      <w:r>
        <w:rPr>
          <w:rFonts w:ascii="Book Antiqua" w:hAnsi="Book Antiqua"/>
          <w:kern w:val="2"/>
          <w:sz w:val="24"/>
          <w:szCs w:val="24"/>
        </w:rPr>
        <w:t>: 1553-1560 [PMID: 16638791 DOI: 10.1136/gut.2005.080739]</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49 </w:t>
      </w:r>
      <w:proofErr w:type="spellStart"/>
      <w:r>
        <w:rPr>
          <w:rFonts w:ascii="Book Antiqua" w:hAnsi="Book Antiqua"/>
          <w:b/>
          <w:kern w:val="2"/>
          <w:sz w:val="24"/>
          <w:szCs w:val="24"/>
        </w:rPr>
        <w:t>Róka</w:t>
      </w:r>
      <w:proofErr w:type="spellEnd"/>
      <w:r>
        <w:rPr>
          <w:rFonts w:ascii="Book Antiqua" w:hAnsi="Book Antiqua"/>
          <w:b/>
          <w:kern w:val="2"/>
          <w:sz w:val="24"/>
          <w:szCs w:val="24"/>
        </w:rPr>
        <w:t xml:space="preserve"> R</w:t>
      </w:r>
      <w:r>
        <w:rPr>
          <w:rFonts w:ascii="Book Antiqua" w:hAnsi="Book Antiqua"/>
          <w:kern w:val="2"/>
          <w:sz w:val="24"/>
          <w:szCs w:val="24"/>
        </w:rPr>
        <w:t xml:space="preserve">, </w:t>
      </w:r>
      <w:proofErr w:type="spellStart"/>
      <w:r>
        <w:rPr>
          <w:rFonts w:ascii="Book Antiqua" w:hAnsi="Book Antiqua"/>
          <w:kern w:val="2"/>
          <w:sz w:val="24"/>
          <w:szCs w:val="24"/>
        </w:rPr>
        <w:t>Ait-Belgnaoui</w:t>
      </w:r>
      <w:proofErr w:type="spellEnd"/>
      <w:r>
        <w:rPr>
          <w:rFonts w:ascii="Book Antiqua" w:hAnsi="Book Antiqua"/>
          <w:kern w:val="2"/>
          <w:sz w:val="24"/>
          <w:szCs w:val="24"/>
        </w:rPr>
        <w:t xml:space="preserve"> A, Salvador-Cartier C, Garcia-</w:t>
      </w:r>
      <w:proofErr w:type="spellStart"/>
      <w:r>
        <w:rPr>
          <w:rFonts w:ascii="Book Antiqua" w:hAnsi="Book Antiqua"/>
          <w:kern w:val="2"/>
          <w:sz w:val="24"/>
          <w:szCs w:val="24"/>
        </w:rPr>
        <w:t>Villar</w:t>
      </w:r>
      <w:proofErr w:type="spellEnd"/>
      <w:r>
        <w:rPr>
          <w:rFonts w:ascii="Book Antiqua" w:hAnsi="Book Antiqua"/>
          <w:kern w:val="2"/>
          <w:sz w:val="24"/>
          <w:szCs w:val="24"/>
        </w:rPr>
        <w:t xml:space="preserve"> R, </w:t>
      </w:r>
      <w:proofErr w:type="spellStart"/>
      <w:r>
        <w:rPr>
          <w:rFonts w:ascii="Book Antiqua" w:hAnsi="Book Antiqua"/>
          <w:kern w:val="2"/>
          <w:sz w:val="24"/>
          <w:szCs w:val="24"/>
        </w:rPr>
        <w:t>Fioramonti</w:t>
      </w:r>
      <w:proofErr w:type="spellEnd"/>
      <w:r>
        <w:rPr>
          <w:rFonts w:ascii="Book Antiqua" w:hAnsi="Book Antiqua"/>
          <w:kern w:val="2"/>
          <w:sz w:val="24"/>
          <w:szCs w:val="24"/>
        </w:rPr>
        <w:t xml:space="preserve"> J, </w:t>
      </w:r>
      <w:proofErr w:type="spellStart"/>
      <w:r>
        <w:rPr>
          <w:rFonts w:ascii="Book Antiqua" w:hAnsi="Book Antiqua"/>
          <w:kern w:val="2"/>
          <w:sz w:val="24"/>
          <w:szCs w:val="24"/>
        </w:rPr>
        <w:t>Eutamène</w:t>
      </w:r>
      <w:proofErr w:type="spellEnd"/>
      <w:r>
        <w:rPr>
          <w:rFonts w:ascii="Book Antiqua" w:hAnsi="Book Antiqua"/>
          <w:kern w:val="2"/>
          <w:sz w:val="24"/>
          <w:szCs w:val="24"/>
        </w:rPr>
        <w:t xml:space="preserve"> H, </w:t>
      </w:r>
      <w:proofErr w:type="spellStart"/>
      <w:r>
        <w:rPr>
          <w:rFonts w:ascii="Book Antiqua" w:hAnsi="Book Antiqua"/>
          <w:kern w:val="2"/>
          <w:sz w:val="24"/>
          <w:szCs w:val="24"/>
        </w:rPr>
        <w:t>Bueno</w:t>
      </w:r>
      <w:proofErr w:type="spellEnd"/>
      <w:r>
        <w:rPr>
          <w:rFonts w:ascii="Book Antiqua" w:hAnsi="Book Antiqua"/>
          <w:kern w:val="2"/>
          <w:sz w:val="24"/>
          <w:szCs w:val="24"/>
        </w:rPr>
        <w:t xml:space="preserve"> L. Dexamethasone prevents visceral hyperalgesia but not colonic permeability increase induced by luminal protease-activated receptor-2 agonist in rats. </w:t>
      </w:r>
      <w:r>
        <w:rPr>
          <w:rFonts w:ascii="Book Antiqua" w:hAnsi="Book Antiqua"/>
          <w:i/>
          <w:kern w:val="2"/>
          <w:sz w:val="24"/>
          <w:szCs w:val="24"/>
        </w:rPr>
        <w:t>Gut</w:t>
      </w:r>
      <w:r>
        <w:rPr>
          <w:rFonts w:ascii="Book Antiqua" w:hAnsi="Book Antiqua"/>
          <w:kern w:val="2"/>
          <w:sz w:val="24"/>
          <w:szCs w:val="24"/>
        </w:rPr>
        <w:t xml:space="preserve"> 2007; </w:t>
      </w:r>
      <w:r>
        <w:rPr>
          <w:rFonts w:ascii="Book Antiqua" w:hAnsi="Book Antiqua"/>
          <w:b/>
          <w:kern w:val="2"/>
          <w:sz w:val="24"/>
          <w:szCs w:val="24"/>
        </w:rPr>
        <w:t>56</w:t>
      </w:r>
      <w:r>
        <w:rPr>
          <w:rFonts w:ascii="Book Antiqua" w:hAnsi="Book Antiqua"/>
          <w:kern w:val="2"/>
          <w:sz w:val="24"/>
          <w:szCs w:val="24"/>
        </w:rPr>
        <w:t>: 1072-1078 [PMID: 17309885 DOI: 10.1136/gut.2006.115352]</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50 </w:t>
      </w:r>
      <w:r>
        <w:rPr>
          <w:rFonts w:ascii="Book Antiqua" w:hAnsi="Book Antiqua"/>
          <w:b/>
          <w:kern w:val="2"/>
          <w:sz w:val="24"/>
          <w:szCs w:val="24"/>
        </w:rPr>
        <w:t>Seybold VS</w:t>
      </w:r>
      <w:r>
        <w:rPr>
          <w:rFonts w:ascii="Book Antiqua" w:hAnsi="Book Antiqua"/>
          <w:kern w:val="2"/>
          <w:sz w:val="24"/>
          <w:szCs w:val="24"/>
        </w:rPr>
        <w:t xml:space="preserve">. The role of peptides in central sensitization. </w:t>
      </w:r>
      <w:proofErr w:type="spellStart"/>
      <w:r>
        <w:rPr>
          <w:rFonts w:ascii="Book Antiqua" w:hAnsi="Book Antiqua"/>
          <w:i/>
          <w:kern w:val="2"/>
          <w:sz w:val="24"/>
          <w:szCs w:val="24"/>
        </w:rPr>
        <w:t>Handb</w:t>
      </w:r>
      <w:proofErr w:type="spellEnd"/>
      <w:r>
        <w:rPr>
          <w:rFonts w:ascii="Book Antiqua" w:hAnsi="Book Antiqua"/>
          <w:i/>
          <w:kern w:val="2"/>
          <w:sz w:val="24"/>
          <w:szCs w:val="24"/>
        </w:rPr>
        <w:t xml:space="preserve"> </w:t>
      </w:r>
      <w:proofErr w:type="spellStart"/>
      <w:r>
        <w:rPr>
          <w:rFonts w:ascii="Book Antiqua" w:hAnsi="Book Antiqua"/>
          <w:i/>
          <w:kern w:val="2"/>
          <w:sz w:val="24"/>
          <w:szCs w:val="24"/>
        </w:rPr>
        <w:t>Exp</w:t>
      </w:r>
      <w:proofErr w:type="spellEnd"/>
      <w:r>
        <w:rPr>
          <w:rFonts w:ascii="Book Antiqua" w:hAnsi="Book Antiqua"/>
          <w:i/>
          <w:kern w:val="2"/>
          <w:sz w:val="24"/>
          <w:szCs w:val="24"/>
        </w:rPr>
        <w:t xml:space="preserve"> </w:t>
      </w:r>
      <w:proofErr w:type="spellStart"/>
      <w:r>
        <w:rPr>
          <w:rFonts w:ascii="Book Antiqua" w:hAnsi="Book Antiqua"/>
          <w:i/>
          <w:kern w:val="2"/>
          <w:sz w:val="24"/>
          <w:szCs w:val="24"/>
        </w:rPr>
        <w:t>Pharmacol</w:t>
      </w:r>
      <w:proofErr w:type="spellEnd"/>
      <w:r>
        <w:rPr>
          <w:rFonts w:ascii="Book Antiqua" w:hAnsi="Book Antiqua"/>
          <w:kern w:val="2"/>
          <w:sz w:val="24"/>
          <w:szCs w:val="24"/>
        </w:rPr>
        <w:t xml:space="preserve"> 2009; </w:t>
      </w:r>
      <w:r>
        <w:rPr>
          <w:rFonts w:ascii="Book Antiqua" w:hAnsi="Book Antiqua"/>
          <w:b/>
          <w:bCs/>
          <w:kern w:val="2"/>
          <w:sz w:val="24"/>
          <w:szCs w:val="24"/>
        </w:rPr>
        <w:t>(194)</w:t>
      </w:r>
      <w:r>
        <w:rPr>
          <w:rFonts w:ascii="Book Antiqua" w:hAnsi="Book Antiqua"/>
          <w:kern w:val="2"/>
          <w:sz w:val="24"/>
          <w:szCs w:val="24"/>
        </w:rPr>
        <w:t>: 451-491 [PMID: 19655115 DOI: 10.1007/978-3-540-79090-7_13]</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51 </w:t>
      </w:r>
      <w:r>
        <w:rPr>
          <w:rFonts w:ascii="Book Antiqua" w:hAnsi="Book Antiqua"/>
          <w:b/>
          <w:kern w:val="2"/>
          <w:sz w:val="24"/>
          <w:szCs w:val="24"/>
        </w:rPr>
        <w:t>Dunlop SP</w:t>
      </w:r>
      <w:r>
        <w:rPr>
          <w:rFonts w:ascii="Book Antiqua" w:hAnsi="Book Antiqua"/>
          <w:kern w:val="2"/>
          <w:sz w:val="24"/>
          <w:szCs w:val="24"/>
        </w:rPr>
        <w:t xml:space="preserve">, </w:t>
      </w:r>
      <w:proofErr w:type="spellStart"/>
      <w:r>
        <w:rPr>
          <w:rFonts w:ascii="Book Antiqua" w:hAnsi="Book Antiqua"/>
          <w:kern w:val="2"/>
          <w:sz w:val="24"/>
          <w:szCs w:val="24"/>
        </w:rPr>
        <w:t>Hebden</w:t>
      </w:r>
      <w:proofErr w:type="spellEnd"/>
      <w:r>
        <w:rPr>
          <w:rFonts w:ascii="Book Antiqua" w:hAnsi="Book Antiqua"/>
          <w:kern w:val="2"/>
          <w:sz w:val="24"/>
          <w:szCs w:val="24"/>
        </w:rPr>
        <w:t xml:space="preserve"> J, Campbell E, </w:t>
      </w:r>
      <w:proofErr w:type="spellStart"/>
      <w:r>
        <w:rPr>
          <w:rFonts w:ascii="Book Antiqua" w:hAnsi="Book Antiqua"/>
          <w:kern w:val="2"/>
          <w:sz w:val="24"/>
          <w:szCs w:val="24"/>
        </w:rPr>
        <w:t>Naesdal</w:t>
      </w:r>
      <w:proofErr w:type="spellEnd"/>
      <w:r>
        <w:rPr>
          <w:rFonts w:ascii="Book Antiqua" w:hAnsi="Book Antiqua"/>
          <w:kern w:val="2"/>
          <w:sz w:val="24"/>
          <w:szCs w:val="24"/>
        </w:rPr>
        <w:t xml:space="preserve"> J, </w:t>
      </w:r>
      <w:proofErr w:type="spellStart"/>
      <w:r>
        <w:rPr>
          <w:rFonts w:ascii="Book Antiqua" w:hAnsi="Book Antiqua"/>
          <w:kern w:val="2"/>
          <w:sz w:val="24"/>
          <w:szCs w:val="24"/>
        </w:rPr>
        <w:t>Olbe</w:t>
      </w:r>
      <w:proofErr w:type="spellEnd"/>
      <w:r>
        <w:rPr>
          <w:rFonts w:ascii="Book Antiqua" w:hAnsi="Book Antiqua"/>
          <w:kern w:val="2"/>
          <w:sz w:val="24"/>
          <w:szCs w:val="24"/>
        </w:rPr>
        <w:t xml:space="preserve"> L, Perkins AC, Spiller RC. Abnormal intestinal permeability in subgroups of diarrhea-predominant irritable bowel syndromes. </w:t>
      </w:r>
      <w:r>
        <w:rPr>
          <w:rFonts w:ascii="Book Antiqua" w:hAnsi="Book Antiqua"/>
          <w:i/>
          <w:kern w:val="2"/>
          <w:sz w:val="24"/>
          <w:szCs w:val="24"/>
        </w:rPr>
        <w:t xml:space="preserve">Am J </w:t>
      </w:r>
      <w:proofErr w:type="spellStart"/>
      <w:r>
        <w:rPr>
          <w:rFonts w:ascii="Book Antiqua" w:hAnsi="Book Antiqua"/>
          <w:i/>
          <w:kern w:val="2"/>
          <w:sz w:val="24"/>
          <w:szCs w:val="24"/>
        </w:rPr>
        <w:t>Gastroenterol</w:t>
      </w:r>
      <w:proofErr w:type="spellEnd"/>
      <w:r>
        <w:rPr>
          <w:rFonts w:ascii="Book Antiqua" w:hAnsi="Book Antiqua"/>
          <w:kern w:val="2"/>
          <w:sz w:val="24"/>
          <w:szCs w:val="24"/>
        </w:rPr>
        <w:t xml:space="preserve"> 2006; </w:t>
      </w:r>
      <w:r>
        <w:rPr>
          <w:rFonts w:ascii="Book Antiqua" w:hAnsi="Book Antiqua"/>
          <w:b/>
          <w:kern w:val="2"/>
          <w:sz w:val="24"/>
          <w:szCs w:val="24"/>
        </w:rPr>
        <w:t>101</w:t>
      </w:r>
      <w:r>
        <w:rPr>
          <w:rFonts w:ascii="Book Antiqua" w:hAnsi="Book Antiqua"/>
          <w:kern w:val="2"/>
          <w:sz w:val="24"/>
          <w:szCs w:val="24"/>
        </w:rPr>
        <w:t>: 1288-1294 [PMID: 16771951 DOI: 10.1111/j.1572-0241.2006.00672.x]</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52 </w:t>
      </w:r>
      <w:proofErr w:type="spellStart"/>
      <w:r>
        <w:rPr>
          <w:rFonts w:ascii="Book Antiqua" w:hAnsi="Book Antiqua"/>
          <w:b/>
          <w:kern w:val="2"/>
          <w:sz w:val="24"/>
          <w:szCs w:val="24"/>
        </w:rPr>
        <w:t>Barau</w:t>
      </w:r>
      <w:proofErr w:type="spellEnd"/>
      <w:r>
        <w:rPr>
          <w:rFonts w:ascii="Book Antiqua" w:hAnsi="Book Antiqua"/>
          <w:b/>
          <w:kern w:val="2"/>
          <w:sz w:val="24"/>
          <w:szCs w:val="24"/>
        </w:rPr>
        <w:t xml:space="preserve"> E</w:t>
      </w:r>
      <w:r>
        <w:rPr>
          <w:rFonts w:ascii="Book Antiqua" w:hAnsi="Book Antiqua"/>
          <w:kern w:val="2"/>
          <w:sz w:val="24"/>
          <w:szCs w:val="24"/>
        </w:rPr>
        <w:t xml:space="preserve">, </w:t>
      </w:r>
      <w:proofErr w:type="spellStart"/>
      <w:r>
        <w:rPr>
          <w:rFonts w:ascii="Book Antiqua" w:hAnsi="Book Antiqua"/>
          <w:kern w:val="2"/>
          <w:sz w:val="24"/>
          <w:szCs w:val="24"/>
        </w:rPr>
        <w:t>Dupont</w:t>
      </w:r>
      <w:proofErr w:type="spellEnd"/>
      <w:r>
        <w:rPr>
          <w:rFonts w:ascii="Book Antiqua" w:hAnsi="Book Antiqua"/>
          <w:kern w:val="2"/>
          <w:sz w:val="24"/>
          <w:szCs w:val="24"/>
        </w:rPr>
        <w:t xml:space="preserve"> C. Modifications of intestinal permeability during food provocation procedures in pediatric irritable bowel syndrome. </w:t>
      </w:r>
      <w:r>
        <w:rPr>
          <w:rFonts w:ascii="Book Antiqua" w:hAnsi="Book Antiqua"/>
          <w:i/>
          <w:kern w:val="2"/>
          <w:sz w:val="24"/>
          <w:szCs w:val="24"/>
        </w:rPr>
        <w:t xml:space="preserve">J </w:t>
      </w:r>
      <w:proofErr w:type="spellStart"/>
      <w:r>
        <w:rPr>
          <w:rFonts w:ascii="Book Antiqua" w:hAnsi="Book Antiqua"/>
          <w:i/>
          <w:kern w:val="2"/>
          <w:sz w:val="24"/>
          <w:szCs w:val="24"/>
        </w:rPr>
        <w:t>Pediatr</w:t>
      </w:r>
      <w:proofErr w:type="spellEnd"/>
      <w:r>
        <w:rPr>
          <w:rFonts w:ascii="Book Antiqua" w:hAnsi="Book Antiqua"/>
          <w:i/>
          <w:kern w:val="2"/>
          <w:sz w:val="24"/>
          <w:szCs w:val="24"/>
        </w:rPr>
        <w:t xml:space="preserve"> </w:t>
      </w:r>
      <w:proofErr w:type="spellStart"/>
      <w:r>
        <w:rPr>
          <w:rFonts w:ascii="Book Antiqua" w:hAnsi="Book Antiqua"/>
          <w:i/>
          <w:kern w:val="2"/>
          <w:sz w:val="24"/>
          <w:szCs w:val="24"/>
        </w:rPr>
        <w:lastRenderedPageBreak/>
        <w:t>Gastroenterol</w:t>
      </w:r>
      <w:proofErr w:type="spellEnd"/>
      <w:r>
        <w:rPr>
          <w:rFonts w:ascii="Book Antiqua" w:hAnsi="Book Antiqua"/>
          <w:i/>
          <w:kern w:val="2"/>
          <w:sz w:val="24"/>
          <w:szCs w:val="24"/>
        </w:rPr>
        <w:t xml:space="preserve"> </w:t>
      </w:r>
      <w:proofErr w:type="spellStart"/>
      <w:r>
        <w:rPr>
          <w:rFonts w:ascii="Book Antiqua" w:hAnsi="Book Antiqua"/>
          <w:i/>
          <w:kern w:val="2"/>
          <w:sz w:val="24"/>
          <w:szCs w:val="24"/>
        </w:rPr>
        <w:t>Nutr</w:t>
      </w:r>
      <w:proofErr w:type="spellEnd"/>
      <w:r>
        <w:rPr>
          <w:rFonts w:ascii="Book Antiqua" w:hAnsi="Book Antiqua"/>
          <w:kern w:val="2"/>
          <w:sz w:val="24"/>
          <w:szCs w:val="24"/>
        </w:rPr>
        <w:t xml:space="preserve"> 1990; </w:t>
      </w:r>
      <w:r>
        <w:rPr>
          <w:rFonts w:ascii="Book Antiqua" w:hAnsi="Book Antiqua"/>
          <w:b/>
          <w:kern w:val="2"/>
          <w:sz w:val="24"/>
          <w:szCs w:val="24"/>
        </w:rPr>
        <w:t>11</w:t>
      </w:r>
      <w:r>
        <w:rPr>
          <w:rFonts w:ascii="Book Antiqua" w:hAnsi="Book Antiqua"/>
          <w:kern w:val="2"/>
          <w:sz w:val="24"/>
          <w:szCs w:val="24"/>
        </w:rPr>
        <w:t>: 72-77 [PMID: 2117653 DOI: 10.1097/00005176-199007000-00015]</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53 </w:t>
      </w:r>
      <w:proofErr w:type="spellStart"/>
      <w:r>
        <w:rPr>
          <w:rFonts w:ascii="Book Antiqua" w:hAnsi="Book Antiqua"/>
          <w:b/>
          <w:kern w:val="2"/>
          <w:sz w:val="24"/>
          <w:szCs w:val="24"/>
        </w:rPr>
        <w:t>Rachmilewitz</w:t>
      </w:r>
      <w:proofErr w:type="spellEnd"/>
      <w:r>
        <w:rPr>
          <w:rFonts w:ascii="Book Antiqua" w:hAnsi="Book Antiqua"/>
          <w:b/>
          <w:kern w:val="2"/>
          <w:sz w:val="24"/>
          <w:szCs w:val="24"/>
        </w:rPr>
        <w:t xml:space="preserve"> D</w:t>
      </w:r>
      <w:r>
        <w:rPr>
          <w:rFonts w:ascii="Book Antiqua" w:hAnsi="Book Antiqua"/>
          <w:kern w:val="2"/>
          <w:sz w:val="24"/>
          <w:szCs w:val="24"/>
        </w:rPr>
        <w:t xml:space="preserve">, Katakura K, </w:t>
      </w:r>
      <w:proofErr w:type="spellStart"/>
      <w:r>
        <w:rPr>
          <w:rFonts w:ascii="Book Antiqua" w:hAnsi="Book Antiqua"/>
          <w:kern w:val="2"/>
          <w:sz w:val="24"/>
          <w:szCs w:val="24"/>
        </w:rPr>
        <w:t>Karmeli</w:t>
      </w:r>
      <w:proofErr w:type="spellEnd"/>
      <w:r>
        <w:rPr>
          <w:rFonts w:ascii="Book Antiqua" w:hAnsi="Book Antiqua"/>
          <w:kern w:val="2"/>
          <w:sz w:val="24"/>
          <w:szCs w:val="24"/>
        </w:rPr>
        <w:t xml:space="preserve"> F, Hayashi T, </w:t>
      </w:r>
      <w:proofErr w:type="spellStart"/>
      <w:r>
        <w:rPr>
          <w:rFonts w:ascii="Book Antiqua" w:hAnsi="Book Antiqua"/>
          <w:kern w:val="2"/>
          <w:sz w:val="24"/>
          <w:szCs w:val="24"/>
        </w:rPr>
        <w:t>Reinus</w:t>
      </w:r>
      <w:proofErr w:type="spellEnd"/>
      <w:r>
        <w:rPr>
          <w:rFonts w:ascii="Book Antiqua" w:hAnsi="Book Antiqua"/>
          <w:kern w:val="2"/>
          <w:sz w:val="24"/>
          <w:szCs w:val="24"/>
        </w:rPr>
        <w:t xml:space="preserve"> C, </w:t>
      </w:r>
      <w:proofErr w:type="spellStart"/>
      <w:r>
        <w:rPr>
          <w:rFonts w:ascii="Book Antiqua" w:hAnsi="Book Antiqua"/>
          <w:kern w:val="2"/>
          <w:sz w:val="24"/>
          <w:szCs w:val="24"/>
        </w:rPr>
        <w:t>Rudensky</w:t>
      </w:r>
      <w:proofErr w:type="spellEnd"/>
      <w:r>
        <w:rPr>
          <w:rFonts w:ascii="Book Antiqua" w:hAnsi="Book Antiqua"/>
          <w:kern w:val="2"/>
          <w:sz w:val="24"/>
          <w:szCs w:val="24"/>
        </w:rPr>
        <w:t xml:space="preserve"> B, Akira S, Takeda K, Lee J, </w:t>
      </w:r>
      <w:proofErr w:type="spellStart"/>
      <w:r>
        <w:rPr>
          <w:rFonts w:ascii="Book Antiqua" w:hAnsi="Book Antiqua"/>
          <w:kern w:val="2"/>
          <w:sz w:val="24"/>
          <w:szCs w:val="24"/>
        </w:rPr>
        <w:t>Takabayashi</w:t>
      </w:r>
      <w:proofErr w:type="spellEnd"/>
      <w:r>
        <w:rPr>
          <w:rFonts w:ascii="Book Antiqua" w:hAnsi="Book Antiqua"/>
          <w:kern w:val="2"/>
          <w:sz w:val="24"/>
          <w:szCs w:val="24"/>
        </w:rPr>
        <w:t xml:space="preserve"> K, </w:t>
      </w:r>
      <w:proofErr w:type="spellStart"/>
      <w:r>
        <w:rPr>
          <w:rFonts w:ascii="Book Antiqua" w:hAnsi="Book Antiqua"/>
          <w:kern w:val="2"/>
          <w:sz w:val="24"/>
          <w:szCs w:val="24"/>
        </w:rPr>
        <w:t>Raz</w:t>
      </w:r>
      <w:proofErr w:type="spellEnd"/>
      <w:r>
        <w:rPr>
          <w:rFonts w:ascii="Book Antiqua" w:hAnsi="Book Antiqua"/>
          <w:kern w:val="2"/>
          <w:sz w:val="24"/>
          <w:szCs w:val="24"/>
        </w:rPr>
        <w:t xml:space="preserve"> E. Toll-like receptor 9 signaling mediates the anti-inflammatory effects of probiotics in murine experimental colitis. </w:t>
      </w:r>
      <w:r>
        <w:rPr>
          <w:rFonts w:ascii="Book Antiqua" w:hAnsi="Book Antiqua"/>
          <w:i/>
          <w:kern w:val="2"/>
          <w:sz w:val="24"/>
          <w:szCs w:val="24"/>
        </w:rPr>
        <w:t>Gastroenterology</w:t>
      </w:r>
      <w:r>
        <w:rPr>
          <w:rFonts w:ascii="Book Antiqua" w:hAnsi="Book Antiqua"/>
          <w:kern w:val="2"/>
          <w:sz w:val="24"/>
          <w:szCs w:val="24"/>
        </w:rPr>
        <w:t xml:space="preserve"> 2004; </w:t>
      </w:r>
      <w:r>
        <w:rPr>
          <w:rFonts w:ascii="Book Antiqua" w:hAnsi="Book Antiqua"/>
          <w:b/>
          <w:kern w:val="2"/>
          <w:sz w:val="24"/>
          <w:szCs w:val="24"/>
        </w:rPr>
        <w:t>126</w:t>
      </w:r>
      <w:r>
        <w:rPr>
          <w:rFonts w:ascii="Book Antiqua" w:hAnsi="Book Antiqua"/>
          <w:kern w:val="2"/>
          <w:sz w:val="24"/>
          <w:szCs w:val="24"/>
        </w:rPr>
        <w:t>: 520-528 [PMID: 14762789 DOI: 10.1053/j.gastro.2004.05.052]</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54 </w:t>
      </w:r>
      <w:proofErr w:type="spellStart"/>
      <w:r>
        <w:rPr>
          <w:rFonts w:ascii="Book Antiqua" w:hAnsi="Book Antiqua"/>
          <w:b/>
          <w:kern w:val="2"/>
          <w:sz w:val="24"/>
          <w:szCs w:val="24"/>
        </w:rPr>
        <w:t>Jijon</w:t>
      </w:r>
      <w:proofErr w:type="spellEnd"/>
      <w:r>
        <w:rPr>
          <w:rFonts w:ascii="Book Antiqua" w:hAnsi="Book Antiqua"/>
          <w:b/>
          <w:kern w:val="2"/>
          <w:sz w:val="24"/>
          <w:szCs w:val="24"/>
        </w:rPr>
        <w:t xml:space="preserve"> H</w:t>
      </w:r>
      <w:r>
        <w:rPr>
          <w:rFonts w:ascii="Book Antiqua" w:hAnsi="Book Antiqua"/>
          <w:kern w:val="2"/>
          <w:sz w:val="24"/>
          <w:szCs w:val="24"/>
        </w:rPr>
        <w:t xml:space="preserve">, Backer J, Diaz H, Yeung H, Thiel D, </w:t>
      </w:r>
      <w:proofErr w:type="spellStart"/>
      <w:r>
        <w:rPr>
          <w:rFonts w:ascii="Book Antiqua" w:hAnsi="Book Antiqua"/>
          <w:kern w:val="2"/>
          <w:sz w:val="24"/>
          <w:szCs w:val="24"/>
        </w:rPr>
        <w:t>McKaigney</w:t>
      </w:r>
      <w:proofErr w:type="spellEnd"/>
      <w:r>
        <w:rPr>
          <w:rFonts w:ascii="Book Antiqua" w:hAnsi="Book Antiqua"/>
          <w:kern w:val="2"/>
          <w:sz w:val="24"/>
          <w:szCs w:val="24"/>
        </w:rPr>
        <w:t xml:space="preserve"> C, De Simone C, Madsen K. DNA from probiotic bacteria modulates murine and human epithelial and immune function. </w:t>
      </w:r>
      <w:r>
        <w:rPr>
          <w:rFonts w:ascii="Book Antiqua" w:hAnsi="Book Antiqua"/>
          <w:i/>
          <w:kern w:val="2"/>
          <w:sz w:val="24"/>
          <w:szCs w:val="24"/>
        </w:rPr>
        <w:t>Gastroenterology</w:t>
      </w:r>
      <w:r>
        <w:rPr>
          <w:rFonts w:ascii="Book Antiqua" w:hAnsi="Book Antiqua"/>
          <w:kern w:val="2"/>
          <w:sz w:val="24"/>
          <w:szCs w:val="24"/>
        </w:rPr>
        <w:t xml:space="preserve"> 2004; </w:t>
      </w:r>
      <w:r>
        <w:rPr>
          <w:rFonts w:ascii="Book Antiqua" w:hAnsi="Book Antiqua"/>
          <w:b/>
          <w:kern w:val="2"/>
          <w:sz w:val="24"/>
          <w:szCs w:val="24"/>
        </w:rPr>
        <w:t>126</w:t>
      </w:r>
      <w:r>
        <w:rPr>
          <w:rFonts w:ascii="Book Antiqua" w:hAnsi="Book Antiqua"/>
          <w:kern w:val="2"/>
          <w:sz w:val="24"/>
          <w:szCs w:val="24"/>
        </w:rPr>
        <w:t>: 1358-1373 [PMID: 15131797 DOI: 10.1053/j.gastro.2004.02.003]</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55 </w:t>
      </w:r>
      <w:r>
        <w:rPr>
          <w:rFonts w:ascii="Book Antiqua" w:hAnsi="Book Antiqua"/>
          <w:b/>
          <w:kern w:val="2"/>
          <w:sz w:val="24"/>
          <w:szCs w:val="24"/>
        </w:rPr>
        <w:t>Barbara G</w:t>
      </w:r>
      <w:r>
        <w:rPr>
          <w:rFonts w:ascii="Book Antiqua" w:hAnsi="Book Antiqua"/>
          <w:kern w:val="2"/>
          <w:sz w:val="24"/>
          <w:szCs w:val="24"/>
        </w:rPr>
        <w:t xml:space="preserve">. Mucosal barrier defects in irritable bowel syndrome. Who left the door open? </w:t>
      </w:r>
      <w:r>
        <w:rPr>
          <w:rFonts w:ascii="Book Antiqua" w:hAnsi="Book Antiqua"/>
          <w:i/>
          <w:kern w:val="2"/>
          <w:sz w:val="24"/>
          <w:szCs w:val="24"/>
        </w:rPr>
        <w:t xml:space="preserve">Am J </w:t>
      </w:r>
      <w:proofErr w:type="spellStart"/>
      <w:r>
        <w:rPr>
          <w:rFonts w:ascii="Book Antiqua" w:hAnsi="Book Antiqua"/>
          <w:i/>
          <w:kern w:val="2"/>
          <w:sz w:val="24"/>
          <w:szCs w:val="24"/>
        </w:rPr>
        <w:t>Gastroenterol</w:t>
      </w:r>
      <w:proofErr w:type="spellEnd"/>
      <w:r>
        <w:rPr>
          <w:rFonts w:ascii="Book Antiqua" w:hAnsi="Book Antiqua"/>
          <w:kern w:val="2"/>
          <w:sz w:val="24"/>
          <w:szCs w:val="24"/>
        </w:rPr>
        <w:t xml:space="preserve"> 2006; </w:t>
      </w:r>
      <w:r>
        <w:rPr>
          <w:rFonts w:ascii="Book Antiqua" w:hAnsi="Book Antiqua"/>
          <w:b/>
          <w:kern w:val="2"/>
          <w:sz w:val="24"/>
          <w:szCs w:val="24"/>
        </w:rPr>
        <w:t>101</w:t>
      </w:r>
      <w:r>
        <w:rPr>
          <w:rFonts w:ascii="Book Antiqua" w:hAnsi="Book Antiqua"/>
          <w:kern w:val="2"/>
          <w:sz w:val="24"/>
          <w:szCs w:val="24"/>
        </w:rPr>
        <w:t>: 1295-1298 [PMID: 16771952 DOI: 10.1111/j.1572-0241.2006.00667.x]</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56 </w:t>
      </w:r>
      <w:proofErr w:type="spellStart"/>
      <w:r>
        <w:rPr>
          <w:rFonts w:ascii="Book Antiqua" w:hAnsi="Book Antiqua"/>
          <w:b/>
          <w:kern w:val="2"/>
          <w:sz w:val="24"/>
          <w:szCs w:val="24"/>
        </w:rPr>
        <w:t>Cenac</w:t>
      </w:r>
      <w:proofErr w:type="spellEnd"/>
      <w:r>
        <w:rPr>
          <w:rFonts w:ascii="Book Antiqua" w:hAnsi="Book Antiqua"/>
          <w:b/>
          <w:kern w:val="2"/>
          <w:sz w:val="24"/>
          <w:szCs w:val="24"/>
        </w:rPr>
        <w:t xml:space="preserve"> N</w:t>
      </w:r>
      <w:r>
        <w:rPr>
          <w:rFonts w:ascii="Book Antiqua" w:hAnsi="Book Antiqua"/>
          <w:kern w:val="2"/>
          <w:sz w:val="24"/>
          <w:szCs w:val="24"/>
        </w:rPr>
        <w:t xml:space="preserve">, Andrews CN, </w:t>
      </w:r>
      <w:proofErr w:type="spellStart"/>
      <w:r>
        <w:rPr>
          <w:rFonts w:ascii="Book Antiqua" w:hAnsi="Book Antiqua"/>
          <w:kern w:val="2"/>
          <w:sz w:val="24"/>
          <w:szCs w:val="24"/>
        </w:rPr>
        <w:t>Holzhausen</w:t>
      </w:r>
      <w:proofErr w:type="spellEnd"/>
      <w:r>
        <w:rPr>
          <w:rFonts w:ascii="Book Antiqua" w:hAnsi="Book Antiqua"/>
          <w:kern w:val="2"/>
          <w:sz w:val="24"/>
          <w:szCs w:val="24"/>
        </w:rPr>
        <w:t xml:space="preserve"> M, Chapman K, Cottrell G, Andrade-Gordon P, Steinhoff M, Barbara G, Beck P, </w:t>
      </w:r>
      <w:proofErr w:type="spellStart"/>
      <w:r>
        <w:rPr>
          <w:rFonts w:ascii="Book Antiqua" w:hAnsi="Book Antiqua"/>
          <w:kern w:val="2"/>
          <w:sz w:val="24"/>
          <w:szCs w:val="24"/>
        </w:rPr>
        <w:t>Bunnett</w:t>
      </w:r>
      <w:proofErr w:type="spellEnd"/>
      <w:r>
        <w:rPr>
          <w:rFonts w:ascii="Book Antiqua" w:hAnsi="Book Antiqua"/>
          <w:kern w:val="2"/>
          <w:sz w:val="24"/>
          <w:szCs w:val="24"/>
        </w:rPr>
        <w:t xml:space="preserve"> NW, Sharkey KA, </w:t>
      </w:r>
      <w:proofErr w:type="spellStart"/>
      <w:r>
        <w:rPr>
          <w:rFonts w:ascii="Book Antiqua" w:hAnsi="Book Antiqua"/>
          <w:kern w:val="2"/>
          <w:sz w:val="24"/>
          <w:szCs w:val="24"/>
        </w:rPr>
        <w:t>Ferraz</w:t>
      </w:r>
      <w:proofErr w:type="spellEnd"/>
      <w:r>
        <w:rPr>
          <w:rFonts w:ascii="Book Antiqua" w:hAnsi="Book Antiqua"/>
          <w:kern w:val="2"/>
          <w:sz w:val="24"/>
          <w:szCs w:val="24"/>
        </w:rPr>
        <w:t xml:space="preserve"> JG, Shaffer E, </w:t>
      </w:r>
      <w:proofErr w:type="spellStart"/>
      <w:r>
        <w:rPr>
          <w:rFonts w:ascii="Book Antiqua" w:hAnsi="Book Antiqua"/>
          <w:kern w:val="2"/>
          <w:sz w:val="24"/>
          <w:szCs w:val="24"/>
        </w:rPr>
        <w:t>Vergnolle</w:t>
      </w:r>
      <w:proofErr w:type="spellEnd"/>
      <w:r>
        <w:rPr>
          <w:rFonts w:ascii="Book Antiqua" w:hAnsi="Book Antiqua"/>
          <w:kern w:val="2"/>
          <w:sz w:val="24"/>
          <w:szCs w:val="24"/>
        </w:rPr>
        <w:t xml:space="preserve"> N. Role for protease activity in visceral pain in irritable bowel syndrome. </w:t>
      </w:r>
      <w:r>
        <w:rPr>
          <w:rFonts w:ascii="Book Antiqua" w:hAnsi="Book Antiqua"/>
          <w:i/>
          <w:kern w:val="2"/>
          <w:sz w:val="24"/>
          <w:szCs w:val="24"/>
        </w:rPr>
        <w:t xml:space="preserve">J </w:t>
      </w:r>
      <w:proofErr w:type="spellStart"/>
      <w:r>
        <w:rPr>
          <w:rFonts w:ascii="Book Antiqua" w:hAnsi="Book Antiqua"/>
          <w:i/>
          <w:kern w:val="2"/>
          <w:sz w:val="24"/>
          <w:szCs w:val="24"/>
        </w:rPr>
        <w:t>Clin</w:t>
      </w:r>
      <w:proofErr w:type="spellEnd"/>
      <w:r>
        <w:rPr>
          <w:rFonts w:ascii="Book Antiqua" w:hAnsi="Book Antiqua"/>
          <w:i/>
          <w:kern w:val="2"/>
          <w:sz w:val="24"/>
          <w:szCs w:val="24"/>
        </w:rPr>
        <w:t xml:space="preserve"> Invest</w:t>
      </w:r>
      <w:r>
        <w:rPr>
          <w:rFonts w:ascii="Book Antiqua" w:hAnsi="Book Antiqua"/>
          <w:kern w:val="2"/>
          <w:sz w:val="24"/>
          <w:szCs w:val="24"/>
        </w:rPr>
        <w:t xml:space="preserve"> 2007; </w:t>
      </w:r>
      <w:r>
        <w:rPr>
          <w:rFonts w:ascii="Book Antiqua" w:hAnsi="Book Antiqua"/>
          <w:b/>
          <w:kern w:val="2"/>
          <w:sz w:val="24"/>
          <w:szCs w:val="24"/>
        </w:rPr>
        <w:t>117</w:t>
      </w:r>
      <w:r>
        <w:rPr>
          <w:rFonts w:ascii="Book Antiqua" w:hAnsi="Book Antiqua"/>
          <w:kern w:val="2"/>
          <w:sz w:val="24"/>
          <w:szCs w:val="24"/>
        </w:rPr>
        <w:t>: 636-647 [PMID: 17304351 DOI: 10.1172/jci29255]</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57 </w:t>
      </w:r>
      <w:proofErr w:type="spellStart"/>
      <w:r>
        <w:rPr>
          <w:rFonts w:ascii="Book Antiqua" w:hAnsi="Book Antiqua"/>
          <w:b/>
          <w:kern w:val="2"/>
          <w:sz w:val="24"/>
          <w:szCs w:val="24"/>
        </w:rPr>
        <w:t>Bueno</w:t>
      </w:r>
      <w:proofErr w:type="spellEnd"/>
      <w:r>
        <w:rPr>
          <w:rFonts w:ascii="Book Antiqua" w:hAnsi="Book Antiqua"/>
          <w:b/>
          <w:kern w:val="2"/>
          <w:sz w:val="24"/>
          <w:szCs w:val="24"/>
        </w:rPr>
        <w:t xml:space="preserve"> L</w:t>
      </w:r>
      <w:r>
        <w:rPr>
          <w:rFonts w:ascii="Book Antiqua" w:hAnsi="Book Antiqua"/>
          <w:kern w:val="2"/>
          <w:sz w:val="24"/>
          <w:szCs w:val="24"/>
        </w:rPr>
        <w:t xml:space="preserve">, </w:t>
      </w:r>
      <w:proofErr w:type="spellStart"/>
      <w:r>
        <w:rPr>
          <w:rFonts w:ascii="Book Antiqua" w:hAnsi="Book Antiqua"/>
          <w:kern w:val="2"/>
          <w:sz w:val="24"/>
          <w:szCs w:val="24"/>
        </w:rPr>
        <w:t>Fioramonti</w:t>
      </w:r>
      <w:proofErr w:type="spellEnd"/>
      <w:r>
        <w:rPr>
          <w:rFonts w:ascii="Book Antiqua" w:hAnsi="Book Antiqua"/>
          <w:kern w:val="2"/>
          <w:sz w:val="24"/>
          <w:szCs w:val="24"/>
        </w:rPr>
        <w:t xml:space="preserve"> J, </w:t>
      </w:r>
      <w:proofErr w:type="spellStart"/>
      <w:r>
        <w:rPr>
          <w:rFonts w:ascii="Book Antiqua" w:hAnsi="Book Antiqua"/>
          <w:kern w:val="2"/>
          <w:sz w:val="24"/>
          <w:szCs w:val="24"/>
        </w:rPr>
        <w:t>Delvaux</w:t>
      </w:r>
      <w:proofErr w:type="spellEnd"/>
      <w:r>
        <w:rPr>
          <w:rFonts w:ascii="Book Antiqua" w:hAnsi="Book Antiqua"/>
          <w:kern w:val="2"/>
          <w:sz w:val="24"/>
          <w:szCs w:val="24"/>
        </w:rPr>
        <w:t xml:space="preserve"> M, </w:t>
      </w:r>
      <w:proofErr w:type="spellStart"/>
      <w:r>
        <w:rPr>
          <w:rFonts w:ascii="Book Antiqua" w:hAnsi="Book Antiqua"/>
          <w:kern w:val="2"/>
          <w:sz w:val="24"/>
          <w:szCs w:val="24"/>
        </w:rPr>
        <w:t>Frexinos</w:t>
      </w:r>
      <w:proofErr w:type="spellEnd"/>
      <w:r>
        <w:rPr>
          <w:rFonts w:ascii="Book Antiqua" w:hAnsi="Book Antiqua"/>
          <w:kern w:val="2"/>
          <w:sz w:val="24"/>
          <w:szCs w:val="24"/>
        </w:rPr>
        <w:t xml:space="preserve"> J. Mediators and pharmacology of visceral sensitivity: From basic to clinical investigations. </w:t>
      </w:r>
      <w:r>
        <w:rPr>
          <w:rFonts w:ascii="Book Antiqua" w:hAnsi="Book Antiqua"/>
          <w:i/>
          <w:kern w:val="2"/>
          <w:sz w:val="24"/>
          <w:szCs w:val="24"/>
        </w:rPr>
        <w:t>Gastroenterology</w:t>
      </w:r>
      <w:r>
        <w:rPr>
          <w:rFonts w:ascii="Book Antiqua" w:hAnsi="Book Antiqua"/>
          <w:kern w:val="2"/>
          <w:sz w:val="24"/>
          <w:szCs w:val="24"/>
        </w:rPr>
        <w:t xml:space="preserve"> 1997; </w:t>
      </w:r>
      <w:r>
        <w:rPr>
          <w:rFonts w:ascii="Book Antiqua" w:hAnsi="Book Antiqua"/>
          <w:b/>
          <w:kern w:val="2"/>
          <w:sz w:val="24"/>
          <w:szCs w:val="24"/>
        </w:rPr>
        <w:t>112</w:t>
      </w:r>
      <w:r>
        <w:rPr>
          <w:rFonts w:ascii="Book Antiqua" w:hAnsi="Book Antiqua"/>
          <w:kern w:val="2"/>
          <w:sz w:val="24"/>
          <w:szCs w:val="24"/>
        </w:rPr>
        <w:t>: 1714-1743 [PMID: 9136853 DOI: 10.1016/S0016-5085(97)70056-8]</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58 </w:t>
      </w:r>
      <w:proofErr w:type="spellStart"/>
      <w:r>
        <w:rPr>
          <w:rFonts w:ascii="Book Antiqua" w:hAnsi="Book Antiqua"/>
          <w:b/>
          <w:kern w:val="2"/>
          <w:sz w:val="24"/>
          <w:szCs w:val="24"/>
        </w:rPr>
        <w:t>Drossman</w:t>
      </w:r>
      <w:proofErr w:type="spellEnd"/>
      <w:r>
        <w:rPr>
          <w:rFonts w:ascii="Book Antiqua" w:hAnsi="Book Antiqua"/>
          <w:b/>
          <w:kern w:val="2"/>
          <w:sz w:val="24"/>
          <w:szCs w:val="24"/>
        </w:rPr>
        <w:t xml:space="preserve"> DA</w:t>
      </w:r>
      <w:r>
        <w:rPr>
          <w:rFonts w:ascii="Book Antiqua" w:hAnsi="Book Antiqua"/>
          <w:kern w:val="2"/>
          <w:sz w:val="24"/>
          <w:szCs w:val="24"/>
        </w:rPr>
        <w:t xml:space="preserve">, </w:t>
      </w:r>
      <w:proofErr w:type="spellStart"/>
      <w:r>
        <w:rPr>
          <w:rFonts w:ascii="Book Antiqua" w:hAnsi="Book Antiqua"/>
          <w:kern w:val="2"/>
          <w:sz w:val="24"/>
          <w:szCs w:val="24"/>
        </w:rPr>
        <w:t>Camilleri</w:t>
      </w:r>
      <w:proofErr w:type="spellEnd"/>
      <w:r>
        <w:rPr>
          <w:rFonts w:ascii="Book Antiqua" w:hAnsi="Book Antiqua"/>
          <w:kern w:val="2"/>
          <w:sz w:val="24"/>
          <w:szCs w:val="24"/>
        </w:rPr>
        <w:t xml:space="preserve"> M, Mayer EA, Whitehead WE. AGA technical review on irritable bowel syndrome. </w:t>
      </w:r>
      <w:r>
        <w:rPr>
          <w:rFonts w:ascii="Book Antiqua" w:hAnsi="Book Antiqua"/>
          <w:i/>
          <w:kern w:val="2"/>
          <w:sz w:val="24"/>
          <w:szCs w:val="24"/>
        </w:rPr>
        <w:t>Gastroenterology</w:t>
      </w:r>
      <w:r>
        <w:rPr>
          <w:rFonts w:ascii="Book Antiqua" w:hAnsi="Book Antiqua"/>
          <w:kern w:val="2"/>
          <w:sz w:val="24"/>
          <w:szCs w:val="24"/>
        </w:rPr>
        <w:t xml:space="preserve"> 2002; </w:t>
      </w:r>
      <w:r>
        <w:rPr>
          <w:rFonts w:ascii="Book Antiqua" w:hAnsi="Book Antiqua"/>
          <w:b/>
          <w:kern w:val="2"/>
          <w:sz w:val="24"/>
          <w:szCs w:val="24"/>
        </w:rPr>
        <w:t>123</w:t>
      </w:r>
      <w:r>
        <w:rPr>
          <w:rFonts w:ascii="Book Antiqua" w:hAnsi="Book Antiqua"/>
          <w:kern w:val="2"/>
          <w:sz w:val="24"/>
          <w:szCs w:val="24"/>
        </w:rPr>
        <w:t>: 2108-2131 [PMID: 12454866 DOI: 10.1053/gast.2002.37095]</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59 </w:t>
      </w:r>
      <w:proofErr w:type="spellStart"/>
      <w:r>
        <w:rPr>
          <w:rFonts w:ascii="Book Antiqua" w:hAnsi="Book Antiqua"/>
          <w:b/>
          <w:kern w:val="2"/>
          <w:sz w:val="24"/>
          <w:szCs w:val="24"/>
        </w:rPr>
        <w:t>Wouters</w:t>
      </w:r>
      <w:proofErr w:type="spellEnd"/>
      <w:r>
        <w:rPr>
          <w:rFonts w:ascii="Book Antiqua" w:hAnsi="Book Antiqua"/>
          <w:b/>
          <w:kern w:val="2"/>
          <w:sz w:val="24"/>
          <w:szCs w:val="24"/>
        </w:rPr>
        <w:t xml:space="preserve"> MM</w:t>
      </w:r>
      <w:r>
        <w:rPr>
          <w:rFonts w:ascii="Book Antiqua" w:hAnsi="Book Antiqua"/>
          <w:kern w:val="2"/>
          <w:sz w:val="24"/>
          <w:szCs w:val="24"/>
        </w:rPr>
        <w:t xml:space="preserve">, </w:t>
      </w:r>
      <w:proofErr w:type="spellStart"/>
      <w:r>
        <w:rPr>
          <w:rFonts w:ascii="Book Antiqua" w:hAnsi="Book Antiqua"/>
          <w:kern w:val="2"/>
          <w:sz w:val="24"/>
          <w:szCs w:val="24"/>
        </w:rPr>
        <w:t>Boeckxstaens</w:t>
      </w:r>
      <w:proofErr w:type="spellEnd"/>
      <w:r>
        <w:rPr>
          <w:rFonts w:ascii="Book Antiqua" w:hAnsi="Book Antiqua"/>
          <w:kern w:val="2"/>
          <w:sz w:val="24"/>
          <w:szCs w:val="24"/>
        </w:rPr>
        <w:t xml:space="preserve"> GE. </w:t>
      </w:r>
      <w:proofErr w:type="spellStart"/>
      <w:r>
        <w:rPr>
          <w:rFonts w:ascii="Book Antiqua" w:hAnsi="Book Antiqua"/>
          <w:kern w:val="2"/>
          <w:sz w:val="24"/>
          <w:szCs w:val="24"/>
        </w:rPr>
        <w:t>Neuroimmune</w:t>
      </w:r>
      <w:proofErr w:type="spellEnd"/>
      <w:r>
        <w:rPr>
          <w:rFonts w:ascii="Book Antiqua" w:hAnsi="Book Antiqua"/>
          <w:kern w:val="2"/>
          <w:sz w:val="24"/>
          <w:szCs w:val="24"/>
        </w:rPr>
        <w:t xml:space="preserve"> mechanisms in functional bowel disorders. </w:t>
      </w:r>
      <w:proofErr w:type="spellStart"/>
      <w:r>
        <w:rPr>
          <w:rFonts w:ascii="Book Antiqua" w:hAnsi="Book Antiqua"/>
          <w:i/>
          <w:kern w:val="2"/>
          <w:sz w:val="24"/>
          <w:szCs w:val="24"/>
        </w:rPr>
        <w:t>Neth</w:t>
      </w:r>
      <w:proofErr w:type="spellEnd"/>
      <w:r>
        <w:rPr>
          <w:rFonts w:ascii="Book Antiqua" w:hAnsi="Book Antiqua"/>
          <w:i/>
          <w:kern w:val="2"/>
          <w:sz w:val="24"/>
          <w:szCs w:val="24"/>
        </w:rPr>
        <w:t xml:space="preserve"> J Med</w:t>
      </w:r>
      <w:r>
        <w:rPr>
          <w:rFonts w:ascii="Book Antiqua" w:hAnsi="Book Antiqua"/>
          <w:kern w:val="2"/>
          <w:sz w:val="24"/>
          <w:szCs w:val="24"/>
        </w:rPr>
        <w:t xml:space="preserve"> 2011; </w:t>
      </w:r>
      <w:r>
        <w:rPr>
          <w:rFonts w:ascii="Book Antiqua" w:hAnsi="Book Antiqua"/>
          <w:b/>
          <w:kern w:val="2"/>
          <w:sz w:val="24"/>
          <w:szCs w:val="24"/>
        </w:rPr>
        <w:t>69</w:t>
      </w:r>
      <w:r>
        <w:rPr>
          <w:rFonts w:ascii="Book Antiqua" w:hAnsi="Book Antiqua"/>
          <w:kern w:val="2"/>
          <w:sz w:val="24"/>
          <w:szCs w:val="24"/>
        </w:rPr>
        <w:t>: 55-61 [PMID: 21411840 DOI: 10.4065/mcp.2011.0031]</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lastRenderedPageBreak/>
        <w:t xml:space="preserve">60 </w:t>
      </w:r>
      <w:r>
        <w:rPr>
          <w:rFonts w:ascii="Book Antiqua" w:hAnsi="Book Antiqua"/>
          <w:b/>
          <w:kern w:val="2"/>
          <w:sz w:val="24"/>
          <w:szCs w:val="24"/>
        </w:rPr>
        <w:t>Kleinschmidt S</w:t>
      </w:r>
      <w:r>
        <w:rPr>
          <w:rFonts w:ascii="Book Antiqua" w:hAnsi="Book Antiqua"/>
          <w:kern w:val="2"/>
          <w:sz w:val="24"/>
          <w:szCs w:val="24"/>
        </w:rPr>
        <w:t xml:space="preserve">, Nolte I, </w:t>
      </w:r>
      <w:proofErr w:type="spellStart"/>
      <w:r>
        <w:rPr>
          <w:rFonts w:ascii="Book Antiqua" w:hAnsi="Book Antiqua"/>
          <w:kern w:val="2"/>
          <w:sz w:val="24"/>
          <w:szCs w:val="24"/>
        </w:rPr>
        <w:t>Hewicker-Trautwein</w:t>
      </w:r>
      <w:proofErr w:type="spellEnd"/>
      <w:r>
        <w:rPr>
          <w:rFonts w:ascii="Book Antiqua" w:hAnsi="Book Antiqua"/>
          <w:kern w:val="2"/>
          <w:sz w:val="24"/>
          <w:szCs w:val="24"/>
        </w:rPr>
        <w:t xml:space="preserve"> M. Structural and functional changes of neuronal and glial components of the feline enteric nervous system in cats with chronic inflammatory and non-inflammatory diseases of the gastrointestinal tract. </w:t>
      </w:r>
      <w:r>
        <w:rPr>
          <w:rFonts w:ascii="Book Antiqua" w:hAnsi="Book Antiqua"/>
          <w:i/>
          <w:kern w:val="2"/>
          <w:sz w:val="24"/>
          <w:szCs w:val="24"/>
        </w:rPr>
        <w:t xml:space="preserve">Res Vet </w:t>
      </w:r>
      <w:proofErr w:type="spellStart"/>
      <w:r>
        <w:rPr>
          <w:rFonts w:ascii="Book Antiqua" w:hAnsi="Book Antiqua"/>
          <w:i/>
          <w:kern w:val="2"/>
          <w:sz w:val="24"/>
          <w:szCs w:val="24"/>
        </w:rPr>
        <w:t>Sci</w:t>
      </w:r>
      <w:proofErr w:type="spellEnd"/>
      <w:r>
        <w:rPr>
          <w:rFonts w:ascii="Book Antiqua" w:hAnsi="Book Antiqua"/>
          <w:kern w:val="2"/>
          <w:sz w:val="24"/>
          <w:szCs w:val="24"/>
        </w:rPr>
        <w:t xml:space="preserve"> 2011; </w:t>
      </w:r>
      <w:r>
        <w:rPr>
          <w:rFonts w:ascii="Book Antiqua" w:hAnsi="Book Antiqua"/>
          <w:b/>
          <w:kern w:val="2"/>
          <w:sz w:val="24"/>
          <w:szCs w:val="24"/>
        </w:rPr>
        <w:t>91</w:t>
      </w:r>
      <w:r>
        <w:rPr>
          <w:rFonts w:ascii="Book Antiqua" w:hAnsi="Book Antiqua"/>
          <w:kern w:val="2"/>
          <w:sz w:val="24"/>
          <w:szCs w:val="24"/>
        </w:rPr>
        <w:t>: e129-e135 [PMID: 21349562 DOI: 10.1016/j.rvsc.2011.01.026]</w:t>
      </w:r>
    </w:p>
    <w:p w:rsidR="00EF7033" w:rsidRDefault="0035424A">
      <w:pPr>
        <w:widowControl w:val="0"/>
        <w:spacing w:line="360" w:lineRule="auto"/>
        <w:rPr>
          <w:rFonts w:ascii="Book Antiqua" w:hAnsi="Book Antiqua"/>
          <w:kern w:val="2"/>
          <w:sz w:val="24"/>
          <w:szCs w:val="24"/>
        </w:rPr>
      </w:pPr>
      <w:r>
        <w:rPr>
          <w:rFonts w:ascii="Book Antiqua" w:hAnsi="Book Antiqua"/>
          <w:kern w:val="2"/>
          <w:sz w:val="24"/>
          <w:szCs w:val="24"/>
        </w:rPr>
        <w:t xml:space="preserve">61 </w:t>
      </w:r>
      <w:r>
        <w:rPr>
          <w:rFonts w:ascii="Book Antiqua" w:hAnsi="Book Antiqua"/>
          <w:b/>
          <w:kern w:val="2"/>
          <w:sz w:val="24"/>
          <w:szCs w:val="24"/>
        </w:rPr>
        <w:t>Jiang W</w:t>
      </w:r>
      <w:r>
        <w:rPr>
          <w:rFonts w:ascii="Book Antiqua" w:hAnsi="Book Antiqua"/>
          <w:kern w:val="2"/>
          <w:sz w:val="24"/>
          <w:szCs w:val="24"/>
        </w:rPr>
        <w:t xml:space="preserve">, </w:t>
      </w:r>
      <w:proofErr w:type="spellStart"/>
      <w:r>
        <w:rPr>
          <w:rFonts w:ascii="Book Antiqua" w:hAnsi="Book Antiqua"/>
          <w:kern w:val="2"/>
          <w:sz w:val="24"/>
          <w:szCs w:val="24"/>
        </w:rPr>
        <w:t>Kirkup</w:t>
      </w:r>
      <w:proofErr w:type="spellEnd"/>
      <w:r>
        <w:rPr>
          <w:rFonts w:ascii="Book Antiqua" w:hAnsi="Book Antiqua"/>
          <w:kern w:val="2"/>
          <w:sz w:val="24"/>
          <w:szCs w:val="24"/>
        </w:rPr>
        <w:t xml:space="preserve"> AJ, Grundy D. Mast cells drive mesenteric afferent </w:t>
      </w:r>
      <w:proofErr w:type="spellStart"/>
      <w:r>
        <w:rPr>
          <w:rFonts w:ascii="Book Antiqua" w:hAnsi="Book Antiqua"/>
          <w:kern w:val="2"/>
          <w:sz w:val="24"/>
          <w:szCs w:val="24"/>
        </w:rPr>
        <w:t>signalling</w:t>
      </w:r>
      <w:proofErr w:type="spellEnd"/>
      <w:r>
        <w:rPr>
          <w:rFonts w:ascii="Book Antiqua" w:hAnsi="Book Antiqua"/>
          <w:kern w:val="2"/>
          <w:sz w:val="24"/>
          <w:szCs w:val="24"/>
        </w:rPr>
        <w:t xml:space="preserve"> during acute intestinal </w:t>
      </w:r>
      <w:proofErr w:type="spellStart"/>
      <w:r>
        <w:rPr>
          <w:rFonts w:ascii="Book Antiqua" w:hAnsi="Book Antiqua"/>
          <w:kern w:val="2"/>
          <w:sz w:val="24"/>
          <w:szCs w:val="24"/>
        </w:rPr>
        <w:t>ischaemia</w:t>
      </w:r>
      <w:proofErr w:type="spellEnd"/>
      <w:r>
        <w:rPr>
          <w:rFonts w:ascii="Book Antiqua" w:hAnsi="Book Antiqua"/>
          <w:kern w:val="2"/>
          <w:sz w:val="24"/>
          <w:szCs w:val="24"/>
        </w:rPr>
        <w:t xml:space="preserve">. </w:t>
      </w:r>
      <w:r>
        <w:rPr>
          <w:rFonts w:ascii="Book Antiqua" w:hAnsi="Book Antiqua"/>
          <w:i/>
          <w:kern w:val="2"/>
          <w:sz w:val="24"/>
          <w:szCs w:val="24"/>
        </w:rPr>
        <w:t xml:space="preserve">J </w:t>
      </w:r>
      <w:proofErr w:type="spellStart"/>
      <w:r>
        <w:rPr>
          <w:rFonts w:ascii="Book Antiqua" w:hAnsi="Book Antiqua"/>
          <w:i/>
          <w:kern w:val="2"/>
          <w:sz w:val="24"/>
          <w:szCs w:val="24"/>
        </w:rPr>
        <w:t>Physiol</w:t>
      </w:r>
      <w:proofErr w:type="spellEnd"/>
      <w:r>
        <w:rPr>
          <w:rFonts w:ascii="Book Antiqua" w:hAnsi="Book Antiqua"/>
          <w:kern w:val="2"/>
          <w:sz w:val="24"/>
          <w:szCs w:val="24"/>
        </w:rPr>
        <w:t xml:space="preserve"> 2011; </w:t>
      </w:r>
      <w:r>
        <w:rPr>
          <w:rFonts w:ascii="Book Antiqua" w:hAnsi="Book Antiqua"/>
          <w:b/>
          <w:kern w:val="2"/>
          <w:sz w:val="24"/>
          <w:szCs w:val="24"/>
        </w:rPr>
        <w:t>589</w:t>
      </w:r>
      <w:r>
        <w:rPr>
          <w:rFonts w:ascii="Book Antiqua" w:hAnsi="Book Antiqua"/>
          <w:kern w:val="2"/>
          <w:sz w:val="24"/>
          <w:szCs w:val="24"/>
        </w:rPr>
        <w:t>: 3867-3882 [PMID: 21669977 DOI: 10.1113/jphysiol.2011.209478]</w:t>
      </w:r>
    </w:p>
    <w:p w:rsidR="00EF7033" w:rsidRDefault="00EF7033">
      <w:pPr>
        <w:widowControl w:val="0"/>
        <w:adjustRightInd w:val="0"/>
        <w:snapToGrid w:val="0"/>
        <w:spacing w:line="360" w:lineRule="auto"/>
        <w:rPr>
          <w:rFonts w:ascii="Book Antiqua" w:hAnsi="Book Antiqua"/>
          <w:color w:val="000000" w:themeColor="text1"/>
          <w:sz w:val="24"/>
          <w:szCs w:val="24"/>
        </w:rPr>
      </w:pPr>
    </w:p>
    <w:p w:rsidR="00EF7033" w:rsidRDefault="0035424A">
      <w:pPr>
        <w:widowControl w:val="0"/>
        <w:adjustRightInd w:val="0"/>
        <w:snapToGrid w:val="0"/>
        <w:spacing w:line="360" w:lineRule="auto"/>
        <w:jc w:val="right"/>
        <w:rPr>
          <w:rFonts w:ascii="Book Antiqua" w:eastAsia="宋体" w:hAnsi="Book Antiqua"/>
          <w:color w:val="000000"/>
          <w:kern w:val="2"/>
          <w:sz w:val="24"/>
          <w:szCs w:val="24"/>
        </w:rPr>
      </w:pPr>
      <w:bookmarkStart w:id="57" w:name="OLE_LINK139"/>
      <w:bookmarkStart w:id="58" w:name="OLE_LINK140"/>
      <w:bookmarkStart w:id="59" w:name="OLE_LINK287"/>
      <w:bookmarkStart w:id="60" w:name="OLE_LINK110"/>
      <w:bookmarkStart w:id="61" w:name="OLE_LINK109"/>
      <w:bookmarkStart w:id="62" w:name="OLE_LINK72"/>
      <w:bookmarkStart w:id="63" w:name="OLE_LINK118"/>
      <w:bookmarkStart w:id="64" w:name="OLE_LINK116"/>
      <w:bookmarkStart w:id="65" w:name="OLE_LINK95"/>
      <w:bookmarkStart w:id="66" w:name="OLE_LINK198"/>
      <w:bookmarkStart w:id="67" w:name="OLE_LINK154"/>
      <w:bookmarkStart w:id="68" w:name="OLE_LINK251"/>
      <w:bookmarkStart w:id="69" w:name="OLE_LINK126"/>
      <w:bookmarkStart w:id="70" w:name="OLE_LINK138"/>
      <w:bookmarkStart w:id="71" w:name="OLE_LINK234"/>
      <w:bookmarkStart w:id="72" w:name="OLE_LINK70"/>
      <w:bookmarkStart w:id="73" w:name="OLE_LINK157"/>
      <w:bookmarkStart w:id="74" w:name="OLE_LINK187"/>
      <w:bookmarkStart w:id="75" w:name="OLE_LINK167"/>
      <w:bookmarkStart w:id="76" w:name="OLE_LINK204"/>
      <w:bookmarkStart w:id="77" w:name="OLE_LINK255"/>
      <w:bookmarkStart w:id="78" w:name="OLE_LINK229"/>
      <w:bookmarkStart w:id="79" w:name="OLE_LINK254"/>
      <w:bookmarkStart w:id="80" w:name="OLE_LINK357"/>
      <w:bookmarkStart w:id="81" w:name="OLE_LINK334"/>
      <w:bookmarkStart w:id="82" w:name="OLE_LINK400"/>
      <w:bookmarkStart w:id="83" w:name="OLE_LINK467"/>
      <w:bookmarkStart w:id="84" w:name="OLE_LINK372"/>
      <w:bookmarkStart w:id="85" w:name="OLE_LINK425"/>
      <w:bookmarkStart w:id="86" w:name="OLE_LINK345"/>
      <w:bookmarkStart w:id="87" w:name="OLE_LINK436"/>
      <w:bookmarkStart w:id="88" w:name="OLE_LINK421"/>
      <w:bookmarkStart w:id="89" w:name="OLE_LINK365"/>
      <w:bookmarkStart w:id="90" w:name="OLE_LINK340"/>
      <w:bookmarkStart w:id="91" w:name="OLE_LINK265"/>
      <w:bookmarkStart w:id="92" w:name="OLE_LINK443"/>
      <w:bookmarkStart w:id="93" w:name="OLE_LINK399"/>
      <w:bookmarkStart w:id="94" w:name="OLE_LINK385"/>
      <w:bookmarkStart w:id="95" w:name="OLE_LINK396"/>
      <w:bookmarkStart w:id="96" w:name="OLE_LINK456"/>
      <w:bookmarkStart w:id="97" w:name="OLE_LINK531"/>
      <w:bookmarkStart w:id="98" w:name="OLE_LINK333"/>
      <w:bookmarkStart w:id="99" w:name="OLE_LINK299"/>
      <w:bookmarkStart w:id="100" w:name="OLE_LINK490"/>
      <w:bookmarkStart w:id="101" w:name="OLE_LINK264"/>
      <w:bookmarkStart w:id="102" w:name="OLE_LINK402"/>
      <w:bookmarkStart w:id="103" w:name="OLE_LINK338"/>
      <w:bookmarkStart w:id="104" w:name="OLE_LINK426"/>
      <w:bookmarkStart w:id="105" w:name="OLE_LINK450"/>
      <w:bookmarkStart w:id="106" w:name="OLE_LINK256"/>
      <w:bookmarkStart w:id="107" w:name="OLE_LINK505"/>
      <w:bookmarkStart w:id="108" w:name="OLE_LINK460"/>
      <w:bookmarkStart w:id="109" w:name="OLE_LINK268"/>
      <w:bookmarkStart w:id="110" w:name="OLE_LINK310"/>
      <w:bookmarkStart w:id="111" w:name="OLE_LINK606"/>
      <w:bookmarkStart w:id="112" w:name="OLE_LINK672"/>
      <w:bookmarkStart w:id="113" w:name="OLE_LINK771"/>
      <w:bookmarkStart w:id="114" w:name="OLE_LINK703"/>
      <w:bookmarkStart w:id="115" w:name="OLE_LINK509"/>
      <w:bookmarkStart w:id="116" w:name="OLE_LINK724"/>
      <w:bookmarkStart w:id="117" w:name="OLE_LINK738"/>
      <w:bookmarkStart w:id="118" w:name="OLE_LINK538"/>
      <w:bookmarkStart w:id="119" w:name="OLE_LINK515"/>
      <w:bookmarkStart w:id="120" w:name="OLE_LINK463"/>
      <w:bookmarkStart w:id="121" w:name="OLE_LINK662"/>
      <w:bookmarkStart w:id="122" w:name="OLE_LINK663"/>
      <w:bookmarkStart w:id="123" w:name="OLE_LINK667"/>
      <w:bookmarkStart w:id="124" w:name="OLE_LINK666"/>
      <w:bookmarkStart w:id="125" w:name="OLE_LINK727"/>
      <w:bookmarkStart w:id="126" w:name="OLE_LINK765"/>
      <w:bookmarkStart w:id="127" w:name="OLE_LINK487"/>
      <w:r>
        <w:rPr>
          <w:rFonts w:ascii="Book Antiqua" w:eastAsia="宋体" w:hAnsi="Book Antiqua"/>
          <w:b/>
          <w:bCs/>
          <w:color w:val="000000"/>
          <w:kern w:val="2"/>
          <w:sz w:val="24"/>
          <w:szCs w:val="24"/>
        </w:rPr>
        <w:t>P-Reviewer:</w:t>
      </w:r>
      <w:r>
        <w:rPr>
          <w:rFonts w:ascii="Book Antiqua" w:eastAsia="宋体" w:hAnsi="Book Antiqua"/>
          <w:bCs/>
          <w:color w:val="000000"/>
          <w:kern w:val="2"/>
          <w:sz w:val="24"/>
          <w:szCs w:val="24"/>
        </w:rPr>
        <w:t xml:space="preserve"> </w:t>
      </w:r>
      <w:proofErr w:type="spellStart"/>
      <w:r>
        <w:rPr>
          <w:rFonts w:ascii="Book Antiqua" w:eastAsia="宋体" w:hAnsi="Book Antiqua"/>
          <w:bCs/>
          <w:color w:val="000000"/>
          <w:kern w:val="2"/>
          <w:sz w:val="24"/>
          <w:szCs w:val="24"/>
        </w:rPr>
        <w:t>Bourgoin</w:t>
      </w:r>
      <w:proofErr w:type="spellEnd"/>
      <w:r>
        <w:rPr>
          <w:rFonts w:ascii="Book Antiqua" w:eastAsia="宋体" w:hAnsi="Book Antiqua"/>
          <w:bCs/>
          <w:color w:val="000000"/>
          <w:kern w:val="2"/>
          <w:sz w:val="24"/>
          <w:szCs w:val="24"/>
        </w:rPr>
        <w:t xml:space="preserve"> SG, </w:t>
      </w:r>
      <w:proofErr w:type="spellStart"/>
      <w:r>
        <w:rPr>
          <w:rFonts w:ascii="Book Antiqua" w:eastAsia="宋体" w:hAnsi="Book Antiqua"/>
          <w:bCs/>
          <w:color w:val="000000"/>
          <w:kern w:val="2"/>
          <w:sz w:val="24"/>
          <w:szCs w:val="24"/>
        </w:rPr>
        <w:t>Kamiya</w:t>
      </w:r>
      <w:proofErr w:type="spellEnd"/>
      <w:r>
        <w:rPr>
          <w:rFonts w:ascii="Book Antiqua" w:eastAsia="宋体" w:hAnsi="Book Antiqua"/>
          <w:bCs/>
          <w:color w:val="000000"/>
          <w:kern w:val="2"/>
          <w:sz w:val="24"/>
          <w:szCs w:val="24"/>
        </w:rPr>
        <w:t xml:space="preserve"> T </w:t>
      </w:r>
      <w:r>
        <w:rPr>
          <w:rFonts w:ascii="Book Antiqua" w:eastAsia="宋体" w:hAnsi="Book Antiqua"/>
          <w:b/>
          <w:bCs/>
          <w:color w:val="000000"/>
          <w:kern w:val="2"/>
          <w:sz w:val="24"/>
          <w:szCs w:val="24"/>
        </w:rPr>
        <w:t>S-Editor:</w:t>
      </w:r>
      <w:r>
        <w:rPr>
          <w:rFonts w:ascii="Book Antiqua" w:eastAsia="宋体" w:hAnsi="Book Antiqua"/>
          <w:color w:val="000000"/>
          <w:kern w:val="2"/>
          <w:sz w:val="24"/>
          <w:szCs w:val="24"/>
        </w:rPr>
        <w:t xml:space="preserve"> Yan JP</w:t>
      </w:r>
    </w:p>
    <w:p w:rsidR="00EF7033" w:rsidRDefault="0035424A">
      <w:pPr>
        <w:widowControl w:val="0"/>
        <w:wordWrap w:val="0"/>
        <w:adjustRightInd w:val="0"/>
        <w:snapToGrid w:val="0"/>
        <w:spacing w:line="360" w:lineRule="auto"/>
        <w:jc w:val="right"/>
        <w:rPr>
          <w:rFonts w:ascii="Book Antiqua" w:eastAsia="宋体" w:hAnsi="Book Antiqua"/>
          <w:b/>
          <w:bCs/>
          <w:color w:val="000000"/>
          <w:kern w:val="2"/>
          <w:sz w:val="24"/>
          <w:szCs w:val="24"/>
        </w:rPr>
      </w:pPr>
      <w:r>
        <w:rPr>
          <w:rFonts w:ascii="Book Antiqua" w:eastAsia="宋体" w:hAnsi="Book Antiqua"/>
          <w:b/>
          <w:bCs/>
          <w:color w:val="000000"/>
          <w:kern w:val="2"/>
          <w:sz w:val="24"/>
          <w:szCs w:val="24"/>
        </w:rPr>
        <w:t>L-Editor:</w:t>
      </w:r>
      <w:r>
        <w:rPr>
          <w:rFonts w:ascii="Book Antiqua" w:eastAsia="宋体" w:hAnsi="Book Antiqua"/>
          <w:color w:val="000000"/>
          <w:kern w:val="2"/>
          <w:sz w:val="24"/>
          <w:szCs w:val="24"/>
        </w:rPr>
        <w:t xml:space="preserve"> Wang TQ </w:t>
      </w:r>
      <w:r>
        <w:rPr>
          <w:rFonts w:ascii="Book Antiqua" w:eastAsia="宋体" w:hAnsi="Book Antiqua"/>
          <w:b/>
          <w:bCs/>
          <w:color w:val="000000"/>
          <w:kern w:val="2"/>
          <w:sz w:val="24"/>
          <w:szCs w:val="24"/>
        </w:rPr>
        <w:t>E-Editor:</w:t>
      </w:r>
      <w:r w:rsidR="00CF5662">
        <w:rPr>
          <w:rFonts w:ascii="Book Antiqua" w:eastAsia="宋体" w:hAnsi="Book Antiqua"/>
          <w:b/>
          <w:bCs/>
          <w:color w:val="000000"/>
          <w:kern w:val="2"/>
          <w:sz w:val="24"/>
          <w:szCs w:val="24"/>
        </w:rPr>
        <w:t xml:space="preserve"> </w:t>
      </w:r>
      <w:bookmarkStart w:id="128" w:name="_GoBack"/>
      <w:r w:rsidR="00CF5662" w:rsidRPr="00CF5662">
        <w:rPr>
          <w:rFonts w:ascii="Book Antiqua" w:eastAsia="宋体" w:hAnsi="Book Antiqua"/>
          <w:bCs/>
          <w:color w:val="000000"/>
          <w:kern w:val="2"/>
          <w:sz w:val="24"/>
          <w:szCs w:val="24"/>
        </w:rPr>
        <w:t>Ma YJ</w:t>
      </w:r>
      <w:bookmarkEnd w:id="128"/>
    </w:p>
    <w:bookmarkEnd w:id="57"/>
    <w:bookmarkEnd w:id="58"/>
    <w:p w:rsidR="00EF7033" w:rsidRDefault="00EF7033">
      <w:pPr>
        <w:widowControl w:val="0"/>
        <w:adjustRightInd w:val="0"/>
        <w:snapToGrid w:val="0"/>
        <w:spacing w:line="360" w:lineRule="auto"/>
        <w:rPr>
          <w:rFonts w:ascii="Book Antiqua" w:eastAsia="宋体" w:hAnsi="Book Antiqua"/>
          <w:color w:val="000000"/>
          <w:kern w:val="2"/>
          <w:sz w:val="24"/>
          <w:szCs w:val="24"/>
        </w:rPr>
      </w:pPr>
    </w:p>
    <w:p w:rsidR="00EF7033" w:rsidRDefault="0035424A">
      <w:pPr>
        <w:spacing w:line="360" w:lineRule="auto"/>
        <w:jc w:val="left"/>
        <w:rPr>
          <w:rFonts w:ascii="Book Antiqua" w:eastAsia="宋体" w:hAnsi="Book Antiqua" w:cs="宋体"/>
          <w:sz w:val="24"/>
          <w:szCs w:val="24"/>
        </w:rPr>
      </w:pPr>
      <w:r>
        <w:rPr>
          <w:rFonts w:ascii="Book Antiqua" w:eastAsia="宋体" w:hAnsi="Book Antiqua" w:cs="宋体"/>
          <w:b/>
          <w:sz w:val="24"/>
          <w:szCs w:val="24"/>
        </w:rPr>
        <w:t xml:space="preserve">Specialty type: </w:t>
      </w:r>
      <w:r>
        <w:rPr>
          <w:rFonts w:ascii="Book Antiqua" w:eastAsia="微软雅黑" w:hAnsi="Book Antiqua" w:cs="宋体"/>
          <w:sz w:val="24"/>
          <w:szCs w:val="24"/>
        </w:rPr>
        <w:t>Gastroenterology and hepatology</w:t>
      </w:r>
      <w:r>
        <w:rPr>
          <w:rFonts w:ascii="Book Antiqua" w:eastAsia="宋体" w:hAnsi="Book Antiqua" w:cs="宋体"/>
          <w:sz w:val="24"/>
          <w:szCs w:val="24"/>
        </w:rPr>
        <w:t xml:space="preserve"> </w:t>
      </w:r>
      <w:r>
        <w:rPr>
          <w:rFonts w:ascii="Book Antiqua" w:eastAsia="宋体" w:hAnsi="Book Antiqua" w:cs="宋体"/>
          <w:sz w:val="24"/>
          <w:szCs w:val="24"/>
        </w:rPr>
        <w:br/>
      </w:r>
      <w:r>
        <w:rPr>
          <w:rFonts w:ascii="Book Antiqua" w:eastAsia="宋体" w:hAnsi="Book Antiqua" w:cs="宋体"/>
          <w:b/>
          <w:sz w:val="24"/>
          <w:szCs w:val="24"/>
        </w:rPr>
        <w:t xml:space="preserve">Country of origin: </w:t>
      </w:r>
      <w:r>
        <w:rPr>
          <w:rFonts w:ascii="Book Antiqua" w:eastAsia="宋体" w:hAnsi="Book Antiqua" w:cs="宋体"/>
          <w:sz w:val="24"/>
          <w:szCs w:val="24"/>
        </w:rPr>
        <w:t xml:space="preserve">China </w:t>
      </w:r>
      <w:r>
        <w:rPr>
          <w:rFonts w:ascii="Book Antiqua" w:eastAsia="宋体" w:hAnsi="Book Antiqua" w:cs="宋体"/>
          <w:sz w:val="24"/>
          <w:szCs w:val="24"/>
        </w:rPr>
        <w:br/>
      </w:r>
      <w:r>
        <w:rPr>
          <w:rFonts w:ascii="Book Antiqua" w:eastAsia="宋体" w:hAnsi="Book Antiqua" w:cs="宋体"/>
          <w:b/>
          <w:sz w:val="24"/>
          <w:szCs w:val="24"/>
        </w:rPr>
        <w:t>Peer-review report classification</w:t>
      </w:r>
      <w:r>
        <w:rPr>
          <w:rFonts w:ascii="Book Antiqua" w:eastAsia="宋体" w:hAnsi="Book Antiqua" w:cs="宋体"/>
          <w:sz w:val="24"/>
          <w:szCs w:val="24"/>
        </w:rPr>
        <w:br/>
      </w:r>
      <w:r>
        <w:rPr>
          <w:rFonts w:ascii="Book Antiqua" w:eastAsia="宋体" w:hAnsi="Book Antiqua" w:cs="宋体"/>
          <w:b/>
          <w:sz w:val="24"/>
          <w:szCs w:val="24"/>
        </w:rPr>
        <w:t xml:space="preserve">Grade A (Excellent): </w:t>
      </w:r>
      <w:r>
        <w:rPr>
          <w:rFonts w:ascii="Book Antiqua" w:eastAsia="宋体" w:hAnsi="Book Antiqua" w:cs="宋体"/>
          <w:sz w:val="24"/>
          <w:szCs w:val="24"/>
        </w:rPr>
        <w:t>0</w:t>
      </w:r>
      <w:r>
        <w:rPr>
          <w:rFonts w:ascii="Book Antiqua" w:eastAsia="宋体" w:hAnsi="Book Antiqua" w:cs="宋体"/>
          <w:sz w:val="24"/>
          <w:szCs w:val="24"/>
        </w:rPr>
        <w:br/>
      </w:r>
      <w:r>
        <w:rPr>
          <w:rFonts w:ascii="Book Antiqua" w:eastAsia="宋体" w:hAnsi="Book Antiqua" w:cs="宋体"/>
          <w:b/>
          <w:sz w:val="24"/>
          <w:szCs w:val="24"/>
        </w:rPr>
        <w:t xml:space="preserve">Grade B (Very good): </w:t>
      </w:r>
      <w:r>
        <w:rPr>
          <w:rFonts w:ascii="Book Antiqua" w:eastAsia="宋体" w:hAnsi="Book Antiqua" w:cs="宋体"/>
          <w:sz w:val="24"/>
          <w:szCs w:val="24"/>
        </w:rPr>
        <w:t>B</w:t>
      </w:r>
      <w:r>
        <w:rPr>
          <w:rFonts w:ascii="Book Antiqua" w:eastAsia="宋体" w:hAnsi="Book Antiqua" w:cs="宋体"/>
          <w:sz w:val="24"/>
          <w:szCs w:val="24"/>
        </w:rPr>
        <w:br/>
      </w:r>
      <w:r>
        <w:rPr>
          <w:rFonts w:ascii="Book Antiqua" w:eastAsia="宋体" w:hAnsi="Book Antiqua" w:cs="宋体"/>
          <w:b/>
          <w:sz w:val="24"/>
          <w:szCs w:val="24"/>
        </w:rPr>
        <w:t xml:space="preserve">Grade C (Good): </w:t>
      </w:r>
      <w:r>
        <w:rPr>
          <w:rFonts w:ascii="Book Antiqua" w:eastAsia="宋体" w:hAnsi="Book Antiqua" w:cs="宋体"/>
          <w:sz w:val="24"/>
          <w:szCs w:val="24"/>
        </w:rPr>
        <w:t>C</w:t>
      </w:r>
      <w:r>
        <w:rPr>
          <w:rFonts w:ascii="Book Antiqua" w:eastAsia="宋体" w:hAnsi="Book Antiqua" w:cs="宋体"/>
          <w:sz w:val="24"/>
          <w:szCs w:val="24"/>
        </w:rPr>
        <w:br/>
      </w:r>
      <w:r>
        <w:rPr>
          <w:rFonts w:ascii="Book Antiqua" w:eastAsia="宋体" w:hAnsi="Book Antiqua" w:cs="宋体"/>
          <w:b/>
          <w:sz w:val="24"/>
          <w:szCs w:val="24"/>
        </w:rPr>
        <w:t xml:space="preserve">Grade D (Fair): </w:t>
      </w:r>
      <w:r>
        <w:rPr>
          <w:rFonts w:ascii="Book Antiqua" w:eastAsia="宋体" w:hAnsi="Book Antiqua" w:cs="宋体"/>
          <w:sz w:val="24"/>
          <w:szCs w:val="24"/>
        </w:rPr>
        <w:t>0</w:t>
      </w:r>
      <w:r>
        <w:rPr>
          <w:rFonts w:ascii="Book Antiqua" w:eastAsia="宋体" w:hAnsi="Book Antiqua" w:cs="宋体"/>
          <w:b/>
          <w:sz w:val="24"/>
          <w:szCs w:val="24"/>
        </w:rPr>
        <w:br/>
        <w:t xml:space="preserve">Grade E (Poor): </w:t>
      </w:r>
      <w:r>
        <w:rPr>
          <w:rFonts w:ascii="Book Antiqua" w:eastAsia="宋体" w:hAnsi="Book Antiqua" w:cs="宋体"/>
          <w:sz w:val="24"/>
          <w:szCs w:val="24"/>
        </w:rPr>
        <w:t>0</w:t>
      </w:r>
    </w:p>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rsidR="00EF7033" w:rsidRDefault="00EF7033">
      <w:pPr>
        <w:widowControl w:val="0"/>
        <w:adjustRightInd w:val="0"/>
        <w:snapToGrid w:val="0"/>
        <w:spacing w:line="360" w:lineRule="auto"/>
        <w:rPr>
          <w:rFonts w:ascii="Book Antiqua" w:hAnsi="Book Antiqua"/>
          <w:color w:val="000000" w:themeColor="text1"/>
          <w:sz w:val="24"/>
          <w:szCs w:val="24"/>
        </w:rPr>
      </w:pPr>
    </w:p>
    <w:p w:rsidR="00EF7033" w:rsidRDefault="0035424A">
      <w:pPr>
        <w:widowControl w:val="0"/>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br w:type="page"/>
      </w:r>
    </w:p>
    <w:p w:rsidR="00EF7033" w:rsidRDefault="0035424A">
      <w:pPr>
        <w:widowControl w:val="0"/>
        <w:kinsoku w:val="0"/>
        <w:overflowPunct w:val="0"/>
        <w:autoSpaceDE w:val="0"/>
        <w:autoSpaceDN w:val="0"/>
        <w:spacing w:line="360" w:lineRule="auto"/>
        <w:ind w:firstLine="480"/>
        <w:rPr>
          <w:rFonts w:ascii="Book Antiqua" w:eastAsia="Times New Roman" w:hAnsi="Book Antiqua"/>
          <w:color w:val="000000" w:themeColor="text1"/>
          <w:sz w:val="24"/>
          <w:szCs w:val="24"/>
        </w:rPr>
      </w:pPr>
      <w:r>
        <w:rPr>
          <w:rFonts w:ascii="Book Antiqua" w:hAnsi="Book Antiqua"/>
          <w:noProof/>
          <w:color w:val="000000" w:themeColor="text1"/>
          <w:sz w:val="24"/>
          <w:szCs w:val="24"/>
        </w:rPr>
        <w:lastRenderedPageBreak/>
        <w:drawing>
          <wp:inline distT="0" distB="0" distL="0" distR="0">
            <wp:extent cx="2879725" cy="4069715"/>
            <wp:effectExtent l="0" t="0" r="0" b="698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880000" cy="4070133"/>
                    </a:xfrm>
                    <a:prstGeom prst="rect">
                      <a:avLst/>
                    </a:prstGeom>
                    <a:noFill/>
                    <a:ln cap="flat">
                      <a:noFill/>
                    </a:ln>
                  </pic:spPr>
                </pic:pic>
              </a:graphicData>
            </a:graphic>
          </wp:inline>
        </w:drawing>
      </w:r>
    </w:p>
    <w:p w:rsidR="00EF7033" w:rsidRDefault="0035424A">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Pr>
          <w:rFonts w:ascii="Book Antiqua" w:eastAsia="Times New Roman" w:hAnsi="Book Antiqua"/>
          <w:b/>
          <w:color w:val="000000" w:themeColor="text1"/>
          <w:sz w:val="24"/>
          <w:szCs w:val="24"/>
        </w:rPr>
        <w:t>Figure</w:t>
      </w:r>
      <w:r>
        <w:rPr>
          <w:rFonts w:ascii="Book Antiqua" w:eastAsiaTheme="minorEastAsia" w:hAnsi="Book Antiqua"/>
          <w:b/>
          <w:color w:val="000000" w:themeColor="text1"/>
          <w:sz w:val="24"/>
          <w:szCs w:val="24"/>
        </w:rPr>
        <w:t xml:space="preserve"> </w:t>
      </w:r>
      <w:r>
        <w:rPr>
          <w:rFonts w:ascii="Book Antiqua" w:eastAsia="Times New Roman" w:hAnsi="Book Antiqua"/>
          <w:b/>
          <w:color w:val="000000" w:themeColor="text1"/>
          <w:sz w:val="24"/>
          <w:szCs w:val="24"/>
        </w:rPr>
        <w:t>1 A rat model of irritable bowel syndrome was established by using</w:t>
      </w:r>
      <w:r>
        <w:rPr>
          <w:rFonts w:ascii="Book Antiqua" w:eastAsiaTheme="minorEastAsia" w:hAnsi="Book Antiqua"/>
          <w:b/>
          <w:color w:val="000000" w:themeColor="text1"/>
          <w:sz w:val="24"/>
          <w:szCs w:val="24"/>
        </w:rPr>
        <w:t xml:space="preserve"> </w:t>
      </w:r>
      <w:r>
        <w:rPr>
          <w:rFonts w:ascii="Book Antiqua" w:eastAsia="Times New Roman" w:hAnsi="Book Antiqua"/>
          <w:b/>
          <w:color w:val="000000" w:themeColor="text1"/>
          <w:sz w:val="24"/>
          <w:szCs w:val="24"/>
        </w:rPr>
        <w:t>water avoidance stress.</w:t>
      </w:r>
    </w:p>
    <w:p w:rsidR="00EF7033" w:rsidRDefault="0035424A">
      <w:pPr>
        <w:widowControl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br w:type="page"/>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hAnsi="Book Antiqua"/>
          <w:noProof/>
          <w:color w:val="000000" w:themeColor="text1"/>
          <w:sz w:val="24"/>
          <w:szCs w:val="24"/>
        </w:rPr>
        <w:lastRenderedPageBreak/>
        <w:drawing>
          <wp:inline distT="0" distB="0" distL="0" distR="0">
            <wp:extent cx="3937635" cy="297434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952631" cy="2985534"/>
                    </a:xfrm>
                    <a:prstGeom prst="rect">
                      <a:avLst/>
                    </a:prstGeom>
                    <a:noFill/>
                    <a:ln>
                      <a:noFill/>
                    </a:ln>
                  </pic:spPr>
                </pic:pic>
              </a:graphicData>
            </a:graphic>
          </wp:inline>
        </w:drawing>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bookmarkStart w:id="129" w:name="OLE_LINK6"/>
      <w:r>
        <w:rPr>
          <w:rFonts w:ascii="Book Antiqua" w:eastAsia="Times New Roman" w:hAnsi="Book Antiqua"/>
          <w:b/>
          <w:color w:val="000000" w:themeColor="text1"/>
          <w:sz w:val="24"/>
          <w:szCs w:val="24"/>
        </w:rPr>
        <w:t xml:space="preserve">Figure 2 Effects of </w:t>
      </w:r>
      <w:proofErr w:type="spellStart"/>
      <w:r>
        <w:rPr>
          <w:rFonts w:ascii="Book Antiqua" w:eastAsia="Times New Roman" w:hAnsi="Book Antiqua"/>
          <w:b/>
          <w:color w:val="000000" w:themeColor="text1"/>
          <w:sz w:val="24"/>
          <w:szCs w:val="24"/>
        </w:rPr>
        <w:t>berberine</w:t>
      </w:r>
      <w:proofErr w:type="spellEnd"/>
      <w:r>
        <w:rPr>
          <w:rFonts w:ascii="Book Antiqua" w:eastAsia="Times New Roman" w:hAnsi="Book Antiqua"/>
          <w:b/>
          <w:color w:val="000000" w:themeColor="text1"/>
          <w:sz w:val="24"/>
          <w:szCs w:val="24"/>
        </w:rPr>
        <w:t xml:space="preserve"> on histological score of the distal intestine in rats </w:t>
      </w:r>
      <w:r>
        <w:rPr>
          <w:rFonts w:ascii="Book Antiqua" w:eastAsia="宋体" w:hAnsi="Book Antiqua"/>
          <w:b/>
          <w:color w:val="000000" w:themeColor="text1"/>
          <w:sz w:val="24"/>
          <w:szCs w:val="24"/>
        </w:rPr>
        <w:t>(</w:t>
      </w:r>
      <w:r>
        <w:rPr>
          <w:rFonts w:ascii="Book Antiqua" w:eastAsia="Times New Roman" w:hAnsi="Book Antiqua"/>
          <w:b/>
          <w:color w:val="000000" w:themeColor="text1"/>
          <w:sz w:val="24"/>
          <w:szCs w:val="24"/>
        </w:rPr>
        <w:t>×200</w:t>
      </w:r>
      <w:r>
        <w:rPr>
          <w:rFonts w:ascii="Book Antiqua" w:eastAsia="宋体" w:hAnsi="Book Antiqua"/>
          <w:b/>
          <w:color w:val="000000" w:themeColor="text1"/>
          <w:sz w:val="24"/>
          <w:szCs w:val="24"/>
        </w:rPr>
        <w:t>).</w:t>
      </w:r>
      <w:r>
        <w:rPr>
          <w:rFonts w:ascii="Book Antiqua" w:hAnsi="Book Antiqua"/>
          <w:color w:val="000000" w:themeColor="text1"/>
          <w:sz w:val="24"/>
          <w:szCs w:val="24"/>
        </w:rPr>
        <w:t xml:space="preserve"> A: </w:t>
      </w:r>
      <w:r>
        <w:rPr>
          <w:rFonts w:ascii="Book Antiqua" w:eastAsia="Times New Roman" w:hAnsi="Book Antiqua"/>
          <w:color w:val="000000" w:themeColor="text1"/>
          <w:sz w:val="24"/>
          <w:szCs w:val="24"/>
        </w:rPr>
        <w:t xml:space="preserve">Control group; B: Water avoidance stress group; C: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group; D: 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(BBR) group; E: 100</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mg/kg BBR group</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the labeled cells are neutrophils</w:t>
      </w:r>
      <w:r>
        <w:rPr>
          <w:rFonts w:ascii="Book Antiqua" w:eastAsia="宋体" w:hAnsi="Book Antiqua"/>
          <w:color w:val="000000" w:themeColor="text1"/>
          <w:sz w:val="24"/>
          <w:szCs w:val="24"/>
        </w:rPr>
        <w:t>).</w:t>
      </w:r>
      <w:r>
        <w:rPr>
          <w:rFonts w:ascii="Book Antiqua" w:hAnsi="Book Antiqua"/>
          <w:color w:val="000000" w:themeColor="text1"/>
          <w:sz w:val="24"/>
          <w:szCs w:val="24"/>
        </w:rPr>
        <w:t xml:space="preserve"> </w:t>
      </w:r>
      <w:r>
        <w:rPr>
          <w:rFonts w:ascii="Book Antiqua" w:eastAsia="宋体" w:hAnsi="Book Antiqua"/>
          <w:bCs/>
          <w:color w:val="000000" w:themeColor="text1"/>
          <w:sz w:val="24"/>
          <w:szCs w:val="24"/>
        </w:rPr>
        <w:t xml:space="preserve">Compared with the control group (A), rats in the </w:t>
      </w:r>
      <w:r>
        <w:rPr>
          <w:rFonts w:ascii="Book Antiqua" w:eastAsia="宋体" w:hAnsi="Book Antiqua"/>
          <w:color w:val="000000" w:themeColor="text1"/>
          <w:sz w:val="24"/>
          <w:szCs w:val="24"/>
        </w:rPr>
        <w:t>water avoidance stress (</w:t>
      </w:r>
      <w:r>
        <w:rPr>
          <w:rFonts w:ascii="Book Antiqua" w:eastAsia="宋体" w:hAnsi="Book Antiqua"/>
          <w:bCs/>
          <w:color w:val="000000" w:themeColor="text1"/>
          <w:sz w:val="24"/>
          <w:szCs w:val="24"/>
        </w:rPr>
        <w:t xml:space="preserve">WAS) group (B) showed low-grade intestinal inflammatory reaction. Microscopically, the tissues of the terminal ileum were intact, the mucosal structure and epithelium were intact, and the crypt was intact. Compared with the WAS group, after treatment with </w:t>
      </w:r>
      <w:proofErr w:type="spellStart"/>
      <w:r>
        <w:rPr>
          <w:rFonts w:ascii="Book Antiqua" w:eastAsia="宋体" w:hAnsi="Book Antiqua"/>
          <w:bCs/>
          <w:color w:val="000000" w:themeColor="text1"/>
          <w:sz w:val="24"/>
          <w:szCs w:val="24"/>
        </w:rPr>
        <w:t>rifaximin</w:t>
      </w:r>
      <w:proofErr w:type="spellEnd"/>
      <w:r>
        <w:rPr>
          <w:rFonts w:ascii="Book Antiqua" w:eastAsia="宋体" w:hAnsi="Book Antiqua"/>
          <w:bCs/>
          <w:color w:val="000000" w:themeColor="text1"/>
          <w:sz w:val="24"/>
          <w:szCs w:val="24"/>
        </w:rPr>
        <w:t xml:space="preserve"> (C), 25 mg/kg BBR (D), or 100 mg/kg BBR (E), the tissues of the terminal ileum of rats were intact, the mucosal structure and epithelium were intact, the crypt was intact, and no obvious neutrophil infiltration was observed. WAS: </w:t>
      </w:r>
      <w:r>
        <w:rPr>
          <w:rFonts w:ascii="Book Antiqua" w:eastAsia="宋体" w:hAnsi="Book Antiqua"/>
          <w:color w:val="000000" w:themeColor="text1"/>
          <w:sz w:val="24"/>
          <w:szCs w:val="24"/>
        </w:rPr>
        <w:t xml:space="preserve">Water avoidance stress; BBR: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w:t>
      </w:r>
    </w:p>
    <w:bookmarkEnd w:id="129"/>
    <w:p w:rsidR="00EF7033" w:rsidRDefault="0035424A">
      <w:pPr>
        <w:widowControl w:val="0"/>
        <w:spacing w:line="360" w:lineRule="auto"/>
        <w:rPr>
          <w:rFonts w:ascii="Book Antiqua" w:eastAsia="宋体" w:hAnsi="Book Antiqua"/>
          <w:color w:val="000000" w:themeColor="text1"/>
          <w:sz w:val="24"/>
          <w:szCs w:val="24"/>
        </w:rPr>
      </w:pPr>
      <w:r>
        <w:rPr>
          <w:rFonts w:ascii="Book Antiqua" w:eastAsia="宋体" w:hAnsi="Book Antiqua"/>
          <w:color w:val="000000" w:themeColor="text1"/>
          <w:sz w:val="24"/>
          <w:szCs w:val="24"/>
        </w:rPr>
        <w:br w:type="page"/>
      </w:r>
    </w:p>
    <w:p w:rsidR="00EF7033" w:rsidRDefault="0035424A">
      <w:pPr>
        <w:widowControl w:val="0"/>
        <w:kinsoku w:val="0"/>
        <w:overflowPunct w:val="0"/>
        <w:autoSpaceDE w:val="0"/>
        <w:autoSpaceDN w:val="0"/>
        <w:spacing w:line="360" w:lineRule="auto"/>
        <w:rPr>
          <w:rFonts w:ascii="Book Antiqua" w:eastAsia="宋体" w:hAnsi="Book Antiqua"/>
          <w:color w:val="000000" w:themeColor="text1"/>
          <w:sz w:val="24"/>
          <w:szCs w:val="24"/>
        </w:rPr>
      </w:pPr>
      <w:r>
        <w:rPr>
          <w:rFonts w:ascii="Book Antiqua" w:eastAsia="宋体" w:hAnsi="Book Antiqua" w:hint="eastAsia"/>
          <w:noProof/>
          <w:color w:val="000000" w:themeColor="text1"/>
          <w:sz w:val="24"/>
          <w:szCs w:val="24"/>
        </w:rPr>
        <w:lastRenderedPageBreak/>
        <w:drawing>
          <wp:inline distT="0" distB="0" distL="0" distR="0">
            <wp:extent cx="3990975" cy="290957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4018367" cy="2929806"/>
                    </a:xfrm>
                    <a:prstGeom prst="rect">
                      <a:avLst/>
                    </a:prstGeom>
                    <a:noFill/>
                    <a:ln>
                      <a:noFill/>
                    </a:ln>
                  </pic:spPr>
                </pic:pic>
              </a:graphicData>
            </a:graphic>
          </wp:inline>
        </w:drawing>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b/>
          <w:color w:val="000000" w:themeColor="text1"/>
          <w:sz w:val="24"/>
          <w:szCs w:val="24"/>
        </w:rPr>
        <w:t xml:space="preserve">Figure 3 Effects of </w:t>
      </w:r>
      <w:proofErr w:type="spellStart"/>
      <w:r>
        <w:rPr>
          <w:rFonts w:ascii="Book Antiqua" w:eastAsia="Times New Roman" w:hAnsi="Book Antiqua"/>
          <w:b/>
          <w:color w:val="000000" w:themeColor="text1"/>
          <w:sz w:val="24"/>
          <w:szCs w:val="24"/>
        </w:rPr>
        <w:t>berberine</w:t>
      </w:r>
      <w:proofErr w:type="spellEnd"/>
      <w:r>
        <w:rPr>
          <w:rFonts w:ascii="Book Antiqua" w:eastAsia="Times New Roman" w:hAnsi="Book Antiqua"/>
          <w:b/>
          <w:color w:val="000000" w:themeColor="text1"/>
          <w:sz w:val="24"/>
          <w:szCs w:val="24"/>
        </w:rPr>
        <w:t xml:space="preserve"> on NF-</w:t>
      </w:r>
      <w:proofErr w:type="spellStart"/>
      <w:r>
        <w:rPr>
          <w:rFonts w:ascii="Book Antiqua" w:eastAsia="Times New Roman" w:hAnsi="Book Antiqua"/>
          <w:b/>
          <w:color w:val="000000" w:themeColor="text1"/>
          <w:sz w:val="24"/>
          <w:szCs w:val="24"/>
        </w:rPr>
        <w:t>κB</w:t>
      </w:r>
      <w:proofErr w:type="spellEnd"/>
      <w:r>
        <w:rPr>
          <w:rFonts w:ascii="Book Antiqua" w:eastAsia="宋体" w:hAnsi="Book Antiqua"/>
          <w:b/>
          <w:color w:val="000000" w:themeColor="text1"/>
          <w:sz w:val="24"/>
          <w:szCs w:val="24"/>
        </w:rPr>
        <w:t xml:space="preserve"> (</w:t>
      </w:r>
      <w:r>
        <w:rPr>
          <w:rFonts w:ascii="Book Antiqua" w:eastAsia="Times New Roman" w:hAnsi="Book Antiqua"/>
          <w:b/>
          <w:color w:val="000000" w:themeColor="text1"/>
          <w:sz w:val="24"/>
          <w:szCs w:val="24"/>
        </w:rPr>
        <w:t>P65</w:t>
      </w:r>
      <w:r>
        <w:rPr>
          <w:rFonts w:ascii="Book Antiqua" w:eastAsia="宋体" w:hAnsi="Book Antiqua"/>
          <w:b/>
          <w:color w:val="000000" w:themeColor="text1"/>
          <w:sz w:val="24"/>
          <w:szCs w:val="24"/>
        </w:rPr>
        <w:t xml:space="preserve">) </w:t>
      </w:r>
      <w:r>
        <w:rPr>
          <w:rFonts w:ascii="Book Antiqua" w:eastAsia="Times New Roman" w:hAnsi="Book Antiqua"/>
          <w:b/>
          <w:color w:val="000000" w:themeColor="text1"/>
          <w:sz w:val="24"/>
          <w:szCs w:val="24"/>
        </w:rPr>
        <w:t>protein and NF-</w:t>
      </w:r>
      <w:proofErr w:type="spellStart"/>
      <w:r>
        <w:rPr>
          <w:rFonts w:ascii="Book Antiqua" w:eastAsia="Times New Roman" w:hAnsi="Book Antiqua"/>
          <w:b/>
          <w:color w:val="000000" w:themeColor="text1"/>
          <w:sz w:val="24"/>
          <w:szCs w:val="24"/>
        </w:rPr>
        <w:t>κB</w:t>
      </w:r>
      <w:proofErr w:type="spellEnd"/>
      <w:r>
        <w:rPr>
          <w:rFonts w:ascii="Book Antiqua" w:eastAsiaTheme="minorEastAsia" w:hAnsi="Book Antiqua"/>
          <w:b/>
          <w:color w:val="000000" w:themeColor="text1"/>
          <w:sz w:val="24"/>
          <w:szCs w:val="24"/>
        </w:rPr>
        <w:t xml:space="preserve"> </w:t>
      </w:r>
      <w:r>
        <w:rPr>
          <w:rFonts w:ascii="Book Antiqua" w:eastAsia="宋体" w:hAnsi="Book Antiqua"/>
          <w:b/>
          <w:color w:val="000000" w:themeColor="text1"/>
          <w:sz w:val="24"/>
          <w:szCs w:val="24"/>
        </w:rPr>
        <w:t>(</w:t>
      </w:r>
      <w:r>
        <w:rPr>
          <w:rFonts w:ascii="Book Antiqua" w:eastAsia="Times New Roman" w:hAnsi="Book Antiqua"/>
          <w:b/>
          <w:color w:val="000000" w:themeColor="text1"/>
          <w:sz w:val="24"/>
          <w:szCs w:val="24"/>
        </w:rPr>
        <w:t>P65</w:t>
      </w:r>
      <w:r>
        <w:rPr>
          <w:rFonts w:ascii="Book Antiqua" w:eastAsia="宋体" w:hAnsi="Book Antiqua"/>
          <w:b/>
          <w:color w:val="000000" w:themeColor="text1"/>
          <w:sz w:val="24"/>
          <w:szCs w:val="24"/>
        </w:rPr>
        <w:t xml:space="preserve">) </w:t>
      </w:r>
      <w:r>
        <w:rPr>
          <w:rFonts w:ascii="Book Antiqua" w:eastAsia="Times New Roman" w:hAnsi="Book Antiqua"/>
          <w:b/>
          <w:color w:val="000000" w:themeColor="text1"/>
          <w:sz w:val="24"/>
          <w:szCs w:val="24"/>
        </w:rPr>
        <w:t>DNA-binding protein expression</w:t>
      </w:r>
      <w:r>
        <w:rPr>
          <w:rFonts w:ascii="Book Antiqua" w:eastAsiaTheme="minorEastAsia" w:hAnsi="Book Antiqua"/>
          <w:b/>
          <w:color w:val="000000" w:themeColor="text1"/>
          <w:sz w:val="24"/>
          <w:szCs w:val="24"/>
        </w:rPr>
        <w:t>.</w:t>
      </w:r>
      <w:r>
        <w:rPr>
          <w:rFonts w:ascii="Book Antiqua" w:hAnsi="Book Antiqua" w:hint="eastAsia"/>
          <w:b/>
          <w:color w:val="000000" w:themeColor="text1"/>
          <w:sz w:val="24"/>
          <w:szCs w:val="24"/>
        </w:rPr>
        <w:t xml:space="preserve"> </w:t>
      </w:r>
      <w:r>
        <w:rPr>
          <w:rFonts w:ascii="Book Antiqua" w:eastAsia="Times New Roman" w:hAnsi="Book Antiqua"/>
          <w:color w:val="000000" w:themeColor="text1"/>
          <w:sz w:val="24"/>
          <w:szCs w:val="24"/>
        </w:rPr>
        <w:t>Expression of NF-</w:t>
      </w:r>
      <w:proofErr w:type="spellStart"/>
      <w:r>
        <w:rPr>
          <w:rFonts w:ascii="Book Antiqua" w:eastAsia="Times New Roman" w:hAnsi="Book Antiqua"/>
          <w:color w:val="000000" w:themeColor="text1"/>
          <w:sz w:val="24"/>
          <w:szCs w:val="24"/>
        </w:rPr>
        <w:t>κB</w:t>
      </w:r>
      <w:proofErr w:type="spellEnd"/>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P65</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protein and DNA-binding protein of NF-</w:t>
      </w:r>
      <w:proofErr w:type="spellStart"/>
      <w:r>
        <w:rPr>
          <w:rFonts w:ascii="Book Antiqua" w:eastAsia="Times New Roman" w:hAnsi="Book Antiqua"/>
          <w:color w:val="000000" w:themeColor="text1"/>
          <w:sz w:val="24"/>
          <w:szCs w:val="24"/>
        </w:rPr>
        <w:t>κB</w:t>
      </w:r>
      <w:proofErr w:type="spellEnd"/>
      <w:r>
        <w:rPr>
          <w:rFonts w:ascii="Book Antiqua" w:eastAsia="Times New Roman" w:hAnsi="Book Antiqua"/>
          <w:color w:val="000000" w:themeColor="text1"/>
          <w:sz w:val="24"/>
          <w:szCs w:val="24"/>
        </w:rPr>
        <w:t xml:space="preserve"> in 1</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Control group</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2</w:t>
      </w:r>
      <w:r>
        <w:rPr>
          <w:rFonts w:ascii="Book Antiqua" w:eastAsia="宋体" w:hAnsi="Book Antiqua"/>
          <w:color w:val="000000" w:themeColor="text1"/>
          <w:sz w:val="24"/>
          <w:szCs w:val="24"/>
        </w:rPr>
        <w:t>: Water avoidance stress</w:t>
      </w:r>
      <w:r>
        <w:rPr>
          <w:rFonts w:ascii="Book Antiqua" w:eastAsia="Times New Roman" w:hAnsi="Book Antiqua"/>
          <w:color w:val="000000" w:themeColor="text1"/>
          <w:sz w:val="24"/>
          <w:szCs w:val="24"/>
        </w:rPr>
        <w:t xml:space="preserve"> (WAS) group</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3</w:t>
      </w:r>
      <w:r>
        <w:rPr>
          <w:rFonts w:ascii="Book Antiqua" w:eastAsia="宋体" w:hAnsi="Book Antiqua"/>
          <w:color w:val="000000" w:themeColor="text1"/>
          <w:sz w:val="24"/>
          <w:szCs w:val="24"/>
        </w:rPr>
        <w:t xml:space="preserve">: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group</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4</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(BBR) group</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5</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100</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BBR group. Letters a, b, and c: </w:t>
      </w:r>
      <w:r>
        <w:rPr>
          <w:rFonts w:ascii="Book Antiqua" w:eastAsiaTheme="minorEastAsia" w:hAnsi="Book Antiqua"/>
          <w:i/>
          <w:iCs/>
          <w:color w:val="000000" w:themeColor="text1"/>
          <w:sz w:val="24"/>
          <w:szCs w:val="24"/>
        </w:rPr>
        <w:t>P</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&lt; 0.05 compared with those in the control group, WAS group, and 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BBR group, respectively. </w:t>
      </w:r>
      <w:r>
        <w:rPr>
          <w:rFonts w:ascii="Book Antiqua" w:eastAsia="宋体" w:hAnsi="Book Antiqua"/>
          <w:bCs/>
          <w:color w:val="000000" w:themeColor="text1"/>
          <w:sz w:val="24"/>
          <w:szCs w:val="24"/>
        </w:rPr>
        <w:t xml:space="preserve">WAS: </w:t>
      </w:r>
      <w:r>
        <w:rPr>
          <w:rFonts w:ascii="Book Antiqua" w:eastAsia="宋体" w:hAnsi="Book Antiqua"/>
          <w:color w:val="000000" w:themeColor="text1"/>
          <w:sz w:val="24"/>
          <w:szCs w:val="24"/>
        </w:rPr>
        <w:t xml:space="preserve">Water avoidance stress; BBR: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w:t>
      </w:r>
    </w:p>
    <w:p w:rsidR="00EF7033" w:rsidRDefault="00EF7033">
      <w:pPr>
        <w:widowControl w:val="0"/>
        <w:kinsoku w:val="0"/>
        <w:overflowPunct w:val="0"/>
        <w:autoSpaceDE w:val="0"/>
        <w:autoSpaceDN w:val="0"/>
        <w:spacing w:line="360" w:lineRule="auto"/>
        <w:rPr>
          <w:rFonts w:ascii="Book Antiqua" w:eastAsiaTheme="minorEastAsia" w:hAnsi="Book Antiqua"/>
          <w:b/>
          <w:color w:val="000000" w:themeColor="text1"/>
          <w:sz w:val="24"/>
          <w:szCs w:val="24"/>
        </w:rPr>
      </w:pPr>
    </w:p>
    <w:p w:rsidR="00EF7033" w:rsidRDefault="0035424A">
      <w:pPr>
        <w:widowControl w:val="0"/>
        <w:spacing w:line="360" w:lineRule="auto"/>
        <w:rPr>
          <w:rFonts w:ascii="Book Antiqua" w:hAnsi="Book Antiqua"/>
          <w:color w:val="000000" w:themeColor="text1"/>
          <w:sz w:val="24"/>
          <w:szCs w:val="24"/>
        </w:rPr>
      </w:pPr>
      <w:r>
        <w:rPr>
          <w:rFonts w:ascii="Book Antiqua" w:eastAsia="Times New Roman" w:hAnsi="Book Antiqua"/>
          <w:color w:val="000000" w:themeColor="text1"/>
          <w:sz w:val="24"/>
          <w:szCs w:val="24"/>
        </w:rPr>
        <w:br w:type="page"/>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hAnsi="Book Antiqua"/>
          <w:noProof/>
          <w:color w:val="000000" w:themeColor="text1"/>
          <w:sz w:val="24"/>
          <w:szCs w:val="24"/>
        </w:rPr>
        <w:lastRenderedPageBreak/>
        <w:drawing>
          <wp:inline distT="0" distB="0" distL="0" distR="0">
            <wp:extent cx="5207635" cy="2432685"/>
            <wp:effectExtent l="0" t="0" r="12065" b="5715"/>
            <wp:docPr id="3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F7033" w:rsidRDefault="0035424A">
      <w:pPr>
        <w:widowControl w:val="0"/>
        <w:kinsoku w:val="0"/>
        <w:overflowPunct w:val="0"/>
        <w:autoSpaceDE w:val="0"/>
        <w:autoSpaceDN w:val="0"/>
        <w:spacing w:line="360" w:lineRule="auto"/>
        <w:rPr>
          <w:rFonts w:ascii="Book Antiqua" w:hAnsi="Book Antiqua"/>
          <w:color w:val="000000" w:themeColor="text1"/>
          <w:sz w:val="24"/>
          <w:szCs w:val="24"/>
        </w:rPr>
      </w:pPr>
      <w:r>
        <w:rPr>
          <w:rFonts w:ascii="Book Antiqua" w:eastAsia="Times New Roman" w:hAnsi="Book Antiqua"/>
          <w:b/>
          <w:color w:val="000000" w:themeColor="text1"/>
          <w:sz w:val="24"/>
          <w:szCs w:val="24"/>
        </w:rPr>
        <w:t xml:space="preserve">Figure 4 Effects of </w:t>
      </w:r>
      <w:proofErr w:type="spellStart"/>
      <w:r>
        <w:rPr>
          <w:rFonts w:ascii="Book Antiqua" w:eastAsia="Times New Roman" w:hAnsi="Book Antiqua"/>
          <w:b/>
          <w:color w:val="000000" w:themeColor="text1"/>
          <w:sz w:val="24"/>
          <w:szCs w:val="24"/>
        </w:rPr>
        <w:t>berberine</w:t>
      </w:r>
      <w:proofErr w:type="spellEnd"/>
      <w:r>
        <w:rPr>
          <w:rFonts w:ascii="Book Antiqua" w:eastAsia="Times New Roman" w:hAnsi="Book Antiqua"/>
          <w:b/>
          <w:color w:val="000000" w:themeColor="text1"/>
          <w:sz w:val="24"/>
          <w:szCs w:val="24"/>
        </w:rPr>
        <w:t xml:space="preserve"> on </w:t>
      </w:r>
      <w:bookmarkStart w:id="130" w:name="_Hlk512854202"/>
      <w:r>
        <w:rPr>
          <w:rFonts w:ascii="Book Antiqua" w:eastAsia="Times New Roman" w:hAnsi="Book Antiqua"/>
          <w:b/>
          <w:color w:val="000000" w:themeColor="text1"/>
          <w:sz w:val="24"/>
          <w:szCs w:val="24"/>
        </w:rPr>
        <w:t>cytokine mRNA levels.</w:t>
      </w:r>
      <w:bookmarkEnd w:id="130"/>
      <w:r>
        <w:rPr>
          <w:rFonts w:ascii="Book Antiqua" w:eastAsia="Times New Roman" w:hAnsi="Book Antiqua"/>
          <w:b/>
          <w:color w:val="000000" w:themeColor="text1"/>
          <w:sz w:val="24"/>
          <w:szCs w:val="24"/>
        </w:rPr>
        <w:t xml:space="preserve"> </w:t>
      </w:r>
      <w:r>
        <w:rPr>
          <w:rFonts w:ascii="Book Antiqua" w:eastAsia="Times New Roman" w:hAnsi="Book Antiqua"/>
          <w:color w:val="000000" w:themeColor="text1"/>
          <w:sz w:val="24"/>
          <w:szCs w:val="24"/>
        </w:rPr>
        <w:t xml:space="preserve">Cytokine mRNA levels in the control group, </w:t>
      </w:r>
      <w:r w:rsidR="009F0821">
        <w:rPr>
          <w:rFonts w:ascii="Book Antiqua" w:eastAsia="宋体" w:hAnsi="Book Antiqua"/>
          <w:color w:val="000000" w:themeColor="text1"/>
          <w:sz w:val="24"/>
          <w:szCs w:val="24"/>
        </w:rPr>
        <w:t>w</w:t>
      </w:r>
      <w:r>
        <w:rPr>
          <w:rFonts w:ascii="Book Antiqua" w:eastAsia="宋体" w:hAnsi="Book Antiqua"/>
          <w:color w:val="000000" w:themeColor="text1"/>
          <w:sz w:val="24"/>
          <w:szCs w:val="24"/>
        </w:rPr>
        <w:t>ater avoidance stress</w:t>
      </w:r>
      <w:r>
        <w:rPr>
          <w:rFonts w:ascii="Book Antiqua" w:eastAsia="Times New Roman" w:hAnsi="Book Antiqua"/>
          <w:color w:val="000000" w:themeColor="text1"/>
          <w:sz w:val="24"/>
          <w:szCs w:val="24"/>
        </w:rPr>
        <w:t xml:space="preserve"> (WAS) group,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group,</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(BBR) group, and 100</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BBR group are shown. Letters a, b, c, and d: </w:t>
      </w:r>
      <w:r>
        <w:rPr>
          <w:rFonts w:ascii="Book Antiqua" w:eastAsiaTheme="minorEastAsia" w:hAnsi="Book Antiqua"/>
          <w:i/>
          <w:iCs/>
          <w:color w:val="000000" w:themeColor="text1"/>
          <w:sz w:val="24"/>
          <w:szCs w:val="24"/>
        </w:rPr>
        <w:t>P</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&lt; 0.05 compared with those in the control group, WAS group,</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BBR group, and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group, respectively. </w:t>
      </w:r>
      <w:r>
        <w:rPr>
          <w:rFonts w:ascii="Book Antiqua" w:eastAsia="宋体" w:hAnsi="Book Antiqua"/>
          <w:bCs/>
          <w:color w:val="000000" w:themeColor="text1"/>
          <w:sz w:val="24"/>
          <w:szCs w:val="24"/>
        </w:rPr>
        <w:t xml:space="preserve">WAS: </w:t>
      </w:r>
      <w:r>
        <w:rPr>
          <w:rFonts w:ascii="Book Antiqua" w:eastAsia="宋体" w:hAnsi="Book Antiqua"/>
          <w:color w:val="000000" w:themeColor="text1"/>
          <w:sz w:val="24"/>
          <w:szCs w:val="24"/>
        </w:rPr>
        <w:t xml:space="preserve">Water avoidance stress; BBR: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IL: </w:t>
      </w:r>
      <w:r>
        <w:rPr>
          <w:rFonts w:ascii="Book Antiqua" w:eastAsia="宋体" w:hAnsi="Book Antiqua"/>
          <w:color w:val="000000" w:themeColor="text1"/>
          <w:sz w:val="24"/>
          <w:szCs w:val="24"/>
        </w:rPr>
        <w:t>Interleukin;</w:t>
      </w:r>
      <w:r>
        <w:rPr>
          <w:rFonts w:ascii="Book Antiqua" w:eastAsia="Times New Roman" w:hAnsi="Book Antiqua"/>
          <w:color w:val="000000" w:themeColor="text1"/>
          <w:sz w:val="24"/>
          <w:szCs w:val="24"/>
        </w:rPr>
        <w:t xml:space="preserve"> IFN: </w:t>
      </w:r>
      <w:r>
        <w:rPr>
          <w:rFonts w:ascii="Book Antiqua" w:hAnsi="Book Antiqua" w:cs="Arial"/>
          <w:color w:val="222222"/>
          <w:sz w:val="24"/>
          <w:szCs w:val="24"/>
        </w:rPr>
        <w:t>Interferon;</w:t>
      </w:r>
      <w:r>
        <w:rPr>
          <w:rFonts w:ascii="Book Antiqua" w:eastAsia="Times New Roman" w:hAnsi="Book Antiqua"/>
          <w:color w:val="000000" w:themeColor="text1"/>
          <w:sz w:val="24"/>
          <w:szCs w:val="24"/>
        </w:rPr>
        <w:t xml:space="preserve"> TNF-α: </w:t>
      </w:r>
      <w:r>
        <w:rPr>
          <w:rFonts w:ascii="Book Antiqua" w:hAnsi="Book Antiqua" w:cs="Arial"/>
          <w:color w:val="222222"/>
          <w:sz w:val="24"/>
          <w:szCs w:val="24"/>
        </w:rPr>
        <w:t xml:space="preserve">Tumor necrosis factor-α; </w:t>
      </w:r>
      <w:r>
        <w:rPr>
          <w:rFonts w:ascii="Book Antiqua" w:eastAsia="Times New Roman" w:hAnsi="Book Antiqua"/>
          <w:color w:val="000000" w:themeColor="text1"/>
          <w:sz w:val="24"/>
          <w:szCs w:val="24"/>
        </w:rPr>
        <w:t xml:space="preserve">TGF-β: </w:t>
      </w:r>
      <w:bookmarkStart w:id="131" w:name="_Hlk8891661"/>
      <w:r>
        <w:rPr>
          <w:rFonts w:ascii="Book Antiqua" w:hAnsi="Book Antiqua" w:cs="Arial"/>
          <w:color w:val="222222"/>
          <w:sz w:val="24"/>
          <w:szCs w:val="24"/>
        </w:rPr>
        <w:t>Transforming growth factor-β</w:t>
      </w:r>
      <w:bookmarkEnd w:id="131"/>
      <w:r>
        <w:rPr>
          <w:rFonts w:ascii="Book Antiqua" w:hAnsi="Book Antiqua" w:cs="Arial"/>
          <w:color w:val="222222"/>
          <w:sz w:val="24"/>
          <w:szCs w:val="24"/>
        </w:rPr>
        <w:t>.</w:t>
      </w:r>
    </w:p>
    <w:p w:rsidR="00EF7033" w:rsidRDefault="0035424A">
      <w:pPr>
        <w:widowControl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br w:type="page"/>
      </w:r>
    </w:p>
    <w:p w:rsidR="00EF7033" w:rsidRDefault="0035424A">
      <w:pPr>
        <w:widowControl w:val="0"/>
        <w:kinsoku w:val="0"/>
        <w:overflowPunct w:val="0"/>
        <w:autoSpaceDE w:val="0"/>
        <w:autoSpaceDN w:val="0"/>
        <w:spacing w:line="360" w:lineRule="auto"/>
        <w:ind w:firstLine="420"/>
        <w:rPr>
          <w:rFonts w:ascii="Book Antiqua" w:eastAsia="宋体" w:hAnsi="Book Antiqua"/>
          <w:color w:val="000000" w:themeColor="text1"/>
          <w:sz w:val="24"/>
          <w:szCs w:val="24"/>
        </w:rPr>
      </w:pPr>
      <w:r>
        <w:rPr>
          <w:rFonts w:ascii="Book Antiqua" w:hAnsi="Book Antiqua"/>
          <w:noProof/>
          <w:color w:val="000000" w:themeColor="text1"/>
          <w:sz w:val="24"/>
          <w:szCs w:val="24"/>
        </w:rPr>
        <w:lastRenderedPageBreak/>
        <w:drawing>
          <wp:inline distT="0" distB="0" distL="0" distR="0">
            <wp:extent cx="5099050" cy="2724150"/>
            <wp:effectExtent l="0" t="0" r="25400" b="19050"/>
            <wp:docPr id="3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F7033" w:rsidRDefault="0035424A">
      <w:pPr>
        <w:widowControl w:val="0"/>
        <w:kinsoku w:val="0"/>
        <w:overflowPunct w:val="0"/>
        <w:autoSpaceDE w:val="0"/>
        <w:autoSpaceDN w:val="0"/>
        <w:spacing w:line="360" w:lineRule="auto"/>
        <w:rPr>
          <w:rFonts w:ascii="Book Antiqua" w:hAnsi="Book Antiqua"/>
          <w:color w:val="000000" w:themeColor="text1"/>
          <w:sz w:val="24"/>
          <w:szCs w:val="24"/>
        </w:rPr>
      </w:pPr>
      <w:r>
        <w:rPr>
          <w:rFonts w:ascii="Book Antiqua" w:eastAsia="Times New Roman" w:hAnsi="Book Antiqua"/>
          <w:b/>
          <w:color w:val="000000" w:themeColor="text1"/>
          <w:sz w:val="24"/>
          <w:szCs w:val="24"/>
        </w:rPr>
        <w:t xml:space="preserve">Figure 5 Effects of </w:t>
      </w:r>
      <w:proofErr w:type="spellStart"/>
      <w:r>
        <w:rPr>
          <w:rFonts w:ascii="Book Antiqua" w:eastAsia="Times New Roman" w:hAnsi="Book Antiqua"/>
          <w:b/>
          <w:color w:val="000000" w:themeColor="text1"/>
          <w:sz w:val="24"/>
          <w:szCs w:val="24"/>
        </w:rPr>
        <w:t>berberine</w:t>
      </w:r>
      <w:proofErr w:type="spellEnd"/>
      <w:r>
        <w:rPr>
          <w:rFonts w:ascii="Book Antiqua" w:eastAsia="Times New Roman" w:hAnsi="Book Antiqua"/>
          <w:b/>
          <w:color w:val="000000" w:themeColor="text1"/>
          <w:sz w:val="24"/>
          <w:szCs w:val="24"/>
        </w:rPr>
        <w:t xml:space="preserve"> on cytokine protein levels. </w:t>
      </w:r>
      <w:r>
        <w:rPr>
          <w:rFonts w:ascii="Book Antiqua" w:eastAsia="Times New Roman" w:hAnsi="Book Antiqua"/>
          <w:color w:val="000000" w:themeColor="text1"/>
          <w:sz w:val="24"/>
          <w:szCs w:val="24"/>
        </w:rPr>
        <w:t xml:space="preserve">Cytokine protein levels in the control group, </w:t>
      </w:r>
      <w:r w:rsidR="009F0821">
        <w:rPr>
          <w:rFonts w:ascii="Book Antiqua" w:eastAsia="宋体" w:hAnsi="Book Antiqua"/>
          <w:color w:val="000000" w:themeColor="text1"/>
          <w:sz w:val="24"/>
          <w:szCs w:val="24"/>
        </w:rPr>
        <w:t>w</w:t>
      </w:r>
      <w:r>
        <w:rPr>
          <w:rFonts w:ascii="Book Antiqua" w:eastAsia="宋体" w:hAnsi="Book Antiqua"/>
          <w:color w:val="000000" w:themeColor="text1"/>
          <w:sz w:val="24"/>
          <w:szCs w:val="24"/>
        </w:rPr>
        <w:t>ater avoidance stress</w:t>
      </w:r>
      <w:r>
        <w:rPr>
          <w:rFonts w:ascii="Book Antiqua" w:eastAsia="Times New Roman" w:hAnsi="Book Antiqua"/>
          <w:color w:val="000000" w:themeColor="text1"/>
          <w:sz w:val="24"/>
          <w:szCs w:val="24"/>
        </w:rPr>
        <w:t xml:space="preserve"> (WAS) group,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group,</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(BBR) group, and 100</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BBR group are shown. Letters a, b, c, and d； </w:t>
      </w:r>
      <w:r>
        <w:rPr>
          <w:rFonts w:ascii="Book Antiqua" w:eastAsiaTheme="minorEastAsia" w:hAnsi="Book Antiqua"/>
          <w:i/>
          <w:iCs/>
          <w:color w:val="000000" w:themeColor="text1"/>
          <w:sz w:val="24"/>
          <w:szCs w:val="24"/>
        </w:rPr>
        <w:t>P</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&lt; 0.05 compared with those in the control group, WAS group,</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BBR group, and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group, respectively. </w:t>
      </w:r>
      <w:r>
        <w:rPr>
          <w:rFonts w:ascii="Book Antiqua" w:eastAsia="宋体" w:hAnsi="Book Antiqua"/>
          <w:bCs/>
          <w:color w:val="000000" w:themeColor="text1"/>
          <w:sz w:val="24"/>
          <w:szCs w:val="24"/>
        </w:rPr>
        <w:t xml:space="preserve">WAS: </w:t>
      </w:r>
      <w:r>
        <w:rPr>
          <w:rFonts w:ascii="Book Antiqua" w:eastAsia="宋体" w:hAnsi="Book Antiqua"/>
          <w:color w:val="000000" w:themeColor="text1"/>
          <w:sz w:val="24"/>
          <w:szCs w:val="24"/>
        </w:rPr>
        <w:t xml:space="preserve">Water avoidance stress; BBR: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IL: </w:t>
      </w:r>
      <w:r>
        <w:rPr>
          <w:rFonts w:ascii="Book Antiqua" w:eastAsia="宋体" w:hAnsi="Book Antiqua"/>
          <w:color w:val="000000" w:themeColor="text1"/>
          <w:sz w:val="24"/>
          <w:szCs w:val="24"/>
        </w:rPr>
        <w:t>Interleukin;</w:t>
      </w:r>
      <w:r>
        <w:rPr>
          <w:rFonts w:ascii="Book Antiqua" w:eastAsia="Times New Roman" w:hAnsi="Book Antiqua"/>
          <w:color w:val="000000" w:themeColor="text1"/>
          <w:sz w:val="24"/>
          <w:szCs w:val="24"/>
        </w:rPr>
        <w:t xml:space="preserve"> IFN: </w:t>
      </w:r>
      <w:r>
        <w:rPr>
          <w:rFonts w:ascii="Book Antiqua" w:hAnsi="Book Antiqua" w:cs="Arial"/>
          <w:color w:val="222222"/>
          <w:sz w:val="24"/>
          <w:szCs w:val="24"/>
        </w:rPr>
        <w:t>Interferon;</w:t>
      </w:r>
      <w:r>
        <w:rPr>
          <w:rFonts w:ascii="Book Antiqua" w:eastAsia="Times New Roman" w:hAnsi="Book Antiqua"/>
          <w:color w:val="000000" w:themeColor="text1"/>
          <w:sz w:val="24"/>
          <w:szCs w:val="24"/>
        </w:rPr>
        <w:t xml:space="preserve"> TNF-α: </w:t>
      </w:r>
      <w:r>
        <w:rPr>
          <w:rFonts w:ascii="Book Antiqua" w:hAnsi="Book Antiqua" w:cs="Arial"/>
          <w:color w:val="222222"/>
          <w:sz w:val="24"/>
          <w:szCs w:val="24"/>
        </w:rPr>
        <w:t xml:space="preserve">Tumor necrosis factor-α; </w:t>
      </w:r>
      <w:r>
        <w:rPr>
          <w:rFonts w:ascii="Book Antiqua" w:eastAsia="Times New Roman" w:hAnsi="Book Antiqua"/>
          <w:color w:val="000000" w:themeColor="text1"/>
          <w:sz w:val="24"/>
          <w:szCs w:val="24"/>
        </w:rPr>
        <w:t xml:space="preserve">TGF-β: </w:t>
      </w:r>
      <w:r>
        <w:rPr>
          <w:rFonts w:ascii="Book Antiqua" w:hAnsi="Book Antiqua" w:cs="Arial"/>
          <w:color w:val="222222"/>
          <w:sz w:val="24"/>
          <w:szCs w:val="24"/>
        </w:rPr>
        <w:t>Transforming growth factor-β.</w:t>
      </w:r>
    </w:p>
    <w:p w:rsidR="00EF7033" w:rsidRDefault="00EF7033">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p>
    <w:p w:rsidR="00EF7033" w:rsidRDefault="0035424A">
      <w:pPr>
        <w:widowControl w:val="0"/>
        <w:spacing w:line="360" w:lineRule="auto"/>
        <w:rPr>
          <w:rFonts w:ascii="Book Antiqua" w:eastAsia="宋体" w:hAnsi="Book Antiqua"/>
          <w:color w:val="000000" w:themeColor="text1"/>
          <w:sz w:val="24"/>
          <w:szCs w:val="24"/>
        </w:rPr>
      </w:pPr>
      <w:r>
        <w:rPr>
          <w:rFonts w:ascii="Book Antiqua" w:eastAsia="宋体" w:hAnsi="Book Antiqua"/>
          <w:color w:val="000000" w:themeColor="text1"/>
          <w:sz w:val="24"/>
          <w:szCs w:val="24"/>
        </w:rPr>
        <w:br w:type="page"/>
      </w:r>
    </w:p>
    <w:p w:rsidR="00EF7033" w:rsidRDefault="0035424A">
      <w:pPr>
        <w:widowControl w:val="0"/>
        <w:kinsoku w:val="0"/>
        <w:overflowPunct w:val="0"/>
        <w:autoSpaceDE w:val="0"/>
        <w:autoSpaceDN w:val="0"/>
        <w:spacing w:line="360" w:lineRule="auto"/>
        <w:ind w:firstLine="420"/>
        <w:rPr>
          <w:rFonts w:ascii="Book Antiqua" w:eastAsia="宋体" w:hAnsi="Book Antiqua"/>
          <w:color w:val="000000" w:themeColor="text1"/>
          <w:sz w:val="24"/>
          <w:szCs w:val="24"/>
        </w:rPr>
      </w:pPr>
      <w:r>
        <w:rPr>
          <w:rFonts w:ascii="Book Antiqua" w:hAnsi="Book Antiqua"/>
          <w:noProof/>
          <w:color w:val="000000" w:themeColor="text1"/>
          <w:sz w:val="24"/>
          <w:szCs w:val="24"/>
        </w:rPr>
        <w:lastRenderedPageBreak/>
        <w:drawing>
          <wp:inline distT="0" distB="0" distL="0" distR="0">
            <wp:extent cx="3712210" cy="2893695"/>
            <wp:effectExtent l="0" t="0" r="2540" b="1905"/>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738011" cy="2913992"/>
                    </a:xfrm>
                    <a:prstGeom prst="rect">
                      <a:avLst/>
                    </a:prstGeom>
                    <a:noFill/>
                    <a:ln cap="flat">
                      <a:noFill/>
                    </a:ln>
                  </pic:spPr>
                </pic:pic>
              </a:graphicData>
            </a:graphic>
          </wp:inline>
        </w:drawing>
      </w:r>
    </w:p>
    <w:p w:rsidR="00EF7033" w:rsidRDefault="0035424A">
      <w:pPr>
        <w:widowControl w:val="0"/>
        <w:kinsoku w:val="0"/>
        <w:overflowPunct w:val="0"/>
        <w:autoSpaceDE w:val="0"/>
        <w:autoSpaceDN w:val="0"/>
        <w:spacing w:line="360" w:lineRule="auto"/>
        <w:ind w:firstLine="420"/>
        <w:rPr>
          <w:rFonts w:ascii="Book Antiqua" w:hAnsi="Book Antiqua"/>
          <w:color w:val="000000" w:themeColor="text1"/>
          <w:sz w:val="24"/>
          <w:szCs w:val="24"/>
        </w:rPr>
      </w:pPr>
      <w:r>
        <w:rPr>
          <w:rFonts w:ascii="Book Antiqua" w:hAnsi="Book Antiqua"/>
          <w:noProof/>
          <w:color w:val="000000" w:themeColor="text1"/>
          <w:sz w:val="24"/>
          <w:szCs w:val="24"/>
        </w:rPr>
        <w:drawing>
          <wp:inline distT="0" distB="0" distL="0" distR="0">
            <wp:extent cx="2196465" cy="2146300"/>
            <wp:effectExtent l="0" t="0" r="0" b="6350"/>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216086" cy="2165951"/>
                    </a:xfrm>
                    <a:prstGeom prst="rect">
                      <a:avLst/>
                    </a:prstGeom>
                    <a:noFill/>
                    <a:ln cap="flat">
                      <a:noFill/>
                    </a:ln>
                  </pic:spPr>
                </pic:pic>
              </a:graphicData>
            </a:graphic>
          </wp:inline>
        </w:drawing>
      </w:r>
      <w:r>
        <w:rPr>
          <w:rFonts w:ascii="Book Antiqua" w:hAnsi="Book Antiqua"/>
          <w:color w:val="000000" w:themeColor="text1"/>
          <w:sz w:val="24"/>
          <w:szCs w:val="24"/>
        </w:rPr>
        <w:t xml:space="preserve"> </w:t>
      </w:r>
      <w:r>
        <w:rPr>
          <w:rFonts w:ascii="Book Antiqua" w:hAnsi="Book Antiqua"/>
          <w:noProof/>
          <w:color w:val="000000" w:themeColor="text1"/>
          <w:sz w:val="24"/>
          <w:szCs w:val="24"/>
        </w:rPr>
        <w:drawing>
          <wp:inline distT="0" distB="0" distL="0" distR="0">
            <wp:extent cx="2633345" cy="2114550"/>
            <wp:effectExtent l="0" t="0" r="0" b="0"/>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665652" cy="2140577"/>
                    </a:xfrm>
                    <a:prstGeom prst="rect">
                      <a:avLst/>
                    </a:prstGeom>
                    <a:noFill/>
                    <a:ln cap="flat">
                      <a:noFill/>
                    </a:ln>
                  </pic:spPr>
                </pic:pic>
              </a:graphicData>
            </a:graphic>
          </wp:inline>
        </w:drawing>
      </w:r>
    </w:p>
    <w:p w:rsidR="00EF7033" w:rsidRDefault="0035424A">
      <w:pPr>
        <w:widowControl w:val="0"/>
        <w:kinsoku w:val="0"/>
        <w:overflowPunct w:val="0"/>
        <w:autoSpaceDE w:val="0"/>
        <w:autoSpaceDN w:val="0"/>
        <w:spacing w:line="360" w:lineRule="auto"/>
        <w:rPr>
          <w:rFonts w:ascii="Book Antiqua" w:hAnsi="Book Antiqua"/>
          <w:b/>
          <w:color w:val="000000" w:themeColor="text1"/>
          <w:sz w:val="24"/>
          <w:szCs w:val="24"/>
        </w:rPr>
      </w:pPr>
      <w:bookmarkStart w:id="132" w:name="OLE_LINK7"/>
      <w:r>
        <w:rPr>
          <w:rFonts w:ascii="Book Antiqua" w:eastAsia="Times New Roman" w:hAnsi="Book Antiqua"/>
          <w:b/>
          <w:color w:val="000000" w:themeColor="text1"/>
          <w:sz w:val="24"/>
          <w:szCs w:val="24"/>
        </w:rPr>
        <w:t>Figure</w:t>
      </w:r>
      <w:r>
        <w:rPr>
          <w:rFonts w:ascii="Book Antiqua" w:eastAsiaTheme="minorEastAsia" w:hAnsi="Book Antiqua"/>
          <w:b/>
          <w:color w:val="000000" w:themeColor="text1"/>
          <w:sz w:val="24"/>
          <w:szCs w:val="24"/>
        </w:rPr>
        <w:t xml:space="preserve"> </w:t>
      </w:r>
      <w:r>
        <w:rPr>
          <w:rFonts w:ascii="Book Antiqua" w:eastAsia="Times New Roman" w:hAnsi="Book Antiqua"/>
          <w:b/>
          <w:color w:val="000000" w:themeColor="text1"/>
          <w:sz w:val="24"/>
          <w:szCs w:val="24"/>
        </w:rPr>
        <w:t xml:space="preserve">6 Effects of </w:t>
      </w:r>
      <w:proofErr w:type="spellStart"/>
      <w:r>
        <w:rPr>
          <w:rFonts w:ascii="Book Antiqua" w:eastAsia="Times New Roman" w:hAnsi="Book Antiqua"/>
          <w:b/>
          <w:color w:val="000000" w:themeColor="text1"/>
          <w:sz w:val="24"/>
          <w:szCs w:val="24"/>
        </w:rPr>
        <w:t>berberine</w:t>
      </w:r>
      <w:proofErr w:type="spellEnd"/>
      <w:r>
        <w:rPr>
          <w:rFonts w:ascii="Book Antiqua" w:eastAsia="Times New Roman" w:hAnsi="Book Antiqua"/>
          <w:b/>
          <w:color w:val="000000" w:themeColor="text1"/>
          <w:sz w:val="24"/>
          <w:szCs w:val="24"/>
        </w:rPr>
        <w:t xml:space="preserve"> on </w:t>
      </w:r>
      <w:proofErr w:type="spellStart"/>
      <w:r>
        <w:rPr>
          <w:rFonts w:ascii="Book Antiqua" w:eastAsia="Times New Roman" w:hAnsi="Book Antiqua"/>
          <w:b/>
          <w:color w:val="000000" w:themeColor="text1"/>
          <w:sz w:val="24"/>
          <w:szCs w:val="24"/>
        </w:rPr>
        <w:t>visceromotor</w:t>
      </w:r>
      <w:proofErr w:type="spellEnd"/>
      <w:r>
        <w:rPr>
          <w:rFonts w:ascii="Book Antiqua" w:eastAsia="Times New Roman" w:hAnsi="Book Antiqua"/>
          <w:b/>
          <w:color w:val="000000" w:themeColor="text1"/>
          <w:sz w:val="24"/>
          <w:szCs w:val="24"/>
        </w:rPr>
        <w:t xml:space="preserve"> response to colorectal distention in rats.</w:t>
      </w:r>
      <w:r>
        <w:rPr>
          <w:rFonts w:ascii="Book Antiqua" w:hAnsi="Book Antiqua" w:hint="eastAsia"/>
          <w:b/>
          <w:color w:val="000000" w:themeColor="text1"/>
          <w:sz w:val="24"/>
          <w:szCs w:val="24"/>
        </w:rPr>
        <w:t xml:space="preserve"> </w:t>
      </w:r>
      <w:r>
        <w:rPr>
          <w:rFonts w:ascii="Book Antiqua" w:eastAsia="Times New Roman" w:hAnsi="Book Antiqua"/>
          <w:color w:val="000000" w:themeColor="text1"/>
          <w:sz w:val="24"/>
          <w:szCs w:val="24"/>
        </w:rPr>
        <w:t xml:space="preserve">We took the average EMG amplitude measured on day 11 subtracted by the average EMG amplitude detected on day 0, and express it as </w:t>
      </w:r>
      <w:r>
        <w:rPr>
          <w:rFonts w:ascii="Cambria Math" w:eastAsia="Times New Roman" w:hAnsi="Cambria Math" w:cs="Cambria Math"/>
          <w:color w:val="000000" w:themeColor="text1"/>
          <w:sz w:val="24"/>
          <w:szCs w:val="24"/>
        </w:rPr>
        <w:t>△</w:t>
      </w:r>
      <w:r>
        <w:rPr>
          <w:rFonts w:ascii="Book Antiqua" w:eastAsia="Times New Roman" w:hAnsi="Book Antiqua"/>
          <w:color w:val="000000" w:themeColor="text1"/>
          <w:sz w:val="24"/>
          <w:szCs w:val="24"/>
        </w:rPr>
        <w:t xml:space="preserve">EMG. A: The amplitude of electromyogram (EMG) was changed in the control group and </w:t>
      </w:r>
      <w:r>
        <w:rPr>
          <w:rFonts w:ascii="Book Antiqua" w:eastAsia="宋体" w:hAnsi="Book Antiqua"/>
          <w:color w:val="000000" w:themeColor="text1"/>
          <w:sz w:val="24"/>
          <w:szCs w:val="24"/>
        </w:rPr>
        <w:t>water avoidance stress</w:t>
      </w:r>
      <w:r>
        <w:rPr>
          <w:rFonts w:ascii="Book Antiqua" w:eastAsia="Times New Roman" w:hAnsi="Book Antiqua"/>
          <w:color w:val="000000" w:themeColor="text1"/>
          <w:sz w:val="24"/>
          <w:szCs w:val="24"/>
        </w:rPr>
        <w:t xml:space="preserve"> (WAS) group under different pressures of </w:t>
      </w:r>
      <w:r>
        <w:rPr>
          <w:rFonts w:ascii="Book Antiqua" w:eastAsia="Times New Roman" w:hAnsi="Book Antiqua"/>
          <w:bCs/>
          <w:color w:val="000000" w:themeColor="text1"/>
          <w:sz w:val="24"/>
          <w:szCs w:val="24"/>
        </w:rPr>
        <w:t>colorectal distention</w:t>
      </w:r>
      <w:r>
        <w:rPr>
          <w:rFonts w:ascii="Book Antiqua" w:eastAsia="Times New Roman" w:hAnsi="Book Antiqua"/>
          <w:b/>
          <w:color w:val="000000" w:themeColor="text1"/>
          <w:sz w:val="24"/>
          <w:szCs w:val="24"/>
        </w:rPr>
        <w:t xml:space="preserve"> </w:t>
      </w:r>
      <w:r>
        <w:rPr>
          <w:rFonts w:ascii="Book Antiqua" w:eastAsia="Times New Roman" w:hAnsi="Book Antiqua"/>
          <w:color w:val="000000" w:themeColor="text1"/>
          <w:sz w:val="24"/>
          <w:szCs w:val="24"/>
        </w:rPr>
        <w:t>(CRD)</w:t>
      </w:r>
      <w:bookmarkEnd w:id="132"/>
      <w:r>
        <w:rPr>
          <w:rFonts w:ascii="Book Antiqua" w:eastAsia="Times New Roman" w:hAnsi="Book Antiqua"/>
          <w:color w:val="000000" w:themeColor="text1"/>
          <w:sz w:val="24"/>
          <w:szCs w:val="24"/>
        </w:rPr>
        <w:t xml:space="preserve">; B: The amplitude of EMG in the control group, WAS group,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group,</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(BBR) group, and 100</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mg/kg BBR group under 60</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mmHg of CRD on day</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11; C: </w:t>
      </w:r>
      <w:r>
        <w:rPr>
          <w:rFonts w:ascii="Cambria Math" w:eastAsia="Cambria Math" w:hAnsi="Cambria Math" w:cs="Cambria Math"/>
          <w:color w:val="000000" w:themeColor="text1"/>
          <w:sz w:val="24"/>
          <w:szCs w:val="24"/>
        </w:rPr>
        <w:t>△</w:t>
      </w:r>
      <w:r>
        <w:rPr>
          <w:rFonts w:ascii="Book Antiqua" w:eastAsia="Times New Roman" w:hAnsi="Book Antiqua"/>
          <w:color w:val="000000" w:themeColor="text1"/>
          <w:sz w:val="24"/>
          <w:szCs w:val="24"/>
        </w:rPr>
        <w:t xml:space="preserve">EMG of different group rats under different pressures of CRD. Letters a, b, and c: </w:t>
      </w:r>
      <w:r>
        <w:rPr>
          <w:rFonts w:ascii="Book Antiqua" w:eastAsia="Times New Roman" w:hAnsi="Book Antiqua"/>
          <w:i/>
          <w:iCs/>
          <w:color w:val="000000" w:themeColor="text1"/>
          <w:sz w:val="24"/>
          <w:szCs w:val="24"/>
        </w:rPr>
        <w:t>P</w:t>
      </w:r>
      <w:r>
        <w:rPr>
          <w:rFonts w:ascii="Book Antiqua" w:eastAsia="Times New Roman" w:hAnsi="Book Antiqua"/>
          <w:color w:val="000000" w:themeColor="text1"/>
          <w:sz w:val="24"/>
          <w:szCs w:val="24"/>
        </w:rPr>
        <w:t xml:space="preserve"> &lt; 0.05 compared with those in the control group, WAS group, and 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BBR group, respectively. </w:t>
      </w:r>
      <w:r>
        <w:rPr>
          <w:rFonts w:ascii="Book Antiqua" w:eastAsia="宋体" w:hAnsi="Book Antiqua"/>
          <w:bCs/>
          <w:color w:val="000000" w:themeColor="text1"/>
          <w:sz w:val="24"/>
          <w:szCs w:val="24"/>
        </w:rPr>
        <w:t xml:space="preserve">WAS: </w:t>
      </w:r>
      <w:r>
        <w:rPr>
          <w:rFonts w:ascii="Book Antiqua" w:eastAsia="宋体" w:hAnsi="Book Antiqua"/>
          <w:color w:val="000000" w:themeColor="text1"/>
          <w:sz w:val="24"/>
          <w:szCs w:val="24"/>
        </w:rPr>
        <w:t xml:space="preserve">Water avoidance stress; BBR: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CRD: </w:t>
      </w:r>
      <w:r>
        <w:rPr>
          <w:rFonts w:ascii="Book Antiqua" w:eastAsia="Times New Roman" w:hAnsi="Book Antiqua"/>
          <w:bCs/>
          <w:color w:val="000000" w:themeColor="text1"/>
          <w:sz w:val="24"/>
          <w:szCs w:val="24"/>
        </w:rPr>
        <w:t xml:space="preserve">Colorectal distention; EMG: </w:t>
      </w:r>
      <w:r>
        <w:rPr>
          <w:rFonts w:ascii="Book Antiqua" w:eastAsia="Times New Roman" w:hAnsi="Book Antiqua"/>
          <w:color w:val="000000" w:themeColor="text1"/>
          <w:sz w:val="24"/>
          <w:szCs w:val="24"/>
        </w:rPr>
        <w:t>Electromyogram.</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hAnsi="Book Antiqua"/>
          <w:noProof/>
          <w:color w:val="000000" w:themeColor="text1"/>
          <w:sz w:val="24"/>
          <w:szCs w:val="24"/>
        </w:rPr>
        <w:lastRenderedPageBreak/>
        <w:drawing>
          <wp:inline distT="0" distB="0" distL="0" distR="0">
            <wp:extent cx="4572000" cy="2743200"/>
            <wp:effectExtent l="0" t="0" r="0" b="0"/>
            <wp:docPr id="4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hAnsi="Book Antiqua"/>
          <w:noProof/>
          <w:color w:val="000000" w:themeColor="text1"/>
          <w:sz w:val="24"/>
          <w:szCs w:val="24"/>
        </w:rPr>
        <w:drawing>
          <wp:inline distT="0" distB="0" distL="0" distR="0">
            <wp:extent cx="4572000" cy="2743200"/>
            <wp:effectExtent l="0" t="0" r="0" b="0"/>
            <wp:docPr id="4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F7033" w:rsidRDefault="0035424A">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bookmarkStart w:id="133" w:name="OLE_LINK14"/>
      <w:r>
        <w:rPr>
          <w:rFonts w:ascii="Book Antiqua" w:eastAsia="Times New Roman" w:hAnsi="Book Antiqua"/>
          <w:b/>
          <w:color w:val="000000" w:themeColor="text1"/>
          <w:sz w:val="24"/>
          <w:szCs w:val="24"/>
        </w:rPr>
        <w:t xml:space="preserve">Figure 7 Effects of </w:t>
      </w:r>
      <w:proofErr w:type="spellStart"/>
      <w:r>
        <w:rPr>
          <w:rFonts w:ascii="Book Antiqua" w:eastAsia="Times New Roman" w:hAnsi="Book Antiqua"/>
          <w:b/>
          <w:color w:val="000000" w:themeColor="text1"/>
          <w:sz w:val="24"/>
          <w:szCs w:val="24"/>
        </w:rPr>
        <w:t>berberine</w:t>
      </w:r>
      <w:proofErr w:type="spellEnd"/>
      <w:r>
        <w:rPr>
          <w:rFonts w:ascii="Book Antiqua" w:eastAsia="Times New Roman" w:hAnsi="Book Antiqua"/>
          <w:b/>
          <w:color w:val="000000" w:themeColor="text1"/>
          <w:sz w:val="24"/>
          <w:szCs w:val="24"/>
        </w:rPr>
        <w:t xml:space="preserve"> on total gastrointestinal transit and small intestinal transit. </w:t>
      </w:r>
      <w:r>
        <w:rPr>
          <w:rFonts w:ascii="Book Antiqua" w:eastAsia="Times New Roman" w:hAnsi="Book Antiqua"/>
          <w:color w:val="000000" w:themeColor="text1"/>
          <w:sz w:val="24"/>
          <w:szCs w:val="24"/>
        </w:rPr>
        <w:t xml:space="preserve">Total gastrointestinal transit and small intestinal transit in the control group, </w:t>
      </w:r>
      <w:r>
        <w:rPr>
          <w:rFonts w:ascii="Book Antiqua" w:eastAsia="宋体" w:hAnsi="Book Antiqua"/>
          <w:color w:val="000000" w:themeColor="text1"/>
          <w:sz w:val="24"/>
          <w:szCs w:val="24"/>
        </w:rPr>
        <w:t>water avoidance stress</w:t>
      </w:r>
      <w:r>
        <w:rPr>
          <w:rFonts w:ascii="Book Antiqua" w:eastAsia="Times New Roman" w:hAnsi="Book Antiqua"/>
          <w:color w:val="000000" w:themeColor="text1"/>
          <w:sz w:val="24"/>
          <w:szCs w:val="24"/>
        </w:rPr>
        <w:t xml:space="preserve"> (WAS) group, </w:t>
      </w:r>
      <w:proofErr w:type="spellStart"/>
      <w:r w:rsidR="009F0821">
        <w:rPr>
          <w:rFonts w:ascii="Book Antiqua" w:eastAsia="Times New Roman" w:hAnsi="Book Antiqua"/>
          <w:color w:val="000000" w:themeColor="text1"/>
          <w:sz w:val="24"/>
          <w:szCs w:val="24"/>
        </w:rPr>
        <w:t>r</w:t>
      </w:r>
      <w:r>
        <w:rPr>
          <w:rFonts w:ascii="Book Antiqua" w:eastAsia="Times New Roman" w:hAnsi="Book Antiqua"/>
          <w:color w:val="000000" w:themeColor="text1"/>
          <w:sz w:val="24"/>
          <w:szCs w:val="24"/>
        </w:rPr>
        <w:t>ifaximin</w:t>
      </w:r>
      <w:proofErr w:type="spellEnd"/>
      <w:r>
        <w:rPr>
          <w:rFonts w:ascii="Book Antiqua" w:eastAsia="Times New Roman" w:hAnsi="Book Antiqua"/>
          <w:color w:val="000000" w:themeColor="text1"/>
          <w:sz w:val="24"/>
          <w:szCs w:val="24"/>
        </w:rPr>
        <w:t xml:space="preserve"> group,</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(BBR) group, and 100</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BBR group are shown. Letters a, b, and c: </w:t>
      </w:r>
      <w:r>
        <w:rPr>
          <w:rFonts w:ascii="Book Antiqua" w:eastAsiaTheme="minorEastAsia" w:hAnsi="Book Antiqua"/>
          <w:i/>
          <w:iCs/>
          <w:color w:val="000000" w:themeColor="text1"/>
          <w:sz w:val="24"/>
          <w:szCs w:val="24"/>
        </w:rPr>
        <w:t>P</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&lt; 0.05 compared with those in the control group, WAS group, and 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BBR group, respectively. </w:t>
      </w:r>
      <w:r>
        <w:rPr>
          <w:rFonts w:ascii="Book Antiqua" w:eastAsia="宋体" w:hAnsi="Book Antiqua"/>
          <w:bCs/>
          <w:color w:val="000000" w:themeColor="text1"/>
          <w:sz w:val="24"/>
          <w:szCs w:val="24"/>
        </w:rPr>
        <w:t xml:space="preserve">WAS: </w:t>
      </w:r>
      <w:r>
        <w:rPr>
          <w:rFonts w:ascii="Book Antiqua" w:eastAsia="宋体" w:hAnsi="Book Antiqua"/>
          <w:color w:val="000000" w:themeColor="text1"/>
          <w:sz w:val="24"/>
          <w:szCs w:val="24"/>
        </w:rPr>
        <w:t xml:space="preserve">Water avoidance stress; BBR: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w:t>
      </w:r>
    </w:p>
    <w:p w:rsidR="00EF7033" w:rsidRDefault="0035424A">
      <w:pPr>
        <w:widowControl w:val="0"/>
        <w:spacing w:line="360" w:lineRule="auto"/>
        <w:rPr>
          <w:rFonts w:ascii="Book Antiqua" w:hAnsi="Book Antiqua"/>
          <w:color w:val="000000" w:themeColor="text1"/>
          <w:sz w:val="24"/>
          <w:szCs w:val="24"/>
        </w:rPr>
      </w:pPr>
      <w:r>
        <w:rPr>
          <w:rFonts w:ascii="Book Antiqua" w:eastAsia="Times New Roman" w:hAnsi="Book Antiqua"/>
          <w:color w:val="000000" w:themeColor="text1"/>
          <w:sz w:val="24"/>
          <w:szCs w:val="24"/>
        </w:rPr>
        <w:br w:type="page"/>
      </w:r>
      <w:bookmarkEnd w:id="133"/>
    </w:p>
    <w:p w:rsidR="00EF7033" w:rsidRDefault="0035424A">
      <w:pPr>
        <w:widowControl w:val="0"/>
        <w:kinsoku w:val="0"/>
        <w:overflowPunct w:val="0"/>
        <w:autoSpaceDE w:val="0"/>
        <w:autoSpaceDN w:val="0"/>
        <w:spacing w:line="360" w:lineRule="auto"/>
        <w:rPr>
          <w:rFonts w:ascii="Book Antiqua" w:eastAsia="宋体" w:hAnsi="Book Antiqua"/>
          <w:color w:val="000000" w:themeColor="text1"/>
          <w:sz w:val="24"/>
          <w:szCs w:val="24"/>
        </w:rPr>
      </w:pPr>
      <w:r>
        <w:rPr>
          <w:rFonts w:ascii="Book Antiqua" w:hAnsi="Book Antiqua"/>
          <w:noProof/>
          <w:color w:val="000000" w:themeColor="text1"/>
          <w:sz w:val="24"/>
          <w:szCs w:val="24"/>
        </w:rPr>
        <w:lastRenderedPageBreak/>
        <w:drawing>
          <wp:inline distT="0" distB="0" distL="0" distR="0">
            <wp:extent cx="4211955" cy="1399540"/>
            <wp:effectExtent l="0" t="0" r="0" b="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4212590" cy="1400175"/>
                    </a:xfrm>
                    <a:prstGeom prst="rect">
                      <a:avLst/>
                    </a:prstGeom>
                    <a:noFill/>
                    <a:ln cap="flat">
                      <a:noFill/>
                    </a:ln>
                  </pic:spPr>
                </pic:pic>
              </a:graphicData>
            </a:graphic>
          </wp:inline>
        </w:drawing>
      </w:r>
    </w:p>
    <w:p w:rsidR="00EF7033" w:rsidRDefault="0035424A">
      <w:pPr>
        <w:widowControl w:val="0"/>
        <w:kinsoku w:val="0"/>
        <w:overflowPunct w:val="0"/>
        <w:autoSpaceDE w:val="0"/>
        <w:autoSpaceDN w:val="0"/>
        <w:spacing w:line="360" w:lineRule="auto"/>
        <w:ind w:firstLine="420"/>
        <w:rPr>
          <w:rFonts w:ascii="Book Antiqua" w:eastAsia="Times New Roman" w:hAnsi="Book Antiqua"/>
          <w:color w:val="000000" w:themeColor="text1"/>
          <w:sz w:val="24"/>
          <w:szCs w:val="24"/>
        </w:rPr>
      </w:pPr>
      <w:r>
        <w:rPr>
          <w:rFonts w:ascii="Book Antiqua" w:hAnsi="Book Antiqua"/>
          <w:noProof/>
          <w:color w:val="000000" w:themeColor="text1"/>
          <w:sz w:val="24"/>
          <w:szCs w:val="24"/>
        </w:rPr>
        <w:drawing>
          <wp:inline distT="0" distB="0" distL="0" distR="0">
            <wp:extent cx="5636895" cy="2288540"/>
            <wp:effectExtent l="0" t="0" r="1905" b="16510"/>
            <wp:docPr id="45"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F7033" w:rsidRDefault="0035424A">
      <w:pPr>
        <w:widowControl w:val="0"/>
        <w:kinsoku w:val="0"/>
        <w:overflowPunct w:val="0"/>
        <w:autoSpaceDE w:val="0"/>
        <w:autoSpaceDN w:val="0"/>
        <w:spacing w:line="360" w:lineRule="auto"/>
        <w:ind w:firstLine="420"/>
        <w:rPr>
          <w:rFonts w:ascii="Book Antiqua" w:eastAsia="Times New Roman" w:hAnsi="Book Antiqua"/>
          <w:color w:val="000000" w:themeColor="text1"/>
          <w:sz w:val="24"/>
          <w:szCs w:val="24"/>
        </w:rPr>
      </w:pPr>
      <w:r>
        <w:rPr>
          <w:rFonts w:ascii="Book Antiqua" w:hAnsi="Book Antiqua"/>
          <w:noProof/>
          <w:color w:val="000000" w:themeColor="text1"/>
          <w:sz w:val="24"/>
          <w:szCs w:val="24"/>
        </w:rPr>
        <w:drawing>
          <wp:inline distT="0" distB="0" distL="0" distR="0">
            <wp:extent cx="4734560" cy="2675255"/>
            <wp:effectExtent l="0" t="0" r="8890" b="10795"/>
            <wp:docPr id="46"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F7033" w:rsidRDefault="0035424A">
      <w:pPr>
        <w:widowControl w:val="0"/>
        <w:kinsoku w:val="0"/>
        <w:overflowPunct w:val="0"/>
        <w:autoSpaceDE w:val="0"/>
        <w:autoSpaceDN w:val="0"/>
        <w:spacing w:line="360" w:lineRule="auto"/>
        <w:rPr>
          <w:rFonts w:ascii="Book Antiqua" w:eastAsiaTheme="minorEastAsia" w:hAnsi="Book Antiqua"/>
          <w:b/>
          <w:color w:val="000000" w:themeColor="text1"/>
          <w:sz w:val="24"/>
          <w:szCs w:val="24"/>
        </w:rPr>
      </w:pPr>
      <w:r>
        <w:rPr>
          <w:rFonts w:ascii="Book Antiqua" w:eastAsia="Times New Roman" w:hAnsi="Book Antiqua"/>
          <w:b/>
          <w:color w:val="000000" w:themeColor="text1"/>
          <w:sz w:val="24"/>
          <w:szCs w:val="24"/>
        </w:rPr>
        <w:t xml:space="preserve">Figure 8 Effects of </w:t>
      </w:r>
      <w:proofErr w:type="spellStart"/>
      <w:r>
        <w:rPr>
          <w:rFonts w:ascii="Book Antiqua" w:eastAsia="Times New Roman" w:hAnsi="Book Antiqua"/>
          <w:b/>
          <w:color w:val="000000" w:themeColor="text1"/>
          <w:sz w:val="24"/>
          <w:szCs w:val="24"/>
        </w:rPr>
        <w:t>berberine</w:t>
      </w:r>
      <w:proofErr w:type="spellEnd"/>
      <w:r>
        <w:rPr>
          <w:rFonts w:ascii="Book Antiqua" w:eastAsia="Times New Roman" w:hAnsi="Book Antiqua"/>
          <w:b/>
          <w:color w:val="000000" w:themeColor="text1"/>
          <w:sz w:val="24"/>
          <w:szCs w:val="24"/>
        </w:rPr>
        <w:t xml:space="preserve"> on </w:t>
      </w:r>
      <w:r>
        <w:rPr>
          <w:rFonts w:ascii="Book Antiqua" w:eastAsia="Times New Roman" w:hAnsi="Book Antiqua"/>
          <w:b/>
          <w:bCs/>
          <w:color w:val="000000" w:themeColor="text1"/>
          <w:sz w:val="24"/>
          <w:szCs w:val="24"/>
        </w:rPr>
        <w:t xml:space="preserve">brain derived </w:t>
      </w:r>
      <w:proofErr w:type="spellStart"/>
      <w:r>
        <w:rPr>
          <w:rFonts w:ascii="Book Antiqua" w:eastAsia="Times New Roman" w:hAnsi="Book Antiqua"/>
          <w:b/>
          <w:bCs/>
          <w:color w:val="000000" w:themeColor="text1"/>
          <w:sz w:val="24"/>
          <w:szCs w:val="24"/>
        </w:rPr>
        <w:t>neurotrophic</w:t>
      </w:r>
      <w:proofErr w:type="spellEnd"/>
      <w:r>
        <w:rPr>
          <w:rFonts w:ascii="Book Antiqua" w:eastAsia="Times New Roman" w:hAnsi="Book Antiqua"/>
          <w:color w:val="000000" w:themeColor="text1"/>
          <w:sz w:val="24"/>
          <w:szCs w:val="24"/>
        </w:rPr>
        <w:t xml:space="preserve"> </w:t>
      </w:r>
      <w:r>
        <w:rPr>
          <w:rFonts w:ascii="Book Antiqua" w:eastAsia="Times New Roman" w:hAnsi="Book Antiqua"/>
          <w:b/>
          <w:bCs/>
          <w:color w:val="000000" w:themeColor="text1"/>
          <w:sz w:val="24"/>
          <w:szCs w:val="24"/>
        </w:rPr>
        <w:t>factor</w:t>
      </w:r>
      <w:r>
        <w:rPr>
          <w:rFonts w:ascii="Book Antiqua" w:eastAsia="Times New Roman" w:hAnsi="Book Antiqua"/>
          <w:b/>
          <w:color w:val="000000" w:themeColor="text1"/>
          <w:sz w:val="24"/>
          <w:szCs w:val="24"/>
        </w:rPr>
        <w:t xml:space="preserve"> and </w:t>
      </w:r>
      <w:proofErr w:type="spellStart"/>
      <w:r>
        <w:rPr>
          <w:rFonts w:ascii="Book Antiqua" w:eastAsia="Times New Roman" w:hAnsi="Book Antiqua"/>
          <w:b/>
          <w:color w:val="000000" w:themeColor="text1"/>
          <w:sz w:val="24"/>
          <w:szCs w:val="24"/>
        </w:rPr>
        <w:t>Trkb</w:t>
      </w:r>
      <w:proofErr w:type="spellEnd"/>
      <w:r>
        <w:rPr>
          <w:rFonts w:ascii="Book Antiqua" w:eastAsia="Times New Roman" w:hAnsi="Book Antiqua"/>
          <w:b/>
          <w:color w:val="000000" w:themeColor="text1"/>
          <w:sz w:val="24"/>
          <w:szCs w:val="24"/>
        </w:rPr>
        <w:t xml:space="preserve"> mRNA and protein expression</w:t>
      </w:r>
      <w:r>
        <w:rPr>
          <w:rFonts w:ascii="Book Antiqua" w:eastAsiaTheme="minorEastAsia" w:hAnsi="Book Antiqua"/>
          <w:b/>
          <w:color w:val="000000" w:themeColor="text1"/>
          <w:sz w:val="24"/>
          <w:szCs w:val="24"/>
        </w:rPr>
        <w:t>.</w:t>
      </w:r>
      <w:r>
        <w:rPr>
          <w:rFonts w:ascii="Book Antiqua" w:hAnsi="Book Antiqua" w:hint="eastAsia"/>
          <w:b/>
          <w:color w:val="000000" w:themeColor="text1"/>
          <w:sz w:val="24"/>
          <w:szCs w:val="24"/>
        </w:rPr>
        <w:t xml:space="preserve"> </w:t>
      </w:r>
      <w:r>
        <w:rPr>
          <w:rFonts w:ascii="Book Antiqua" w:eastAsia="Times New Roman" w:hAnsi="Book Antiqua"/>
          <w:color w:val="000000" w:themeColor="text1"/>
          <w:sz w:val="24"/>
          <w:szCs w:val="24"/>
        </w:rPr>
        <w:t xml:space="preserve">Expression of brain derived </w:t>
      </w:r>
      <w:proofErr w:type="spellStart"/>
      <w:r>
        <w:rPr>
          <w:rFonts w:ascii="Book Antiqua" w:eastAsia="Times New Roman" w:hAnsi="Book Antiqua"/>
          <w:color w:val="000000" w:themeColor="text1"/>
          <w:sz w:val="24"/>
          <w:szCs w:val="24"/>
        </w:rPr>
        <w:t>neurotrophic</w:t>
      </w:r>
      <w:proofErr w:type="spellEnd"/>
      <w:r>
        <w:rPr>
          <w:rFonts w:ascii="Book Antiqua" w:eastAsia="Times New Roman" w:hAnsi="Book Antiqua"/>
          <w:color w:val="000000" w:themeColor="text1"/>
          <w:sz w:val="24"/>
          <w:szCs w:val="24"/>
        </w:rPr>
        <w:t xml:space="preserve"> factor and </w:t>
      </w:r>
      <w:proofErr w:type="spellStart"/>
      <w:r>
        <w:rPr>
          <w:rFonts w:ascii="Book Antiqua" w:eastAsia="Times New Roman" w:hAnsi="Book Antiqua"/>
          <w:color w:val="000000" w:themeColor="text1"/>
          <w:sz w:val="24"/>
          <w:szCs w:val="24"/>
        </w:rPr>
        <w:t>Trkb</w:t>
      </w:r>
      <w:proofErr w:type="spellEnd"/>
      <w:r>
        <w:rPr>
          <w:rFonts w:ascii="Book Antiqua" w:eastAsia="Times New Roman" w:hAnsi="Book Antiqua"/>
          <w:color w:val="000000" w:themeColor="text1"/>
          <w:sz w:val="24"/>
          <w:szCs w:val="24"/>
        </w:rPr>
        <w:t xml:space="preserve"> mRNA and protein in 1</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control group</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2</w:t>
      </w:r>
      <w:r>
        <w:rPr>
          <w:rFonts w:ascii="Book Antiqua" w:eastAsia="宋体" w:hAnsi="Book Antiqua"/>
          <w:color w:val="000000" w:themeColor="text1"/>
          <w:sz w:val="24"/>
          <w:szCs w:val="24"/>
        </w:rPr>
        <w:t>: water avoidance stress</w:t>
      </w:r>
      <w:r>
        <w:rPr>
          <w:rFonts w:ascii="Book Antiqua" w:eastAsia="Times New Roman" w:hAnsi="Book Antiqua"/>
          <w:color w:val="000000" w:themeColor="text1"/>
          <w:sz w:val="24"/>
          <w:szCs w:val="24"/>
        </w:rPr>
        <w:t xml:space="preserve"> (WAS) group</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3</w:t>
      </w:r>
      <w:r>
        <w:rPr>
          <w:rFonts w:ascii="Book Antiqua" w:eastAsia="宋体" w:hAnsi="Book Antiqua"/>
          <w:color w:val="000000" w:themeColor="text1"/>
          <w:sz w:val="24"/>
          <w:szCs w:val="24"/>
        </w:rPr>
        <w:t xml:space="preserve">: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group</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4</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(BBR) group</w:t>
      </w:r>
      <w:r>
        <w:rPr>
          <w:rFonts w:ascii="Book Antiqua" w:eastAsia="宋体" w:hAnsi="Book Antiqua"/>
          <w:color w:val="000000" w:themeColor="text1"/>
          <w:sz w:val="24"/>
          <w:szCs w:val="24"/>
        </w:rPr>
        <w:t xml:space="preserve">; and </w:t>
      </w:r>
      <w:r>
        <w:rPr>
          <w:rFonts w:ascii="Book Antiqua" w:eastAsia="Times New Roman" w:hAnsi="Book Antiqua"/>
          <w:color w:val="000000" w:themeColor="text1"/>
          <w:sz w:val="24"/>
          <w:szCs w:val="24"/>
        </w:rPr>
        <w:t>5</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100</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BBR group. Letters a, b, and c: </w:t>
      </w:r>
      <w:r>
        <w:rPr>
          <w:rFonts w:ascii="Book Antiqua" w:eastAsiaTheme="minorEastAsia" w:hAnsi="Book Antiqua"/>
          <w:i/>
          <w:iCs/>
          <w:color w:val="000000" w:themeColor="text1"/>
          <w:sz w:val="24"/>
          <w:szCs w:val="24"/>
        </w:rPr>
        <w:t>P</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&lt; 0.05 compared with those in the control group, WAS group, and 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BBR group, respectively. </w:t>
      </w:r>
      <w:r>
        <w:rPr>
          <w:rFonts w:ascii="Book Antiqua" w:eastAsia="Times New Roman" w:hAnsi="Book Antiqua"/>
          <w:color w:val="000000" w:themeColor="text1"/>
          <w:sz w:val="24"/>
          <w:szCs w:val="24"/>
        </w:rPr>
        <w:lastRenderedPageBreak/>
        <w:t xml:space="preserve">BDNF: Brain derived neurotrophic factor; </w:t>
      </w:r>
      <w:r>
        <w:rPr>
          <w:rFonts w:ascii="Book Antiqua" w:eastAsia="宋体" w:hAnsi="Book Antiqua"/>
          <w:bCs/>
          <w:color w:val="000000" w:themeColor="text1"/>
          <w:sz w:val="24"/>
          <w:szCs w:val="24"/>
        </w:rPr>
        <w:t xml:space="preserve">WAS: </w:t>
      </w:r>
      <w:r>
        <w:rPr>
          <w:rFonts w:ascii="Book Antiqua" w:eastAsia="宋体" w:hAnsi="Book Antiqua"/>
          <w:color w:val="000000" w:themeColor="text1"/>
          <w:sz w:val="24"/>
          <w:szCs w:val="24"/>
        </w:rPr>
        <w:t xml:space="preserve">Water avoidance stress; BBR: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w:t>
      </w:r>
    </w:p>
    <w:p w:rsidR="00EF7033" w:rsidRDefault="0035424A">
      <w:pPr>
        <w:widowControl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br w:type="page"/>
      </w:r>
    </w:p>
    <w:p w:rsidR="00EF7033" w:rsidRDefault="0035424A">
      <w:pPr>
        <w:widowControl w:val="0"/>
        <w:kinsoku w:val="0"/>
        <w:overflowPunct w:val="0"/>
        <w:autoSpaceDE w:val="0"/>
        <w:autoSpaceDN w:val="0"/>
        <w:spacing w:line="360" w:lineRule="auto"/>
        <w:ind w:firstLine="420"/>
        <w:rPr>
          <w:rFonts w:ascii="Book Antiqua" w:eastAsia="Times New Roman" w:hAnsi="Book Antiqua"/>
          <w:color w:val="000000" w:themeColor="text1"/>
          <w:sz w:val="24"/>
          <w:szCs w:val="24"/>
        </w:rPr>
      </w:pPr>
      <w:r>
        <w:rPr>
          <w:rFonts w:ascii="Book Antiqua" w:hAnsi="Book Antiqua"/>
          <w:noProof/>
          <w:color w:val="000000" w:themeColor="text1"/>
          <w:sz w:val="24"/>
          <w:szCs w:val="24"/>
        </w:rPr>
        <w:lastRenderedPageBreak/>
        <w:drawing>
          <wp:inline distT="0" distB="0" distL="0" distR="0">
            <wp:extent cx="4264025" cy="1113155"/>
            <wp:effectExtent l="0" t="0" r="3175" b="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4312152" cy="1125602"/>
                    </a:xfrm>
                    <a:prstGeom prst="rect">
                      <a:avLst/>
                    </a:prstGeom>
                    <a:noFill/>
                    <a:ln cap="flat">
                      <a:noFill/>
                    </a:ln>
                  </pic:spPr>
                </pic:pic>
              </a:graphicData>
            </a:graphic>
          </wp:inline>
        </w:drawing>
      </w:r>
    </w:p>
    <w:p w:rsidR="00EF7033" w:rsidRDefault="0035424A">
      <w:pPr>
        <w:widowControl w:val="0"/>
        <w:kinsoku w:val="0"/>
        <w:overflowPunct w:val="0"/>
        <w:autoSpaceDE w:val="0"/>
        <w:autoSpaceDN w:val="0"/>
        <w:spacing w:line="360" w:lineRule="auto"/>
        <w:ind w:firstLine="420"/>
        <w:rPr>
          <w:rFonts w:ascii="Book Antiqua" w:eastAsia="Times New Roman" w:hAnsi="Book Antiqua"/>
          <w:color w:val="000000" w:themeColor="text1"/>
          <w:sz w:val="24"/>
          <w:szCs w:val="24"/>
        </w:rPr>
      </w:pPr>
      <w:r>
        <w:rPr>
          <w:rFonts w:ascii="Book Antiqua" w:hAnsi="Book Antiqua"/>
          <w:noProof/>
          <w:color w:val="000000" w:themeColor="text1"/>
          <w:sz w:val="24"/>
          <w:szCs w:val="24"/>
        </w:rPr>
        <w:drawing>
          <wp:inline distT="0" distB="0" distL="0" distR="0">
            <wp:extent cx="4206240" cy="2607945"/>
            <wp:effectExtent l="0" t="0" r="3810" b="1905"/>
            <wp:docPr id="4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F7033" w:rsidRDefault="0035424A">
      <w:pPr>
        <w:widowControl w:val="0"/>
        <w:kinsoku w:val="0"/>
        <w:overflowPunct w:val="0"/>
        <w:autoSpaceDE w:val="0"/>
        <w:autoSpaceDN w:val="0"/>
        <w:spacing w:line="360" w:lineRule="auto"/>
        <w:ind w:firstLine="420"/>
        <w:rPr>
          <w:rFonts w:ascii="Book Antiqua" w:eastAsia="Times New Roman" w:hAnsi="Book Antiqua"/>
          <w:color w:val="000000" w:themeColor="text1"/>
          <w:sz w:val="24"/>
          <w:szCs w:val="24"/>
        </w:rPr>
      </w:pPr>
      <w:r>
        <w:rPr>
          <w:rFonts w:ascii="Book Antiqua" w:hAnsi="Book Antiqua"/>
          <w:noProof/>
          <w:color w:val="000000" w:themeColor="text1"/>
          <w:sz w:val="24"/>
          <w:szCs w:val="24"/>
        </w:rPr>
        <w:drawing>
          <wp:inline distT="0" distB="0" distL="0" distR="0">
            <wp:extent cx="4142105" cy="2178050"/>
            <wp:effectExtent l="0" t="0" r="10795" b="12700"/>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F7033" w:rsidRDefault="0035424A">
      <w:pPr>
        <w:widowControl w:val="0"/>
        <w:kinsoku w:val="0"/>
        <w:overflowPunct w:val="0"/>
        <w:autoSpaceDE w:val="0"/>
        <w:autoSpaceDN w:val="0"/>
        <w:spacing w:line="360" w:lineRule="auto"/>
        <w:rPr>
          <w:rFonts w:ascii="Book Antiqua" w:hAnsi="Book Antiqua"/>
          <w:b/>
          <w:color w:val="000000" w:themeColor="text1"/>
          <w:sz w:val="24"/>
          <w:szCs w:val="24"/>
        </w:rPr>
      </w:pPr>
      <w:bookmarkStart w:id="134" w:name="OLE_LINK15"/>
      <w:r>
        <w:rPr>
          <w:rFonts w:ascii="Book Antiqua" w:eastAsia="Times New Roman" w:hAnsi="Book Antiqua"/>
          <w:b/>
          <w:color w:val="000000" w:themeColor="text1"/>
          <w:sz w:val="24"/>
          <w:szCs w:val="24"/>
        </w:rPr>
        <w:t xml:space="preserve">Figure 9 Effects of </w:t>
      </w:r>
      <w:proofErr w:type="spellStart"/>
      <w:r>
        <w:rPr>
          <w:rFonts w:ascii="Book Antiqua" w:eastAsia="Times New Roman" w:hAnsi="Book Antiqua"/>
          <w:b/>
          <w:color w:val="000000" w:themeColor="text1"/>
          <w:sz w:val="24"/>
          <w:szCs w:val="24"/>
        </w:rPr>
        <w:t>berberine</w:t>
      </w:r>
      <w:proofErr w:type="spellEnd"/>
      <w:r>
        <w:rPr>
          <w:rFonts w:ascii="Book Antiqua" w:eastAsia="Times New Roman" w:hAnsi="Book Antiqua"/>
          <w:b/>
          <w:color w:val="000000" w:themeColor="text1"/>
          <w:sz w:val="24"/>
          <w:szCs w:val="24"/>
        </w:rPr>
        <w:t xml:space="preserve"> on C-kit mRNA and protein expression</w:t>
      </w:r>
      <w:r>
        <w:rPr>
          <w:rFonts w:ascii="Book Antiqua" w:eastAsiaTheme="minorEastAsia" w:hAnsi="Book Antiqua"/>
          <w:b/>
          <w:color w:val="000000" w:themeColor="text1"/>
          <w:sz w:val="24"/>
          <w:szCs w:val="24"/>
        </w:rPr>
        <w:t>.</w:t>
      </w:r>
      <w:r>
        <w:rPr>
          <w:rFonts w:ascii="Book Antiqua" w:hAnsi="Book Antiqua" w:hint="eastAsia"/>
          <w:b/>
          <w:color w:val="000000" w:themeColor="text1"/>
          <w:sz w:val="24"/>
          <w:szCs w:val="24"/>
        </w:rPr>
        <w:t xml:space="preserve"> </w:t>
      </w:r>
      <w:r>
        <w:rPr>
          <w:rFonts w:ascii="Book Antiqua" w:eastAsia="Times New Roman" w:hAnsi="Book Antiqua"/>
          <w:color w:val="000000" w:themeColor="text1"/>
          <w:sz w:val="24"/>
          <w:szCs w:val="24"/>
        </w:rPr>
        <w:t>Expression of C-kit mRNA and protein in 1</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control group</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2</w:t>
      </w:r>
      <w:r>
        <w:rPr>
          <w:rFonts w:ascii="Book Antiqua" w:eastAsia="宋体" w:hAnsi="Book Antiqua"/>
          <w:color w:val="000000" w:themeColor="text1"/>
          <w:sz w:val="24"/>
          <w:szCs w:val="24"/>
        </w:rPr>
        <w:t>: water avoidance stress</w:t>
      </w:r>
      <w:r>
        <w:rPr>
          <w:rFonts w:ascii="Book Antiqua" w:eastAsia="Times New Roman" w:hAnsi="Book Antiqua"/>
          <w:color w:val="000000" w:themeColor="text1"/>
          <w:sz w:val="24"/>
          <w:szCs w:val="24"/>
        </w:rPr>
        <w:t xml:space="preserve"> (WAS) group</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3</w:t>
      </w:r>
      <w:r>
        <w:rPr>
          <w:rFonts w:ascii="Book Antiqua" w:eastAsia="宋体" w:hAnsi="Book Antiqua"/>
          <w:color w:val="000000" w:themeColor="text1"/>
          <w:sz w:val="24"/>
          <w:szCs w:val="24"/>
        </w:rPr>
        <w:t xml:space="preserve">: </w:t>
      </w:r>
      <w:proofErr w:type="spellStart"/>
      <w:r>
        <w:rPr>
          <w:rFonts w:ascii="Book Antiqua" w:eastAsia="Times New Roman" w:hAnsi="Book Antiqua"/>
          <w:color w:val="000000" w:themeColor="text1"/>
          <w:sz w:val="24"/>
          <w:szCs w:val="24"/>
        </w:rPr>
        <w:t>rifaximin</w:t>
      </w:r>
      <w:proofErr w:type="spellEnd"/>
      <w:r>
        <w:rPr>
          <w:rFonts w:ascii="Book Antiqua" w:eastAsia="Times New Roman" w:hAnsi="Book Antiqua"/>
          <w:color w:val="000000" w:themeColor="text1"/>
          <w:sz w:val="24"/>
          <w:szCs w:val="24"/>
        </w:rPr>
        <w:t xml:space="preserve"> group</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4</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 xml:space="preserve"> (BBR) group</w:t>
      </w:r>
      <w:r>
        <w:rPr>
          <w:rFonts w:ascii="Book Antiqua" w:eastAsia="宋体" w:hAnsi="Book Antiqua"/>
          <w:color w:val="000000" w:themeColor="text1"/>
          <w:sz w:val="24"/>
          <w:szCs w:val="24"/>
        </w:rPr>
        <w:t xml:space="preserve">; and </w:t>
      </w:r>
      <w:r>
        <w:rPr>
          <w:rFonts w:ascii="Book Antiqua" w:eastAsia="Times New Roman" w:hAnsi="Book Antiqua"/>
          <w:color w:val="000000" w:themeColor="text1"/>
          <w:sz w:val="24"/>
          <w:szCs w:val="24"/>
        </w:rPr>
        <w:t>5</w:t>
      </w:r>
      <w:r>
        <w:rPr>
          <w:rFonts w:ascii="Book Antiqua" w:eastAsia="宋体" w:hAnsi="Book Antiqua"/>
          <w:color w:val="000000" w:themeColor="text1"/>
          <w:sz w:val="24"/>
          <w:szCs w:val="24"/>
        </w:rPr>
        <w:t xml:space="preserve">: </w:t>
      </w:r>
      <w:r>
        <w:rPr>
          <w:rFonts w:ascii="Book Antiqua" w:eastAsia="Times New Roman" w:hAnsi="Book Antiqua"/>
          <w:color w:val="000000" w:themeColor="text1"/>
          <w:sz w:val="24"/>
          <w:szCs w:val="24"/>
        </w:rPr>
        <w:t>100</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BBR group. Letters a, b, and c: </w:t>
      </w:r>
      <w:r>
        <w:rPr>
          <w:rFonts w:ascii="Book Antiqua" w:eastAsiaTheme="minorEastAsia" w:hAnsi="Book Antiqua"/>
          <w:i/>
          <w:color w:val="000000" w:themeColor="text1"/>
          <w:sz w:val="24"/>
          <w:szCs w:val="24"/>
        </w:rPr>
        <w:t>P</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&lt; 0.05 compared with those in the control group, WAS group, and 25</w:t>
      </w:r>
      <w:r>
        <w:rPr>
          <w:rFonts w:ascii="Book Antiqua" w:eastAsiaTheme="minorEastAsia" w:hAnsi="Book Antiqua"/>
          <w:color w:val="000000" w:themeColor="text1"/>
          <w:sz w:val="24"/>
          <w:szCs w:val="24"/>
        </w:rPr>
        <w:t xml:space="preserve"> </w:t>
      </w:r>
      <w:r>
        <w:rPr>
          <w:rFonts w:ascii="Book Antiqua" w:eastAsia="Times New Roman" w:hAnsi="Book Antiqua"/>
          <w:color w:val="000000" w:themeColor="text1"/>
          <w:sz w:val="24"/>
          <w:szCs w:val="24"/>
        </w:rPr>
        <w:t xml:space="preserve">mg/kg BBR group, respectively. </w:t>
      </w:r>
      <w:r>
        <w:rPr>
          <w:rFonts w:ascii="Book Antiqua" w:eastAsia="宋体" w:hAnsi="Book Antiqua"/>
          <w:bCs/>
          <w:color w:val="000000" w:themeColor="text1"/>
          <w:sz w:val="24"/>
          <w:szCs w:val="24"/>
        </w:rPr>
        <w:t xml:space="preserve">WAS: </w:t>
      </w:r>
      <w:r>
        <w:rPr>
          <w:rFonts w:ascii="Book Antiqua" w:eastAsia="宋体" w:hAnsi="Book Antiqua"/>
          <w:color w:val="000000" w:themeColor="text1"/>
          <w:sz w:val="24"/>
          <w:szCs w:val="24"/>
        </w:rPr>
        <w:t xml:space="preserve">Water avoidance stress; BBR: </w:t>
      </w:r>
      <w:proofErr w:type="spellStart"/>
      <w:r>
        <w:rPr>
          <w:rFonts w:ascii="Book Antiqua" w:eastAsia="Times New Roman" w:hAnsi="Book Antiqua"/>
          <w:color w:val="000000" w:themeColor="text1"/>
          <w:sz w:val="24"/>
          <w:szCs w:val="24"/>
        </w:rPr>
        <w:t>Berberine</w:t>
      </w:r>
      <w:proofErr w:type="spellEnd"/>
      <w:r>
        <w:rPr>
          <w:rFonts w:ascii="Book Antiqua" w:eastAsia="Times New Roman" w:hAnsi="Book Antiqua"/>
          <w:color w:val="000000" w:themeColor="text1"/>
          <w:sz w:val="24"/>
          <w:szCs w:val="24"/>
        </w:rPr>
        <w:t>.</w:t>
      </w:r>
      <w:bookmarkEnd w:id="134"/>
    </w:p>
    <w:p w:rsidR="00EF7033" w:rsidRDefault="0035424A">
      <w:pPr>
        <w:jc w:val="left"/>
        <w:rPr>
          <w:rFonts w:ascii="Book Antiqua" w:hAnsi="Book Antiqua"/>
          <w:color w:val="000000" w:themeColor="text1"/>
          <w:sz w:val="24"/>
          <w:szCs w:val="24"/>
        </w:rPr>
      </w:pPr>
      <w:r>
        <w:rPr>
          <w:rFonts w:ascii="Book Antiqua" w:hAnsi="Book Antiqua"/>
          <w:color w:val="000000" w:themeColor="text1"/>
          <w:sz w:val="24"/>
          <w:szCs w:val="24"/>
        </w:rPr>
        <w:br w:type="page"/>
      </w:r>
    </w:p>
    <w:p w:rsidR="00EF7033" w:rsidRDefault="00EF7033">
      <w:pPr>
        <w:widowControl w:val="0"/>
        <w:kinsoku w:val="0"/>
        <w:overflowPunct w:val="0"/>
        <w:autoSpaceDE w:val="0"/>
        <w:autoSpaceDN w:val="0"/>
        <w:spacing w:line="360" w:lineRule="auto"/>
        <w:rPr>
          <w:rFonts w:ascii="Book Antiqua" w:hAnsi="Book Antiqua"/>
          <w:color w:val="000000" w:themeColor="text1"/>
          <w:sz w:val="24"/>
          <w:szCs w:val="24"/>
        </w:rPr>
        <w:sectPr w:rsidR="00EF7033">
          <w:footerReference w:type="default" r:id="rId62"/>
          <w:pgSz w:w="11906" w:h="16838"/>
          <w:pgMar w:top="1440" w:right="1800" w:bottom="1440" w:left="1800" w:header="851" w:footer="992" w:gutter="0"/>
          <w:cols w:space="720"/>
          <w:docGrid w:type="lines" w:linePitch="312"/>
        </w:sectPr>
      </w:pPr>
    </w:p>
    <w:p w:rsidR="00EF7033" w:rsidRDefault="0035424A">
      <w:pPr>
        <w:widowControl w:val="0"/>
        <w:kinsoku w:val="0"/>
        <w:overflowPunct w:val="0"/>
        <w:autoSpaceDE w:val="0"/>
        <w:autoSpaceDN w:val="0"/>
        <w:spacing w:line="360" w:lineRule="auto"/>
        <w:rPr>
          <w:rFonts w:ascii="Book Antiqua" w:hAnsi="Book Antiqua"/>
          <w:color w:val="000000" w:themeColor="text1"/>
          <w:sz w:val="24"/>
          <w:szCs w:val="24"/>
        </w:rPr>
      </w:pPr>
      <w:r>
        <w:rPr>
          <w:rFonts w:ascii="Book Antiqua" w:hAnsi="Book Antiqua"/>
          <w:noProof/>
          <w:color w:val="000000" w:themeColor="text1"/>
          <w:sz w:val="24"/>
          <w:szCs w:val="24"/>
        </w:rPr>
        <w:lastRenderedPageBreak/>
        <w:drawing>
          <wp:inline distT="0" distB="0" distL="0" distR="0">
            <wp:extent cx="7770495" cy="4245610"/>
            <wp:effectExtent l="0" t="0" r="190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7842160" cy="4284946"/>
                    </a:xfrm>
                    <a:prstGeom prst="rect">
                      <a:avLst/>
                    </a:prstGeom>
                    <a:noFill/>
                    <a:ln>
                      <a:noFill/>
                    </a:ln>
                  </pic:spPr>
                </pic:pic>
              </a:graphicData>
            </a:graphic>
          </wp:inline>
        </w:drawing>
      </w:r>
    </w:p>
    <w:p w:rsidR="00EF7033" w:rsidRDefault="0035424A">
      <w:pPr>
        <w:widowControl w:val="0"/>
        <w:kinsoku w:val="0"/>
        <w:overflowPunct w:val="0"/>
        <w:autoSpaceDE w:val="0"/>
        <w:autoSpaceDN w:val="0"/>
        <w:spacing w:line="360" w:lineRule="auto"/>
        <w:rPr>
          <w:rFonts w:ascii="Book Antiqua" w:hAnsi="Book Antiqua"/>
          <w:color w:val="000000" w:themeColor="text1"/>
          <w:sz w:val="24"/>
          <w:szCs w:val="24"/>
        </w:rPr>
      </w:pPr>
      <w:r>
        <w:rPr>
          <w:rFonts w:ascii="Book Antiqua" w:hAnsi="Book Antiqua"/>
          <w:b/>
          <w:bCs/>
          <w:color w:val="000000" w:themeColor="text1"/>
          <w:sz w:val="24"/>
          <w:szCs w:val="24"/>
        </w:rPr>
        <w:t xml:space="preserve">Figure 10 Relationship </w:t>
      </w:r>
      <w:r w:rsidR="009F0821">
        <w:rPr>
          <w:rFonts w:ascii="Book Antiqua" w:hAnsi="Book Antiqua"/>
          <w:b/>
          <w:bCs/>
          <w:color w:val="000000" w:themeColor="text1"/>
          <w:sz w:val="24"/>
          <w:szCs w:val="24"/>
        </w:rPr>
        <w:t>among</w:t>
      </w:r>
      <w:r>
        <w:rPr>
          <w:rFonts w:ascii="Book Antiqua" w:hAnsi="Book Antiqua"/>
          <w:b/>
          <w:bCs/>
          <w:color w:val="000000" w:themeColor="text1"/>
          <w:sz w:val="24"/>
          <w:szCs w:val="24"/>
        </w:rPr>
        <w:t xml:space="preserve"> NF-kB signaling, </w:t>
      </w:r>
      <w:r>
        <w:rPr>
          <w:rFonts w:ascii="Book Antiqua" w:eastAsia="Times New Roman" w:hAnsi="Book Antiqua"/>
          <w:b/>
          <w:bCs/>
          <w:color w:val="000000" w:themeColor="text1"/>
          <w:sz w:val="24"/>
          <w:szCs w:val="24"/>
        </w:rPr>
        <w:t>brain derived neurotrophic factor</w:t>
      </w:r>
      <w:r>
        <w:rPr>
          <w:rFonts w:ascii="Book Antiqua" w:hAnsi="Book Antiqua"/>
          <w:b/>
          <w:bCs/>
          <w:color w:val="000000" w:themeColor="text1"/>
          <w:sz w:val="24"/>
          <w:szCs w:val="24"/>
        </w:rPr>
        <w:t xml:space="preserve">, and C-kit and the underlying role of </w:t>
      </w:r>
      <w:proofErr w:type="spellStart"/>
      <w:r>
        <w:rPr>
          <w:rFonts w:ascii="Book Antiqua" w:hAnsi="Book Antiqua"/>
          <w:b/>
          <w:bCs/>
          <w:color w:val="000000" w:themeColor="text1"/>
          <w:sz w:val="24"/>
          <w:szCs w:val="24"/>
        </w:rPr>
        <w:t>berberine</w:t>
      </w:r>
      <w:proofErr w:type="spellEnd"/>
      <w:r>
        <w:rPr>
          <w:rFonts w:ascii="Book Antiqua" w:hAnsi="Book Antiqua"/>
          <w:b/>
          <w:bCs/>
          <w:color w:val="000000" w:themeColor="text1"/>
          <w:sz w:val="24"/>
          <w:szCs w:val="24"/>
        </w:rPr>
        <w:t xml:space="preserve">. </w:t>
      </w:r>
      <w:r>
        <w:rPr>
          <w:rFonts w:ascii="Book Antiqua" w:hAnsi="Book Antiqua"/>
          <w:color w:val="000000" w:themeColor="text1"/>
          <w:sz w:val="24"/>
          <w:szCs w:val="24"/>
        </w:rPr>
        <w:t xml:space="preserve">IBS: </w:t>
      </w:r>
      <w:r>
        <w:rPr>
          <w:rFonts w:ascii="Book Antiqua" w:eastAsia="Times New Roman" w:hAnsi="Book Antiqua"/>
          <w:color w:val="000000" w:themeColor="text1"/>
          <w:sz w:val="24"/>
          <w:szCs w:val="24"/>
        </w:rPr>
        <w:t xml:space="preserve">Irritable bowel syndrome; </w:t>
      </w:r>
      <w:r>
        <w:rPr>
          <w:rFonts w:ascii="Book Antiqua" w:hAnsi="Book Antiqua"/>
          <w:color w:val="000000" w:themeColor="text1"/>
          <w:sz w:val="24"/>
          <w:szCs w:val="24"/>
        </w:rPr>
        <w:t xml:space="preserve">BDNF: </w:t>
      </w:r>
      <w:r>
        <w:rPr>
          <w:rFonts w:ascii="Book Antiqua" w:eastAsia="Times New Roman" w:hAnsi="Book Antiqua"/>
          <w:color w:val="000000" w:themeColor="text1"/>
          <w:sz w:val="24"/>
          <w:szCs w:val="24"/>
        </w:rPr>
        <w:t>Brain derived neurotrophic factor; SCF: Stem cell factor.</w:t>
      </w:r>
    </w:p>
    <w:p w:rsidR="00EF7033" w:rsidRDefault="0035424A">
      <w:pPr>
        <w:jc w:val="left"/>
        <w:rPr>
          <w:rFonts w:ascii="Book Antiqua" w:hAnsi="Book Antiqua"/>
          <w:color w:val="000000" w:themeColor="text1"/>
          <w:sz w:val="24"/>
          <w:szCs w:val="24"/>
        </w:rPr>
        <w:sectPr w:rsidR="00EF7033">
          <w:pgSz w:w="15309" w:h="16840"/>
          <w:pgMar w:top="1440" w:right="3646" w:bottom="1440" w:left="1797" w:header="851" w:footer="992" w:gutter="0"/>
          <w:cols w:space="720"/>
          <w:docGrid w:type="linesAndChars" w:linePitch="312"/>
        </w:sectPr>
      </w:pPr>
      <w:r>
        <w:rPr>
          <w:rFonts w:ascii="Book Antiqua" w:hAnsi="Book Antiqua"/>
          <w:color w:val="000000" w:themeColor="text1"/>
          <w:sz w:val="24"/>
          <w:szCs w:val="24"/>
        </w:rPr>
        <w:br w:type="page"/>
      </w:r>
    </w:p>
    <w:p w:rsidR="00EF7033" w:rsidRDefault="0035424A">
      <w:pPr>
        <w:widowControl w:val="0"/>
        <w:kinsoku w:val="0"/>
        <w:overflowPunct w:val="0"/>
        <w:autoSpaceDE w:val="0"/>
        <w:autoSpaceDN w:val="0"/>
        <w:spacing w:line="360" w:lineRule="auto"/>
        <w:ind w:firstLine="105"/>
        <w:rPr>
          <w:rFonts w:ascii="Book Antiqua" w:eastAsia="Times New Roman" w:hAnsi="Book Antiqua"/>
          <w:b/>
          <w:color w:val="000000" w:themeColor="text1"/>
          <w:sz w:val="24"/>
          <w:szCs w:val="24"/>
        </w:rPr>
      </w:pPr>
      <w:r>
        <w:rPr>
          <w:rFonts w:ascii="Book Antiqua" w:eastAsia="Times New Roman" w:hAnsi="Book Antiqua"/>
          <w:b/>
          <w:color w:val="000000" w:themeColor="text1"/>
          <w:sz w:val="24"/>
          <w:szCs w:val="24"/>
        </w:rPr>
        <w:lastRenderedPageBreak/>
        <w:t>Table</w:t>
      </w:r>
      <w:r>
        <w:rPr>
          <w:rFonts w:ascii="Book Antiqua" w:hAnsi="Book Antiqua"/>
          <w:b/>
          <w:color w:val="000000" w:themeColor="text1"/>
          <w:sz w:val="24"/>
          <w:szCs w:val="24"/>
        </w:rPr>
        <w:t xml:space="preserve"> </w:t>
      </w:r>
      <w:r>
        <w:rPr>
          <w:rFonts w:ascii="Book Antiqua" w:eastAsia="Times New Roman" w:hAnsi="Book Antiqua"/>
          <w:b/>
          <w:color w:val="000000" w:themeColor="text1"/>
          <w:sz w:val="24"/>
          <w:szCs w:val="24"/>
        </w:rPr>
        <w:t>1</w:t>
      </w:r>
      <w:r>
        <w:rPr>
          <w:rFonts w:ascii="Book Antiqua" w:hAnsi="Book Antiqua"/>
          <w:b/>
          <w:color w:val="000000" w:themeColor="text1"/>
          <w:sz w:val="24"/>
          <w:szCs w:val="24"/>
        </w:rPr>
        <w:t xml:space="preserve"> </w:t>
      </w:r>
      <w:r w:rsidR="009F0821">
        <w:rPr>
          <w:rFonts w:ascii="Book Antiqua" w:hAnsi="Book Antiqua"/>
          <w:b/>
          <w:color w:val="000000" w:themeColor="text1"/>
          <w:sz w:val="24"/>
          <w:szCs w:val="24"/>
        </w:rPr>
        <w:t xml:space="preserve">Sequences of </w:t>
      </w:r>
      <w:r w:rsidR="009F0821">
        <w:rPr>
          <w:rFonts w:ascii="Book Antiqua" w:eastAsia="Times New Roman" w:hAnsi="Book Antiqua"/>
          <w:b/>
          <w:color w:val="000000" w:themeColor="text1"/>
          <w:sz w:val="24"/>
          <w:szCs w:val="24"/>
        </w:rPr>
        <w:t>p</w:t>
      </w:r>
      <w:r>
        <w:rPr>
          <w:rFonts w:ascii="Book Antiqua" w:eastAsia="Times New Roman" w:hAnsi="Book Antiqua"/>
          <w:b/>
          <w:color w:val="000000" w:themeColor="text1"/>
          <w:sz w:val="24"/>
          <w:szCs w:val="24"/>
        </w:rPr>
        <w:t>rimer</w:t>
      </w:r>
      <w:r w:rsidR="009F0821">
        <w:rPr>
          <w:rFonts w:ascii="Book Antiqua" w:eastAsia="Times New Roman" w:hAnsi="Book Antiqua"/>
          <w:b/>
          <w:color w:val="000000" w:themeColor="text1"/>
          <w:sz w:val="24"/>
          <w:szCs w:val="24"/>
        </w:rPr>
        <w:t>s used</w:t>
      </w:r>
      <w:r>
        <w:rPr>
          <w:rFonts w:ascii="Book Antiqua" w:eastAsia="Times New Roman" w:hAnsi="Book Antiqua"/>
          <w:b/>
          <w:color w:val="000000" w:themeColor="text1"/>
          <w:sz w:val="24"/>
          <w:szCs w:val="24"/>
        </w:rPr>
        <w:t xml:space="preserve"> for </w:t>
      </w:r>
      <w:proofErr w:type="spellStart"/>
      <w:r>
        <w:rPr>
          <w:rFonts w:ascii="Book Antiqua" w:eastAsia="Times New Roman" w:hAnsi="Book Antiqua"/>
          <w:b/>
          <w:color w:val="000000" w:themeColor="text1"/>
          <w:sz w:val="24"/>
          <w:szCs w:val="24"/>
        </w:rPr>
        <w:t>qRT</w:t>
      </w:r>
      <w:proofErr w:type="spellEnd"/>
      <w:r>
        <w:rPr>
          <w:rFonts w:ascii="Book Antiqua" w:eastAsia="Times New Roman" w:hAnsi="Book Antiqua"/>
          <w:b/>
          <w:color w:val="000000" w:themeColor="text1"/>
          <w:sz w:val="24"/>
          <w:szCs w:val="24"/>
        </w:rPr>
        <w:t>-PCR</w:t>
      </w:r>
    </w:p>
    <w:tbl>
      <w:tblPr>
        <w:tblStyle w:val="ac"/>
        <w:tblW w:w="12500" w:type="dxa"/>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1757"/>
        <w:gridCol w:w="5239"/>
        <w:gridCol w:w="4746"/>
        <w:gridCol w:w="758"/>
      </w:tblGrid>
      <w:tr w:rsidR="00EF7033">
        <w:trPr>
          <w:gridAfter w:val="1"/>
          <w:wAfter w:w="758" w:type="dxa"/>
          <w:trHeight w:val="433"/>
        </w:trPr>
        <w:tc>
          <w:tcPr>
            <w:tcW w:w="1757" w:type="dxa"/>
            <w:tcBorders>
              <w:top w:val="single" w:sz="4" w:space="0" w:color="auto"/>
              <w:bottom w:val="single" w:sz="4" w:space="0" w:color="auto"/>
            </w:tcBorders>
          </w:tcPr>
          <w:p w:rsidR="00EF7033" w:rsidRDefault="0035424A">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Pr>
                <w:rFonts w:ascii="Book Antiqua" w:eastAsia="Times New Roman" w:hAnsi="Book Antiqua"/>
                <w:b/>
                <w:color w:val="000000" w:themeColor="text1"/>
                <w:sz w:val="24"/>
                <w:szCs w:val="24"/>
              </w:rPr>
              <w:t>Gene</w:t>
            </w:r>
          </w:p>
        </w:tc>
        <w:tc>
          <w:tcPr>
            <w:tcW w:w="5239" w:type="dxa"/>
            <w:tcBorders>
              <w:top w:val="single" w:sz="4" w:space="0" w:color="auto"/>
              <w:bottom w:val="single" w:sz="4" w:space="0" w:color="auto"/>
            </w:tcBorders>
          </w:tcPr>
          <w:p w:rsidR="00EF7033" w:rsidRDefault="0035424A">
            <w:pPr>
              <w:widowControl w:val="0"/>
              <w:kinsoku w:val="0"/>
              <w:overflowPunct w:val="0"/>
              <w:autoSpaceDE w:val="0"/>
              <w:autoSpaceDN w:val="0"/>
              <w:spacing w:line="360" w:lineRule="auto"/>
              <w:rPr>
                <w:rFonts w:ascii="Book Antiqua" w:eastAsia="Times New Roman" w:hAnsi="Book Antiqua"/>
                <w:b/>
                <w:color w:val="000000" w:themeColor="text1"/>
                <w:sz w:val="24"/>
                <w:szCs w:val="24"/>
              </w:rPr>
            </w:pPr>
            <w:r>
              <w:rPr>
                <w:rFonts w:ascii="Book Antiqua" w:eastAsia="Times New Roman" w:hAnsi="Book Antiqua"/>
                <w:b/>
                <w:color w:val="000000" w:themeColor="text1"/>
                <w:sz w:val="24"/>
                <w:szCs w:val="24"/>
              </w:rPr>
              <w:t>Forward sequence</w:t>
            </w:r>
          </w:p>
        </w:tc>
        <w:tc>
          <w:tcPr>
            <w:tcW w:w="4746" w:type="dxa"/>
            <w:tcBorders>
              <w:top w:val="single" w:sz="4" w:space="0" w:color="auto"/>
              <w:bottom w:val="single" w:sz="4" w:space="0" w:color="auto"/>
            </w:tcBorders>
          </w:tcPr>
          <w:p w:rsidR="00EF7033" w:rsidRDefault="0035424A">
            <w:pPr>
              <w:widowControl w:val="0"/>
              <w:kinsoku w:val="0"/>
              <w:overflowPunct w:val="0"/>
              <w:autoSpaceDE w:val="0"/>
              <w:autoSpaceDN w:val="0"/>
              <w:spacing w:line="360" w:lineRule="auto"/>
              <w:ind w:firstLine="1050"/>
              <w:rPr>
                <w:rFonts w:ascii="Book Antiqua" w:eastAsia="Times New Roman" w:hAnsi="Book Antiqua"/>
                <w:b/>
                <w:color w:val="000000" w:themeColor="text1"/>
                <w:sz w:val="24"/>
                <w:szCs w:val="24"/>
              </w:rPr>
            </w:pPr>
            <w:r>
              <w:rPr>
                <w:rFonts w:ascii="Book Antiqua" w:eastAsia="Times New Roman" w:hAnsi="Book Antiqua"/>
                <w:b/>
                <w:color w:val="000000" w:themeColor="text1"/>
                <w:sz w:val="24"/>
                <w:szCs w:val="24"/>
              </w:rPr>
              <w:t>Reverse sequence</w:t>
            </w:r>
          </w:p>
        </w:tc>
      </w:tr>
      <w:tr w:rsidR="00EF7033">
        <w:trPr>
          <w:trHeight w:val="433"/>
        </w:trPr>
        <w:tc>
          <w:tcPr>
            <w:tcW w:w="1757" w:type="dxa"/>
            <w:tcBorders>
              <w:top w:val="single" w:sz="4" w:space="0" w:color="auto"/>
            </w:tcBorders>
          </w:tcPr>
          <w:p w:rsidR="00EF7033" w:rsidRDefault="0035424A">
            <w:pPr>
              <w:widowControl w:val="0"/>
              <w:kinsoku w:val="0"/>
              <w:overflowPunct w:val="0"/>
              <w:autoSpaceDE w:val="0"/>
              <w:autoSpaceDN w:val="0"/>
              <w:spacing w:line="360" w:lineRule="auto"/>
              <w:rPr>
                <w:rFonts w:ascii="Book Antiqua" w:eastAsia="Times New Roman" w:hAnsi="Book Antiqua"/>
                <w:i/>
                <w:iCs/>
                <w:color w:val="000000" w:themeColor="text1"/>
                <w:sz w:val="24"/>
                <w:szCs w:val="24"/>
              </w:rPr>
            </w:pPr>
            <w:r>
              <w:rPr>
                <w:rFonts w:ascii="Book Antiqua" w:eastAsia="Times New Roman" w:hAnsi="Book Antiqua"/>
                <w:i/>
                <w:iCs/>
                <w:color w:val="000000" w:themeColor="text1"/>
                <w:sz w:val="24"/>
                <w:szCs w:val="24"/>
              </w:rPr>
              <w:t>IL-1β</w:t>
            </w:r>
          </w:p>
        </w:tc>
        <w:tc>
          <w:tcPr>
            <w:tcW w:w="5239" w:type="dxa"/>
            <w:tcBorders>
              <w:top w:val="single" w:sz="4" w:space="0" w:color="auto"/>
            </w:tcBorders>
          </w:tcPr>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AGTCTGCACAGTTCCCCAAC</w:t>
            </w:r>
          </w:p>
        </w:tc>
        <w:tc>
          <w:tcPr>
            <w:tcW w:w="4746" w:type="dxa"/>
            <w:tcBorders>
              <w:top w:val="single" w:sz="4" w:space="0" w:color="auto"/>
            </w:tcBorders>
          </w:tcPr>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TTAGGAAGACACGGGTTCCA</w:t>
            </w:r>
          </w:p>
        </w:tc>
        <w:tc>
          <w:tcPr>
            <w:tcW w:w="758" w:type="dxa"/>
          </w:tcPr>
          <w:p w:rsidR="00EF7033" w:rsidRDefault="00EF7033">
            <w:pPr>
              <w:widowControl w:val="0"/>
              <w:kinsoku w:val="0"/>
              <w:overflowPunct w:val="0"/>
              <w:autoSpaceDE w:val="0"/>
              <w:autoSpaceDN w:val="0"/>
              <w:spacing w:line="360" w:lineRule="auto"/>
              <w:rPr>
                <w:rFonts w:ascii="Book Antiqua" w:eastAsia="Times New Roman" w:hAnsi="Book Antiqua"/>
                <w:color w:val="000000" w:themeColor="text1"/>
                <w:sz w:val="24"/>
                <w:szCs w:val="24"/>
              </w:rPr>
            </w:pPr>
          </w:p>
        </w:tc>
      </w:tr>
      <w:tr w:rsidR="00EF7033">
        <w:trPr>
          <w:gridAfter w:val="1"/>
          <w:wAfter w:w="758" w:type="dxa"/>
          <w:trHeight w:val="446"/>
        </w:trPr>
        <w:tc>
          <w:tcPr>
            <w:tcW w:w="1757" w:type="dxa"/>
          </w:tcPr>
          <w:p w:rsidR="00EF7033" w:rsidRDefault="0035424A">
            <w:pPr>
              <w:widowControl w:val="0"/>
              <w:kinsoku w:val="0"/>
              <w:overflowPunct w:val="0"/>
              <w:autoSpaceDE w:val="0"/>
              <w:autoSpaceDN w:val="0"/>
              <w:spacing w:line="360" w:lineRule="auto"/>
              <w:rPr>
                <w:rFonts w:ascii="Book Antiqua" w:eastAsia="Times New Roman" w:hAnsi="Book Antiqua"/>
                <w:i/>
                <w:iCs/>
                <w:color w:val="000000" w:themeColor="text1"/>
                <w:sz w:val="24"/>
                <w:szCs w:val="24"/>
              </w:rPr>
            </w:pPr>
            <w:r>
              <w:rPr>
                <w:rFonts w:ascii="Book Antiqua" w:eastAsia="Times New Roman" w:hAnsi="Book Antiqua"/>
                <w:i/>
                <w:iCs/>
                <w:color w:val="000000" w:themeColor="text1"/>
                <w:sz w:val="24"/>
                <w:szCs w:val="24"/>
              </w:rPr>
              <w:t>IL-6</w:t>
            </w:r>
          </w:p>
        </w:tc>
        <w:tc>
          <w:tcPr>
            <w:tcW w:w="5239" w:type="dxa"/>
          </w:tcPr>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CCAACTTCCAATGCTCTCCT</w:t>
            </w:r>
          </w:p>
        </w:tc>
        <w:tc>
          <w:tcPr>
            <w:tcW w:w="4746" w:type="dxa"/>
          </w:tcPr>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GGTTTGCCGAGTAGACCTCA</w:t>
            </w:r>
          </w:p>
        </w:tc>
      </w:tr>
      <w:tr w:rsidR="00EF7033">
        <w:trPr>
          <w:gridAfter w:val="1"/>
          <w:wAfter w:w="758" w:type="dxa"/>
          <w:trHeight w:val="3508"/>
        </w:trPr>
        <w:tc>
          <w:tcPr>
            <w:tcW w:w="1757" w:type="dxa"/>
          </w:tcPr>
          <w:p w:rsidR="00EF7033" w:rsidRDefault="0035424A">
            <w:pPr>
              <w:widowControl w:val="0"/>
              <w:kinsoku w:val="0"/>
              <w:overflowPunct w:val="0"/>
              <w:autoSpaceDE w:val="0"/>
              <w:autoSpaceDN w:val="0"/>
              <w:spacing w:line="360" w:lineRule="auto"/>
              <w:rPr>
                <w:rFonts w:ascii="Book Antiqua" w:eastAsia="Times New Roman" w:hAnsi="Book Antiqua"/>
                <w:i/>
                <w:iCs/>
                <w:color w:val="000000" w:themeColor="text1"/>
                <w:sz w:val="24"/>
                <w:szCs w:val="24"/>
              </w:rPr>
            </w:pPr>
            <w:r>
              <w:rPr>
                <w:rFonts w:ascii="Book Antiqua" w:eastAsia="Times New Roman" w:hAnsi="Book Antiqua"/>
                <w:i/>
                <w:iCs/>
                <w:color w:val="000000" w:themeColor="text1"/>
                <w:sz w:val="24"/>
                <w:szCs w:val="24"/>
              </w:rPr>
              <w:t>IL-10</w:t>
            </w:r>
          </w:p>
          <w:p w:rsidR="00EF7033" w:rsidRDefault="0035424A">
            <w:pPr>
              <w:widowControl w:val="0"/>
              <w:kinsoku w:val="0"/>
              <w:overflowPunct w:val="0"/>
              <w:autoSpaceDE w:val="0"/>
              <w:autoSpaceDN w:val="0"/>
              <w:spacing w:line="360" w:lineRule="auto"/>
              <w:rPr>
                <w:rFonts w:ascii="Book Antiqua" w:eastAsia="Times New Roman" w:hAnsi="Book Antiqua"/>
                <w:i/>
                <w:iCs/>
                <w:color w:val="000000" w:themeColor="text1"/>
                <w:sz w:val="24"/>
                <w:szCs w:val="24"/>
              </w:rPr>
            </w:pPr>
            <w:r>
              <w:rPr>
                <w:rFonts w:ascii="Book Antiqua" w:eastAsia="Times New Roman" w:hAnsi="Book Antiqua"/>
                <w:i/>
                <w:iCs/>
                <w:color w:val="000000" w:themeColor="text1"/>
                <w:sz w:val="24"/>
                <w:szCs w:val="24"/>
              </w:rPr>
              <w:t>TGF-β</w:t>
            </w:r>
          </w:p>
          <w:p w:rsidR="00EF7033" w:rsidRDefault="0035424A">
            <w:pPr>
              <w:widowControl w:val="0"/>
              <w:kinsoku w:val="0"/>
              <w:overflowPunct w:val="0"/>
              <w:autoSpaceDE w:val="0"/>
              <w:autoSpaceDN w:val="0"/>
              <w:spacing w:line="360" w:lineRule="auto"/>
              <w:rPr>
                <w:rFonts w:ascii="Book Antiqua" w:eastAsia="Times New Roman" w:hAnsi="Book Antiqua"/>
                <w:i/>
                <w:iCs/>
                <w:color w:val="000000" w:themeColor="text1"/>
                <w:sz w:val="24"/>
                <w:szCs w:val="24"/>
              </w:rPr>
            </w:pPr>
            <w:r>
              <w:rPr>
                <w:rFonts w:ascii="Book Antiqua" w:eastAsia="Times New Roman" w:hAnsi="Book Antiqua"/>
                <w:i/>
                <w:iCs/>
                <w:color w:val="000000" w:themeColor="text1"/>
                <w:sz w:val="24"/>
                <w:szCs w:val="24"/>
              </w:rPr>
              <w:t>IFN-γ</w:t>
            </w:r>
          </w:p>
          <w:p w:rsidR="00EF7033" w:rsidRDefault="0035424A">
            <w:pPr>
              <w:widowControl w:val="0"/>
              <w:kinsoku w:val="0"/>
              <w:overflowPunct w:val="0"/>
              <w:autoSpaceDE w:val="0"/>
              <w:autoSpaceDN w:val="0"/>
              <w:spacing w:line="360" w:lineRule="auto"/>
              <w:rPr>
                <w:rFonts w:ascii="Book Antiqua" w:eastAsia="Times New Roman" w:hAnsi="Book Antiqua"/>
                <w:i/>
                <w:iCs/>
                <w:color w:val="000000" w:themeColor="text1"/>
                <w:sz w:val="24"/>
                <w:szCs w:val="24"/>
              </w:rPr>
            </w:pPr>
            <w:r>
              <w:rPr>
                <w:rFonts w:ascii="Book Antiqua" w:eastAsia="Times New Roman" w:hAnsi="Book Antiqua"/>
                <w:i/>
                <w:iCs/>
                <w:color w:val="000000" w:themeColor="text1"/>
                <w:sz w:val="24"/>
                <w:szCs w:val="24"/>
              </w:rPr>
              <w:t>TNF-a</w:t>
            </w:r>
          </w:p>
          <w:p w:rsidR="00EF7033" w:rsidRDefault="0035424A">
            <w:pPr>
              <w:widowControl w:val="0"/>
              <w:kinsoku w:val="0"/>
              <w:overflowPunct w:val="0"/>
              <w:autoSpaceDE w:val="0"/>
              <w:autoSpaceDN w:val="0"/>
              <w:spacing w:line="360" w:lineRule="auto"/>
              <w:rPr>
                <w:rFonts w:ascii="Book Antiqua" w:eastAsia="Times New Roman" w:hAnsi="Book Antiqua"/>
                <w:i/>
                <w:iCs/>
                <w:color w:val="000000" w:themeColor="text1"/>
                <w:sz w:val="24"/>
                <w:szCs w:val="24"/>
              </w:rPr>
            </w:pPr>
            <w:r>
              <w:rPr>
                <w:rFonts w:ascii="Book Antiqua" w:eastAsia="Times New Roman" w:hAnsi="Book Antiqua"/>
                <w:i/>
                <w:iCs/>
                <w:color w:val="000000" w:themeColor="text1"/>
                <w:sz w:val="24"/>
                <w:szCs w:val="24"/>
              </w:rPr>
              <w:t>BDNF</w:t>
            </w:r>
          </w:p>
          <w:p w:rsidR="00EF7033" w:rsidRDefault="0035424A">
            <w:pPr>
              <w:widowControl w:val="0"/>
              <w:kinsoku w:val="0"/>
              <w:overflowPunct w:val="0"/>
              <w:autoSpaceDE w:val="0"/>
              <w:autoSpaceDN w:val="0"/>
              <w:spacing w:line="360" w:lineRule="auto"/>
              <w:rPr>
                <w:rFonts w:ascii="Book Antiqua" w:eastAsia="Times New Roman" w:hAnsi="Book Antiqua"/>
                <w:i/>
                <w:iCs/>
                <w:color w:val="000000" w:themeColor="text1"/>
                <w:sz w:val="24"/>
                <w:szCs w:val="24"/>
              </w:rPr>
            </w:pPr>
            <w:proofErr w:type="spellStart"/>
            <w:r>
              <w:rPr>
                <w:rFonts w:ascii="Book Antiqua" w:eastAsia="Times New Roman" w:hAnsi="Book Antiqua"/>
                <w:i/>
                <w:iCs/>
                <w:color w:val="000000" w:themeColor="text1"/>
                <w:sz w:val="24"/>
                <w:szCs w:val="24"/>
              </w:rPr>
              <w:t>Trkb</w:t>
            </w:r>
            <w:proofErr w:type="spellEnd"/>
          </w:p>
          <w:p w:rsidR="00EF7033" w:rsidRDefault="0035424A">
            <w:pPr>
              <w:widowControl w:val="0"/>
              <w:kinsoku w:val="0"/>
              <w:overflowPunct w:val="0"/>
              <w:autoSpaceDE w:val="0"/>
              <w:autoSpaceDN w:val="0"/>
              <w:spacing w:line="360" w:lineRule="auto"/>
              <w:rPr>
                <w:rFonts w:ascii="Book Antiqua" w:eastAsia="Times New Roman" w:hAnsi="Book Antiqua"/>
                <w:i/>
                <w:iCs/>
                <w:color w:val="000000" w:themeColor="text1"/>
                <w:sz w:val="24"/>
                <w:szCs w:val="24"/>
              </w:rPr>
            </w:pPr>
            <w:r>
              <w:rPr>
                <w:rFonts w:ascii="Book Antiqua" w:eastAsia="Times New Roman" w:hAnsi="Book Antiqua"/>
                <w:i/>
                <w:iCs/>
                <w:color w:val="000000" w:themeColor="text1"/>
                <w:sz w:val="24"/>
                <w:szCs w:val="24"/>
              </w:rPr>
              <w:t>C-kit</w:t>
            </w:r>
          </w:p>
          <w:p w:rsidR="00EF7033" w:rsidRDefault="0035424A">
            <w:pPr>
              <w:widowControl w:val="0"/>
              <w:kinsoku w:val="0"/>
              <w:overflowPunct w:val="0"/>
              <w:autoSpaceDE w:val="0"/>
              <w:autoSpaceDN w:val="0"/>
              <w:spacing w:line="360" w:lineRule="auto"/>
              <w:rPr>
                <w:rFonts w:ascii="Book Antiqua" w:eastAsia="Times New Roman" w:hAnsi="Book Antiqua"/>
                <w:i/>
                <w:iCs/>
                <w:color w:val="000000" w:themeColor="text1"/>
                <w:sz w:val="24"/>
                <w:szCs w:val="24"/>
              </w:rPr>
            </w:pPr>
            <w:r>
              <w:rPr>
                <w:rFonts w:ascii="Book Antiqua" w:eastAsia="Times New Roman" w:hAnsi="Book Antiqua"/>
                <w:i/>
                <w:iCs/>
                <w:color w:val="000000" w:themeColor="text1"/>
                <w:sz w:val="24"/>
                <w:szCs w:val="24"/>
              </w:rPr>
              <w:t>Rat Β-actin</w:t>
            </w:r>
          </w:p>
        </w:tc>
        <w:tc>
          <w:tcPr>
            <w:tcW w:w="5239" w:type="dxa"/>
          </w:tcPr>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GACTGCTATCTTGCCTGCTCTTAC</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ATTCCTGGCGTTACCTTGG</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TCTGTGGGTTGTTCACCTCG</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CCTCCTCTCTGCCATCAACA</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CTTGGAGAAGGAAACCGCCT</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AGAGCTTCCCTGTCCCTCAG</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AATCCGACAACCAAAGCAAC</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TGTCACCAACTGGGACGATA</w:t>
            </w:r>
          </w:p>
        </w:tc>
        <w:tc>
          <w:tcPr>
            <w:tcW w:w="4746" w:type="dxa"/>
          </w:tcPr>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GGGTCTGGCTGACTGGGAAG</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AGCCCTGTATTCCGTCTCCT</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TATGGAAGGAAAGAGCCTCC</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GCAATGACTCCAAAGTAGACCTG</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GTCCACACAAAGCTCTCGGA</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TTGGGAAGGTAACCAGATCG</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TGTCACGGAAGCACTGACAT</w:t>
            </w:r>
          </w:p>
          <w:p w:rsidR="00EF7033" w:rsidRDefault="0035424A">
            <w:pPr>
              <w:widowControl w:val="0"/>
              <w:kinsoku w:val="0"/>
              <w:overflowPunct w:val="0"/>
              <w:autoSpaceDE w:val="0"/>
              <w:autoSpaceDN w:val="0"/>
              <w:spacing w:line="360" w:lineRule="auto"/>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GGGGTGTTGAAGGTCTCAAA</w:t>
            </w:r>
          </w:p>
        </w:tc>
      </w:tr>
    </w:tbl>
    <w:p w:rsidR="00EF7033" w:rsidRDefault="00EF7033">
      <w:pPr>
        <w:widowControl w:val="0"/>
        <w:kinsoku w:val="0"/>
        <w:overflowPunct w:val="0"/>
        <w:autoSpaceDE w:val="0"/>
        <w:autoSpaceDN w:val="0"/>
        <w:spacing w:line="360" w:lineRule="auto"/>
        <w:rPr>
          <w:rFonts w:ascii="Book Antiqua" w:eastAsiaTheme="minorEastAsia" w:hAnsi="Book Antiqua"/>
          <w:color w:val="000000" w:themeColor="text1"/>
          <w:sz w:val="24"/>
          <w:szCs w:val="24"/>
        </w:rPr>
      </w:pPr>
    </w:p>
    <w:sectPr w:rsidR="00EF7033">
      <w:headerReference w:type="default" r:id="rId64"/>
      <w:pgSz w:w="14175" w:h="11906" w:orient="landscape"/>
      <w:pgMar w:top="1800" w:right="1440" w:bottom="1800" w:left="144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7FF" w:rsidRDefault="00D777FF">
      <w:r>
        <w:separator/>
      </w:r>
    </w:p>
  </w:endnote>
  <w:endnote w:type="continuationSeparator" w:id="0">
    <w:p w:rsidR="00D777FF" w:rsidRDefault="00D77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02FF" w:usb1="4000E47F" w:usb2="0000002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Garamond-Bold">
    <w:altName w:val="Segoe Print"/>
    <w:charset w:val="00"/>
    <w:family w:val="auto"/>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等线 Light">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2279603"/>
    </w:sdtPr>
    <w:sdtEndPr/>
    <w:sdtContent>
      <w:p w:rsidR="0035424A" w:rsidRDefault="0035424A">
        <w:pPr>
          <w:pStyle w:val="a6"/>
          <w:jc w:val="center"/>
        </w:pPr>
        <w:r>
          <w:fldChar w:fldCharType="begin"/>
        </w:r>
        <w:r>
          <w:instrText>PAGE   \* MERGEFORMAT</w:instrText>
        </w:r>
        <w:r>
          <w:fldChar w:fldCharType="separate"/>
        </w:r>
        <w:r w:rsidR="00CF5662" w:rsidRPr="00CF5662">
          <w:rPr>
            <w:noProof/>
            <w:lang w:val="zh-CN"/>
          </w:rPr>
          <w:t>32</w:t>
        </w:r>
        <w:r>
          <w:fldChar w:fldCharType="end"/>
        </w:r>
      </w:p>
    </w:sdtContent>
  </w:sdt>
  <w:p w:rsidR="0035424A" w:rsidRDefault="0035424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7FF" w:rsidRDefault="00D777FF">
      <w:r>
        <w:separator/>
      </w:r>
    </w:p>
  </w:footnote>
  <w:footnote w:type="continuationSeparator" w:id="0">
    <w:p w:rsidR="00D777FF" w:rsidRDefault="00D777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24A" w:rsidRDefault="0035424A">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balanceSingleByteDoubleByteWidth/>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47F"/>
    <w:rsid w:val="00007CD6"/>
    <w:rsid w:val="00011EDE"/>
    <w:rsid w:val="00023981"/>
    <w:rsid w:val="00024128"/>
    <w:rsid w:val="0002644B"/>
    <w:rsid w:val="00026F85"/>
    <w:rsid w:val="00031513"/>
    <w:rsid w:val="00031DBA"/>
    <w:rsid w:val="000378EC"/>
    <w:rsid w:val="000736C9"/>
    <w:rsid w:val="00076DEE"/>
    <w:rsid w:val="000809E5"/>
    <w:rsid w:val="00085077"/>
    <w:rsid w:val="00097993"/>
    <w:rsid w:val="000A737A"/>
    <w:rsid w:val="000A7897"/>
    <w:rsid w:val="000B111D"/>
    <w:rsid w:val="000C2067"/>
    <w:rsid w:val="000C5025"/>
    <w:rsid w:val="000D09A9"/>
    <w:rsid w:val="000D1267"/>
    <w:rsid w:val="000D6400"/>
    <w:rsid w:val="000D69FC"/>
    <w:rsid w:val="000D7A72"/>
    <w:rsid w:val="000E75A1"/>
    <w:rsid w:val="000E7BC2"/>
    <w:rsid w:val="000E7BEE"/>
    <w:rsid w:val="000F2441"/>
    <w:rsid w:val="000F4D5B"/>
    <w:rsid w:val="000F5B0A"/>
    <w:rsid w:val="000F7A0C"/>
    <w:rsid w:val="00106F66"/>
    <w:rsid w:val="00110C4F"/>
    <w:rsid w:val="001122E0"/>
    <w:rsid w:val="00113D4B"/>
    <w:rsid w:val="00136ADE"/>
    <w:rsid w:val="001415C1"/>
    <w:rsid w:val="00141D42"/>
    <w:rsid w:val="001426BA"/>
    <w:rsid w:val="00154C5D"/>
    <w:rsid w:val="00155589"/>
    <w:rsid w:val="0016313B"/>
    <w:rsid w:val="001660B5"/>
    <w:rsid w:val="00184338"/>
    <w:rsid w:val="001C2D53"/>
    <w:rsid w:val="001C4C93"/>
    <w:rsid w:val="001E55DE"/>
    <w:rsid w:val="001F0B04"/>
    <w:rsid w:val="001F1861"/>
    <w:rsid w:val="001F5531"/>
    <w:rsid w:val="001F6D9D"/>
    <w:rsid w:val="00216EA2"/>
    <w:rsid w:val="00222091"/>
    <w:rsid w:val="00227AD5"/>
    <w:rsid w:val="00240928"/>
    <w:rsid w:val="00240F1C"/>
    <w:rsid w:val="00245A56"/>
    <w:rsid w:val="00254B9A"/>
    <w:rsid w:val="00256C67"/>
    <w:rsid w:val="002624AB"/>
    <w:rsid w:val="002633E1"/>
    <w:rsid w:val="0026344E"/>
    <w:rsid w:val="00272CBC"/>
    <w:rsid w:val="00273F20"/>
    <w:rsid w:val="00282527"/>
    <w:rsid w:val="002964FF"/>
    <w:rsid w:val="00297CF8"/>
    <w:rsid w:val="002A649C"/>
    <w:rsid w:val="002B295E"/>
    <w:rsid w:val="002B7599"/>
    <w:rsid w:val="002C3B2A"/>
    <w:rsid w:val="002C57E3"/>
    <w:rsid w:val="002C5D21"/>
    <w:rsid w:val="002C5DD5"/>
    <w:rsid w:val="002C7ABA"/>
    <w:rsid w:val="002D01CA"/>
    <w:rsid w:val="002D30C0"/>
    <w:rsid w:val="002D60F2"/>
    <w:rsid w:val="002F0B46"/>
    <w:rsid w:val="002F1DAE"/>
    <w:rsid w:val="0030595B"/>
    <w:rsid w:val="00312468"/>
    <w:rsid w:val="00314D03"/>
    <w:rsid w:val="00317ADB"/>
    <w:rsid w:val="00326429"/>
    <w:rsid w:val="003349F7"/>
    <w:rsid w:val="003361A6"/>
    <w:rsid w:val="00351375"/>
    <w:rsid w:val="00352B3B"/>
    <w:rsid w:val="003540C2"/>
    <w:rsid w:val="0035424A"/>
    <w:rsid w:val="00355B60"/>
    <w:rsid w:val="00361EEC"/>
    <w:rsid w:val="00363448"/>
    <w:rsid w:val="003668EA"/>
    <w:rsid w:val="00373F3D"/>
    <w:rsid w:val="003837F3"/>
    <w:rsid w:val="003851E5"/>
    <w:rsid w:val="003960D4"/>
    <w:rsid w:val="00397384"/>
    <w:rsid w:val="003A3CD0"/>
    <w:rsid w:val="003A5504"/>
    <w:rsid w:val="003A64C9"/>
    <w:rsid w:val="003B0163"/>
    <w:rsid w:val="003B33BE"/>
    <w:rsid w:val="003C1A16"/>
    <w:rsid w:val="003C1E7E"/>
    <w:rsid w:val="003D4822"/>
    <w:rsid w:val="003E703C"/>
    <w:rsid w:val="003F34A9"/>
    <w:rsid w:val="003F638A"/>
    <w:rsid w:val="003F6BAD"/>
    <w:rsid w:val="0041423B"/>
    <w:rsid w:val="00414373"/>
    <w:rsid w:val="00433476"/>
    <w:rsid w:val="00433658"/>
    <w:rsid w:val="00441039"/>
    <w:rsid w:val="0044422C"/>
    <w:rsid w:val="00447712"/>
    <w:rsid w:val="00447DA1"/>
    <w:rsid w:val="004521D0"/>
    <w:rsid w:val="00461F13"/>
    <w:rsid w:val="00463570"/>
    <w:rsid w:val="00465D44"/>
    <w:rsid w:val="00486AF3"/>
    <w:rsid w:val="004A01C4"/>
    <w:rsid w:val="004A33A9"/>
    <w:rsid w:val="004B6B97"/>
    <w:rsid w:val="004C3158"/>
    <w:rsid w:val="004C3C63"/>
    <w:rsid w:val="004D3BA3"/>
    <w:rsid w:val="004D7C3B"/>
    <w:rsid w:val="004E326F"/>
    <w:rsid w:val="004F5B8B"/>
    <w:rsid w:val="00503B59"/>
    <w:rsid w:val="00506435"/>
    <w:rsid w:val="00507EB2"/>
    <w:rsid w:val="0052428D"/>
    <w:rsid w:val="00525774"/>
    <w:rsid w:val="00531585"/>
    <w:rsid w:val="0053673D"/>
    <w:rsid w:val="005441C1"/>
    <w:rsid w:val="00544D24"/>
    <w:rsid w:val="00590261"/>
    <w:rsid w:val="00590974"/>
    <w:rsid w:val="005A1039"/>
    <w:rsid w:val="005A507D"/>
    <w:rsid w:val="005A5C29"/>
    <w:rsid w:val="005C0AF7"/>
    <w:rsid w:val="005C54F2"/>
    <w:rsid w:val="005C5CB6"/>
    <w:rsid w:val="005D381B"/>
    <w:rsid w:val="005F003B"/>
    <w:rsid w:val="00626B27"/>
    <w:rsid w:val="00632186"/>
    <w:rsid w:val="00640E9A"/>
    <w:rsid w:val="006417B4"/>
    <w:rsid w:val="006472FC"/>
    <w:rsid w:val="00653527"/>
    <w:rsid w:val="00666BEF"/>
    <w:rsid w:val="006710FC"/>
    <w:rsid w:val="0067387F"/>
    <w:rsid w:val="006821D5"/>
    <w:rsid w:val="00693D13"/>
    <w:rsid w:val="00693E40"/>
    <w:rsid w:val="006956B2"/>
    <w:rsid w:val="00695B3B"/>
    <w:rsid w:val="006A29FA"/>
    <w:rsid w:val="006A7B07"/>
    <w:rsid w:val="006B103A"/>
    <w:rsid w:val="006C04DD"/>
    <w:rsid w:val="006D2CC1"/>
    <w:rsid w:val="006E3DE1"/>
    <w:rsid w:val="006E5FF4"/>
    <w:rsid w:val="006E646B"/>
    <w:rsid w:val="006F2313"/>
    <w:rsid w:val="006F58C7"/>
    <w:rsid w:val="00723581"/>
    <w:rsid w:val="00733F17"/>
    <w:rsid w:val="007430DC"/>
    <w:rsid w:val="00751F3E"/>
    <w:rsid w:val="00755883"/>
    <w:rsid w:val="00756BB8"/>
    <w:rsid w:val="00757AE7"/>
    <w:rsid w:val="0076222A"/>
    <w:rsid w:val="00787278"/>
    <w:rsid w:val="00787F4B"/>
    <w:rsid w:val="00792B1D"/>
    <w:rsid w:val="007931B1"/>
    <w:rsid w:val="00797270"/>
    <w:rsid w:val="007A0574"/>
    <w:rsid w:val="007B04B3"/>
    <w:rsid w:val="007C073D"/>
    <w:rsid w:val="007C2E22"/>
    <w:rsid w:val="007D1DB5"/>
    <w:rsid w:val="007E29D8"/>
    <w:rsid w:val="007F789A"/>
    <w:rsid w:val="0080073F"/>
    <w:rsid w:val="0080479B"/>
    <w:rsid w:val="0080590F"/>
    <w:rsid w:val="00810664"/>
    <w:rsid w:val="0081741F"/>
    <w:rsid w:val="00821782"/>
    <w:rsid w:val="00827BE3"/>
    <w:rsid w:val="008512CC"/>
    <w:rsid w:val="00852D09"/>
    <w:rsid w:val="00862369"/>
    <w:rsid w:val="0087381A"/>
    <w:rsid w:val="00881A09"/>
    <w:rsid w:val="008836EA"/>
    <w:rsid w:val="0088384C"/>
    <w:rsid w:val="00894B09"/>
    <w:rsid w:val="008A5400"/>
    <w:rsid w:val="008B0829"/>
    <w:rsid w:val="008C7AC4"/>
    <w:rsid w:val="008D1144"/>
    <w:rsid w:val="008D5573"/>
    <w:rsid w:val="008D7886"/>
    <w:rsid w:val="008E2337"/>
    <w:rsid w:val="008E7116"/>
    <w:rsid w:val="008F7337"/>
    <w:rsid w:val="008F7F0A"/>
    <w:rsid w:val="009026AB"/>
    <w:rsid w:val="0090407E"/>
    <w:rsid w:val="00930B9A"/>
    <w:rsid w:val="009339CA"/>
    <w:rsid w:val="009354C2"/>
    <w:rsid w:val="00941E2B"/>
    <w:rsid w:val="009450D0"/>
    <w:rsid w:val="00954127"/>
    <w:rsid w:val="00954AE9"/>
    <w:rsid w:val="00956A7B"/>
    <w:rsid w:val="00967E70"/>
    <w:rsid w:val="00972014"/>
    <w:rsid w:val="009A59E8"/>
    <w:rsid w:val="009A5C09"/>
    <w:rsid w:val="009B0CE5"/>
    <w:rsid w:val="009C064C"/>
    <w:rsid w:val="009C462F"/>
    <w:rsid w:val="009F0821"/>
    <w:rsid w:val="009F347F"/>
    <w:rsid w:val="009F4133"/>
    <w:rsid w:val="00A018FC"/>
    <w:rsid w:val="00A0448C"/>
    <w:rsid w:val="00A0485E"/>
    <w:rsid w:val="00A068AD"/>
    <w:rsid w:val="00A12B13"/>
    <w:rsid w:val="00A32E5E"/>
    <w:rsid w:val="00A35BDE"/>
    <w:rsid w:val="00A45225"/>
    <w:rsid w:val="00A472F0"/>
    <w:rsid w:val="00A60032"/>
    <w:rsid w:val="00A67D52"/>
    <w:rsid w:val="00A80023"/>
    <w:rsid w:val="00A935F4"/>
    <w:rsid w:val="00A97ACE"/>
    <w:rsid w:val="00AA5211"/>
    <w:rsid w:val="00AA7E03"/>
    <w:rsid w:val="00AB724B"/>
    <w:rsid w:val="00AD5B1E"/>
    <w:rsid w:val="00AE6392"/>
    <w:rsid w:val="00AF08B6"/>
    <w:rsid w:val="00AF7AFC"/>
    <w:rsid w:val="00B00AEB"/>
    <w:rsid w:val="00B22FEF"/>
    <w:rsid w:val="00B3768C"/>
    <w:rsid w:val="00B4357C"/>
    <w:rsid w:val="00B44C16"/>
    <w:rsid w:val="00B453D8"/>
    <w:rsid w:val="00B741D5"/>
    <w:rsid w:val="00B74858"/>
    <w:rsid w:val="00B75C94"/>
    <w:rsid w:val="00B80183"/>
    <w:rsid w:val="00B86E02"/>
    <w:rsid w:val="00B8768F"/>
    <w:rsid w:val="00B87785"/>
    <w:rsid w:val="00B9051D"/>
    <w:rsid w:val="00B953D6"/>
    <w:rsid w:val="00BB0C04"/>
    <w:rsid w:val="00BB15E3"/>
    <w:rsid w:val="00BB6ECA"/>
    <w:rsid w:val="00BD7A8C"/>
    <w:rsid w:val="00BE0FF3"/>
    <w:rsid w:val="00BE210A"/>
    <w:rsid w:val="00BE6C16"/>
    <w:rsid w:val="00BF547C"/>
    <w:rsid w:val="00C02E22"/>
    <w:rsid w:val="00C203D8"/>
    <w:rsid w:val="00C2403E"/>
    <w:rsid w:val="00C270C4"/>
    <w:rsid w:val="00C3668D"/>
    <w:rsid w:val="00C36BED"/>
    <w:rsid w:val="00C4585F"/>
    <w:rsid w:val="00C50C02"/>
    <w:rsid w:val="00C51F43"/>
    <w:rsid w:val="00C60994"/>
    <w:rsid w:val="00C72267"/>
    <w:rsid w:val="00C820EF"/>
    <w:rsid w:val="00C84946"/>
    <w:rsid w:val="00C85DE8"/>
    <w:rsid w:val="00C86B3D"/>
    <w:rsid w:val="00CA67A2"/>
    <w:rsid w:val="00CB17C2"/>
    <w:rsid w:val="00CC4825"/>
    <w:rsid w:val="00CD121C"/>
    <w:rsid w:val="00CD3FA1"/>
    <w:rsid w:val="00CE28E5"/>
    <w:rsid w:val="00CF4180"/>
    <w:rsid w:val="00CF5662"/>
    <w:rsid w:val="00D0302E"/>
    <w:rsid w:val="00D063FF"/>
    <w:rsid w:val="00D26693"/>
    <w:rsid w:val="00D336D7"/>
    <w:rsid w:val="00D40E61"/>
    <w:rsid w:val="00D411E4"/>
    <w:rsid w:val="00D7561F"/>
    <w:rsid w:val="00D777FF"/>
    <w:rsid w:val="00D816C6"/>
    <w:rsid w:val="00DA2700"/>
    <w:rsid w:val="00DA48D2"/>
    <w:rsid w:val="00DA552E"/>
    <w:rsid w:val="00DA5D19"/>
    <w:rsid w:val="00DB283F"/>
    <w:rsid w:val="00DB46C1"/>
    <w:rsid w:val="00DC0E25"/>
    <w:rsid w:val="00DC43CE"/>
    <w:rsid w:val="00DC55A4"/>
    <w:rsid w:val="00DC67F4"/>
    <w:rsid w:val="00DD66B4"/>
    <w:rsid w:val="00DF0736"/>
    <w:rsid w:val="00DF5B8B"/>
    <w:rsid w:val="00E0176A"/>
    <w:rsid w:val="00E25055"/>
    <w:rsid w:val="00E46C29"/>
    <w:rsid w:val="00E5076D"/>
    <w:rsid w:val="00E5569F"/>
    <w:rsid w:val="00E638C2"/>
    <w:rsid w:val="00E63E94"/>
    <w:rsid w:val="00E8300C"/>
    <w:rsid w:val="00EA14B2"/>
    <w:rsid w:val="00EA25E9"/>
    <w:rsid w:val="00EC5035"/>
    <w:rsid w:val="00EF625B"/>
    <w:rsid w:val="00EF7033"/>
    <w:rsid w:val="00F07C30"/>
    <w:rsid w:val="00F14742"/>
    <w:rsid w:val="00F14C11"/>
    <w:rsid w:val="00F1641C"/>
    <w:rsid w:val="00F21749"/>
    <w:rsid w:val="00F321F4"/>
    <w:rsid w:val="00F64AE5"/>
    <w:rsid w:val="00F655EE"/>
    <w:rsid w:val="00F66CD0"/>
    <w:rsid w:val="00F72AA2"/>
    <w:rsid w:val="00F76626"/>
    <w:rsid w:val="00F91E38"/>
    <w:rsid w:val="00F954FB"/>
    <w:rsid w:val="00FB1E32"/>
    <w:rsid w:val="00FB23AF"/>
    <w:rsid w:val="00FD433F"/>
    <w:rsid w:val="00FD48B5"/>
    <w:rsid w:val="00FD78D8"/>
    <w:rsid w:val="00FF3A9D"/>
    <w:rsid w:val="00FF66FE"/>
    <w:rsid w:val="0A04440F"/>
    <w:rsid w:val="2F871DB2"/>
    <w:rsid w:val="37270FB6"/>
    <w:rsid w:val="391713CA"/>
    <w:rsid w:val="410530B8"/>
    <w:rsid w:val="6A0B5E53"/>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1" w:unhideWhenUsed="0" w:qFormat="1"/>
    <w:lsdException w:name="heading 1" w:uiPriority="7" w:unhideWhenUsed="0" w:qFormat="1"/>
    <w:lsdException w:name="heading 2" w:uiPriority="8" w:unhideWhenUsed="0" w:qFormat="1"/>
    <w:lsdException w:name="heading 3" w:uiPriority="9" w:unhideWhenUsed="0" w:qFormat="1"/>
    <w:lsdException w:name="heading 4" w:uiPriority="10" w:unhideWhenUsed="0" w:qFormat="1"/>
    <w:lsdException w:name="heading 5" w:uiPriority="11" w:unhideWhenUsed="0" w:qFormat="1"/>
    <w:lsdException w:name="heading 6" w:uiPriority="12" w:unhideWhenUsed="0" w:qFormat="1"/>
    <w:lsdException w:name="heading 7" w:uiPriority="13" w:unhideWhenUsed="0" w:qFormat="1"/>
    <w:lsdException w:name="heading 8" w:uiPriority="14" w:unhideWhenUsed="0" w:qFormat="1"/>
    <w:lsdException w:name="heading 9" w:uiPriority="15"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28" w:qFormat="1"/>
    <w:lsdException w:name="toc 2" w:uiPriority="29" w:qFormat="1"/>
    <w:lsdException w:name="toc 3" w:uiPriority="30" w:qFormat="1"/>
    <w:lsdException w:name="toc 4" w:uiPriority="31" w:qFormat="1"/>
    <w:lsdException w:name="toc 5" w:uiPriority="32" w:qFormat="1"/>
    <w:lsdException w:name="toc 6" w:uiPriority="33" w:qFormat="1"/>
    <w:lsdException w:name="toc 7" w:uiPriority="34" w:qFormat="1"/>
    <w:lsdException w:name="toc 8" w:uiPriority="35" w:qFormat="1"/>
    <w:lsdException w:name="toc 9" w:uiPriority="36" w:qFormat="1"/>
    <w:lsdException w:name="Normal Indent" w:semiHidden="1"/>
    <w:lsdException w:name="footnote text" w:semiHidden="1"/>
    <w:lsdException w:name="annotation text" w:qFormat="1"/>
    <w:lsdException w:name="header" w:uiPriority="0"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6" w:unhideWhenUsed="0" w:qFormat="1"/>
    <w:lsdException w:name="Closing" w:semiHidden="1"/>
    <w:lsdException w:name="Signature" w:semiHidden="1"/>
    <w:lsdException w:name="Default Paragraph Font" w:semiHidden="1" w:uiPriority="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6"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0"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qFormat="1"/>
    <w:lsdException w:name="Table Grid" w:semiHidden="1" w:uiPriority="38" w:qFormat="1"/>
    <w:lsdException w:name="Table Theme" w:semiHidden="1"/>
    <w:lsdException w:name="Placeholder Text" w:semiHidden="1" w:unhideWhenUsed="0"/>
    <w:lsdException w:name="No Spacing" w:uiPriority="5"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26" w:unhideWhenUsed="0" w:qFormat="1"/>
    <w:lsdException w:name="Quote" w:uiPriority="21" w:unhideWhenUsed="0" w:qFormat="1"/>
    <w:lsdException w:name="Intense Quote" w:uiPriority="22"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uiPriority w:val="1"/>
    <w:qFormat/>
    <w:pPr>
      <w:jc w:val="both"/>
    </w:pPr>
    <w:rPr>
      <w:rFonts w:ascii="等线" w:eastAsia="等线" w:hAnsi="等线"/>
      <w:sz w:val="21"/>
      <w:szCs w:val="21"/>
    </w:rPr>
  </w:style>
  <w:style w:type="paragraph" w:styleId="1">
    <w:name w:val="heading 1"/>
    <w:next w:val="a"/>
    <w:uiPriority w:val="7"/>
    <w:qFormat/>
    <w:pPr>
      <w:jc w:val="both"/>
      <w:outlineLvl w:val="0"/>
    </w:pPr>
    <w:rPr>
      <w:rFonts w:ascii="等线" w:hAnsi="等线"/>
      <w:sz w:val="28"/>
      <w:szCs w:val="28"/>
    </w:rPr>
  </w:style>
  <w:style w:type="paragraph" w:styleId="2">
    <w:name w:val="heading 2"/>
    <w:next w:val="a"/>
    <w:uiPriority w:val="8"/>
    <w:qFormat/>
    <w:pPr>
      <w:jc w:val="both"/>
      <w:outlineLvl w:val="1"/>
    </w:pPr>
    <w:rPr>
      <w:rFonts w:ascii="等线" w:hAnsi="等线"/>
      <w:sz w:val="21"/>
      <w:szCs w:val="21"/>
    </w:rPr>
  </w:style>
  <w:style w:type="paragraph" w:styleId="3">
    <w:name w:val="heading 3"/>
    <w:next w:val="a"/>
    <w:uiPriority w:val="9"/>
    <w:qFormat/>
    <w:pPr>
      <w:ind w:left="1000" w:hanging="400"/>
      <w:jc w:val="both"/>
      <w:outlineLvl w:val="2"/>
    </w:pPr>
    <w:rPr>
      <w:rFonts w:ascii="等线" w:hAnsi="等线"/>
      <w:sz w:val="21"/>
      <w:szCs w:val="21"/>
    </w:rPr>
  </w:style>
  <w:style w:type="paragraph" w:styleId="4">
    <w:name w:val="heading 4"/>
    <w:next w:val="a"/>
    <w:uiPriority w:val="10"/>
    <w:qFormat/>
    <w:pPr>
      <w:ind w:left="1200" w:hanging="400"/>
      <w:jc w:val="both"/>
      <w:outlineLvl w:val="3"/>
    </w:pPr>
    <w:rPr>
      <w:rFonts w:ascii="等线" w:hAnsi="等线"/>
      <w:b/>
      <w:sz w:val="21"/>
      <w:szCs w:val="21"/>
    </w:rPr>
  </w:style>
  <w:style w:type="paragraph" w:styleId="5">
    <w:name w:val="heading 5"/>
    <w:next w:val="a"/>
    <w:uiPriority w:val="11"/>
    <w:qFormat/>
    <w:pPr>
      <w:ind w:left="1400" w:hanging="400"/>
      <w:jc w:val="both"/>
      <w:outlineLvl w:val="4"/>
    </w:pPr>
    <w:rPr>
      <w:rFonts w:ascii="等线" w:hAnsi="等线"/>
      <w:sz w:val="21"/>
      <w:szCs w:val="21"/>
    </w:rPr>
  </w:style>
  <w:style w:type="paragraph" w:styleId="6">
    <w:name w:val="heading 6"/>
    <w:next w:val="a"/>
    <w:uiPriority w:val="12"/>
    <w:qFormat/>
    <w:pPr>
      <w:ind w:left="1600" w:hanging="400"/>
      <w:jc w:val="both"/>
      <w:outlineLvl w:val="5"/>
    </w:pPr>
    <w:rPr>
      <w:rFonts w:ascii="等线" w:hAnsi="等线"/>
      <w:b/>
      <w:sz w:val="21"/>
      <w:szCs w:val="21"/>
    </w:rPr>
  </w:style>
  <w:style w:type="paragraph" w:styleId="7">
    <w:name w:val="heading 7"/>
    <w:next w:val="a"/>
    <w:uiPriority w:val="13"/>
    <w:qFormat/>
    <w:pPr>
      <w:ind w:left="1800" w:hanging="400"/>
      <w:jc w:val="both"/>
      <w:outlineLvl w:val="6"/>
    </w:pPr>
    <w:rPr>
      <w:rFonts w:ascii="等线" w:hAnsi="等线"/>
      <w:sz w:val="21"/>
      <w:szCs w:val="21"/>
    </w:rPr>
  </w:style>
  <w:style w:type="paragraph" w:styleId="8">
    <w:name w:val="heading 8"/>
    <w:next w:val="a"/>
    <w:uiPriority w:val="14"/>
    <w:qFormat/>
    <w:pPr>
      <w:ind w:left="2000" w:hanging="400"/>
      <w:jc w:val="both"/>
      <w:outlineLvl w:val="7"/>
    </w:pPr>
    <w:rPr>
      <w:rFonts w:ascii="等线" w:hAnsi="等线"/>
      <w:sz w:val="21"/>
      <w:szCs w:val="21"/>
    </w:rPr>
  </w:style>
  <w:style w:type="paragraph" w:styleId="9">
    <w:name w:val="heading 9"/>
    <w:next w:val="a"/>
    <w:uiPriority w:val="15"/>
    <w:qFormat/>
    <w:pPr>
      <w:ind w:left="2200" w:hanging="400"/>
      <w:jc w:val="both"/>
      <w:outlineLvl w:val="8"/>
    </w:pPr>
    <w:rPr>
      <w:rFonts w:ascii="等线" w:hAnsi="等线"/>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next w:val="a"/>
    <w:uiPriority w:val="34"/>
    <w:unhideWhenUsed/>
    <w:qFormat/>
    <w:pPr>
      <w:ind w:left="2550"/>
      <w:jc w:val="both"/>
    </w:pPr>
    <w:rPr>
      <w:rFonts w:ascii="等线" w:hAnsi="等线"/>
      <w:sz w:val="21"/>
      <w:szCs w:val="21"/>
    </w:rPr>
  </w:style>
  <w:style w:type="paragraph" w:styleId="a3">
    <w:name w:val="annotation text"/>
    <w:basedOn w:val="a"/>
    <w:link w:val="Char"/>
    <w:uiPriority w:val="99"/>
    <w:unhideWhenUsed/>
    <w:qFormat/>
    <w:pPr>
      <w:jc w:val="left"/>
    </w:pPr>
  </w:style>
  <w:style w:type="paragraph" w:styleId="a4">
    <w:name w:val="Body Text"/>
    <w:basedOn w:val="a"/>
    <w:link w:val="Char0"/>
    <w:semiHidden/>
    <w:unhideWhenUsed/>
    <w:qFormat/>
  </w:style>
  <w:style w:type="paragraph" w:styleId="50">
    <w:name w:val="toc 5"/>
    <w:next w:val="a"/>
    <w:uiPriority w:val="32"/>
    <w:unhideWhenUsed/>
    <w:qFormat/>
    <w:pPr>
      <w:ind w:left="1700"/>
      <w:jc w:val="both"/>
    </w:pPr>
    <w:rPr>
      <w:rFonts w:ascii="等线" w:hAnsi="等线"/>
      <w:sz w:val="21"/>
      <w:szCs w:val="21"/>
    </w:rPr>
  </w:style>
  <w:style w:type="paragraph" w:styleId="30">
    <w:name w:val="toc 3"/>
    <w:next w:val="a"/>
    <w:uiPriority w:val="30"/>
    <w:unhideWhenUsed/>
    <w:qFormat/>
    <w:pPr>
      <w:ind w:left="850"/>
      <w:jc w:val="both"/>
    </w:pPr>
    <w:rPr>
      <w:rFonts w:ascii="等线" w:hAnsi="等线"/>
      <w:sz w:val="21"/>
      <w:szCs w:val="21"/>
    </w:rPr>
  </w:style>
  <w:style w:type="paragraph" w:styleId="80">
    <w:name w:val="toc 8"/>
    <w:next w:val="a"/>
    <w:uiPriority w:val="35"/>
    <w:unhideWhenUsed/>
    <w:qFormat/>
    <w:pPr>
      <w:ind w:left="2975"/>
      <w:jc w:val="both"/>
    </w:pPr>
    <w:rPr>
      <w:rFonts w:ascii="等线" w:hAnsi="等线"/>
      <w:sz w:val="21"/>
      <w:szCs w:val="21"/>
    </w:rPr>
  </w:style>
  <w:style w:type="paragraph" w:styleId="a5">
    <w:name w:val="Balloon Text"/>
    <w:basedOn w:val="a"/>
    <w:link w:val="Char1"/>
    <w:semiHidden/>
    <w:unhideWhenUsed/>
    <w:qFormat/>
    <w:rPr>
      <w:rFonts w:ascii="Segoe UI" w:eastAsia="Segoe UI" w:hAnsi="Segoe UI"/>
      <w:sz w:val="18"/>
      <w:szCs w:val="18"/>
    </w:rPr>
  </w:style>
  <w:style w:type="paragraph" w:styleId="a6">
    <w:name w:val="footer"/>
    <w:basedOn w:val="a"/>
    <w:link w:val="Char2"/>
    <w:uiPriority w:val="99"/>
    <w:unhideWhenUsed/>
    <w:qFormat/>
    <w:pPr>
      <w:tabs>
        <w:tab w:val="center" w:pos="4153"/>
        <w:tab w:val="right" w:pos="8306"/>
      </w:tabs>
    </w:pPr>
    <w:rPr>
      <w:sz w:val="18"/>
      <w:szCs w:val="18"/>
    </w:rPr>
  </w:style>
  <w:style w:type="paragraph" w:styleId="a7">
    <w:name w:val="header"/>
    <w:basedOn w:val="a"/>
    <w:link w:val="Char3"/>
    <w:unhideWhenUsed/>
    <w:qFormat/>
    <w:pPr>
      <w:tabs>
        <w:tab w:val="center" w:pos="4153"/>
        <w:tab w:val="right" w:pos="8306"/>
      </w:tabs>
      <w:jc w:val="center"/>
    </w:pPr>
    <w:rPr>
      <w:sz w:val="18"/>
      <w:szCs w:val="18"/>
    </w:rPr>
  </w:style>
  <w:style w:type="paragraph" w:styleId="10">
    <w:name w:val="toc 1"/>
    <w:next w:val="a"/>
    <w:uiPriority w:val="28"/>
    <w:unhideWhenUsed/>
    <w:qFormat/>
    <w:pPr>
      <w:jc w:val="both"/>
    </w:pPr>
    <w:rPr>
      <w:rFonts w:ascii="等线" w:hAnsi="等线"/>
      <w:sz w:val="21"/>
      <w:szCs w:val="21"/>
    </w:rPr>
  </w:style>
  <w:style w:type="paragraph" w:styleId="40">
    <w:name w:val="toc 4"/>
    <w:next w:val="a"/>
    <w:uiPriority w:val="31"/>
    <w:unhideWhenUsed/>
    <w:qFormat/>
    <w:pPr>
      <w:ind w:left="1275"/>
      <w:jc w:val="both"/>
    </w:pPr>
    <w:rPr>
      <w:rFonts w:ascii="等线" w:hAnsi="等线"/>
      <w:sz w:val="21"/>
      <w:szCs w:val="21"/>
    </w:rPr>
  </w:style>
  <w:style w:type="paragraph" w:styleId="a8">
    <w:name w:val="Subtitle"/>
    <w:uiPriority w:val="16"/>
    <w:qFormat/>
    <w:pPr>
      <w:jc w:val="center"/>
    </w:pPr>
    <w:rPr>
      <w:rFonts w:ascii="等线" w:hAnsi="等线"/>
      <w:sz w:val="24"/>
      <w:szCs w:val="24"/>
    </w:rPr>
  </w:style>
  <w:style w:type="paragraph" w:styleId="60">
    <w:name w:val="toc 6"/>
    <w:next w:val="a"/>
    <w:uiPriority w:val="33"/>
    <w:unhideWhenUsed/>
    <w:qFormat/>
    <w:pPr>
      <w:ind w:left="2125"/>
      <w:jc w:val="both"/>
    </w:pPr>
    <w:rPr>
      <w:rFonts w:ascii="等线" w:hAnsi="等线"/>
      <w:sz w:val="21"/>
      <w:szCs w:val="21"/>
    </w:rPr>
  </w:style>
  <w:style w:type="paragraph" w:styleId="20">
    <w:name w:val="toc 2"/>
    <w:next w:val="a"/>
    <w:uiPriority w:val="29"/>
    <w:unhideWhenUsed/>
    <w:qFormat/>
    <w:pPr>
      <w:ind w:left="425"/>
      <w:jc w:val="both"/>
    </w:pPr>
    <w:rPr>
      <w:rFonts w:ascii="等线" w:hAnsi="等线"/>
      <w:sz w:val="21"/>
      <w:szCs w:val="21"/>
    </w:rPr>
  </w:style>
  <w:style w:type="paragraph" w:styleId="90">
    <w:name w:val="toc 9"/>
    <w:next w:val="a"/>
    <w:uiPriority w:val="36"/>
    <w:unhideWhenUsed/>
    <w:qFormat/>
    <w:pPr>
      <w:ind w:left="3400"/>
      <w:jc w:val="both"/>
    </w:pPr>
    <w:rPr>
      <w:rFonts w:ascii="等线" w:hAnsi="等线"/>
      <w:sz w:val="21"/>
      <w:szCs w:val="21"/>
    </w:rPr>
  </w:style>
  <w:style w:type="paragraph" w:styleId="a9">
    <w:name w:val="Normal (Web)"/>
    <w:basedOn w:val="a"/>
    <w:uiPriority w:val="99"/>
    <w:semiHidden/>
    <w:unhideWhenUsed/>
    <w:rPr>
      <w:rFonts w:ascii="Times New Roman" w:hAnsi="Times New Roman"/>
      <w:sz w:val="24"/>
      <w:szCs w:val="24"/>
    </w:rPr>
  </w:style>
  <w:style w:type="paragraph" w:styleId="aa">
    <w:name w:val="Title"/>
    <w:uiPriority w:val="6"/>
    <w:qFormat/>
    <w:pPr>
      <w:jc w:val="center"/>
    </w:pPr>
    <w:rPr>
      <w:rFonts w:ascii="等线" w:hAnsi="等线"/>
      <w:b/>
      <w:sz w:val="32"/>
      <w:szCs w:val="32"/>
    </w:rPr>
  </w:style>
  <w:style w:type="paragraph" w:styleId="ab">
    <w:name w:val="annotation subject"/>
    <w:basedOn w:val="a3"/>
    <w:next w:val="a3"/>
    <w:link w:val="Char4"/>
    <w:uiPriority w:val="99"/>
    <w:semiHidden/>
    <w:unhideWhenUsed/>
    <w:qFormat/>
    <w:rPr>
      <w:b/>
      <w:bCs/>
    </w:rPr>
  </w:style>
  <w:style w:type="table" w:styleId="ac">
    <w:name w:val="Table Grid"/>
    <w:basedOn w:val="a1"/>
    <w:uiPriority w:val="38"/>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uiPriority w:val="22"/>
    <w:qFormat/>
    <w:rPr>
      <w:b/>
      <w:w w:val="100"/>
      <w:sz w:val="21"/>
      <w:szCs w:val="21"/>
      <w:shd w:val="clear" w:color="auto" w:fill="auto"/>
    </w:rPr>
  </w:style>
  <w:style w:type="character" w:styleId="ae">
    <w:name w:val="Emphasis"/>
    <w:uiPriority w:val="20"/>
    <w:qFormat/>
    <w:rPr>
      <w:i/>
      <w:w w:val="100"/>
      <w:sz w:val="21"/>
      <w:szCs w:val="21"/>
      <w:shd w:val="clear" w:color="auto" w:fill="auto"/>
    </w:rPr>
  </w:style>
  <w:style w:type="character" w:styleId="af">
    <w:name w:val="Hyperlink"/>
    <w:basedOn w:val="a0"/>
    <w:unhideWhenUsed/>
    <w:qFormat/>
    <w:rPr>
      <w:color w:val="0563C1" w:themeColor="hyperlink"/>
      <w:w w:val="100"/>
      <w:sz w:val="20"/>
      <w:szCs w:val="20"/>
      <w:u w:val="single"/>
      <w:shd w:val="clear" w:color="auto" w:fill="auto"/>
    </w:rPr>
  </w:style>
  <w:style w:type="character" w:styleId="af0">
    <w:name w:val="annotation reference"/>
    <w:basedOn w:val="a0"/>
    <w:uiPriority w:val="99"/>
    <w:unhideWhenUsed/>
    <w:qFormat/>
    <w:rPr>
      <w:sz w:val="21"/>
      <w:szCs w:val="21"/>
    </w:rPr>
  </w:style>
  <w:style w:type="paragraph" w:styleId="af1">
    <w:name w:val="No Spacing"/>
    <w:uiPriority w:val="5"/>
    <w:qFormat/>
    <w:pPr>
      <w:jc w:val="both"/>
    </w:pPr>
    <w:rPr>
      <w:rFonts w:ascii="等线" w:hAnsi="等线"/>
      <w:sz w:val="21"/>
      <w:szCs w:val="21"/>
    </w:rPr>
  </w:style>
  <w:style w:type="character" w:customStyle="1" w:styleId="11">
    <w:name w:val="不明显强调1"/>
    <w:uiPriority w:val="17"/>
    <w:qFormat/>
    <w:rPr>
      <w:i/>
      <w:color w:val="404040"/>
      <w:w w:val="100"/>
      <w:sz w:val="21"/>
      <w:szCs w:val="21"/>
      <w:shd w:val="clear" w:color="auto" w:fill="auto"/>
    </w:rPr>
  </w:style>
  <w:style w:type="character" w:customStyle="1" w:styleId="12">
    <w:name w:val="明显强调1"/>
    <w:uiPriority w:val="19"/>
    <w:qFormat/>
    <w:rPr>
      <w:i/>
      <w:color w:val="5B9BD5"/>
      <w:w w:val="100"/>
      <w:sz w:val="21"/>
      <w:szCs w:val="21"/>
      <w:shd w:val="clear" w:color="auto" w:fill="auto"/>
    </w:rPr>
  </w:style>
  <w:style w:type="paragraph" w:styleId="af2">
    <w:name w:val="Quote"/>
    <w:uiPriority w:val="21"/>
    <w:qFormat/>
    <w:pPr>
      <w:ind w:left="864" w:right="864"/>
      <w:jc w:val="center"/>
    </w:pPr>
    <w:rPr>
      <w:rFonts w:ascii="等线" w:hAnsi="等线"/>
      <w:i/>
      <w:color w:val="404040"/>
      <w:sz w:val="21"/>
      <w:szCs w:val="21"/>
    </w:rPr>
  </w:style>
  <w:style w:type="paragraph" w:styleId="af3">
    <w:name w:val="Intense Quote"/>
    <w:uiPriority w:val="22"/>
    <w:qFormat/>
    <w:pPr>
      <w:ind w:left="950" w:right="950"/>
      <w:jc w:val="center"/>
    </w:pPr>
    <w:rPr>
      <w:rFonts w:ascii="等线" w:hAnsi="等线"/>
      <w:i/>
      <w:color w:val="5B9BD5"/>
      <w:sz w:val="21"/>
      <w:szCs w:val="21"/>
    </w:rPr>
  </w:style>
  <w:style w:type="character" w:customStyle="1" w:styleId="13">
    <w:name w:val="不明显参考1"/>
    <w:uiPriority w:val="23"/>
    <w:qFormat/>
    <w:rPr>
      <w:smallCaps/>
      <w:color w:val="5A5A5A"/>
      <w:w w:val="100"/>
      <w:sz w:val="21"/>
      <w:szCs w:val="21"/>
      <w:shd w:val="clear" w:color="auto" w:fill="auto"/>
    </w:rPr>
  </w:style>
  <w:style w:type="character" w:customStyle="1" w:styleId="14">
    <w:name w:val="明显参考1"/>
    <w:uiPriority w:val="24"/>
    <w:qFormat/>
    <w:rPr>
      <w:b/>
      <w:smallCaps/>
      <w:color w:val="5B9BD5"/>
      <w:w w:val="100"/>
      <w:sz w:val="21"/>
      <w:szCs w:val="21"/>
      <w:shd w:val="clear" w:color="auto" w:fill="auto"/>
    </w:rPr>
  </w:style>
  <w:style w:type="character" w:customStyle="1" w:styleId="15">
    <w:name w:val="书籍标题1"/>
    <w:uiPriority w:val="25"/>
    <w:qFormat/>
    <w:rPr>
      <w:b/>
      <w:i/>
      <w:w w:val="100"/>
      <w:sz w:val="21"/>
      <w:szCs w:val="21"/>
      <w:shd w:val="clear" w:color="auto" w:fill="auto"/>
    </w:rPr>
  </w:style>
  <w:style w:type="paragraph" w:styleId="af4">
    <w:name w:val="List Paragraph"/>
    <w:uiPriority w:val="26"/>
    <w:qFormat/>
    <w:pPr>
      <w:ind w:left="850"/>
      <w:jc w:val="both"/>
    </w:pPr>
    <w:rPr>
      <w:rFonts w:ascii="等线" w:hAnsi="等线"/>
      <w:sz w:val="21"/>
      <w:szCs w:val="21"/>
    </w:rPr>
  </w:style>
  <w:style w:type="paragraph" w:customStyle="1" w:styleId="TOC1">
    <w:name w:val="TOC 标题1"/>
    <w:uiPriority w:val="27"/>
    <w:unhideWhenUsed/>
    <w:qFormat/>
    <w:rPr>
      <w:rFonts w:ascii="等线" w:hAnsi="等线"/>
      <w:color w:val="2E74B5"/>
      <w:sz w:val="32"/>
      <w:szCs w:val="32"/>
    </w:rPr>
  </w:style>
  <w:style w:type="character" w:customStyle="1" w:styleId="Char3">
    <w:name w:val="页眉 Char"/>
    <w:basedOn w:val="a0"/>
    <w:link w:val="a7"/>
    <w:qFormat/>
    <w:rPr>
      <w:w w:val="100"/>
      <w:sz w:val="18"/>
      <w:szCs w:val="18"/>
      <w:shd w:val="clear" w:color="auto" w:fill="auto"/>
    </w:rPr>
  </w:style>
  <w:style w:type="character" w:customStyle="1" w:styleId="Char2">
    <w:name w:val="页脚 Char"/>
    <w:basedOn w:val="a0"/>
    <w:link w:val="a6"/>
    <w:uiPriority w:val="99"/>
    <w:qFormat/>
    <w:rPr>
      <w:w w:val="100"/>
      <w:sz w:val="18"/>
      <w:szCs w:val="18"/>
      <w:shd w:val="clear" w:color="auto" w:fill="auto"/>
    </w:rPr>
  </w:style>
  <w:style w:type="paragraph" w:customStyle="1" w:styleId="EndNoteBibliographyTitle">
    <w:name w:val="EndNote Bibliography Title"/>
    <w:basedOn w:val="a"/>
    <w:link w:val="EndNoteBibliographyTitle0"/>
    <w:qFormat/>
    <w:pPr>
      <w:jc w:val="center"/>
    </w:pPr>
    <w:rPr>
      <w:sz w:val="20"/>
      <w:szCs w:val="20"/>
    </w:rPr>
  </w:style>
  <w:style w:type="character" w:customStyle="1" w:styleId="EndNoteBibliographyTitle0">
    <w:name w:val="EndNote Bibliography Title 字符"/>
    <w:basedOn w:val="a0"/>
    <w:link w:val="EndNoteBibliographyTitle"/>
    <w:qFormat/>
    <w:rPr>
      <w:rFonts w:ascii="宋体" w:eastAsia="等线" w:hAnsi="宋体"/>
      <w:w w:val="100"/>
      <w:sz w:val="20"/>
      <w:szCs w:val="20"/>
      <w:shd w:val="clear" w:color="auto" w:fill="auto"/>
    </w:rPr>
  </w:style>
  <w:style w:type="paragraph" w:customStyle="1" w:styleId="EndNoteBibliography">
    <w:name w:val="EndNote Bibliography"/>
    <w:basedOn w:val="a"/>
    <w:link w:val="EndNoteBibliography0"/>
    <w:qFormat/>
    <w:rPr>
      <w:sz w:val="20"/>
      <w:szCs w:val="20"/>
    </w:rPr>
  </w:style>
  <w:style w:type="character" w:customStyle="1" w:styleId="EndNoteBibliography0">
    <w:name w:val="EndNote Bibliography 字符"/>
    <w:basedOn w:val="a0"/>
    <w:link w:val="EndNoteBibliography"/>
    <w:qFormat/>
    <w:rPr>
      <w:rFonts w:ascii="宋体" w:eastAsia="等线" w:hAnsi="宋体"/>
      <w:w w:val="100"/>
      <w:sz w:val="20"/>
      <w:szCs w:val="20"/>
      <w:shd w:val="clear" w:color="auto" w:fill="auto"/>
    </w:rPr>
  </w:style>
  <w:style w:type="character" w:customStyle="1" w:styleId="16">
    <w:name w:val="未处理的提及1"/>
    <w:basedOn w:val="a0"/>
    <w:semiHidden/>
    <w:unhideWhenUsed/>
    <w:qFormat/>
    <w:rPr>
      <w:color w:val="808080"/>
      <w:w w:val="100"/>
      <w:sz w:val="20"/>
      <w:szCs w:val="20"/>
      <w:shd w:val="clear" w:color="000000" w:fill="E6E6E6"/>
    </w:rPr>
  </w:style>
  <w:style w:type="character" w:customStyle="1" w:styleId="Char0">
    <w:name w:val="正文文本 Char"/>
    <w:basedOn w:val="a0"/>
    <w:link w:val="a4"/>
    <w:semiHidden/>
    <w:qFormat/>
    <w:rPr>
      <w:rFonts w:ascii="等线" w:eastAsia="等线" w:hAnsi="等线"/>
      <w:w w:val="100"/>
      <w:sz w:val="21"/>
      <w:szCs w:val="21"/>
      <w:shd w:val="clear" w:color="auto" w:fill="auto"/>
    </w:rPr>
  </w:style>
  <w:style w:type="character" w:customStyle="1" w:styleId="apple-converted-space">
    <w:name w:val="apple-converted-space"/>
    <w:basedOn w:val="a0"/>
    <w:qFormat/>
  </w:style>
  <w:style w:type="character" w:customStyle="1" w:styleId="21">
    <w:name w:val="未处理的提及2"/>
    <w:basedOn w:val="a0"/>
    <w:semiHidden/>
    <w:unhideWhenUsed/>
    <w:qFormat/>
    <w:rPr>
      <w:color w:val="808080"/>
      <w:w w:val="100"/>
      <w:sz w:val="20"/>
      <w:szCs w:val="20"/>
      <w:shd w:val="clear" w:color="000000" w:fill="E6E6E6"/>
    </w:rPr>
  </w:style>
  <w:style w:type="character" w:customStyle="1" w:styleId="Char1">
    <w:name w:val="批注框文本 Char"/>
    <w:basedOn w:val="a0"/>
    <w:link w:val="a5"/>
    <w:semiHidden/>
    <w:qFormat/>
    <w:rPr>
      <w:rFonts w:ascii="Segoe UI" w:eastAsia="等线" w:hAnsi="Segoe UI"/>
      <w:w w:val="100"/>
      <w:sz w:val="18"/>
      <w:szCs w:val="18"/>
      <w:shd w:val="clear" w:color="auto" w:fill="auto"/>
    </w:rPr>
  </w:style>
  <w:style w:type="paragraph" w:customStyle="1" w:styleId="Default">
    <w:name w:val="Default"/>
    <w:qFormat/>
    <w:pPr>
      <w:autoSpaceDE w:val="0"/>
      <w:autoSpaceDN w:val="0"/>
    </w:pPr>
    <w:rPr>
      <w:rFonts w:ascii="黑体" w:eastAsia="黑体" w:hAnsi="黑体"/>
      <w:color w:val="000000"/>
      <w:sz w:val="24"/>
      <w:szCs w:val="24"/>
    </w:rPr>
  </w:style>
  <w:style w:type="character" w:customStyle="1" w:styleId="Char">
    <w:name w:val="批注文字 Char"/>
    <w:basedOn w:val="a0"/>
    <w:link w:val="a3"/>
    <w:uiPriority w:val="99"/>
    <w:qFormat/>
    <w:rPr>
      <w:rFonts w:ascii="等线" w:eastAsia="等线" w:hAnsi="等线"/>
      <w:sz w:val="21"/>
      <w:szCs w:val="21"/>
    </w:rPr>
  </w:style>
  <w:style w:type="character" w:customStyle="1" w:styleId="Char4">
    <w:name w:val="批注主题 Char"/>
    <w:basedOn w:val="Char"/>
    <w:link w:val="ab"/>
    <w:uiPriority w:val="99"/>
    <w:semiHidden/>
    <w:qFormat/>
    <w:rPr>
      <w:rFonts w:ascii="等线" w:eastAsia="等线" w:hAnsi="等线"/>
      <w:b/>
      <w:bCs/>
      <w:sz w:val="21"/>
      <w:szCs w:val="21"/>
    </w:rPr>
  </w:style>
  <w:style w:type="paragraph" w:customStyle="1" w:styleId="17">
    <w:name w:val="正文1"/>
    <w:uiPriority w:val="99"/>
    <w:qFormat/>
    <w:pPr>
      <w:spacing w:line="276" w:lineRule="auto"/>
    </w:pPr>
    <w:rPr>
      <w:rFonts w:ascii="Arial" w:hAnsi="Arial" w:cs="Arial"/>
      <w:color w:val="000000"/>
      <w:sz w:val="22"/>
      <w:lang w:val="pl-PL" w:eastAsia="pl-PL"/>
    </w:rPr>
  </w:style>
  <w:style w:type="character" w:customStyle="1" w:styleId="18">
    <w:name w:val="批注文字 字符1"/>
    <w:basedOn w:val="a0"/>
    <w:uiPriority w:val="99"/>
    <w:qFormat/>
    <w:rPr>
      <w:rFonts w:ascii="Calibri" w:eastAsia="宋体" w:hAnsi="Calibri" w:cs="Times New Roman"/>
      <w:kern w:val="0"/>
      <w:sz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1" w:unhideWhenUsed="0" w:qFormat="1"/>
    <w:lsdException w:name="heading 1" w:uiPriority="7" w:unhideWhenUsed="0" w:qFormat="1"/>
    <w:lsdException w:name="heading 2" w:uiPriority="8" w:unhideWhenUsed="0" w:qFormat="1"/>
    <w:lsdException w:name="heading 3" w:uiPriority="9" w:unhideWhenUsed="0" w:qFormat="1"/>
    <w:lsdException w:name="heading 4" w:uiPriority="10" w:unhideWhenUsed="0" w:qFormat="1"/>
    <w:lsdException w:name="heading 5" w:uiPriority="11" w:unhideWhenUsed="0" w:qFormat="1"/>
    <w:lsdException w:name="heading 6" w:uiPriority="12" w:unhideWhenUsed="0" w:qFormat="1"/>
    <w:lsdException w:name="heading 7" w:uiPriority="13" w:unhideWhenUsed="0" w:qFormat="1"/>
    <w:lsdException w:name="heading 8" w:uiPriority="14" w:unhideWhenUsed="0" w:qFormat="1"/>
    <w:lsdException w:name="heading 9" w:uiPriority="15"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28" w:qFormat="1"/>
    <w:lsdException w:name="toc 2" w:uiPriority="29" w:qFormat="1"/>
    <w:lsdException w:name="toc 3" w:uiPriority="30" w:qFormat="1"/>
    <w:lsdException w:name="toc 4" w:uiPriority="31" w:qFormat="1"/>
    <w:lsdException w:name="toc 5" w:uiPriority="32" w:qFormat="1"/>
    <w:lsdException w:name="toc 6" w:uiPriority="33" w:qFormat="1"/>
    <w:lsdException w:name="toc 7" w:uiPriority="34" w:qFormat="1"/>
    <w:lsdException w:name="toc 8" w:uiPriority="35" w:qFormat="1"/>
    <w:lsdException w:name="toc 9" w:uiPriority="36" w:qFormat="1"/>
    <w:lsdException w:name="Normal Indent" w:semiHidden="1"/>
    <w:lsdException w:name="footnote text" w:semiHidden="1"/>
    <w:lsdException w:name="annotation text" w:qFormat="1"/>
    <w:lsdException w:name="header" w:uiPriority="0"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6" w:unhideWhenUsed="0" w:qFormat="1"/>
    <w:lsdException w:name="Closing" w:semiHidden="1"/>
    <w:lsdException w:name="Signature" w:semiHidden="1"/>
    <w:lsdException w:name="Default Paragraph Font" w:semiHidden="1" w:uiPriority="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6"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0"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qFormat="1"/>
    <w:lsdException w:name="Table Grid" w:semiHidden="1" w:uiPriority="38" w:qFormat="1"/>
    <w:lsdException w:name="Table Theme" w:semiHidden="1"/>
    <w:lsdException w:name="Placeholder Text" w:semiHidden="1" w:unhideWhenUsed="0"/>
    <w:lsdException w:name="No Spacing" w:uiPriority="5"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26" w:unhideWhenUsed="0" w:qFormat="1"/>
    <w:lsdException w:name="Quote" w:uiPriority="21" w:unhideWhenUsed="0" w:qFormat="1"/>
    <w:lsdException w:name="Intense Quote" w:uiPriority="22"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uiPriority w:val="1"/>
    <w:qFormat/>
    <w:pPr>
      <w:jc w:val="both"/>
    </w:pPr>
    <w:rPr>
      <w:rFonts w:ascii="等线" w:eastAsia="等线" w:hAnsi="等线"/>
      <w:sz w:val="21"/>
      <w:szCs w:val="21"/>
    </w:rPr>
  </w:style>
  <w:style w:type="paragraph" w:styleId="1">
    <w:name w:val="heading 1"/>
    <w:next w:val="a"/>
    <w:uiPriority w:val="7"/>
    <w:qFormat/>
    <w:pPr>
      <w:jc w:val="both"/>
      <w:outlineLvl w:val="0"/>
    </w:pPr>
    <w:rPr>
      <w:rFonts w:ascii="等线" w:hAnsi="等线"/>
      <w:sz w:val="28"/>
      <w:szCs w:val="28"/>
    </w:rPr>
  </w:style>
  <w:style w:type="paragraph" w:styleId="2">
    <w:name w:val="heading 2"/>
    <w:next w:val="a"/>
    <w:uiPriority w:val="8"/>
    <w:qFormat/>
    <w:pPr>
      <w:jc w:val="both"/>
      <w:outlineLvl w:val="1"/>
    </w:pPr>
    <w:rPr>
      <w:rFonts w:ascii="等线" w:hAnsi="等线"/>
      <w:sz w:val="21"/>
      <w:szCs w:val="21"/>
    </w:rPr>
  </w:style>
  <w:style w:type="paragraph" w:styleId="3">
    <w:name w:val="heading 3"/>
    <w:next w:val="a"/>
    <w:uiPriority w:val="9"/>
    <w:qFormat/>
    <w:pPr>
      <w:ind w:left="1000" w:hanging="400"/>
      <w:jc w:val="both"/>
      <w:outlineLvl w:val="2"/>
    </w:pPr>
    <w:rPr>
      <w:rFonts w:ascii="等线" w:hAnsi="等线"/>
      <w:sz w:val="21"/>
      <w:szCs w:val="21"/>
    </w:rPr>
  </w:style>
  <w:style w:type="paragraph" w:styleId="4">
    <w:name w:val="heading 4"/>
    <w:next w:val="a"/>
    <w:uiPriority w:val="10"/>
    <w:qFormat/>
    <w:pPr>
      <w:ind w:left="1200" w:hanging="400"/>
      <w:jc w:val="both"/>
      <w:outlineLvl w:val="3"/>
    </w:pPr>
    <w:rPr>
      <w:rFonts w:ascii="等线" w:hAnsi="等线"/>
      <w:b/>
      <w:sz w:val="21"/>
      <w:szCs w:val="21"/>
    </w:rPr>
  </w:style>
  <w:style w:type="paragraph" w:styleId="5">
    <w:name w:val="heading 5"/>
    <w:next w:val="a"/>
    <w:uiPriority w:val="11"/>
    <w:qFormat/>
    <w:pPr>
      <w:ind w:left="1400" w:hanging="400"/>
      <w:jc w:val="both"/>
      <w:outlineLvl w:val="4"/>
    </w:pPr>
    <w:rPr>
      <w:rFonts w:ascii="等线" w:hAnsi="等线"/>
      <w:sz w:val="21"/>
      <w:szCs w:val="21"/>
    </w:rPr>
  </w:style>
  <w:style w:type="paragraph" w:styleId="6">
    <w:name w:val="heading 6"/>
    <w:next w:val="a"/>
    <w:uiPriority w:val="12"/>
    <w:qFormat/>
    <w:pPr>
      <w:ind w:left="1600" w:hanging="400"/>
      <w:jc w:val="both"/>
      <w:outlineLvl w:val="5"/>
    </w:pPr>
    <w:rPr>
      <w:rFonts w:ascii="等线" w:hAnsi="等线"/>
      <w:b/>
      <w:sz w:val="21"/>
      <w:szCs w:val="21"/>
    </w:rPr>
  </w:style>
  <w:style w:type="paragraph" w:styleId="7">
    <w:name w:val="heading 7"/>
    <w:next w:val="a"/>
    <w:uiPriority w:val="13"/>
    <w:qFormat/>
    <w:pPr>
      <w:ind w:left="1800" w:hanging="400"/>
      <w:jc w:val="both"/>
      <w:outlineLvl w:val="6"/>
    </w:pPr>
    <w:rPr>
      <w:rFonts w:ascii="等线" w:hAnsi="等线"/>
      <w:sz w:val="21"/>
      <w:szCs w:val="21"/>
    </w:rPr>
  </w:style>
  <w:style w:type="paragraph" w:styleId="8">
    <w:name w:val="heading 8"/>
    <w:next w:val="a"/>
    <w:uiPriority w:val="14"/>
    <w:qFormat/>
    <w:pPr>
      <w:ind w:left="2000" w:hanging="400"/>
      <w:jc w:val="both"/>
      <w:outlineLvl w:val="7"/>
    </w:pPr>
    <w:rPr>
      <w:rFonts w:ascii="等线" w:hAnsi="等线"/>
      <w:sz w:val="21"/>
      <w:szCs w:val="21"/>
    </w:rPr>
  </w:style>
  <w:style w:type="paragraph" w:styleId="9">
    <w:name w:val="heading 9"/>
    <w:next w:val="a"/>
    <w:uiPriority w:val="15"/>
    <w:qFormat/>
    <w:pPr>
      <w:ind w:left="2200" w:hanging="400"/>
      <w:jc w:val="both"/>
      <w:outlineLvl w:val="8"/>
    </w:pPr>
    <w:rPr>
      <w:rFonts w:ascii="等线" w:hAnsi="等线"/>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next w:val="a"/>
    <w:uiPriority w:val="34"/>
    <w:unhideWhenUsed/>
    <w:qFormat/>
    <w:pPr>
      <w:ind w:left="2550"/>
      <w:jc w:val="both"/>
    </w:pPr>
    <w:rPr>
      <w:rFonts w:ascii="等线" w:hAnsi="等线"/>
      <w:sz w:val="21"/>
      <w:szCs w:val="21"/>
    </w:rPr>
  </w:style>
  <w:style w:type="paragraph" w:styleId="a3">
    <w:name w:val="annotation text"/>
    <w:basedOn w:val="a"/>
    <w:link w:val="Char"/>
    <w:uiPriority w:val="99"/>
    <w:unhideWhenUsed/>
    <w:qFormat/>
    <w:pPr>
      <w:jc w:val="left"/>
    </w:pPr>
  </w:style>
  <w:style w:type="paragraph" w:styleId="a4">
    <w:name w:val="Body Text"/>
    <w:basedOn w:val="a"/>
    <w:link w:val="Char0"/>
    <w:semiHidden/>
    <w:unhideWhenUsed/>
    <w:qFormat/>
  </w:style>
  <w:style w:type="paragraph" w:styleId="50">
    <w:name w:val="toc 5"/>
    <w:next w:val="a"/>
    <w:uiPriority w:val="32"/>
    <w:unhideWhenUsed/>
    <w:qFormat/>
    <w:pPr>
      <w:ind w:left="1700"/>
      <w:jc w:val="both"/>
    </w:pPr>
    <w:rPr>
      <w:rFonts w:ascii="等线" w:hAnsi="等线"/>
      <w:sz w:val="21"/>
      <w:szCs w:val="21"/>
    </w:rPr>
  </w:style>
  <w:style w:type="paragraph" w:styleId="30">
    <w:name w:val="toc 3"/>
    <w:next w:val="a"/>
    <w:uiPriority w:val="30"/>
    <w:unhideWhenUsed/>
    <w:qFormat/>
    <w:pPr>
      <w:ind w:left="850"/>
      <w:jc w:val="both"/>
    </w:pPr>
    <w:rPr>
      <w:rFonts w:ascii="等线" w:hAnsi="等线"/>
      <w:sz w:val="21"/>
      <w:szCs w:val="21"/>
    </w:rPr>
  </w:style>
  <w:style w:type="paragraph" w:styleId="80">
    <w:name w:val="toc 8"/>
    <w:next w:val="a"/>
    <w:uiPriority w:val="35"/>
    <w:unhideWhenUsed/>
    <w:qFormat/>
    <w:pPr>
      <w:ind w:left="2975"/>
      <w:jc w:val="both"/>
    </w:pPr>
    <w:rPr>
      <w:rFonts w:ascii="等线" w:hAnsi="等线"/>
      <w:sz w:val="21"/>
      <w:szCs w:val="21"/>
    </w:rPr>
  </w:style>
  <w:style w:type="paragraph" w:styleId="a5">
    <w:name w:val="Balloon Text"/>
    <w:basedOn w:val="a"/>
    <w:link w:val="Char1"/>
    <w:semiHidden/>
    <w:unhideWhenUsed/>
    <w:qFormat/>
    <w:rPr>
      <w:rFonts w:ascii="Segoe UI" w:eastAsia="Segoe UI" w:hAnsi="Segoe UI"/>
      <w:sz w:val="18"/>
      <w:szCs w:val="18"/>
    </w:rPr>
  </w:style>
  <w:style w:type="paragraph" w:styleId="a6">
    <w:name w:val="footer"/>
    <w:basedOn w:val="a"/>
    <w:link w:val="Char2"/>
    <w:uiPriority w:val="99"/>
    <w:unhideWhenUsed/>
    <w:qFormat/>
    <w:pPr>
      <w:tabs>
        <w:tab w:val="center" w:pos="4153"/>
        <w:tab w:val="right" w:pos="8306"/>
      </w:tabs>
    </w:pPr>
    <w:rPr>
      <w:sz w:val="18"/>
      <w:szCs w:val="18"/>
    </w:rPr>
  </w:style>
  <w:style w:type="paragraph" w:styleId="a7">
    <w:name w:val="header"/>
    <w:basedOn w:val="a"/>
    <w:link w:val="Char3"/>
    <w:unhideWhenUsed/>
    <w:qFormat/>
    <w:pPr>
      <w:tabs>
        <w:tab w:val="center" w:pos="4153"/>
        <w:tab w:val="right" w:pos="8306"/>
      </w:tabs>
      <w:jc w:val="center"/>
    </w:pPr>
    <w:rPr>
      <w:sz w:val="18"/>
      <w:szCs w:val="18"/>
    </w:rPr>
  </w:style>
  <w:style w:type="paragraph" w:styleId="10">
    <w:name w:val="toc 1"/>
    <w:next w:val="a"/>
    <w:uiPriority w:val="28"/>
    <w:unhideWhenUsed/>
    <w:qFormat/>
    <w:pPr>
      <w:jc w:val="both"/>
    </w:pPr>
    <w:rPr>
      <w:rFonts w:ascii="等线" w:hAnsi="等线"/>
      <w:sz w:val="21"/>
      <w:szCs w:val="21"/>
    </w:rPr>
  </w:style>
  <w:style w:type="paragraph" w:styleId="40">
    <w:name w:val="toc 4"/>
    <w:next w:val="a"/>
    <w:uiPriority w:val="31"/>
    <w:unhideWhenUsed/>
    <w:qFormat/>
    <w:pPr>
      <w:ind w:left="1275"/>
      <w:jc w:val="both"/>
    </w:pPr>
    <w:rPr>
      <w:rFonts w:ascii="等线" w:hAnsi="等线"/>
      <w:sz w:val="21"/>
      <w:szCs w:val="21"/>
    </w:rPr>
  </w:style>
  <w:style w:type="paragraph" w:styleId="a8">
    <w:name w:val="Subtitle"/>
    <w:uiPriority w:val="16"/>
    <w:qFormat/>
    <w:pPr>
      <w:jc w:val="center"/>
    </w:pPr>
    <w:rPr>
      <w:rFonts w:ascii="等线" w:hAnsi="等线"/>
      <w:sz w:val="24"/>
      <w:szCs w:val="24"/>
    </w:rPr>
  </w:style>
  <w:style w:type="paragraph" w:styleId="60">
    <w:name w:val="toc 6"/>
    <w:next w:val="a"/>
    <w:uiPriority w:val="33"/>
    <w:unhideWhenUsed/>
    <w:qFormat/>
    <w:pPr>
      <w:ind w:left="2125"/>
      <w:jc w:val="both"/>
    </w:pPr>
    <w:rPr>
      <w:rFonts w:ascii="等线" w:hAnsi="等线"/>
      <w:sz w:val="21"/>
      <w:szCs w:val="21"/>
    </w:rPr>
  </w:style>
  <w:style w:type="paragraph" w:styleId="20">
    <w:name w:val="toc 2"/>
    <w:next w:val="a"/>
    <w:uiPriority w:val="29"/>
    <w:unhideWhenUsed/>
    <w:qFormat/>
    <w:pPr>
      <w:ind w:left="425"/>
      <w:jc w:val="both"/>
    </w:pPr>
    <w:rPr>
      <w:rFonts w:ascii="等线" w:hAnsi="等线"/>
      <w:sz w:val="21"/>
      <w:szCs w:val="21"/>
    </w:rPr>
  </w:style>
  <w:style w:type="paragraph" w:styleId="90">
    <w:name w:val="toc 9"/>
    <w:next w:val="a"/>
    <w:uiPriority w:val="36"/>
    <w:unhideWhenUsed/>
    <w:qFormat/>
    <w:pPr>
      <w:ind w:left="3400"/>
      <w:jc w:val="both"/>
    </w:pPr>
    <w:rPr>
      <w:rFonts w:ascii="等线" w:hAnsi="等线"/>
      <w:sz w:val="21"/>
      <w:szCs w:val="21"/>
    </w:rPr>
  </w:style>
  <w:style w:type="paragraph" w:styleId="a9">
    <w:name w:val="Normal (Web)"/>
    <w:basedOn w:val="a"/>
    <w:uiPriority w:val="99"/>
    <w:semiHidden/>
    <w:unhideWhenUsed/>
    <w:rPr>
      <w:rFonts w:ascii="Times New Roman" w:hAnsi="Times New Roman"/>
      <w:sz w:val="24"/>
      <w:szCs w:val="24"/>
    </w:rPr>
  </w:style>
  <w:style w:type="paragraph" w:styleId="aa">
    <w:name w:val="Title"/>
    <w:uiPriority w:val="6"/>
    <w:qFormat/>
    <w:pPr>
      <w:jc w:val="center"/>
    </w:pPr>
    <w:rPr>
      <w:rFonts w:ascii="等线" w:hAnsi="等线"/>
      <w:b/>
      <w:sz w:val="32"/>
      <w:szCs w:val="32"/>
    </w:rPr>
  </w:style>
  <w:style w:type="paragraph" w:styleId="ab">
    <w:name w:val="annotation subject"/>
    <w:basedOn w:val="a3"/>
    <w:next w:val="a3"/>
    <w:link w:val="Char4"/>
    <w:uiPriority w:val="99"/>
    <w:semiHidden/>
    <w:unhideWhenUsed/>
    <w:qFormat/>
    <w:rPr>
      <w:b/>
      <w:bCs/>
    </w:rPr>
  </w:style>
  <w:style w:type="table" w:styleId="ac">
    <w:name w:val="Table Grid"/>
    <w:basedOn w:val="a1"/>
    <w:uiPriority w:val="38"/>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uiPriority w:val="22"/>
    <w:qFormat/>
    <w:rPr>
      <w:b/>
      <w:w w:val="100"/>
      <w:sz w:val="21"/>
      <w:szCs w:val="21"/>
      <w:shd w:val="clear" w:color="auto" w:fill="auto"/>
    </w:rPr>
  </w:style>
  <w:style w:type="character" w:styleId="ae">
    <w:name w:val="Emphasis"/>
    <w:uiPriority w:val="20"/>
    <w:qFormat/>
    <w:rPr>
      <w:i/>
      <w:w w:val="100"/>
      <w:sz w:val="21"/>
      <w:szCs w:val="21"/>
      <w:shd w:val="clear" w:color="auto" w:fill="auto"/>
    </w:rPr>
  </w:style>
  <w:style w:type="character" w:styleId="af">
    <w:name w:val="Hyperlink"/>
    <w:basedOn w:val="a0"/>
    <w:unhideWhenUsed/>
    <w:qFormat/>
    <w:rPr>
      <w:color w:val="0563C1" w:themeColor="hyperlink"/>
      <w:w w:val="100"/>
      <w:sz w:val="20"/>
      <w:szCs w:val="20"/>
      <w:u w:val="single"/>
      <w:shd w:val="clear" w:color="auto" w:fill="auto"/>
    </w:rPr>
  </w:style>
  <w:style w:type="character" w:styleId="af0">
    <w:name w:val="annotation reference"/>
    <w:basedOn w:val="a0"/>
    <w:uiPriority w:val="99"/>
    <w:unhideWhenUsed/>
    <w:qFormat/>
    <w:rPr>
      <w:sz w:val="21"/>
      <w:szCs w:val="21"/>
    </w:rPr>
  </w:style>
  <w:style w:type="paragraph" w:styleId="af1">
    <w:name w:val="No Spacing"/>
    <w:uiPriority w:val="5"/>
    <w:qFormat/>
    <w:pPr>
      <w:jc w:val="both"/>
    </w:pPr>
    <w:rPr>
      <w:rFonts w:ascii="等线" w:hAnsi="等线"/>
      <w:sz w:val="21"/>
      <w:szCs w:val="21"/>
    </w:rPr>
  </w:style>
  <w:style w:type="character" w:customStyle="1" w:styleId="11">
    <w:name w:val="不明显强调1"/>
    <w:uiPriority w:val="17"/>
    <w:qFormat/>
    <w:rPr>
      <w:i/>
      <w:color w:val="404040"/>
      <w:w w:val="100"/>
      <w:sz w:val="21"/>
      <w:szCs w:val="21"/>
      <w:shd w:val="clear" w:color="auto" w:fill="auto"/>
    </w:rPr>
  </w:style>
  <w:style w:type="character" w:customStyle="1" w:styleId="12">
    <w:name w:val="明显强调1"/>
    <w:uiPriority w:val="19"/>
    <w:qFormat/>
    <w:rPr>
      <w:i/>
      <w:color w:val="5B9BD5"/>
      <w:w w:val="100"/>
      <w:sz w:val="21"/>
      <w:szCs w:val="21"/>
      <w:shd w:val="clear" w:color="auto" w:fill="auto"/>
    </w:rPr>
  </w:style>
  <w:style w:type="paragraph" w:styleId="af2">
    <w:name w:val="Quote"/>
    <w:uiPriority w:val="21"/>
    <w:qFormat/>
    <w:pPr>
      <w:ind w:left="864" w:right="864"/>
      <w:jc w:val="center"/>
    </w:pPr>
    <w:rPr>
      <w:rFonts w:ascii="等线" w:hAnsi="等线"/>
      <w:i/>
      <w:color w:val="404040"/>
      <w:sz w:val="21"/>
      <w:szCs w:val="21"/>
    </w:rPr>
  </w:style>
  <w:style w:type="paragraph" w:styleId="af3">
    <w:name w:val="Intense Quote"/>
    <w:uiPriority w:val="22"/>
    <w:qFormat/>
    <w:pPr>
      <w:ind w:left="950" w:right="950"/>
      <w:jc w:val="center"/>
    </w:pPr>
    <w:rPr>
      <w:rFonts w:ascii="等线" w:hAnsi="等线"/>
      <w:i/>
      <w:color w:val="5B9BD5"/>
      <w:sz w:val="21"/>
      <w:szCs w:val="21"/>
    </w:rPr>
  </w:style>
  <w:style w:type="character" w:customStyle="1" w:styleId="13">
    <w:name w:val="不明显参考1"/>
    <w:uiPriority w:val="23"/>
    <w:qFormat/>
    <w:rPr>
      <w:smallCaps/>
      <w:color w:val="5A5A5A"/>
      <w:w w:val="100"/>
      <w:sz w:val="21"/>
      <w:szCs w:val="21"/>
      <w:shd w:val="clear" w:color="auto" w:fill="auto"/>
    </w:rPr>
  </w:style>
  <w:style w:type="character" w:customStyle="1" w:styleId="14">
    <w:name w:val="明显参考1"/>
    <w:uiPriority w:val="24"/>
    <w:qFormat/>
    <w:rPr>
      <w:b/>
      <w:smallCaps/>
      <w:color w:val="5B9BD5"/>
      <w:w w:val="100"/>
      <w:sz w:val="21"/>
      <w:szCs w:val="21"/>
      <w:shd w:val="clear" w:color="auto" w:fill="auto"/>
    </w:rPr>
  </w:style>
  <w:style w:type="character" w:customStyle="1" w:styleId="15">
    <w:name w:val="书籍标题1"/>
    <w:uiPriority w:val="25"/>
    <w:qFormat/>
    <w:rPr>
      <w:b/>
      <w:i/>
      <w:w w:val="100"/>
      <w:sz w:val="21"/>
      <w:szCs w:val="21"/>
      <w:shd w:val="clear" w:color="auto" w:fill="auto"/>
    </w:rPr>
  </w:style>
  <w:style w:type="paragraph" w:styleId="af4">
    <w:name w:val="List Paragraph"/>
    <w:uiPriority w:val="26"/>
    <w:qFormat/>
    <w:pPr>
      <w:ind w:left="850"/>
      <w:jc w:val="both"/>
    </w:pPr>
    <w:rPr>
      <w:rFonts w:ascii="等线" w:hAnsi="等线"/>
      <w:sz w:val="21"/>
      <w:szCs w:val="21"/>
    </w:rPr>
  </w:style>
  <w:style w:type="paragraph" w:customStyle="1" w:styleId="TOC1">
    <w:name w:val="TOC 标题1"/>
    <w:uiPriority w:val="27"/>
    <w:unhideWhenUsed/>
    <w:qFormat/>
    <w:rPr>
      <w:rFonts w:ascii="等线" w:hAnsi="等线"/>
      <w:color w:val="2E74B5"/>
      <w:sz w:val="32"/>
      <w:szCs w:val="32"/>
    </w:rPr>
  </w:style>
  <w:style w:type="character" w:customStyle="1" w:styleId="Char3">
    <w:name w:val="页眉 Char"/>
    <w:basedOn w:val="a0"/>
    <w:link w:val="a7"/>
    <w:qFormat/>
    <w:rPr>
      <w:w w:val="100"/>
      <w:sz w:val="18"/>
      <w:szCs w:val="18"/>
      <w:shd w:val="clear" w:color="auto" w:fill="auto"/>
    </w:rPr>
  </w:style>
  <w:style w:type="character" w:customStyle="1" w:styleId="Char2">
    <w:name w:val="页脚 Char"/>
    <w:basedOn w:val="a0"/>
    <w:link w:val="a6"/>
    <w:uiPriority w:val="99"/>
    <w:qFormat/>
    <w:rPr>
      <w:w w:val="100"/>
      <w:sz w:val="18"/>
      <w:szCs w:val="18"/>
      <w:shd w:val="clear" w:color="auto" w:fill="auto"/>
    </w:rPr>
  </w:style>
  <w:style w:type="paragraph" w:customStyle="1" w:styleId="EndNoteBibliographyTitle">
    <w:name w:val="EndNote Bibliography Title"/>
    <w:basedOn w:val="a"/>
    <w:link w:val="EndNoteBibliographyTitle0"/>
    <w:qFormat/>
    <w:pPr>
      <w:jc w:val="center"/>
    </w:pPr>
    <w:rPr>
      <w:sz w:val="20"/>
      <w:szCs w:val="20"/>
    </w:rPr>
  </w:style>
  <w:style w:type="character" w:customStyle="1" w:styleId="EndNoteBibliographyTitle0">
    <w:name w:val="EndNote Bibliography Title 字符"/>
    <w:basedOn w:val="a0"/>
    <w:link w:val="EndNoteBibliographyTitle"/>
    <w:qFormat/>
    <w:rPr>
      <w:rFonts w:ascii="宋体" w:eastAsia="等线" w:hAnsi="宋体"/>
      <w:w w:val="100"/>
      <w:sz w:val="20"/>
      <w:szCs w:val="20"/>
      <w:shd w:val="clear" w:color="auto" w:fill="auto"/>
    </w:rPr>
  </w:style>
  <w:style w:type="paragraph" w:customStyle="1" w:styleId="EndNoteBibliography">
    <w:name w:val="EndNote Bibliography"/>
    <w:basedOn w:val="a"/>
    <w:link w:val="EndNoteBibliography0"/>
    <w:qFormat/>
    <w:rPr>
      <w:sz w:val="20"/>
      <w:szCs w:val="20"/>
    </w:rPr>
  </w:style>
  <w:style w:type="character" w:customStyle="1" w:styleId="EndNoteBibliography0">
    <w:name w:val="EndNote Bibliography 字符"/>
    <w:basedOn w:val="a0"/>
    <w:link w:val="EndNoteBibliography"/>
    <w:qFormat/>
    <w:rPr>
      <w:rFonts w:ascii="宋体" w:eastAsia="等线" w:hAnsi="宋体"/>
      <w:w w:val="100"/>
      <w:sz w:val="20"/>
      <w:szCs w:val="20"/>
      <w:shd w:val="clear" w:color="auto" w:fill="auto"/>
    </w:rPr>
  </w:style>
  <w:style w:type="character" w:customStyle="1" w:styleId="16">
    <w:name w:val="未处理的提及1"/>
    <w:basedOn w:val="a0"/>
    <w:semiHidden/>
    <w:unhideWhenUsed/>
    <w:qFormat/>
    <w:rPr>
      <w:color w:val="808080"/>
      <w:w w:val="100"/>
      <w:sz w:val="20"/>
      <w:szCs w:val="20"/>
      <w:shd w:val="clear" w:color="000000" w:fill="E6E6E6"/>
    </w:rPr>
  </w:style>
  <w:style w:type="character" w:customStyle="1" w:styleId="Char0">
    <w:name w:val="正文文本 Char"/>
    <w:basedOn w:val="a0"/>
    <w:link w:val="a4"/>
    <w:semiHidden/>
    <w:qFormat/>
    <w:rPr>
      <w:rFonts w:ascii="等线" w:eastAsia="等线" w:hAnsi="等线"/>
      <w:w w:val="100"/>
      <w:sz w:val="21"/>
      <w:szCs w:val="21"/>
      <w:shd w:val="clear" w:color="auto" w:fill="auto"/>
    </w:rPr>
  </w:style>
  <w:style w:type="character" w:customStyle="1" w:styleId="apple-converted-space">
    <w:name w:val="apple-converted-space"/>
    <w:basedOn w:val="a0"/>
    <w:qFormat/>
  </w:style>
  <w:style w:type="character" w:customStyle="1" w:styleId="21">
    <w:name w:val="未处理的提及2"/>
    <w:basedOn w:val="a0"/>
    <w:semiHidden/>
    <w:unhideWhenUsed/>
    <w:qFormat/>
    <w:rPr>
      <w:color w:val="808080"/>
      <w:w w:val="100"/>
      <w:sz w:val="20"/>
      <w:szCs w:val="20"/>
      <w:shd w:val="clear" w:color="000000" w:fill="E6E6E6"/>
    </w:rPr>
  </w:style>
  <w:style w:type="character" w:customStyle="1" w:styleId="Char1">
    <w:name w:val="批注框文本 Char"/>
    <w:basedOn w:val="a0"/>
    <w:link w:val="a5"/>
    <w:semiHidden/>
    <w:qFormat/>
    <w:rPr>
      <w:rFonts w:ascii="Segoe UI" w:eastAsia="等线" w:hAnsi="Segoe UI"/>
      <w:w w:val="100"/>
      <w:sz w:val="18"/>
      <w:szCs w:val="18"/>
      <w:shd w:val="clear" w:color="auto" w:fill="auto"/>
    </w:rPr>
  </w:style>
  <w:style w:type="paragraph" w:customStyle="1" w:styleId="Default">
    <w:name w:val="Default"/>
    <w:qFormat/>
    <w:pPr>
      <w:autoSpaceDE w:val="0"/>
      <w:autoSpaceDN w:val="0"/>
    </w:pPr>
    <w:rPr>
      <w:rFonts w:ascii="黑体" w:eastAsia="黑体" w:hAnsi="黑体"/>
      <w:color w:val="000000"/>
      <w:sz w:val="24"/>
      <w:szCs w:val="24"/>
    </w:rPr>
  </w:style>
  <w:style w:type="character" w:customStyle="1" w:styleId="Char">
    <w:name w:val="批注文字 Char"/>
    <w:basedOn w:val="a0"/>
    <w:link w:val="a3"/>
    <w:uiPriority w:val="99"/>
    <w:qFormat/>
    <w:rPr>
      <w:rFonts w:ascii="等线" w:eastAsia="等线" w:hAnsi="等线"/>
      <w:sz w:val="21"/>
      <w:szCs w:val="21"/>
    </w:rPr>
  </w:style>
  <w:style w:type="character" w:customStyle="1" w:styleId="Char4">
    <w:name w:val="批注主题 Char"/>
    <w:basedOn w:val="Char"/>
    <w:link w:val="ab"/>
    <w:uiPriority w:val="99"/>
    <w:semiHidden/>
    <w:qFormat/>
    <w:rPr>
      <w:rFonts w:ascii="等线" w:eastAsia="等线" w:hAnsi="等线"/>
      <w:b/>
      <w:bCs/>
      <w:sz w:val="21"/>
      <w:szCs w:val="21"/>
    </w:rPr>
  </w:style>
  <w:style w:type="paragraph" w:customStyle="1" w:styleId="17">
    <w:name w:val="正文1"/>
    <w:uiPriority w:val="99"/>
    <w:qFormat/>
    <w:pPr>
      <w:spacing w:line="276" w:lineRule="auto"/>
    </w:pPr>
    <w:rPr>
      <w:rFonts w:ascii="Arial" w:hAnsi="Arial" w:cs="Arial"/>
      <w:color w:val="000000"/>
      <w:sz w:val="22"/>
      <w:lang w:val="pl-PL" w:eastAsia="pl-PL"/>
    </w:rPr>
  </w:style>
  <w:style w:type="character" w:customStyle="1" w:styleId="18">
    <w:name w:val="批注文字 字符1"/>
    <w:basedOn w:val="a0"/>
    <w:uiPriority w:val="99"/>
    <w:qFormat/>
    <w:rPr>
      <w:rFonts w:ascii="Calibri" w:eastAsia="宋体" w:hAnsi="Calibri" w:cs="Times New Roman"/>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file:///C:\Users\Liansheng%20Ma\Desktop\Liansheng%20Ma\Dispose\2019-07-05-Final_Acceptance_WJG\46893\_ENREF_24" TargetMode="External"/><Relationship Id="rId18" Type="http://schemas.openxmlformats.org/officeDocument/2006/relationships/hyperlink" Target="file:///C:\Users\Liansheng%20Ma\Desktop\Liansheng%20Ma\Dispose\2019-07-05-Final_Acceptance_WJG\46893\_ENREF_31" TargetMode="External"/><Relationship Id="rId26" Type="http://schemas.openxmlformats.org/officeDocument/2006/relationships/hyperlink" Target="file:///C:\Users\Liansheng%20Ma\Desktop\Liansheng%20Ma\Dispose\2019-07-05-Final_Acceptance_WJG\46893\_ENREF_40" TargetMode="External"/><Relationship Id="rId39" Type="http://schemas.openxmlformats.org/officeDocument/2006/relationships/hyperlink" Target="file:///C:\Users\Liansheng%20Ma\Desktop\Liansheng%20Ma\Dispose\2019-07-05-Final_Acceptance_WJG\46893\_ENREF_57" TargetMode="External"/><Relationship Id="rId21" Type="http://schemas.openxmlformats.org/officeDocument/2006/relationships/hyperlink" Target="file:///C:\Users\Liansheng%20Ma\Desktop\Liansheng%20Ma\Dispose\2019-07-05-Final_Acceptance_WJG\46893\_ENREF_37" TargetMode="External"/><Relationship Id="rId34" Type="http://schemas.openxmlformats.org/officeDocument/2006/relationships/hyperlink" Target="file:///C:\Users\Liansheng%20Ma\Desktop\Liansheng%20Ma\Dispose\2019-07-05-Final_Acceptance_WJG\46893\_ENREF_52" TargetMode="External"/><Relationship Id="rId42" Type="http://schemas.openxmlformats.org/officeDocument/2006/relationships/hyperlink" Target="file:///C:\Users\Liansheng%20Ma\Desktop\Liansheng%20Ma\Dispose\2019-07-05-Final_Acceptance_WJG\46893\_ENREF_13" TargetMode="External"/><Relationship Id="rId47" Type="http://schemas.openxmlformats.org/officeDocument/2006/relationships/image" Target="media/image2.jpeg"/><Relationship Id="rId50" Type="http://schemas.openxmlformats.org/officeDocument/2006/relationships/chart" Target="charts/chart2.xml"/><Relationship Id="rId55" Type="http://schemas.openxmlformats.org/officeDocument/2006/relationships/chart" Target="charts/chart4.xml"/><Relationship Id="rId63" Type="http://schemas.openxmlformats.org/officeDocument/2006/relationships/image" Target="media/image9.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C:\Users\Liansheng%20Ma\Desktop\Liansheng%20Ma\Dispose\2019-07-05-Final_Acceptance_WJG\46893\_ENREF_27" TargetMode="External"/><Relationship Id="rId20" Type="http://schemas.openxmlformats.org/officeDocument/2006/relationships/hyperlink" Target="file:///C:\Users\Liansheng%20Ma\Desktop\Liansheng%20Ma\Dispose\2019-07-05-Final_Acceptance_WJG\46893\_ENREF_32" TargetMode="External"/><Relationship Id="rId29" Type="http://schemas.openxmlformats.org/officeDocument/2006/relationships/hyperlink" Target="file:///C:\Users\Liansheng%20Ma\Desktop\Liansheng%20Ma\Dispose\2019-07-05-Final_Acceptance_WJG\46893\_ENREF_6" TargetMode="External"/><Relationship Id="rId41" Type="http://schemas.openxmlformats.org/officeDocument/2006/relationships/hyperlink" Target="file:///C:\Users\Liansheng%20Ma\Desktop\Liansheng%20Ma\Dispose\2019-07-05-Final_Acceptance_WJG\46893\_ENREF_14" TargetMode="External"/><Relationship Id="rId54" Type="http://schemas.openxmlformats.org/officeDocument/2006/relationships/chart" Target="charts/chart3.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Liansheng%20Ma\Desktop\Liansheng%20Ma\Dispose\2019-07-05-Final_Acceptance_WJG\46893\_ENREF_16" TargetMode="External"/><Relationship Id="rId24" Type="http://schemas.openxmlformats.org/officeDocument/2006/relationships/hyperlink" Target="file:///C:\Users\Liansheng%20Ma\Desktop\Liansheng%20Ma\Dispose\2019-07-05-Final_Acceptance_WJG\46893\_ENREF_20" TargetMode="External"/><Relationship Id="rId32" Type="http://schemas.openxmlformats.org/officeDocument/2006/relationships/hyperlink" Target="file:///C:\Users\Liansheng%20Ma\Desktop\Liansheng%20Ma\Dispose\2019-07-05-Final_Acceptance_WJG\46893\_ENREF_50" TargetMode="External"/><Relationship Id="rId37" Type="http://schemas.openxmlformats.org/officeDocument/2006/relationships/hyperlink" Target="file:///C:\Users\Liansheng%20Ma\Desktop\Liansheng%20Ma\Dispose\2019-07-05-Final_Acceptance_WJG\46893\_ENREF_54" TargetMode="External"/><Relationship Id="rId40" Type="http://schemas.openxmlformats.org/officeDocument/2006/relationships/hyperlink" Target="file:///C:\Users\Liansheng%20Ma\Desktop\Liansheng%20Ma\Dispose\2019-07-05-Final_Acceptance_WJG\46893\_ENREF_13" TargetMode="External"/><Relationship Id="rId45" Type="http://schemas.openxmlformats.org/officeDocument/2006/relationships/hyperlink" Target="file:///C:\Users\Liansheng%20Ma\Desktop\Liansheng%20Ma\Dispose\2019-07-05-Final_Acceptance_WJG\46893\_ENREF_61" TargetMode="External"/><Relationship Id="rId53" Type="http://schemas.openxmlformats.org/officeDocument/2006/relationships/image" Target="media/image6.png"/><Relationship Id="rId58" Type="http://schemas.openxmlformats.org/officeDocument/2006/relationships/chart" Target="charts/chart6.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C:\Users\Liansheng%20Ma\Desktop\Liansheng%20Ma\Dispose\2019-07-05-Final_Acceptance_WJG\46893\_ENREF_26" TargetMode="External"/><Relationship Id="rId23" Type="http://schemas.openxmlformats.org/officeDocument/2006/relationships/hyperlink" Target="file:///C:\Users\Liansheng%20Ma\Desktop\Liansheng%20Ma\Dispose\2019-07-05-Final_Acceptance_WJG\46893\_ENREF_38" TargetMode="External"/><Relationship Id="rId28" Type="http://schemas.openxmlformats.org/officeDocument/2006/relationships/hyperlink" Target="file:///C:\Users\Liansheng%20Ma\Desktop\Liansheng%20Ma\Dispose\2019-07-05-Final_Acceptance_WJG\46893\_ENREF_43" TargetMode="External"/><Relationship Id="rId36" Type="http://schemas.openxmlformats.org/officeDocument/2006/relationships/hyperlink" Target="file:///C:\Users\Liansheng%20Ma\Desktop\Liansheng%20Ma\Dispose\2019-07-05-Final_Acceptance_WJG\46893\_ENREF_53" TargetMode="External"/><Relationship Id="rId49" Type="http://schemas.openxmlformats.org/officeDocument/2006/relationships/chart" Target="charts/chart1.xml"/><Relationship Id="rId57" Type="http://schemas.openxmlformats.org/officeDocument/2006/relationships/chart" Target="charts/chart5.xml"/><Relationship Id="rId61" Type="http://schemas.openxmlformats.org/officeDocument/2006/relationships/chart" Target="charts/chart8.xml"/><Relationship Id="rId10" Type="http://schemas.openxmlformats.org/officeDocument/2006/relationships/hyperlink" Target="file:///C:\Users\Liansheng%20Ma\Desktop\Liansheng%20Ma\Dispose\2019-07-05-Final_Acceptance_WJG\46893\_ENREF_7" TargetMode="External"/><Relationship Id="rId19" Type="http://schemas.openxmlformats.org/officeDocument/2006/relationships/hyperlink" Target="file:///C:\Users\Liansheng%20Ma\Desktop\Liansheng%20Ma\Dispose\2019-07-05-Final_Acceptance_WJG\46893\_ENREF_10" TargetMode="External"/><Relationship Id="rId31" Type="http://schemas.openxmlformats.org/officeDocument/2006/relationships/hyperlink" Target="file:///C:\Users\Liansheng%20Ma\Desktop\Liansheng%20Ma\Dispose\2019-07-05-Final_Acceptance_WJG\46893\_ENREF_45" TargetMode="External"/><Relationship Id="rId44" Type="http://schemas.openxmlformats.org/officeDocument/2006/relationships/hyperlink" Target="file:///C:\Users\Liansheng%20Ma\Desktop\Liansheng%20Ma\Dispose\2019-07-05-Final_Acceptance_WJG\46893\_ENREF_60" TargetMode="External"/><Relationship Id="rId52" Type="http://schemas.openxmlformats.org/officeDocument/2006/relationships/image" Target="media/image5.png"/><Relationship Id="rId60" Type="http://schemas.openxmlformats.org/officeDocument/2006/relationships/chart" Target="charts/chart7.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YJ_1108@126.com" TargetMode="External"/><Relationship Id="rId14" Type="http://schemas.openxmlformats.org/officeDocument/2006/relationships/hyperlink" Target="file:///C:\Users\Liansheng%20Ma\Desktop\Liansheng%20Ma\Dispose\2019-07-05-Final_Acceptance_WJG\46893\_ENREF_22" TargetMode="External"/><Relationship Id="rId22" Type="http://schemas.openxmlformats.org/officeDocument/2006/relationships/hyperlink" Target="file:///C:\Users\Liansheng%20Ma\Desktop\Liansheng%20Ma\Dispose\2019-07-05-Final_Acceptance_WJG\46893\_ENREF_38" TargetMode="External"/><Relationship Id="rId27" Type="http://schemas.openxmlformats.org/officeDocument/2006/relationships/hyperlink" Target="file:///C:\Users\Liansheng%20Ma\Desktop\Liansheng%20Ma\Dispose\2019-07-05-Final_Acceptance_WJG\46893\_ENREF_42" TargetMode="External"/><Relationship Id="rId30" Type="http://schemas.openxmlformats.org/officeDocument/2006/relationships/hyperlink" Target="file:///C:\Users\Liansheng%20Ma\Desktop\Liansheng%20Ma\Dispose\2019-07-05-Final_Acceptance_WJG\46893\_ENREF_44" TargetMode="External"/><Relationship Id="rId35" Type="http://schemas.openxmlformats.org/officeDocument/2006/relationships/hyperlink" Target="file:///C:\Users\Liansheng%20Ma\Desktop\Liansheng%20Ma\Dispose\2019-07-05-Final_Acceptance_WJG\46893\_ENREF_48" TargetMode="External"/><Relationship Id="rId43" Type="http://schemas.openxmlformats.org/officeDocument/2006/relationships/hyperlink" Target="file:///C:\Users\Liansheng%20Ma\Desktop\Liansheng%20Ma\Dispose\2019-07-05-Final_Acceptance_WJG\46893\_ENREF_59" TargetMode="External"/><Relationship Id="rId48" Type="http://schemas.openxmlformats.org/officeDocument/2006/relationships/image" Target="media/image3.jpeg"/><Relationship Id="rId56" Type="http://schemas.openxmlformats.org/officeDocument/2006/relationships/image" Target="media/image7.pn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file:///C:\Users\Liansheng%20Ma\Desktop\Liansheng%20Ma\Dispose\2019-07-05-Final_Acceptance_WJG\46893\_ENREF_20" TargetMode="External"/><Relationship Id="rId17" Type="http://schemas.openxmlformats.org/officeDocument/2006/relationships/hyperlink" Target="file:///C:\Users\Liansheng%20Ma\Desktop\Liansheng%20Ma\Dispose\2019-07-05-Final_Acceptance_WJG\46893\_ENREF_30" TargetMode="External"/><Relationship Id="rId25" Type="http://schemas.openxmlformats.org/officeDocument/2006/relationships/hyperlink" Target="file:///C:\Users\Liansheng%20Ma\Desktop\Liansheng%20Ma\Dispose\2019-07-05-Final_Acceptance_WJG\46893\_ENREF_39" TargetMode="External"/><Relationship Id="rId33" Type="http://schemas.openxmlformats.org/officeDocument/2006/relationships/hyperlink" Target="file:///C:\Users\Liansheng%20Ma\Desktop\Liansheng%20Ma\Dispose\2019-07-05-Final_Acceptance_WJG\46893\_ENREF_51" TargetMode="External"/><Relationship Id="rId38" Type="http://schemas.openxmlformats.org/officeDocument/2006/relationships/hyperlink" Target="file:///C:\Users\Liansheng%20Ma\Desktop\Liansheng%20Ma\Dispose\2019-07-05-Final_Acceptance_WJG\46893\_ENREF_55" TargetMode="External"/><Relationship Id="rId46" Type="http://schemas.openxmlformats.org/officeDocument/2006/relationships/image" Target="media/image1.emf"/><Relationship Id="rId59"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abcd.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abcd.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abcd.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abcd.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abcd.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abcd.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abcd.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abc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997226410528"/>
          <c:y val="0.19451793896525599"/>
          <c:w val="0.76808324491353497"/>
          <c:h val="0.69095767160460897"/>
        </c:manualLayout>
      </c:layout>
      <c:barChart>
        <c:barDir val="col"/>
        <c:grouping val="clustered"/>
        <c:varyColors val="1"/>
        <c:ser>
          <c:idx val="0"/>
          <c:order val="0"/>
          <c:tx>
            <c:strRef>
              <c:f>电子表格2!$A$2</c:f>
              <c:strCache>
                <c:ptCount val="1"/>
                <c:pt idx="0">
                  <c:v>Control group</c:v>
                </c:pt>
              </c:strCache>
            </c:strRef>
          </c:tx>
          <c:spPr>
            <a:solidFill>
              <a:srgbClr val="4472C4"/>
            </a:solidFill>
            <a:ln>
              <a:noFill/>
              <a:round/>
            </a:ln>
          </c:spPr>
          <c:invertIfNegative val="1"/>
          <c:cat>
            <c:strRef>
              <c:f>电子表格2!$B$1:$G$1</c:f>
              <c:strCache>
                <c:ptCount val="6"/>
                <c:pt idx="0">
                  <c:v>IL-1β</c:v>
                </c:pt>
                <c:pt idx="1">
                  <c:v>IL-6</c:v>
                </c:pt>
                <c:pt idx="2">
                  <c:v>IFN-γ</c:v>
                </c:pt>
                <c:pt idx="3">
                  <c:v>TNF-a</c:v>
                </c:pt>
                <c:pt idx="4">
                  <c:v>IL-10</c:v>
                </c:pt>
                <c:pt idx="5">
                  <c:v>TGF-β</c:v>
                </c:pt>
              </c:strCache>
            </c:strRef>
          </c:cat>
          <c:val>
            <c:numRef>
              <c:f>电子表格2!$B$2:$G$2</c:f>
              <c:numCache>
                <c:formatCode>General</c:formatCode>
                <c:ptCount val="6"/>
                <c:pt idx="0">
                  <c:v>1</c:v>
                </c:pt>
                <c:pt idx="1">
                  <c:v>1</c:v>
                </c:pt>
                <c:pt idx="2">
                  <c:v>1</c:v>
                </c:pt>
                <c:pt idx="3">
                  <c:v>1</c:v>
                </c:pt>
                <c:pt idx="4">
                  <c:v>1</c:v>
                </c:pt>
                <c:pt idx="5">
                  <c:v>1</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Lst>
        </c:ser>
        <c:ser>
          <c:idx val="1"/>
          <c:order val="1"/>
          <c:tx>
            <c:strRef>
              <c:f>电子表格2!$A$3</c:f>
              <c:strCache>
                <c:ptCount val="1"/>
                <c:pt idx="0">
                  <c:v>WAS group</c:v>
                </c:pt>
              </c:strCache>
            </c:strRef>
          </c:tx>
          <c:spPr>
            <a:solidFill>
              <a:srgbClr val="ED7D31"/>
            </a:solidFill>
            <a:ln>
              <a:noFill/>
              <a:round/>
            </a:ln>
          </c:spPr>
          <c:invertIfNegative val="1"/>
          <c:dLbls>
            <c:dLbl>
              <c:idx val="0"/>
              <c:layout>
                <c:manualLayout>
                  <c:x val="2.40789790512882E-3"/>
                  <c:y val="-7.1929509081100601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1"/>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2"/>
              <c:layout>
                <c:manualLayout>
                  <c:x val="8.3481931170817396E-8"/>
                  <c:y val="-0.275393278361664"/>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3"/>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4"/>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5"/>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zh-CN"/>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6"/>
                <c:pt idx="0">
                  <c:v>0.92</c:v>
                </c:pt>
                <c:pt idx="1">
                  <c:v>1.53</c:v>
                </c:pt>
                <c:pt idx="2">
                  <c:v>3.74</c:v>
                </c:pt>
                <c:pt idx="3">
                  <c:v>2.16</c:v>
                </c:pt>
                <c:pt idx="4">
                  <c:v>0.1</c:v>
                </c:pt>
                <c:pt idx="5">
                  <c:v>0.13</c:v>
                </c:pt>
              </c:numLit>
            </c:plus>
            <c:minus>
              <c:numLit>
                <c:formatCode>General</c:formatCode>
                <c:ptCount val="6"/>
                <c:pt idx="0">
                  <c:v>0.92</c:v>
                </c:pt>
                <c:pt idx="1">
                  <c:v>1.53</c:v>
                </c:pt>
                <c:pt idx="2">
                  <c:v>3.74</c:v>
                </c:pt>
                <c:pt idx="3">
                  <c:v>2.16</c:v>
                </c:pt>
                <c:pt idx="4">
                  <c:v>0.1</c:v>
                </c:pt>
                <c:pt idx="5">
                  <c:v>0.13</c:v>
                </c:pt>
              </c:numLit>
            </c:minus>
            <c:spPr>
              <a:ln w="15875" cap="flat" cmpd="sng" algn="ctr">
                <a:solidFill>
                  <a:srgbClr val="595959">
                    <a:alpha val="100000"/>
                  </a:srgbClr>
                </a:solidFill>
                <a:prstDash val="solid"/>
                <a:round/>
              </a:ln>
            </c:spPr>
          </c:errBars>
          <c:cat>
            <c:strRef>
              <c:f>电子表格2!$B$1:$G$1</c:f>
              <c:strCache>
                <c:ptCount val="6"/>
                <c:pt idx="0">
                  <c:v>IL-1β</c:v>
                </c:pt>
                <c:pt idx="1">
                  <c:v>IL-6</c:v>
                </c:pt>
                <c:pt idx="2">
                  <c:v>IFN-γ</c:v>
                </c:pt>
                <c:pt idx="3">
                  <c:v>TNF-a</c:v>
                </c:pt>
                <c:pt idx="4">
                  <c:v>IL-10</c:v>
                </c:pt>
                <c:pt idx="5">
                  <c:v>TGF-β</c:v>
                </c:pt>
              </c:strCache>
            </c:strRef>
          </c:cat>
          <c:val>
            <c:numRef>
              <c:f>电子表格2!$B$3:$G$3</c:f>
              <c:numCache>
                <c:formatCode>General</c:formatCode>
                <c:ptCount val="6"/>
                <c:pt idx="0">
                  <c:v>3.25</c:v>
                </c:pt>
                <c:pt idx="1">
                  <c:v>3.4</c:v>
                </c:pt>
                <c:pt idx="2">
                  <c:v>4.6100000000000003</c:v>
                </c:pt>
                <c:pt idx="3">
                  <c:v>2.98</c:v>
                </c:pt>
                <c:pt idx="4">
                  <c:v>0.28999999999999998</c:v>
                </c:pt>
                <c:pt idx="5">
                  <c:v>0.39</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Lst>
        </c:ser>
        <c:ser>
          <c:idx val="2"/>
          <c:order val="2"/>
          <c:tx>
            <c:strRef>
              <c:f>电子表格2!$A$4</c:f>
              <c:strCache>
                <c:ptCount val="1"/>
                <c:pt idx="0">
                  <c:v>Rifaximin group</c:v>
                </c:pt>
              </c:strCache>
            </c:strRef>
          </c:tx>
          <c:spPr>
            <a:solidFill>
              <a:srgbClr val="A5A5A5"/>
            </a:solidFill>
            <a:ln>
              <a:noFill/>
              <a:round/>
            </a:ln>
          </c:spPr>
          <c:invertIfNegative val="1"/>
          <c:dLbls>
            <c:dLbl>
              <c:idx val="0"/>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1"/>
              <c:layout>
                <c:manualLayout>
                  <c:x val="4.8528046589596199E-4"/>
                  <c:y val="-2.88516778750296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2"/>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3"/>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4"/>
              <c:layout>
                <c:manualLayout>
                  <c:x val="-1.55497214143756E-16"/>
                  <c:y val="-5.00715307582262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5"/>
              <c:layout>
                <c:manualLayout>
                  <c:x val="-4.2408821034775196E-3"/>
                  <c:y val="-2.50357653791131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zh-CN"/>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6"/>
                <c:pt idx="0">
                  <c:v>0.33</c:v>
                </c:pt>
                <c:pt idx="1">
                  <c:v>0.51</c:v>
                </c:pt>
                <c:pt idx="2">
                  <c:v>0.01</c:v>
                </c:pt>
                <c:pt idx="3">
                  <c:v>7.0000000000000007E-2</c:v>
                </c:pt>
                <c:pt idx="4">
                  <c:v>0.76</c:v>
                </c:pt>
                <c:pt idx="5">
                  <c:v>0.49</c:v>
                </c:pt>
              </c:numLit>
            </c:plus>
            <c:minus>
              <c:numLit>
                <c:formatCode>General</c:formatCode>
                <c:ptCount val="6"/>
                <c:pt idx="0">
                  <c:v>0.33</c:v>
                </c:pt>
                <c:pt idx="1">
                  <c:v>0.51</c:v>
                </c:pt>
                <c:pt idx="2">
                  <c:v>0.01</c:v>
                </c:pt>
                <c:pt idx="3">
                  <c:v>7.0000000000000007E-2</c:v>
                </c:pt>
                <c:pt idx="4">
                  <c:v>0.76</c:v>
                </c:pt>
                <c:pt idx="5">
                  <c:v>0.49</c:v>
                </c:pt>
              </c:numLit>
            </c:minus>
            <c:spPr>
              <a:ln w="15875" cap="flat" cmpd="sng" algn="ctr">
                <a:solidFill>
                  <a:srgbClr val="595959">
                    <a:alpha val="100000"/>
                  </a:srgbClr>
                </a:solidFill>
                <a:prstDash val="solid"/>
                <a:round/>
              </a:ln>
            </c:spPr>
          </c:errBars>
          <c:cat>
            <c:strRef>
              <c:f>电子表格2!$B$1:$G$1</c:f>
              <c:strCache>
                <c:ptCount val="6"/>
                <c:pt idx="0">
                  <c:v>IL-1β</c:v>
                </c:pt>
                <c:pt idx="1">
                  <c:v>IL-6</c:v>
                </c:pt>
                <c:pt idx="2">
                  <c:v>IFN-γ</c:v>
                </c:pt>
                <c:pt idx="3">
                  <c:v>TNF-a</c:v>
                </c:pt>
                <c:pt idx="4">
                  <c:v>IL-10</c:v>
                </c:pt>
                <c:pt idx="5">
                  <c:v>TGF-β</c:v>
                </c:pt>
              </c:strCache>
            </c:strRef>
          </c:cat>
          <c:val>
            <c:numRef>
              <c:f>电子表格2!$B$4:$G$4</c:f>
              <c:numCache>
                <c:formatCode>General</c:formatCode>
                <c:ptCount val="6"/>
                <c:pt idx="0">
                  <c:v>0.73</c:v>
                </c:pt>
                <c:pt idx="1">
                  <c:v>0.82</c:v>
                </c:pt>
                <c:pt idx="2">
                  <c:v>0.4</c:v>
                </c:pt>
                <c:pt idx="3">
                  <c:v>0.62</c:v>
                </c:pt>
                <c:pt idx="4">
                  <c:v>1.26</c:v>
                </c:pt>
                <c:pt idx="5">
                  <c:v>1.01</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Lst>
        </c:ser>
        <c:ser>
          <c:idx val="3"/>
          <c:order val="3"/>
          <c:tx>
            <c:strRef>
              <c:f>电子表格2!$A$5</c:f>
              <c:strCache>
                <c:ptCount val="1"/>
                <c:pt idx="0">
                  <c:v>25mg/kg BBR group</c:v>
                </c:pt>
              </c:strCache>
            </c:strRef>
          </c:tx>
          <c:spPr>
            <a:solidFill>
              <a:srgbClr val="FFC000"/>
            </a:solidFill>
            <a:ln>
              <a:noFill/>
              <a:round/>
            </a:ln>
          </c:spPr>
          <c:invertIfNegative val="1"/>
          <c:dLbls>
            <c:dLbl>
              <c:idx val="0"/>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 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1"/>
              <c:layout>
                <c:manualLayout>
                  <c:x val="1.8329292807864701E-3"/>
                  <c:y val="-9.3209365460218796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2"/>
              <c:layout>
                <c:manualLayout>
                  <c:x val="8.3481931093068798E-8"/>
                  <c:y val="-9.4778254649499294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3"/>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4"/>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5"/>
              <c:layout>
                <c:manualLayout>
                  <c:x val="8.3481931170817396E-8"/>
                  <c:y val="-5.7224465772250703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zh-CN"/>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6"/>
                <c:pt idx="0">
                  <c:v>0.27</c:v>
                </c:pt>
                <c:pt idx="1">
                  <c:v>1.26</c:v>
                </c:pt>
                <c:pt idx="2">
                  <c:v>1.32</c:v>
                </c:pt>
                <c:pt idx="3">
                  <c:v>0.32</c:v>
                </c:pt>
                <c:pt idx="4">
                  <c:v>0.23</c:v>
                </c:pt>
                <c:pt idx="5">
                  <c:v>0.82</c:v>
                </c:pt>
              </c:numLit>
            </c:plus>
            <c:minus>
              <c:numLit>
                <c:formatCode>General</c:formatCode>
                <c:ptCount val="6"/>
                <c:pt idx="0">
                  <c:v>0.27</c:v>
                </c:pt>
                <c:pt idx="1">
                  <c:v>1.26</c:v>
                </c:pt>
                <c:pt idx="2">
                  <c:v>1.32</c:v>
                </c:pt>
                <c:pt idx="3">
                  <c:v>0.32</c:v>
                </c:pt>
                <c:pt idx="4">
                  <c:v>0.23</c:v>
                </c:pt>
                <c:pt idx="5">
                  <c:v>0.82</c:v>
                </c:pt>
              </c:numLit>
            </c:minus>
            <c:spPr>
              <a:ln w="15875" cap="flat" cmpd="sng" algn="ctr">
                <a:solidFill>
                  <a:srgbClr val="595959">
                    <a:alpha val="100000"/>
                  </a:srgbClr>
                </a:solidFill>
                <a:prstDash val="solid"/>
                <a:round/>
              </a:ln>
            </c:spPr>
          </c:errBars>
          <c:cat>
            <c:strRef>
              <c:f>电子表格2!$B$1:$G$1</c:f>
              <c:strCache>
                <c:ptCount val="6"/>
                <c:pt idx="0">
                  <c:v>IL-1β</c:v>
                </c:pt>
                <c:pt idx="1">
                  <c:v>IL-6</c:v>
                </c:pt>
                <c:pt idx="2">
                  <c:v>IFN-γ</c:v>
                </c:pt>
                <c:pt idx="3">
                  <c:v>TNF-a</c:v>
                </c:pt>
                <c:pt idx="4">
                  <c:v>IL-10</c:v>
                </c:pt>
                <c:pt idx="5">
                  <c:v>TGF-β</c:v>
                </c:pt>
              </c:strCache>
            </c:strRef>
          </c:cat>
          <c:val>
            <c:numRef>
              <c:f>电子表格2!$B$5:$G$5</c:f>
              <c:numCache>
                <c:formatCode>General</c:formatCode>
                <c:ptCount val="6"/>
                <c:pt idx="0">
                  <c:v>1.75</c:v>
                </c:pt>
                <c:pt idx="1">
                  <c:v>2.0299999999999998</c:v>
                </c:pt>
                <c:pt idx="2">
                  <c:v>1.86</c:v>
                </c:pt>
                <c:pt idx="3">
                  <c:v>1.1100000000000001</c:v>
                </c:pt>
                <c:pt idx="4">
                  <c:v>0.85</c:v>
                </c:pt>
                <c:pt idx="5">
                  <c:v>1.04</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Lst>
        </c:ser>
        <c:ser>
          <c:idx val="4"/>
          <c:order val="4"/>
          <c:tx>
            <c:strRef>
              <c:f>电子表格2!$A$6</c:f>
              <c:strCache>
                <c:ptCount val="1"/>
                <c:pt idx="0">
                  <c:v>100mg/kg BBR group</c:v>
                </c:pt>
              </c:strCache>
            </c:strRef>
          </c:tx>
          <c:spPr>
            <a:solidFill>
              <a:srgbClr val="5B9BD5"/>
            </a:solidFill>
            <a:ln>
              <a:noFill/>
              <a:round/>
            </a:ln>
          </c:spPr>
          <c:invertIfNegative val="1"/>
          <c:dLbls>
            <c:dLbl>
              <c:idx val="0"/>
              <c:layout>
                <c:manualLayout>
                  <c:x val="7.8527371626222597E-3"/>
                  <c:y val="7.66237301845724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b,c,d</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1"/>
              <c:layout>
                <c:manualLayout>
                  <c:x val="-1.8041124150158801E-16"/>
                  <c:y val="-4.6754180902715298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2"/>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3"/>
              <c:layout>
                <c:manualLayout>
                  <c:x val="-7.7748607071877801E-17"/>
                  <c:y val="-1.07296137339056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4"/>
              <c:layout>
                <c:manualLayout>
                  <c:x val="2.1204410517386102E-3"/>
                  <c:y val="-5.7224606580829902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5"/>
              <c:layout>
                <c:manualLayout>
                  <c:x val="-2.1204410517387598E-3"/>
                  <c:y val="-5.0071530758225999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zh-CN"/>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6"/>
                <c:pt idx="0">
                  <c:v>0.12</c:v>
                </c:pt>
                <c:pt idx="1">
                  <c:v>0.14000000000000001</c:v>
                </c:pt>
                <c:pt idx="2">
                  <c:v>7.0000000000000007E-2</c:v>
                </c:pt>
                <c:pt idx="3">
                  <c:v>0.37</c:v>
                </c:pt>
                <c:pt idx="4">
                  <c:v>0.78</c:v>
                </c:pt>
                <c:pt idx="5">
                  <c:v>0.65</c:v>
                </c:pt>
              </c:numLit>
            </c:plus>
            <c:minus>
              <c:numLit>
                <c:formatCode>General</c:formatCode>
                <c:ptCount val="6"/>
                <c:pt idx="0">
                  <c:v>0.12</c:v>
                </c:pt>
                <c:pt idx="1">
                  <c:v>0.14000000000000001</c:v>
                </c:pt>
                <c:pt idx="2">
                  <c:v>7.0000000000000007E-2</c:v>
                </c:pt>
                <c:pt idx="3">
                  <c:v>0.37</c:v>
                </c:pt>
                <c:pt idx="4">
                  <c:v>0.78</c:v>
                </c:pt>
                <c:pt idx="5">
                  <c:v>0.65</c:v>
                </c:pt>
              </c:numLit>
            </c:minus>
            <c:spPr>
              <a:ln w="15875" cap="flat" cmpd="sng" algn="ctr">
                <a:solidFill>
                  <a:srgbClr val="595959">
                    <a:alpha val="100000"/>
                  </a:srgbClr>
                </a:solidFill>
                <a:prstDash val="solid"/>
                <a:round/>
              </a:ln>
            </c:spPr>
          </c:errBars>
          <c:cat>
            <c:strRef>
              <c:f>电子表格2!$B$1:$G$1</c:f>
              <c:strCache>
                <c:ptCount val="6"/>
                <c:pt idx="0">
                  <c:v>IL-1β</c:v>
                </c:pt>
                <c:pt idx="1">
                  <c:v>IL-6</c:v>
                </c:pt>
                <c:pt idx="2">
                  <c:v>IFN-γ</c:v>
                </c:pt>
                <c:pt idx="3">
                  <c:v>TNF-a</c:v>
                </c:pt>
                <c:pt idx="4">
                  <c:v>IL-10</c:v>
                </c:pt>
                <c:pt idx="5">
                  <c:v>TGF-β</c:v>
                </c:pt>
              </c:strCache>
            </c:strRef>
          </c:cat>
          <c:val>
            <c:numRef>
              <c:f>电子表格2!$B$6:$G$6</c:f>
              <c:numCache>
                <c:formatCode>General</c:formatCode>
                <c:ptCount val="6"/>
                <c:pt idx="0">
                  <c:v>0.37</c:v>
                </c:pt>
                <c:pt idx="1">
                  <c:v>0.51</c:v>
                </c:pt>
                <c:pt idx="2">
                  <c:v>0.52</c:v>
                </c:pt>
                <c:pt idx="3">
                  <c:v>0.88</c:v>
                </c:pt>
                <c:pt idx="4">
                  <c:v>1.5</c:v>
                </c:pt>
                <c:pt idx="5">
                  <c:v>1.34</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Lst>
        </c:ser>
        <c:dLbls>
          <c:showLegendKey val="0"/>
          <c:showVal val="0"/>
          <c:showCatName val="0"/>
          <c:showSerName val="0"/>
          <c:showPercent val="0"/>
          <c:showBubbleSize val="0"/>
        </c:dLbls>
        <c:gapWidth val="209"/>
        <c:overlap val="-50"/>
        <c:axId val="182353280"/>
        <c:axId val="182371456"/>
      </c:barChart>
      <c:catAx>
        <c:axId val="182353280"/>
        <c:scaling>
          <c:orientation val="minMax"/>
        </c:scaling>
        <c:delete val="0"/>
        <c:axPos val="b"/>
        <c:numFmt formatCode="General" sourceLinked="0"/>
        <c:majorTickMark val="none"/>
        <c:minorTickMark val="none"/>
        <c:tickLblPos val="nextTo"/>
        <c:spPr>
          <a:noFill/>
          <a:ln w="9525" cap="flat" cmpd="sng" algn="ctr">
            <a:solidFill>
              <a:srgbClr val="D9D9D9">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zh-CN"/>
          </a:p>
        </c:txPr>
        <c:crossAx val="182371456"/>
        <c:crosses val="autoZero"/>
        <c:auto val="1"/>
        <c:lblAlgn val="ctr"/>
        <c:lblOffset val="100"/>
        <c:noMultiLvlLbl val="1"/>
      </c:catAx>
      <c:valAx>
        <c:axId val="182371456"/>
        <c:scaling>
          <c:orientation val="minMax"/>
        </c:scaling>
        <c:delete val="0"/>
        <c:axPos val="l"/>
        <c:title>
          <c:tx>
            <c:rich>
              <a:bodyPr rot="-5400000" spcFirstLastPara="0" vertOverflow="ellipsis" vert="horz" wrap="square" anchor="ctr" anchorCtr="1"/>
              <a:lstStyle/>
              <a:p>
                <a:pPr>
                  <a:defRPr lang="zh-CN" sz="1000" b="0" i="0" u="none" strike="noStrike" kern="1200" baseline="0">
                    <a:solidFill>
                      <a:srgbClr val="000000"/>
                    </a:solidFill>
                    <a:latin typeface="Arial Unicode MS" panose="020B0604020202020204" pitchFamily="2" charset="-122"/>
                    <a:ea typeface="Arial Unicode MS" panose="020B0604020202020204" pitchFamily="2" charset="-122"/>
                    <a:cs typeface="Arial Unicode MS" panose="020B0604020202020204" pitchFamily="2" charset="-122"/>
                  </a:defRPr>
                </a:pPr>
                <a:r>
                  <a:rPr lang="en-US" altLang="ko-KR" sz="1000" b="0" i="0" u="none" baseline="0">
                    <a:solidFill>
                      <a:srgbClr val="595959"/>
                    </a:solidFill>
                    <a:latin typeface="Arial Unicode MS" panose="020B0604020202020204" pitchFamily="2" charset="-122"/>
                    <a:ea typeface="Arial Unicode MS" panose="020B0604020202020204" pitchFamily="2" charset="-122"/>
                    <a:cs typeface="Arial Unicode MS" panose="020B0604020202020204" pitchFamily="2" charset="-122"/>
                  </a:rPr>
                  <a:t>I</a:t>
                </a:r>
                <a:r>
                  <a:rPr lang="ko-KR" altLang="en-US" sz="1000" b="0" i="0" u="none" baseline="0">
                    <a:solidFill>
                      <a:srgbClr val="595959"/>
                    </a:solidFill>
                    <a:latin typeface="Arial Unicode MS" panose="020B0604020202020204" pitchFamily="2" charset="-122"/>
                    <a:ea typeface="Arial Unicode MS" panose="020B0604020202020204" pitchFamily="2" charset="-122"/>
                    <a:cs typeface="Arial Unicode MS" panose="020B0604020202020204" pitchFamily="2" charset="-122"/>
                  </a:rPr>
                  <a:t>nflammatory cytokines mRNA levels of distal ileum</a:t>
                </a:r>
              </a:p>
            </c:rich>
          </c:tx>
          <c:layout>
            <c:manualLayout>
              <c:xMode val="edge"/>
              <c:yMode val="edge"/>
              <c:x val="7.2957803351504105E-2"/>
              <c:y val="0.163208791208791"/>
            </c:manualLayout>
          </c:layout>
          <c:overlay val="0"/>
          <c:spPr>
            <a:noFill/>
            <a:ln>
              <a:noFill/>
              <a:round/>
            </a:ln>
          </c:spPr>
        </c:title>
        <c:numFmt formatCode="General" sourceLinked="1"/>
        <c:majorTickMark val="none"/>
        <c:minorTickMark val="none"/>
        <c:tickLblPos val="nextTo"/>
        <c:spPr>
          <a:noFill/>
          <a:ln w="6350" cap="flat" cmpd="sng" algn="ctr">
            <a:solidFill>
              <a:srgbClr val="4472C4">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zh-CN"/>
          </a:p>
        </c:txPr>
        <c:crossAx val="182353280"/>
        <c:crosses val="autoZero"/>
        <c:crossBetween val="between"/>
      </c:valAx>
      <c:spPr>
        <a:noFill/>
        <a:ln>
          <a:noFill/>
          <a:round/>
        </a:ln>
      </c:spPr>
    </c:plotArea>
    <c:legend>
      <c:legendPos val="b"/>
      <c:layout>
        <c:manualLayout>
          <c:xMode val="edge"/>
          <c:yMode val="edge"/>
          <c:x val="0.40339103604415899"/>
          <c:y val="2.7047638358509901E-2"/>
          <c:w val="0.59448856127026695"/>
          <c:h val="0.16918685861692201"/>
        </c:manualLayout>
      </c:layout>
      <c:overlay val="1"/>
      <c:spPr>
        <a:noFill/>
        <a:ln>
          <a:noFill/>
          <a:round/>
        </a:ln>
      </c:spPr>
      <c:txPr>
        <a:bodyPr rot="0" spcFirstLastPara="0" vertOverflow="ellipsis" vert="horz" wrap="square" anchor="ctr" anchorCtr="1"/>
        <a:lstStyle/>
        <a:p>
          <a:pPr>
            <a:defRPr lang="zh-CN" sz="900" b="0" i="0" u="none" strike="noStrike" kern="1200" baseline="0">
              <a:solidFill>
                <a:srgbClr val="595959"/>
              </a:solidFill>
              <a:latin typeface="+mn-lt"/>
              <a:ea typeface="+mn-lt"/>
              <a:cs typeface="+mn-cs"/>
            </a:defRPr>
          </a:pPr>
          <a:endParaRPr lang="zh-CN"/>
        </a:p>
      </c:txPr>
    </c:legend>
    <c:plotVisOnly val="1"/>
    <c:dispBlanksAs val="gap"/>
    <c:showDLblsOverMax val="1"/>
  </c:chart>
  <c:spPr>
    <a:solidFill>
      <a:srgbClr val="FFFFFF">
        <a:alpha val="100000"/>
      </a:srgbClr>
    </a:solidFill>
    <a:ln w="9525" cap="flat" cmpd="sng" algn="ctr">
      <a:solidFill>
        <a:srgbClr val="D9D9D9">
          <a:alpha val="100000"/>
        </a:srgbClr>
      </a:solidFill>
      <a:prstDash val="solid"/>
      <a:round/>
    </a:ln>
  </c:spPr>
  <c:txPr>
    <a:bodyPr/>
    <a:lstStyle/>
    <a:p>
      <a:pPr>
        <a:defRPr lang="zh-CN" sz="1000" b="0" i="0" u="none" baseline="0">
          <a:solidFill>
            <a:srgbClr val="000000"/>
          </a:solidFill>
          <a:latin typeface="宋体" panose="02010600030101010101" charset="-122"/>
          <a:ea typeface="宋体" panose="02010600030101010101" charset="-122"/>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997226410528"/>
          <c:y val="0.19451793896525599"/>
          <c:w val="0.76808324491353497"/>
          <c:h val="0.69095767160460897"/>
        </c:manualLayout>
      </c:layout>
      <c:barChart>
        <c:barDir val="col"/>
        <c:grouping val="clustered"/>
        <c:varyColors val="1"/>
        <c:ser>
          <c:idx val="0"/>
          <c:order val="0"/>
          <c:tx>
            <c:strRef>
              <c:f>[inflammatory cytokines mRNA levels of distal ileum.xlsx]Sheet1!$A$2</c:f>
              <c:strCache>
                <c:ptCount val="1"/>
                <c:pt idx="0">
                  <c:v>Control group</c:v>
                </c:pt>
              </c:strCache>
            </c:strRef>
          </c:tx>
          <c:spPr>
            <a:solidFill>
              <a:srgbClr val="4472C4"/>
            </a:solidFill>
            <a:ln>
              <a:noFill/>
              <a:round/>
            </a:ln>
          </c:spPr>
          <c:invertIfNegative val="1"/>
          <c:cat>
            <c:strRef>
              <c:f>[inflammatory cytokines mRNA levels of distal ileum.xlsx]Sheet1!$B$1:$G$1</c:f>
              <c:strCache>
                <c:ptCount val="6"/>
                <c:pt idx="0">
                  <c:v>IL-1β</c:v>
                </c:pt>
                <c:pt idx="1">
                  <c:v>IL-6</c:v>
                </c:pt>
                <c:pt idx="2">
                  <c:v>IFN-γ</c:v>
                </c:pt>
                <c:pt idx="3">
                  <c:v>TNF-a</c:v>
                </c:pt>
                <c:pt idx="4">
                  <c:v>IL-10</c:v>
                </c:pt>
                <c:pt idx="5">
                  <c:v>TGF-β</c:v>
                </c:pt>
              </c:strCache>
            </c:strRef>
          </c:cat>
          <c:val>
            <c:numRef>
              <c:f>[inflammatory cytokines mRNA levels of distal ileum.xlsx]Sheet1!$B$2:$G$2</c:f>
              <c:numCache>
                <c:formatCode>General</c:formatCode>
                <c:ptCount val="6"/>
                <c:pt idx="0">
                  <c:v>100</c:v>
                </c:pt>
                <c:pt idx="1">
                  <c:v>100</c:v>
                </c:pt>
                <c:pt idx="2">
                  <c:v>100</c:v>
                </c:pt>
                <c:pt idx="3">
                  <c:v>100</c:v>
                </c:pt>
                <c:pt idx="4">
                  <c:v>100</c:v>
                </c:pt>
                <c:pt idx="5">
                  <c:v>100</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Lst>
        </c:ser>
        <c:ser>
          <c:idx val="1"/>
          <c:order val="1"/>
          <c:tx>
            <c:strRef>
              <c:f>[inflammatory cytokines mRNA levels of distal ileum.xlsx]Sheet1!$A$3</c:f>
              <c:strCache>
                <c:ptCount val="1"/>
                <c:pt idx="0">
                  <c:v>WAS group</c:v>
                </c:pt>
              </c:strCache>
            </c:strRef>
          </c:tx>
          <c:spPr>
            <a:solidFill>
              <a:srgbClr val="ED7D31"/>
            </a:solidFill>
            <a:ln>
              <a:noFill/>
              <a:round/>
            </a:ln>
          </c:spPr>
          <c:invertIfNegative val="1"/>
          <c:dLbls>
            <c:dLbl>
              <c:idx val="0"/>
              <c:layout>
                <c:manualLayout>
                  <c:x val="2.40789790512882E-3"/>
                  <c:y val="-7.1929509081100601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1"/>
              <c:layout>
                <c:manualLayout>
                  <c:x val="-2.5220680958385898E-3"/>
                  <c:y val="-0.14127437396505699"/>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2"/>
              <c:layout>
                <c:manualLayout>
                  <c:x val="8.3481931174272999E-8"/>
                  <c:y val="-0.20457782771788699"/>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3"/>
              <c:layout>
                <c:manualLayout>
                  <c:x val="-2.5220680958385898E-3"/>
                  <c:y val="-0.19885550786838299"/>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4"/>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5"/>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zh-CN"/>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6"/>
                <c:pt idx="0">
                  <c:v>93</c:v>
                </c:pt>
                <c:pt idx="1">
                  <c:v>153</c:v>
                </c:pt>
                <c:pt idx="2">
                  <c:v>213</c:v>
                </c:pt>
                <c:pt idx="3">
                  <c:v>218</c:v>
                </c:pt>
                <c:pt idx="4">
                  <c:v>11</c:v>
                </c:pt>
                <c:pt idx="5">
                  <c:v>13</c:v>
                </c:pt>
              </c:numLit>
            </c:plus>
            <c:minus>
              <c:numLit>
                <c:formatCode>General</c:formatCode>
                <c:ptCount val="6"/>
                <c:pt idx="0">
                  <c:v>93</c:v>
                </c:pt>
                <c:pt idx="1">
                  <c:v>153</c:v>
                </c:pt>
                <c:pt idx="2">
                  <c:v>213</c:v>
                </c:pt>
                <c:pt idx="3">
                  <c:v>218</c:v>
                </c:pt>
                <c:pt idx="4">
                  <c:v>11</c:v>
                </c:pt>
                <c:pt idx="5">
                  <c:v>13</c:v>
                </c:pt>
              </c:numLit>
            </c:minus>
            <c:spPr>
              <a:ln w="15875" cap="flat" cmpd="sng" algn="ctr">
                <a:solidFill>
                  <a:srgbClr val="595959">
                    <a:alpha val="100000"/>
                  </a:srgbClr>
                </a:solidFill>
                <a:prstDash val="solid"/>
                <a:round/>
              </a:ln>
            </c:spPr>
          </c:errBars>
          <c:cat>
            <c:strRef>
              <c:f>[inflammatory cytokines mRNA levels of distal ileum.xlsx]Sheet1!$B$1:$G$1</c:f>
              <c:strCache>
                <c:ptCount val="6"/>
                <c:pt idx="0">
                  <c:v>IL-1β</c:v>
                </c:pt>
                <c:pt idx="1">
                  <c:v>IL-6</c:v>
                </c:pt>
                <c:pt idx="2">
                  <c:v>IFN-γ</c:v>
                </c:pt>
                <c:pt idx="3">
                  <c:v>TNF-a</c:v>
                </c:pt>
                <c:pt idx="4">
                  <c:v>IL-10</c:v>
                </c:pt>
                <c:pt idx="5">
                  <c:v>TGF-β</c:v>
                </c:pt>
              </c:strCache>
            </c:strRef>
          </c:cat>
          <c:val>
            <c:numRef>
              <c:f>[inflammatory cytokines mRNA levels of distal ileum.xlsx]Sheet1!$B$3:$G$3</c:f>
              <c:numCache>
                <c:formatCode>General</c:formatCode>
                <c:ptCount val="6"/>
                <c:pt idx="0">
                  <c:v>336</c:v>
                </c:pt>
                <c:pt idx="1">
                  <c:v>352</c:v>
                </c:pt>
                <c:pt idx="2">
                  <c:v>452</c:v>
                </c:pt>
                <c:pt idx="3">
                  <c:v>295</c:v>
                </c:pt>
                <c:pt idx="4">
                  <c:v>32</c:v>
                </c:pt>
                <c:pt idx="5">
                  <c:v>42</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Lst>
        </c:ser>
        <c:ser>
          <c:idx val="2"/>
          <c:order val="2"/>
          <c:tx>
            <c:strRef>
              <c:f>[inflammatory cytokines mRNA levels of distal ileum.xlsx]Sheet1!$A$4</c:f>
              <c:strCache>
                <c:ptCount val="1"/>
                <c:pt idx="0">
                  <c:v>Rifaximin group</c:v>
                </c:pt>
              </c:strCache>
            </c:strRef>
          </c:tx>
          <c:spPr>
            <a:solidFill>
              <a:srgbClr val="A5A5A5"/>
            </a:solidFill>
            <a:ln>
              <a:noFill/>
              <a:round/>
            </a:ln>
          </c:spPr>
          <c:invertIfNegative val="1"/>
          <c:dLbls>
            <c:dLbl>
              <c:idx val="0"/>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1"/>
              <c:layout>
                <c:manualLayout>
                  <c:x val="4.8528046589596199E-4"/>
                  <c:y val="-2.88516778750296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2"/>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3"/>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4"/>
              <c:layout>
                <c:manualLayout>
                  <c:x val="-1.55497214143756E-16"/>
                  <c:y val="-5.00715307582262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5"/>
              <c:layout>
                <c:manualLayout>
                  <c:x val="-4.2408821034775196E-3"/>
                  <c:y val="-2.50357653791131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zh-CN"/>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6"/>
                <c:pt idx="0">
                  <c:v>33</c:v>
                </c:pt>
                <c:pt idx="1">
                  <c:v>52</c:v>
                </c:pt>
                <c:pt idx="2">
                  <c:v>2</c:v>
                </c:pt>
                <c:pt idx="3">
                  <c:v>9</c:v>
                </c:pt>
                <c:pt idx="4">
                  <c:v>78</c:v>
                </c:pt>
                <c:pt idx="5">
                  <c:v>52</c:v>
                </c:pt>
              </c:numLit>
            </c:plus>
            <c:minus>
              <c:numLit>
                <c:formatCode>General</c:formatCode>
                <c:ptCount val="6"/>
                <c:pt idx="0">
                  <c:v>33</c:v>
                </c:pt>
                <c:pt idx="1">
                  <c:v>52</c:v>
                </c:pt>
                <c:pt idx="2">
                  <c:v>2</c:v>
                </c:pt>
                <c:pt idx="3">
                  <c:v>9</c:v>
                </c:pt>
                <c:pt idx="4">
                  <c:v>78</c:v>
                </c:pt>
                <c:pt idx="5">
                  <c:v>52</c:v>
                </c:pt>
              </c:numLit>
            </c:minus>
            <c:spPr>
              <a:ln w="15875" cap="flat" cmpd="sng" algn="ctr">
                <a:solidFill>
                  <a:srgbClr val="595959">
                    <a:alpha val="100000"/>
                  </a:srgbClr>
                </a:solidFill>
                <a:prstDash val="solid"/>
                <a:round/>
              </a:ln>
            </c:spPr>
          </c:errBars>
          <c:cat>
            <c:strRef>
              <c:f>[inflammatory cytokines mRNA levels of distal ileum.xlsx]Sheet1!$B$1:$G$1</c:f>
              <c:strCache>
                <c:ptCount val="6"/>
                <c:pt idx="0">
                  <c:v>IL-1β</c:v>
                </c:pt>
                <c:pt idx="1">
                  <c:v>IL-6</c:v>
                </c:pt>
                <c:pt idx="2">
                  <c:v>IFN-γ</c:v>
                </c:pt>
                <c:pt idx="3">
                  <c:v>TNF-a</c:v>
                </c:pt>
                <c:pt idx="4">
                  <c:v>IL-10</c:v>
                </c:pt>
                <c:pt idx="5">
                  <c:v>TGF-β</c:v>
                </c:pt>
              </c:strCache>
            </c:strRef>
          </c:cat>
          <c:val>
            <c:numRef>
              <c:f>[inflammatory cytokines mRNA levels of distal ileum.xlsx]Sheet1!$B$4:$G$4</c:f>
              <c:numCache>
                <c:formatCode>General</c:formatCode>
                <c:ptCount val="6"/>
                <c:pt idx="0">
                  <c:v>60</c:v>
                </c:pt>
                <c:pt idx="1">
                  <c:v>86</c:v>
                </c:pt>
                <c:pt idx="2">
                  <c:v>42</c:v>
                </c:pt>
                <c:pt idx="3">
                  <c:v>62</c:v>
                </c:pt>
                <c:pt idx="4">
                  <c:v>123</c:v>
                </c:pt>
                <c:pt idx="5">
                  <c:v>121</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Lst>
        </c:ser>
        <c:ser>
          <c:idx val="3"/>
          <c:order val="3"/>
          <c:tx>
            <c:strRef>
              <c:f>[inflammatory cytokines mRNA levels of distal ileum.xlsx]Sheet1!$A$5</c:f>
              <c:strCache>
                <c:ptCount val="1"/>
                <c:pt idx="0">
                  <c:v>25mg/kg BBR group</c:v>
                </c:pt>
              </c:strCache>
            </c:strRef>
          </c:tx>
          <c:spPr>
            <a:solidFill>
              <a:srgbClr val="FFC000"/>
            </a:solidFill>
            <a:ln>
              <a:noFill/>
              <a:round/>
            </a:ln>
          </c:spPr>
          <c:invertIfNegative val="1"/>
          <c:dLbls>
            <c:dLbl>
              <c:idx val="0"/>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 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1"/>
              <c:layout>
                <c:manualLayout>
                  <c:x val="-6.8913881505211201E-4"/>
                  <c:y val="-0.12110636116837301"/>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2"/>
              <c:layout>
                <c:manualLayout>
                  <c:x val="8.3481931093068798E-8"/>
                  <c:y val="-9.4778254649499294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3"/>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4"/>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5"/>
              <c:layout>
                <c:manualLayout>
                  <c:x val="-2.5219846139074098E-3"/>
                  <c:y val="-3.1473392810877299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zh-CN"/>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6"/>
                <c:pt idx="0">
                  <c:v>28</c:v>
                </c:pt>
                <c:pt idx="1">
                  <c:v>128</c:v>
                </c:pt>
                <c:pt idx="2">
                  <c:v>130</c:v>
                </c:pt>
                <c:pt idx="3">
                  <c:v>31</c:v>
                </c:pt>
                <c:pt idx="4">
                  <c:v>24</c:v>
                </c:pt>
                <c:pt idx="5">
                  <c:v>33</c:v>
                </c:pt>
              </c:numLit>
            </c:plus>
            <c:minus>
              <c:numLit>
                <c:formatCode>General</c:formatCode>
                <c:ptCount val="6"/>
                <c:pt idx="0">
                  <c:v>28</c:v>
                </c:pt>
                <c:pt idx="1">
                  <c:v>128</c:v>
                </c:pt>
                <c:pt idx="2">
                  <c:v>130</c:v>
                </c:pt>
                <c:pt idx="3">
                  <c:v>31</c:v>
                </c:pt>
                <c:pt idx="4">
                  <c:v>24</c:v>
                </c:pt>
                <c:pt idx="5">
                  <c:v>33</c:v>
                </c:pt>
              </c:numLit>
            </c:minus>
            <c:spPr>
              <a:ln w="15875" cap="flat" cmpd="sng" algn="ctr">
                <a:solidFill>
                  <a:srgbClr val="595959">
                    <a:alpha val="100000"/>
                  </a:srgbClr>
                </a:solidFill>
                <a:prstDash val="solid"/>
                <a:round/>
              </a:ln>
            </c:spPr>
          </c:errBars>
          <c:cat>
            <c:strRef>
              <c:f>[inflammatory cytokines mRNA levels of distal ileum.xlsx]Sheet1!$B$1:$G$1</c:f>
              <c:strCache>
                <c:ptCount val="6"/>
                <c:pt idx="0">
                  <c:v>IL-1β</c:v>
                </c:pt>
                <c:pt idx="1">
                  <c:v>IL-6</c:v>
                </c:pt>
                <c:pt idx="2">
                  <c:v>IFN-γ</c:v>
                </c:pt>
                <c:pt idx="3">
                  <c:v>TNF-a</c:v>
                </c:pt>
                <c:pt idx="4">
                  <c:v>IL-10</c:v>
                </c:pt>
                <c:pt idx="5">
                  <c:v>TGF-β</c:v>
                </c:pt>
              </c:strCache>
            </c:strRef>
          </c:cat>
          <c:val>
            <c:numRef>
              <c:f>[inflammatory cytokines mRNA levels of distal ileum.xlsx]Sheet1!$B$5:$G$5</c:f>
              <c:numCache>
                <c:formatCode>General</c:formatCode>
                <c:ptCount val="6"/>
                <c:pt idx="0">
                  <c:v>160</c:v>
                </c:pt>
                <c:pt idx="1">
                  <c:v>211</c:v>
                </c:pt>
                <c:pt idx="2">
                  <c:v>180</c:v>
                </c:pt>
                <c:pt idx="3">
                  <c:v>113</c:v>
                </c:pt>
                <c:pt idx="4">
                  <c:v>82</c:v>
                </c:pt>
                <c:pt idx="5">
                  <c:v>115</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Lst>
        </c:ser>
        <c:ser>
          <c:idx val="4"/>
          <c:order val="4"/>
          <c:tx>
            <c:strRef>
              <c:f>[inflammatory cytokines mRNA levels of distal ileum.xlsx]Sheet1!$A$6</c:f>
              <c:strCache>
                <c:ptCount val="1"/>
                <c:pt idx="0">
                  <c:v>100mg/kg BBR group</c:v>
                </c:pt>
              </c:strCache>
            </c:strRef>
          </c:tx>
          <c:spPr>
            <a:solidFill>
              <a:srgbClr val="5B9BD5"/>
            </a:solidFill>
            <a:ln>
              <a:noFill/>
              <a:round/>
            </a:ln>
          </c:spPr>
          <c:invertIfNegative val="1"/>
          <c:dLbls>
            <c:dLbl>
              <c:idx val="0"/>
              <c:layout>
                <c:manualLayout>
                  <c:x val="4.2408821034775604E-3"/>
                  <c:y val="-1.86796661146983E-3"/>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1"/>
              <c:layout>
                <c:manualLayout>
                  <c:x val="3.7831021437576698E-3"/>
                  <c:y val="6.8938877668126399E-3"/>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2"/>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3"/>
              <c:layout>
                <c:manualLayout>
                  <c:x val="-8.0496691756526003E-17"/>
                  <c:y val="-2.2875450285313501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4"/>
              <c:layout>
                <c:manualLayout>
                  <c:x val="2.1204410517386102E-3"/>
                  <c:y val="-5.7224606580829902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5"/>
              <c:layout>
                <c:manualLayout>
                  <c:x val="1.66266109201908E-3"/>
                  <c:y val="-5.0071530758225999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zh-CN"/>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6"/>
                <c:pt idx="0">
                  <c:v>22</c:v>
                </c:pt>
                <c:pt idx="1">
                  <c:v>14</c:v>
                </c:pt>
                <c:pt idx="2">
                  <c:v>9</c:v>
                </c:pt>
                <c:pt idx="3">
                  <c:v>43</c:v>
                </c:pt>
                <c:pt idx="4">
                  <c:v>74</c:v>
                </c:pt>
                <c:pt idx="5">
                  <c:v>66</c:v>
                </c:pt>
              </c:numLit>
            </c:plus>
            <c:minus>
              <c:numLit>
                <c:formatCode>General</c:formatCode>
                <c:ptCount val="6"/>
                <c:pt idx="0">
                  <c:v>22</c:v>
                </c:pt>
                <c:pt idx="1">
                  <c:v>14</c:v>
                </c:pt>
                <c:pt idx="2">
                  <c:v>9</c:v>
                </c:pt>
                <c:pt idx="3">
                  <c:v>43</c:v>
                </c:pt>
                <c:pt idx="4">
                  <c:v>74</c:v>
                </c:pt>
                <c:pt idx="5">
                  <c:v>66</c:v>
                </c:pt>
              </c:numLit>
            </c:minus>
            <c:spPr>
              <a:ln w="15875" cap="flat" cmpd="sng" algn="ctr">
                <a:solidFill>
                  <a:srgbClr val="595959">
                    <a:alpha val="100000"/>
                  </a:srgbClr>
                </a:solidFill>
                <a:prstDash val="solid"/>
                <a:round/>
              </a:ln>
            </c:spPr>
          </c:errBars>
          <c:cat>
            <c:strRef>
              <c:f>[inflammatory cytokines mRNA levels of distal ileum.xlsx]Sheet1!$B$1:$G$1</c:f>
              <c:strCache>
                <c:ptCount val="6"/>
                <c:pt idx="0">
                  <c:v>IL-1β</c:v>
                </c:pt>
                <c:pt idx="1">
                  <c:v>IL-6</c:v>
                </c:pt>
                <c:pt idx="2">
                  <c:v>IFN-γ</c:v>
                </c:pt>
                <c:pt idx="3">
                  <c:v>TNF-a</c:v>
                </c:pt>
                <c:pt idx="4">
                  <c:v>IL-10</c:v>
                </c:pt>
                <c:pt idx="5">
                  <c:v>TGF-β</c:v>
                </c:pt>
              </c:strCache>
            </c:strRef>
          </c:cat>
          <c:val>
            <c:numRef>
              <c:f>[inflammatory cytokines mRNA levels of distal ileum.xlsx]Sheet1!$B$6:$G$6</c:f>
              <c:numCache>
                <c:formatCode>General</c:formatCode>
                <c:ptCount val="6"/>
                <c:pt idx="0">
                  <c:v>35</c:v>
                </c:pt>
                <c:pt idx="1">
                  <c:v>51</c:v>
                </c:pt>
                <c:pt idx="2">
                  <c:v>52</c:v>
                </c:pt>
                <c:pt idx="3">
                  <c:v>92</c:v>
                </c:pt>
                <c:pt idx="4">
                  <c:v>150</c:v>
                </c:pt>
                <c:pt idx="5">
                  <c:v>136</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Lst>
        </c:ser>
        <c:dLbls>
          <c:showLegendKey val="0"/>
          <c:showVal val="0"/>
          <c:showCatName val="0"/>
          <c:showSerName val="0"/>
          <c:showPercent val="0"/>
          <c:showBubbleSize val="0"/>
        </c:dLbls>
        <c:gapWidth val="209"/>
        <c:overlap val="-50"/>
        <c:axId val="183100160"/>
        <c:axId val="183101696"/>
      </c:barChart>
      <c:catAx>
        <c:axId val="183100160"/>
        <c:scaling>
          <c:orientation val="minMax"/>
        </c:scaling>
        <c:delete val="0"/>
        <c:axPos val="b"/>
        <c:numFmt formatCode="General" sourceLinked="0"/>
        <c:majorTickMark val="none"/>
        <c:minorTickMark val="none"/>
        <c:tickLblPos val="nextTo"/>
        <c:spPr>
          <a:noFill/>
          <a:ln w="9525" cap="flat" cmpd="sng" algn="ctr">
            <a:solidFill>
              <a:srgbClr val="D9D9D9">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zh-CN"/>
          </a:p>
        </c:txPr>
        <c:crossAx val="183101696"/>
        <c:crosses val="autoZero"/>
        <c:auto val="1"/>
        <c:lblAlgn val="ctr"/>
        <c:lblOffset val="100"/>
        <c:noMultiLvlLbl val="1"/>
      </c:catAx>
      <c:valAx>
        <c:axId val="183101696"/>
        <c:scaling>
          <c:orientation val="minMax"/>
        </c:scaling>
        <c:delete val="0"/>
        <c:axPos val="l"/>
        <c:title>
          <c:tx>
            <c:rich>
              <a:bodyPr rot="-5400000" spcFirstLastPara="0" vertOverflow="ellipsis" vert="horz" wrap="square" anchor="ctr" anchorCtr="1"/>
              <a:lstStyle/>
              <a:p>
                <a:pPr>
                  <a:defRPr lang="zh-CN" sz="1000" b="0" i="0" u="none" strike="noStrike" kern="1200" baseline="0">
                    <a:solidFill>
                      <a:srgbClr val="000000"/>
                    </a:solidFill>
                    <a:latin typeface="Arial Unicode MS" panose="020B0604020202020204" pitchFamily="2" charset="-122"/>
                    <a:ea typeface="Arial Unicode MS" panose="020B0604020202020204" pitchFamily="2" charset="-122"/>
                    <a:cs typeface="Arial Unicode MS" panose="020B0604020202020204" pitchFamily="2" charset="-122"/>
                  </a:defRPr>
                </a:pPr>
                <a:r>
                  <a:rPr lang="en-US" altLang="ko-KR" sz="1000" b="0" i="0" u="none" baseline="0">
                    <a:solidFill>
                      <a:srgbClr val="595959"/>
                    </a:solidFill>
                    <a:latin typeface="Arial Unicode MS" panose="020B0604020202020204" pitchFamily="2" charset="-122"/>
                    <a:ea typeface="Arial Unicode MS" panose="020B0604020202020204" pitchFamily="2" charset="-122"/>
                    <a:cs typeface="Arial Unicode MS" panose="020B0604020202020204" pitchFamily="2" charset="-122"/>
                  </a:rPr>
                  <a:t>I</a:t>
                </a:r>
                <a:r>
                  <a:rPr lang="ko-KR" altLang="en-US" sz="1000" b="0" i="0" u="none" baseline="0">
                    <a:solidFill>
                      <a:srgbClr val="595959"/>
                    </a:solidFill>
                    <a:latin typeface="Arial Unicode MS" panose="020B0604020202020204" pitchFamily="2" charset="-122"/>
                    <a:ea typeface="Arial Unicode MS" panose="020B0604020202020204" pitchFamily="2" charset="-122"/>
                    <a:cs typeface="Arial Unicode MS" panose="020B0604020202020204" pitchFamily="2" charset="-122"/>
                  </a:rPr>
                  <a:t>nflammatory cytokines protein  levels of distal ileum (% of control)</a:t>
                </a:r>
              </a:p>
            </c:rich>
          </c:tx>
          <c:layout>
            <c:manualLayout>
              <c:xMode val="edge"/>
              <c:yMode val="edge"/>
              <c:x val="3.4885517890587497E-2"/>
              <c:y val="0.197858781638309"/>
            </c:manualLayout>
          </c:layout>
          <c:overlay val="0"/>
          <c:spPr>
            <a:noFill/>
            <a:ln>
              <a:noFill/>
              <a:round/>
            </a:ln>
          </c:spPr>
        </c:title>
        <c:numFmt formatCode="General" sourceLinked="1"/>
        <c:majorTickMark val="none"/>
        <c:minorTickMark val="none"/>
        <c:tickLblPos val="nextTo"/>
        <c:spPr>
          <a:noFill/>
          <a:ln w="6350" cap="flat" cmpd="sng" algn="ctr">
            <a:solidFill>
              <a:srgbClr val="4472C4">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zh-CN"/>
          </a:p>
        </c:txPr>
        <c:crossAx val="183100160"/>
        <c:crosses val="autoZero"/>
        <c:crossBetween val="between"/>
      </c:valAx>
      <c:spPr>
        <a:noFill/>
        <a:ln>
          <a:noFill/>
          <a:round/>
        </a:ln>
      </c:spPr>
    </c:plotArea>
    <c:legend>
      <c:legendPos val="b"/>
      <c:layout>
        <c:manualLayout>
          <c:xMode val="edge"/>
          <c:yMode val="edge"/>
          <c:x val="0.40235885360993501"/>
          <c:y val="5.3648068669527897E-3"/>
          <c:w val="0.59448856127026695"/>
          <c:h val="0.16918685861692201"/>
        </c:manualLayout>
      </c:layout>
      <c:overlay val="1"/>
      <c:spPr>
        <a:noFill/>
        <a:ln>
          <a:noFill/>
          <a:round/>
        </a:ln>
      </c:spPr>
      <c:txPr>
        <a:bodyPr rot="0" spcFirstLastPara="0" vertOverflow="ellipsis" vert="horz" wrap="square" anchor="ctr" anchorCtr="1"/>
        <a:lstStyle/>
        <a:p>
          <a:pPr>
            <a:defRPr lang="zh-CN" sz="900" b="0" i="0" u="none" strike="noStrike" kern="1200" baseline="0">
              <a:solidFill>
                <a:srgbClr val="595959"/>
              </a:solidFill>
              <a:latin typeface="+mn-lt"/>
              <a:ea typeface="+mn-lt"/>
              <a:cs typeface="+mn-cs"/>
            </a:defRPr>
          </a:pPr>
          <a:endParaRPr lang="zh-CN"/>
        </a:p>
      </c:txPr>
    </c:legend>
    <c:plotVisOnly val="1"/>
    <c:dispBlanksAs val="gap"/>
    <c:showDLblsOverMax val="1"/>
  </c:chart>
  <c:spPr>
    <a:solidFill>
      <a:srgbClr val="FFFFFF">
        <a:alpha val="100000"/>
      </a:srgbClr>
    </a:solidFill>
    <a:ln w="9525" cap="flat" cmpd="sng" algn="ctr">
      <a:solidFill>
        <a:srgbClr val="D9D9D9">
          <a:alpha val="100000"/>
        </a:srgbClr>
      </a:solidFill>
      <a:prstDash val="solid"/>
      <a:round/>
    </a:ln>
  </c:spPr>
  <c:txPr>
    <a:bodyPr/>
    <a:lstStyle/>
    <a:p>
      <a:pPr>
        <a:defRPr lang="zh-CN" sz="1000" b="0" i="0" u="none" baseline="0">
          <a:solidFill>
            <a:srgbClr val="000000"/>
          </a:solidFill>
          <a:latin typeface="宋体" panose="02010600030101010101" charset="-122"/>
          <a:ea typeface="宋体" panose="02010600030101010101" charset="-122"/>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997226410528"/>
          <c:y val="0.19451793896525599"/>
          <c:w val="0.76808324491353497"/>
          <c:h val="0.69095767160460897"/>
        </c:manualLayout>
      </c:layout>
      <c:barChart>
        <c:barDir val="col"/>
        <c:grouping val="clustered"/>
        <c:varyColors val="1"/>
        <c:ser>
          <c:idx val="0"/>
          <c:order val="0"/>
          <c:tx>
            <c:strRef>
              <c:f>电子表格4!$B$1</c:f>
              <c:strCache>
                <c:ptCount val="1"/>
                <c:pt idx="0">
                  <c:v>Total gastrointestinal transit(min)</c:v>
                </c:pt>
              </c:strCache>
            </c:strRef>
          </c:tx>
          <c:spPr>
            <a:solidFill>
              <a:srgbClr val="4472C4"/>
            </a:solidFill>
            <a:ln>
              <a:noFill/>
              <a:round/>
            </a:ln>
          </c:spPr>
          <c:invertIfNegative val="1"/>
          <c:dPt>
            <c:idx val="0"/>
            <c:invertIfNegative val="1"/>
            <c:bubble3D val="0"/>
          </c:dPt>
          <c:dPt>
            <c:idx val="1"/>
            <c:invertIfNegative val="1"/>
            <c:bubble3D val="0"/>
          </c:dPt>
          <c:dPt>
            <c:idx val="2"/>
            <c:invertIfNegative val="1"/>
            <c:bubble3D val="0"/>
          </c:dPt>
          <c:dPt>
            <c:idx val="3"/>
            <c:invertIfNegative val="1"/>
            <c:bubble3D val="0"/>
          </c:dPt>
          <c:dPt>
            <c:idx val="4"/>
            <c:invertIfNegative val="1"/>
            <c:bubble3D val="0"/>
          </c:dPt>
          <c:dLbls>
            <c:dLbl>
              <c:idx val="0"/>
              <c:delete val="1"/>
              <c:extLst>
                <c:ext xmlns:c15="http://schemas.microsoft.com/office/drawing/2012/chart" uri="{CE6537A1-D6FC-4f65-9D91-7224C49458BB}"/>
              </c:extLst>
            </c:dLbl>
            <c:dLbl>
              <c:idx val="1"/>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2"/>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zh-CN"/>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ext>
            </c:extLst>
          </c:dLbls>
          <c:errBars>
            <c:errBarType val="both"/>
            <c:errValType val="cust"/>
            <c:noEndCap val="1"/>
            <c:plus>
              <c:numLit>
                <c:formatCode>General</c:formatCode>
                <c:ptCount val="5"/>
                <c:pt idx="0">
                  <c:v>40.44</c:v>
                </c:pt>
                <c:pt idx="1">
                  <c:v>25.99</c:v>
                </c:pt>
                <c:pt idx="2">
                  <c:v>35.200000000000003</c:v>
                </c:pt>
                <c:pt idx="3">
                  <c:v>11.51</c:v>
                </c:pt>
                <c:pt idx="4">
                  <c:v>11.99</c:v>
                </c:pt>
              </c:numLit>
            </c:plus>
            <c:minus>
              <c:numLit>
                <c:formatCode>General</c:formatCode>
                <c:ptCount val="5"/>
                <c:pt idx="0">
                  <c:v>40.44</c:v>
                </c:pt>
                <c:pt idx="1">
                  <c:v>25.99</c:v>
                </c:pt>
                <c:pt idx="2">
                  <c:v>35.200000000000003</c:v>
                </c:pt>
                <c:pt idx="3">
                  <c:v>11.51</c:v>
                </c:pt>
                <c:pt idx="4">
                  <c:v>11.99</c:v>
                </c:pt>
              </c:numLit>
            </c:minus>
            <c:spPr>
              <a:ln w="15875" cap="flat" cmpd="sng" algn="ctr">
                <a:solidFill>
                  <a:srgbClr val="595959">
                    <a:alpha val="100000"/>
                  </a:srgbClr>
                </a:solidFill>
                <a:prstDash val="solid"/>
                <a:round/>
              </a:ln>
            </c:spPr>
          </c:errBars>
          <c:cat>
            <c:strRef>
              <c:f>电子表格4!$A$2:$A$6</c:f>
              <c:strCache>
                <c:ptCount val="5"/>
                <c:pt idx="0">
                  <c:v>Control group</c:v>
                </c:pt>
                <c:pt idx="1">
                  <c:v>WAS group</c:v>
                </c:pt>
                <c:pt idx="2">
                  <c:v>Rifaximin group</c:v>
                </c:pt>
                <c:pt idx="3">
                  <c:v>25mg/kg BBR group</c:v>
                </c:pt>
                <c:pt idx="4">
                  <c:v>100mg/kg BBR group</c:v>
                </c:pt>
              </c:strCache>
            </c:strRef>
          </c:cat>
          <c:val>
            <c:numRef>
              <c:f>电子表格4!$B$2:$B$6</c:f>
              <c:numCache>
                <c:formatCode>General</c:formatCode>
                <c:ptCount val="5"/>
                <c:pt idx="0">
                  <c:v>583.4</c:v>
                </c:pt>
                <c:pt idx="1">
                  <c:v>457.47</c:v>
                </c:pt>
                <c:pt idx="2">
                  <c:v>557.87</c:v>
                </c:pt>
                <c:pt idx="3">
                  <c:v>521.92999999999995</c:v>
                </c:pt>
                <c:pt idx="4">
                  <c:v>575.79999999999995</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Lst>
        </c:ser>
        <c:dLbls>
          <c:showLegendKey val="0"/>
          <c:showVal val="0"/>
          <c:showCatName val="0"/>
          <c:showSerName val="0"/>
          <c:showPercent val="0"/>
          <c:showBubbleSize val="0"/>
        </c:dLbls>
        <c:gapWidth val="209"/>
        <c:overlap val="-50"/>
        <c:axId val="183267712"/>
        <c:axId val="183269248"/>
      </c:barChart>
      <c:catAx>
        <c:axId val="183267712"/>
        <c:scaling>
          <c:orientation val="minMax"/>
        </c:scaling>
        <c:delete val="0"/>
        <c:axPos val="b"/>
        <c:numFmt formatCode="General" sourceLinked="0"/>
        <c:majorTickMark val="none"/>
        <c:minorTickMark val="none"/>
        <c:tickLblPos val="nextTo"/>
        <c:spPr>
          <a:noFill/>
          <a:ln w="9525" cap="flat" cmpd="sng" algn="ctr">
            <a:solidFill>
              <a:srgbClr val="D9D9D9">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zh-CN"/>
          </a:p>
        </c:txPr>
        <c:crossAx val="183269248"/>
        <c:crosses val="autoZero"/>
        <c:auto val="1"/>
        <c:lblAlgn val="ctr"/>
        <c:lblOffset val="100"/>
        <c:noMultiLvlLbl val="1"/>
      </c:catAx>
      <c:valAx>
        <c:axId val="183269248"/>
        <c:scaling>
          <c:orientation val="minMax"/>
        </c:scaling>
        <c:delete val="0"/>
        <c:axPos val="l"/>
        <c:title>
          <c:tx>
            <c:rich>
              <a:bodyPr rot="-5400000" spcFirstLastPara="0" vertOverflow="ellipsis" vert="horz" wrap="square" anchor="ctr" anchorCtr="1"/>
              <a:lstStyle/>
              <a:p>
                <a:pPr>
                  <a:defRPr lang="zh-CN" sz="1000" b="0" i="0" u="none" strike="noStrike" kern="1200" baseline="0">
                    <a:solidFill>
                      <a:srgbClr val="000000"/>
                    </a:solidFill>
                    <a:latin typeface="+mn-lt"/>
                    <a:ea typeface="+mn-lt"/>
                    <a:cs typeface="+mn-cs"/>
                  </a:defRPr>
                </a:pPr>
                <a:r>
                  <a:rPr lang="ko-KR" altLang="en-US" sz="1000" b="0" i="0" u="none" baseline="0">
                    <a:solidFill>
                      <a:srgbClr val="595959"/>
                    </a:solidFill>
                    <a:latin typeface="+mn-lt"/>
                    <a:ea typeface="+mn-lt"/>
                  </a:rPr>
                  <a:t>Total gastrointestinal transit of rats(min)</a:t>
                </a:r>
              </a:p>
            </c:rich>
          </c:tx>
          <c:layout>
            <c:manualLayout>
              <c:xMode val="edge"/>
              <c:yMode val="edge"/>
              <c:x val="3.05555555555556E-2"/>
              <c:y val="0.171134441528142"/>
            </c:manualLayout>
          </c:layout>
          <c:overlay val="0"/>
          <c:spPr>
            <a:noFill/>
            <a:ln>
              <a:noFill/>
              <a:round/>
            </a:ln>
          </c:spPr>
        </c:title>
        <c:numFmt formatCode="General" sourceLinked="1"/>
        <c:majorTickMark val="none"/>
        <c:minorTickMark val="none"/>
        <c:tickLblPos val="nextTo"/>
        <c:spPr>
          <a:noFill/>
          <a:ln w="6350" cap="flat" cmpd="sng" algn="ctr">
            <a:solidFill>
              <a:srgbClr val="4472C4">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zh-CN"/>
          </a:p>
        </c:txPr>
        <c:crossAx val="183267712"/>
        <c:crosses val="autoZero"/>
        <c:crossBetween val="between"/>
      </c:valAx>
      <c:spPr>
        <a:noFill/>
        <a:ln>
          <a:noFill/>
          <a:round/>
        </a:ln>
      </c:spPr>
    </c:plotArea>
    <c:legend>
      <c:legendPos val="b"/>
      <c:layout>
        <c:manualLayout>
          <c:xMode val="edge"/>
          <c:yMode val="edge"/>
          <c:x val="0.40551137357830302"/>
          <c:y val="4.4274569845435999E-2"/>
          <c:w val="0.59448856127026695"/>
          <c:h val="0.15845733795987399"/>
        </c:manualLayout>
      </c:layout>
      <c:overlay val="1"/>
      <c:spPr>
        <a:noFill/>
        <a:ln>
          <a:noFill/>
          <a:round/>
        </a:ln>
      </c:spPr>
      <c:txPr>
        <a:bodyPr rot="0" spcFirstLastPara="0" vertOverflow="ellipsis" vert="horz" wrap="square" anchor="ctr" anchorCtr="1"/>
        <a:lstStyle/>
        <a:p>
          <a:pPr>
            <a:defRPr lang="zh-CN" sz="900" b="0" i="0" u="none" strike="noStrike" kern="1200" baseline="0">
              <a:solidFill>
                <a:srgbClr val="595959"/>
              </a:solidFill>
              <a:latin typeface="+mn-lt"/>
              <a:ea typeface="+mn-lt"/>
              <a:cs typeface="+mn-cs"/>
            </a:defRPr>
          </a:pPr>
          <a:endParaRPr lang="zh-CN"/>
        </a:p>
      </c:txPr>
    </c:legend>
    <c:plotVisOnly val="1"/>
    <c:dispBlanksAs val="gap"/>
    <c:showDLblsOverMax val="1"/>
  </c:chart>
  <c:spPr>
    <a:solidFill>
      <a:srgbClr val="FFFFFF">
        <a:alpha val="100000"/>
      </a:srgbClr>
    </a:solidFill>
    <a:ln w="9525" cap="flat" cmpd="sng" algn="ctr">
      <a:solidFill>
        <a:srgbClr val="D9D9D9">
          <a:alpha val="100000"/>
        </a:srgbClr>
      </a:solidFill>
      <a:prstDash val="solid"/>
      <a:round/>
    </a:ln>
  </c:spPr>
  <c:txPr>
    <a:bodyPr/>
    <a:lstStyle/>
    <a:p>
      <a:pPr>
        <a:defRPr lang="zh-CN" sz="1000" b="0" i="0" u="none" baseline="0">
          <a:solidFill>
            <a:srgbClr val="000000"/>
          </a:solidFill>
          <a:latin typeface="宋体" panose="02010600030101010101" charset="-122"/>
          <a:ea typeface="宋体" panose="02010600030101010101" charset="-122"/>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997226410528"/>
          <c:y val="0.19451793896525599"/>
          <c:w val="0.76808324491353497"/>
          <c:h val="0.69095767160460897"/>
        </c:manualLayout>
      </c:layout>
      <c:barChart>
        <c:barDir val="col"/>
        <c:grouping val="clustered"/>
        <c:varyColors val="1"/>
        <c:ser>
          <c:idx val="0"/>
          <c:order val="0"/>
          <c:tx>
            <c:strRef>
              <c:f>电子表格5!$B$1</c:f>
              <c:strCache>
                <c:ptCount val="1"/>
                <c:pt idx="0">
                  <c:v>Small intestinal transit (%)</c:v>
                </c:pt>
              </c:strCache>
            </c:strRef>
          </c:tx>
          <c:spPr>
            <a:solidFill>
              <a:srgbClr val="4472C4"/>
            </a:solidFill>
            <a:ln>
              <a:noFill/>
              <a:round/>
            </a:ln>
          </c:spPr>
          <c:invertIfNegative val="1"/>
          <c:dPt>
            <c:idx val="0"/>
            <c:invertIfNegative val="1"/>
            <c:bubble3D val="0"/>
          </c:dPt>
          <c:dPt>
            <c:idx val="1"/>
            <c:invertIfNegative val="1"/>
            <c:bubble3D val="0"/>
          </c:dPt>
          <c:dPt>
            <c:idx val="2"/>
            <c:invertIfNegative val="1"/>
            <c:bubble3D val="0"/>
          </c:dPt>
          <c:dPt>
            <c:idx val="3"/>
            <c:invertIfNegative val="1"/>
            <c:bubble3D val="0"/>
          </c:dPt>
          <c:dPt>
            <c:idx val="4"/>
            <c:invertIfNegative val="1"/>
            <c:bubble3D val="0"/>
          </c:dPt>
          <c:dLbls>
            <c:dLbl>
              <c:idx val="0"/>
              <c:delete val="1"/>
              <c:extLst>
                <c:ext xmlns:c15="http://schemas.microsoft.com/office/drawing/2012/chart" uri="{CE6537A1-D6FC-4f65-9D91-7224C49458BB}"/>
              </c:extLst>
            </c:dLbl>
            <c:dLbl>
              <c:idx val="1"/>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2"/>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zh-CN"/>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ext>
            </c:extLst>
          </c:dLbls>
          <c:errBars>
            <c:errBarType val="both"/>
            <c:errValType val="cust"/>
            <c:noEndCap val="1"/>
            <c:plus>
              <c:numLit>
                <c:formatCode>General</c:formatCode>
                <c:ptCount val="5"/>
                <c:pt idx="0">
                  <c:v>4.5999999999999996</c:v>
                </c:pt>
                <c:pt idx="1">
                  <c:v>2.77</c:v>
                </c:pt>
                <c:pt idx="2">
                  <c:v>2.35</c:v>
                </c:pt>
                <c:pt idx="3">
                  <c:v>7.3</c:v>
                </c:pt>
                <c:pt idx="4">
                  <c:v>1.02</c:v>
                </c:pt>
              </c:numLit>
            </c:plus>
            <c:minus>
              <c:numLit>
                <c:formatCode>General</c:formatCode>
                <c:ptCount val="5"/>
                <c:pt idx="0">
                  <c:v>4.5999999999999996</c:v>
                </c:pt>
                <c:pt idx="1">
                  <c:v>2.77</c:v>
                </c:pt>
                <c:pt idx="2">
                  <c:v>2.35</c:v>
                </c:pt>
                <c:pt idx="3">
                  <c:v>7.3</c:v>
                </c:pt>
                <c:pt idx="4">
                  <c:v>1.02</c:v>
                </c:pt>
              </c:numLit>
            </c:minus>
            <c:spPr>
              <a:ln w="9525" cap="flat" cmpd="sng" algn="ctr">
                <a:solidFill>
                  <a:srgbClr val="595959">
                    <a:alpha val="100000"/>
                  </a:srgbClr>
                </a:solidFill>
                <a:prstDash val="solid"/>
                <a:round/>
              </a:ln>
            </c:spPr>
          </c:errBars>
          <c:cat>
            <c:strRef>
              <c:f>电子表格5!$A$2:$A$6</c:f>
              <c:strCache>
                <c:ptCount val="5"/>
                <c:pt idx="0">
                  <c:v>Control group</c:v>
                </c:pt>
                <c:pt idx="1">
                  <c:v>WAS group</c:v>
                </c:pt>
                <c:pt idx="2">
                  <c:v>Rifaximin group</c:v>
                </c:pt>
                <c:pt idx="3">
                  <c:v>25mg/kg BBR group</c:v>
                </c:pt>
                <c:pt idx="4">
                  <c:v>100mg/kg BBR group</c:v>
                </c:pt>
              </c:strCache>
            </c:strRef>
          </c:cat>
          <c:val>
            <c:numRef>
              <c:f>电子表格5!$B$2:$B$6</c:f>
              <c:numCache>
                <c:formatCode>General</c:formatCode>
                <c:ptCount val="5"/>
                <c:pt idx="0">
                  <c:v>49.03</c:v>
                </c:pt>
                <c:pt idx="1">
                  <c:v>63.77</c:v>
                </c:pt>
                <c:pt idx="2">
                  <c:v>46.5</c:v>
                </c:pt>
                <c:pt idx="3">
                  <c:v>53.7</c:v>
                </c:pt>
                <c:pt idx="4">
                  <c:v>49.47</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Lst>
        </c:ser>
        <c:dLbls>
          <c:showLegendKey val="0"/>
          <c:showVal val="0"/>
          <c:showCatName val="0"/>
          <c:showSerName val="0"/>
          <c:showPercent val="0"/>
          <c:showBubbleSize val="0"/>
        </c:dLbls>
        <c:gapWidth val="209"/>
        <c:overlap val="-50"/>
        <c:axId val="182919168"/>
        <c:axId val="182920704"/>
      </c:barChart>
      <c:catAx>
        <c:axId val="182919168"/>
        <c:scaling>
          <c:orientation val="minMax"/>
        </c:scaling>
        <c:delete val="0"/>
        <c:axPos val="b"/>
        <c:numFmt formatCode="General" sourceLinked="0"/>
        <c:majorTickMark val="none"/>
        <c:minorTickMark val="none"/>
        <c:tickLblPos val="nextTo"/>
        <c:spPr>
          <a:noFill/>
          <a:ln w="9525" cap="flat" cmpd="sng" algn="ctr">
            <a:solidFill>
              <a:srgbClr val="D9D9D9">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zh-CN"/>
          </a:p>
        </c:txPr>
        <c:crossAx val="182920704"/>
        <c:crosses val="autoZero"/>
        <c:auto val="1"/>
        <c:lblAlgn val="ctr"/>
        <c:lblOffset val="100"/>
        <c:noMultiLvlLbl val="1"/>
      </c:catAx>
      <c:valAx>
        <c:axId val="182920704"/>
        <c:scaling>
          <c:orientation val="minMax"/>
        </c:scaling>
        <c:delete val="0"/>
        <c:axPos val="l"/>
        <c:title>
          <c:tx>
            <c:rich>
              <a:bodyPr rot="-5400000" spcFirstLastPara="0" vertOverflow="ellipsis" vert="horz" wrap="square" anchor="ctr" anchorCtr="1"/>
              <a:lstStyle/>
              <a:p>
                <a:pPr>
                  <a:defRPr lang="zh-CN" sz="1000" b="0" i="0" u="none" strike="noStrike" kern="1200" baseline="0">
                    <a:solidFill>
                      <a:srgbClr val="000000"/>
                    </a:solidFill>
                    <a:latin typeface="+mn-lt"/>
                    <a:ea typeface="+mn-lt"/>
                    <a:cs typeface="+mn-cs"/>
                  </a:defRPr>
                </a:pPr>
                <a:r>
                  <a:rPr lang="ko-KR" altLang="en-US" sz="1000" b="0" i="0" u="none" baseline="0">
                    <a:solidFill>
                      <a:srgbClr val="595959"/>
                    </a:solidFill>
                    <a:latin typeface="+mn-lt"/>
                    <a:ea typeface="+mn-lt"/>
                  </a:rPr>
                  <a:t>Small intestinal transit of rats (%)</a:t>
                </a:r>
              </a:p>
            </c:rich>
          </c:tx>
          <c:layout>
            <c:manualLayout>
              <c:xMode val="edge"/>
              <c:yMode val="edge"/>
              <c:x val="3.05555555555556E-2"/>
              <c:y val="0.171134441528142"/>
            </c:manualLayout>
          </c:layout>
          <c:overlay val="0"/>
          <c:spPr>
            <a:noFill/>
            <a:ln>
              <a:noFill/>
              <a:round/>
            </a:ln>
          </c:spPr>
        </c:title>
        <c:numFmt formatCode="General" sourceLinked="1"/>
        <c:majorTickMark val="none"/>
        <c:minorTickMark val="none"/>
        <c:tickLblPos val="nextTo"/>
        <c:spPr>
          <a:noFill/>
          <a:ln w="6350" cap="flat" cmpd="sng" algn="ctr">
            <a:solidFill>
              <a:srgbClr val="4472C4">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zh-CN"/>
          </a:p>
        </c:txPr>
        <c:crossAx val="182919168"/>
        <c:crosses val="autoZero"/>
        <c:crossBetween val="between"/>
      </c:valAx>
      <c:spPr>
        <a:noFill/>
        <a:ln>
          <a:noFill/>
          <a:round/>
        </a:ln>
      </c:spPr>
    </c:plotArea>
    <c:legend>
      <c:legendPos val="b"/>
      <c:layout>
        <c:manualLayout>
          <c:xMode val="edge"/>
          <c:yMode val="edge"/>
          <c:x val="0.40551137357830302"/>
          <c:y val="3.03856809565471E-2"/>
          <c:w val="0.59448856127026695"/>
          <c:h val="0.15845733795987399"/>
        </c:manualLayout>
      </c:layout>
      <c:overlay val="1"/>
      <c:spPr>
        <a:noFill/>
        <a:ln>
          <a:noFill/>
          <a:round/>
        </a:ln>
      </c:spPr>
      <c:txPr>
        <a:bodyPr rot="0" spcFirstLastPara="0" vertOverflow="ellipsis" vert="horz" wrap="square" anchor="ctr" anchorCtr="1"/>
        <a:lstStyle/>
        <a:p>
          <a:pPr>
            <a:defRPr lang="zh-CN" sz="900" b="0" i="0" u="none" strike="noStrike" kern="1200" baseline="0">
              <a:solidFill>
                <a:srgbClr val="595959"/>
              </a:solidFill>
              <a:latin typeface="+mn-lt"/>
              <a:ea typeface="+mn-lt"/>
              <a:cs typeface="+mn-cs"/>
            </a:defRPr>
          </a:pPr>
          <a:endParaRPr lang="zh-CN"/>
        </a:p>
      </c:txPr>
    </c:legend>
    <c:plotVisOnly val="1"/>
    <c:dispBlanksAs val="gap"/>
    <c:showDLblsOverMax val="1"/>
  </c:chart>
  <c:spPr>
    <a:solidFill>
      <a:srgbClr val="FFFFFF">
        <a:alpha val="100000"/>
      </a:srgbClr>
    </a:solidFill>
    <a:ln w="9525" cap="flat" cmpd="sng" algn="ctr">
      <a:solidFill>
        <a:srgbClr val="D9D9D9">
          <a:alpha val="100000"/>
        </a:srgbClr>
      </a:solidFill>
      <a:prstDash val="solid"/>
      <a:round/>
    </a:ln>
  </c:spPr>
  <c:txPr>
    <a:bodyPr/>
    <a:lstStyle/>
    <a:p>
      <a:pPr>
        <a:defRPr lang="zh-CN" sz="1000" b="0" i="0" u="none" baseline="0">
          <a:solidFill>
            <a:srgbClr val="000000"/>
          </a:solidFill>
          <a:latin typeface="宋体" panose="02010600030101010101" charset="-122"/>
          <a:ea typeface="宋体" panose="02010600030101010101" charset="-122"/>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73840769903799"/>
          <c:y val="0.18062919218431001"/>
          <c:w val="0.76808324491353497"/>
          <c:h val="0.69095767160460897"/>
        </c:manualLayout>
      </c:layout>
      <c:barChart>
        <c:barDir val="col"/>
        <c:grouping val="clustered"/>
        <c:varyColors val="1"/>
        <c:ser>
          <c:idx val="0"/>
          <c:order val="0"/>
          <c:tx>
            <c:strRef>
              <c:f>电子表格6!$B$1</c:f>
              <c:strCache>
                <c:ptCount val="1"/>
                <c:pt idx="0">
                  <c:v>BDNF</c:v>
                </c:pt>
              </c:strCache>
            </c:strRef>
          </c:tx>
          <c:spPr>
            <a:solidFill>
              <a:srgbClr val="4472C4"/>
            </a:solidFill>
            <a:ln>
              <a:noFill/>
              <a:round/>
            </a:ln>
          </c:spPr>
          <c:invertIfNegative val="1"/>
          <c:dLbls>
            <c:dLbl>
              <c:idx val="0"/>
              <c:delete val="1"/>
              <c:extLst>
                <c:ext xmlns:c15="http://schemas.microsoft.com/office/drawing/2012/chart" uri="{CE6537A1-D6FC-4f65-9D91-7224C49458BB}"/>
              </c:extLst>
            </c:dLbl>
            <c:dLbl>
              <c:idx val="1"/>
              <c:layout>
                <c:manualLayout>
                  <c:x val="-2.7777777777777801E-3"/>
                  <c:y val="-7.4074074074074098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2"/>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zh-CN"/>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5"/>
                <c:pt idx="0">
                  <c:v>0</c:v>
                </c:pt>
                <c:pt idx="1">
                  <c:v>1.1100000000000001</c:v>
                </c:pt>
                <c:pt idx="2">
                  <c:v>0.28999999999999998</c:v>
                </c:pt>
                <c:pt idx="3">
                  <c:v>0.8</c:v>
                </c:pt>
                <c:pt idx="4">
                  <c:v>0.27</c:v>
                </c:pt>
              </c:numLit>
            </c:plus>
            <c:minus>
              <c:numLit>
                <c:formatCode>General</c:formatCode>
                <c:ptCount val="5"/>
                <c:pt idx="0">
                  <c:v>0</c:v>
                </c:pt>
                <c:pt idx="1">
                  <c:v>1.1100000000000001</c:v>
                </c:pt>
                <c:pt idx="2">
                  <c:v>0.28999999999999998</c:v>
                </c:pt>
                <c:pt idx="3">
                  <c:v>0.8</c:v>
                </c:pt>
                <c:pt idx="4">
                  <c:v>0.27</c:v>
                </c:pt>
              </c:numLit>
            </c:minus>
            <c:spPr>
              <a:ln w="15875" cap="flat" cmpd="sng" algn="ctr">
                <a:solidFill>
                  <a:srgbClr val="595959">
                    <a:alpha val="100000"/>
                  </a:srgbClr>
                </a:solidFill>
                <a:prstDash val="solid"/>
                <a:round/>
              </a:ln>
            </c:spPr>
          </c:errBars>
          <c:cat>
            <c:strRef>
              <c:f>电子表格6!$A$2:$A$6</c:f>
              <c:strCache>
                <c:ptCount val="5"/>
                <c:pt idx="0">
                  <c:v>Control group</c:v>
                </c:pt>
                <c:pt idx="1">
                  <c:v>WAS group</c:v>
                </c:pt>
                <c:pt idx="2">
                  <c:v>Rifaximin group</c:v>
                </c:pt>
                <c:pt idx="3">
                  <c:v>25mg/kg BBR group</c:v>
                </c:pt>
                <c:pt idx="4">
                  <c:v>100mg/kg BBR group</c:v>
                </c:pt>
              </c:strCache>
            </c:strRef>
          </c:cat>
          <c:val>
            <c:numRef>
              <c:f>电子表格6!$B$2:$B$6</c:f>
              <c:numCache>
                <c:formatCode>General</c:formatCode>
                <c:ptCount val="5"/>
                <c:pt idx="0">
                  <c:v>1</c:v>
                </c:pt>
                <c:pt idx="1">
                  <c:v>2.54</c:v>
                </c:pt>
                <c:pt idx="2">
                  <c:v>0.88</c:v>
                </c:pt>
                <c:pt idx="3">
                  <c:v>1.57</c:v>
                </c:pt>
                <c:pt idx="4">
                  <c:v>0.74</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Lst>
        </c:ser>
        <c:ser>
          <c:idx val="1"/>
          <c:order val="1"/>
          <c:tx>
            <c:strRef>
              <c:f>电子表格6!$C$1</c:f>
              <c:strCache>
                <c:ptCount val="1"/>
                <c:pt idx="0">
                  <c:v>Trkb</c:v>
                </c:pt>
              </c:strCache>
            </c:strRef>
          </c:tx>
          <c:spPr>
            <a:solidFill>
              <a:srgbClr val="ED7D31"/>
            </a:solidFill>
            <a:ln>
              <a:noFill/>
              <a:round/>
            </a:ln>
          </c:spPr>
          <c:invertIfNegative val="1"/>
          <c:dLbls>
            <c:dLbl>
              <c:idx val="0"/>
              <c:delete val="1"/>
              <c:extLst>
                <c:ext xmlns:c15="http://schemas.microsoft.com/office/drawing/2012/chart" uri="{CE6537A1-D6FC-4f65-9D91-7224C49458BB}"/>
              </c:extLst>
            </c:dLbl>
            <c:dLbl>
              <c:idx val="1"/>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2"/>
              <c:layout>
                <c:manualLayout>
                  <c:x val="-2.7777777777777801E-3"/>
                  <c:y val="-2.7777960046660902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zh-CN"/>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5"/>
                <c:pt idx="0">
                  <c:v>0</c:v>
                </c:pt>
                <c:pt idx="1">
                  <c:v>3.12</c:v>
                </c:pt>
                <c:pt idx="2">
                  <c:v>0.43</c:v>
                </c:pt>
                <c:pt idx="3">
                  <c:v>2.0699999999999998</c:v>
                </c:pt>
                <c:pt idx="4">
                  <c:v>0.32</c:v>
                </c:pt>
              </c:numLit>
            </c:plus>
            <c:minus>
              <c:numLit>
                <c:formatCode>General</c:formatCode>
                <c:ptCount val="5"/>
                <c:pt idx="0">
                  <c:v>0</c:v>
                </c:pt>
                <c:pt idx="1">
                  <c:v>3.12</c:v>
                </c:pt>
                <c:pt idx="2">
                  <c:v>0.43</c:v>
                </c:pt>
                <c:pt idx="3">
                  <c:v>2.0699999999999998</c:v>
                </c:pt>
                <c:pt idx="4">
                  <c:v>0.32</c:v>
                </c:pt>
              </c:numLit>
            </c:minus>
            <c:spPr>
              <a:ln w="15875" cap="flat" cmpd="sng" algn="ctr">
                <a:solidFill>
                  <a:srgbClr val="595959">
                    <a:alpha val="100000"/>
                  </a:srgbClr>
                </a:solidFill>
                <a:prstDash val="solid"/>
                <a:round/>
              </a:ln>
            </c:spPr>
          </c:errBars>
          <c:cat>
            <c:strRef>
              <c:f>电子表格6!$A$2:$A$6</c:f>
              <c:strCache>
                <c:ptCount val="5"/>
                <c:pt idx="0">
                  <c:v>Control group</c:v>
                </c:pt>
                <c:pt idx="1">
                  <c:v>WAS group</c:v>
                </c:pt>
                <c:pt idx="2">
                  <c:v>Rifaximin group</c:v>
                </c:pt>
                <c:pt idx="3">
                  <c:v>25mg/kg BBR group</c:v>
                </c:pt>
                <c:pt idx="4">
                  <c:v>100mg/kg BBR group</c:v>
                </c:pt>
              </c:strCache>
            </c:strRef>
          </c:cat>
          <c:val>
            <c:numRef>
              <c:f>电子表格6!$C$2:$C$6</c:f>
              <c:numCache>
                <c:formatCode>General</c:formatCode>
                <c:ptCount val="5"/>
                <c:pt idx="0">
                  <c:v>1</c:v>
                </c:pt>
                <c:pt idx="1">
                  <c:v>3.89</c:v>
                </c:pt>
                <c:pt idx="2">
                  <c:v>0.6</c:v>
                </c:pt>
                <c:pt idx="3">
                  <c:v>2.6</c:v>
                </c:pt>
                <c:pt idx="4">
                  <c:v>0.42</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Lst>
        </c:ser>
        <c:dLbls>
          <c:showLegendKey val="0"/>
          <c:showVal val="0"/>
          <c:showCatName val="0"/>
          <c:showSerName val="0"/>
          <c:showPercent val="0"/>
          <c:showBubbleSize val="0"/>
        </c:dLbls>
        <c:gapWidth val="209"/>
        <c:overlap val="-50"/>
        <c:axId val="183728384"/>
        <c:axId val="183750656"/>
      </c:barChart>
      <c:catAx>
        <c:axId val="183728384"/>
        <c:scaling>
          <c:orientation val="minMax"/>
        </c:scaling>
        <c:delete val="0"/>
        <c:axPos val="b"/>
        <c:numFmt formatCode="General" sourceLinked="0"/>
        <c:majorTickMark val="none"/>
        <c:minorTickMark val="none"/>
        <c:tickLblPos val="nextTo"/>
        <c:spPr>
          <a:noFill/>
          <a:ln w="9525" cap="flat" cmpd="sng" algn="ctr">
            <a:solidFill>
              <a:srgbClr val="D9D9D9">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zh-CN"/>
          </a:p>
        </c:txPr>
        <c:crossAx val="183750656"/>
        <c:crosses val="autoZero"/>
        <c:auto val="1"/>
        <c:lblAlgn val="ctr"/>
        <c:lblOffset val="100"/>
        <c:noMultiLvlLbl val="1"/>
      </c:catAx>
      <c:valAx>
        <c:axId val="183750656"/>
        <c:scaling>
          <c:orientation val="minMax"/>
        </c:scaling>
        <c:delete val="0"/>
        <c:axPos val="l"/>
        <c:title>
          <c:tx>
            <c:rich>
              <a:bodyPr rot="-5400000" spcFirstLastPara="0" vertOverflow="ellipsis" vert="horz" wrap="square" anchor="ctr" anchorCtr="1"/>
              <a:lstStyle/>
              <a:p>
                <a:pPr>
                  <a:defRPr lang="zh-CN" sz="1100" b="0" i="0" u="none" strike="noStrike" kern="1200" baseline="0">
                    <a:solidFill>
                      <a:srgbClr val="000000"/>
                    </a:solidFill>
                    <a:latin typeface="+mn-lt"/>
                    <a:ea typeface="+mn-lt"/>
                    <a:cs typeface="+mn-cs"/>
                  </a:defRPr>
                </a:pPr>
                <a:r>
                  <a:rPr lang="ko-KR" altLang="en-US" sz="1100" b="0" i="0" u="none" baseline="0">
                    <a:solidFill>
                      <a:srgbClr val="595959"/>
                    </a:solidFill>
                    <a:latin typeface="+mn-lt"/>
                    <a:ea typeface="+mn-lt"/>
                  </a:rPr>
                  <a:t>BDNF and Trkb mRNA levels of distal ileum </a:t>
                </a:r>
              </a:p>
            </c:rich>
          </c:tx>
          <c:layout>
            <c:manualLayout>
              <c:xMode val="edge"/>
              <c:yMode val="edge"/>
              <c:x val="3.05555555555556E-2"/>
              <c:y val="0.171134441528142"/>
            </c:manualLayout>
          </c:layout>
          <c:overlay val="0"/>
          <c:spPr>
            <a:noFill/>
            <a:ln>
              <a:noFill/>
              <a:round/>
            </a:ln>
          </c:spPr>
        </c:title>
        <c:numFmt formatCode="General" sourceLinked="1"/>
        <c:majorTickMark val="none"/>
        <c:minorTickMark val="none"/>
        <c:tickLblPos val="nextTo"/>
        <c:spPr>
          <a:noFill/>
          <a:ln w="6350" cap="flat" cmpd="sng" algn="ctr">
            <a:solidFill>
              <a:srgbClr val="4472C4">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zh-CN"/>
          </a:p>
        </c:txPr>
        <c:crossAx val="183728384"/>
        <c:crosses val="autoZero"/>
        <c:crossBetween val="between"/>
      </c:valAx>
      <c:spPr>
        <a:noFill/>
        <a:ln>
          <a:noFill/>
          <a:round/>
        </a:ln>
      </c:spPr>
    </c:plotArea>
    <c:legend>
      <c:legendPos val="b"/>
      <c:layout>
        <c:manualLayout>
          <c:xMode val="edge"/>
          <c:yMode val="edge"/>
          <c:x val="0.40551137357830302"/>
          <c:y val="4.89041994750656E-2"/>
          <c:w val="0.59448856127026695"/>
          <c:h val="0.15845733795987399"/>
        </c:manualLayout>
      </c:layout>
      <c:overlay val="1"/>
      <c:spPr>
        <a:noFill/>
        <a:ln>
          <a:noFill/>
          <a:round/>
        </a:ln>
      </c:spPr>
      <c:txPr>
        <a:bodyPr rot="0" spcFirstLastPara="0" vertOverflow="ellipsis" vert="horz" wrap="square" anchor="ctr" anchorCtr="1"/>
        <a:lstStyle/>
        <a:p>
          <a:pPr>
            <a:defRPr lang="zh-CN" sz="900" b="0" i="0" u="none" strike="noStrike" kern="1200" baseline="0">
              <a:solidFill>
                <a:srgbClr val="595959"/>
              </a:solidFill>
              <a:latin typeface="+mn-lt"/>
              <a:ea typeface="+mn-lt"/>
              <a:cs typeface="+mn-cs"/>
            </a:defRPr>
          </a:pPr>
          <a:endParaRPr lang="zh-CN"/>
        </a:p>
      </c:txPr>
    </c:legend>
    <c:plotVisOnly val="1"/>
    <c:dispBlanksAs val="gap"/>
    <c:showDLblsOverMax val="1"/>
  </c:chart>
  <c:spPr>
    <a:solidFill>
      <a:srgbClr val="FFFFFF">
        <a:alpha val="100000"/>
      </a:srgbClr>
    </a:solidFill>
    <a:ln w="9525" cap="flat" cmpd="sng" algn="ctr">
      <a:solidFill>
        <a:srgbClr val="D9D9D9">
          <a:alpha val="100000"/>
        </a:srgbClr>
      </a:solidFill>
      <a:prstDash val="solid"/>
      <a:round/>
    </a:ln>
  </c:spPr>
  <c:txPr>
    <a:bodyPr/>
    <a:lstStyle/>
    <a:p>
      <a:pPr>
        <a:defRPr lang="zh-CN" sz="1000" b="0" i="0" u="none" baseline="0">
          <a:solidFill>
            <a:srgbClr val="000000"/>
          </a:solidFill>
          <a:latin typeface="宋体" panose="02010600030101010101" charset="-122"/>
          <a:ea typeface="宋体" panose="02010600030101010101" charset="-122"/>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997226410528"/>
          <c:y val="0.19451793896525599"/>
          <c:w val="0.76808324491353497"/>
          <c:h val="0.69095767160460897"/>
        </c:manualLayout>
      </c:layout>
      <c:barChart>
        <c:barDir val="col"/>
        <c:grouping val="clustered"/>
        <c:varyColors val="1"/>
        <c:ser>
          <c:idx val="0"/>
          <c:order val="0"/>
          <c:tx>
            <c:strRef>
              <c:f>电子表格7!$B$1</c:f>
              <c:strCache>
                <c:ptCount val="1"/>
                <c:pt idx="0">
                  <c:v>C-kit</c:v>
                </c:pt>
              </c:strCache>
            </c:strRef>
          </c:tx>
          <c:spPr>
            <a:solidFill>
              <a:srgbClr val="4472C4"/>
            </a:solidFill>
            <a:ln>
              <a:noFill/>
              <a:round/>
            </a:ln>
          </c:spPr>
          <c:invertIfNegative val="1"/>
          <c:dPt>
            <c:idx val="0"/>
            <c:invertIfNegative val="1"/>
            <c:bubble3D val="0"/>
          </c:dPt>
          <c:dPt>
            <c:idx val="1"/>
            <c:invertIfNegative val="1"/>
            <c:bubble3D val="0"/>
          </c:dPt>
          <c:dPt>
            <c:idx val="2"/>
            <c:invertIfNegative val="1"/>
            <c:bubble3D val="0"/>
          </c:dPt>
          <c:dPt>
            <c:idx val="3"/>
            <c:invertIfNegative val="1"/>
            <c:bubble3D val="0"/>
          </c:dPt>
          <c:dPt>
            <c:idx val="4"/>
            <c:invertIfNegative val="1"/>
            <c:bubble3D val="0"/>
          </c:dPt>
          <c:dLbls>
            <c:dLbl>
              <c:idx val="0"/>
              <c:delete val="1"/>
              <c:extLst>
                <c:ext xmlns:c15="http://schemas.microsoft.com/office/drawing/2012/chart" uri="{CE6537A1-D6FC-4f65-9D91-7224C49458BB}"/>
              </c:extLst>
            </c:dLbl>
            <c:dLbl>
              <c:idx val="1"/>
              <c:layout>
                <c:manualLayout>
                  <c:x val="-5.0925337632080002E-17"/>
                  <c:y val="-8.3333333333333301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2"/>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zh-CN"/>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ext>
            </c:extLst>
          </c:dLbls>
          <c:errBars>
            <c:errBarType val="both"/>
            <c:errValType val="cust"/>
            <c:noEndCap val="1"/>
            <c:plus>
              <c:numLit>
                <c:formatCode>General</c:formatCode>
                <c:ptCount val="5"/>
                <c:pt idx="0">
                  <c:v>0</c:v>
                </c:pt>
                <c:pt idx="1">
                  <c:v>0.3</c:v>
                </c:pt>
                <c:pt idx="2">
                  <c:v>0.13</c:v>
                </c:pt>
                <c:pt idx="3">
                  <c:v>0.23</c:v>
                </c:pt>
                <c:pt idx="4">
                  <c:v>0.09</c:v>
                </c:pt>
              </c:numLit>
            </c:plus>
            <c:minus>
              <c:numLit>
                <c:formatCode>General</c:formatCode>
                <c:ptCount val="5"/>
                <c:pt idx="0">
                  <c:v>0</c:v>
                </c:pt>
                <c:pt idx="1">
                  <c:v>0.3</c:v>
                </c:pt>
                <c:pt idx="2">
                  <c:v>0.13</c:v>
                </c:pt>
                <c:pt idx="3">
                  <c:v>0.23</c:v>
                </c:pt>
                <c:pt idx="4">
                  <c:v>0.09</c:v>
                </c:pt>
              </c:numLit>
            </c:minus>
            <c:spPr>
              <a:ln w="15875" cap="flat" cmpd="sng" algn="ctr">
                <a:solidFill>
                  <a:srgbClr val="595959">
                    <a:alpha val="100000"/>
                  </a:srgbClr>
                </a:solidFill>
                <a:prstDash val="solid"/>
                <a:round/>
              </a:ln>
            </c:spPr>
          </c:errBars>
          <c:cat>
            <c:strRef>
              <c:f>电子表格7!$A$2:$A$6</c:f>
              <c:strCache>
                <c:ptCount val="5"/>
                <c:pt idx="0">
                  <c:v>Control group</c:v>
                </c:pt>
                <c:pt idx="1">
                  <c:v>WAS group</c:v>
                </c:pt>
                <c:pt idx="2">
                  <c:v>Rifaximin group</c:v>
                </c:pt>
                <c:pt idx="3">
                  <c:v>25mg/kg BBR group</c:v>
                </c:pt>
                <c:pt idx="4">
                  <c:v>100mg/kg BBR group</c:v>
                </c:pt>
              </c:strCache>
            </c:strRef>
          </c:cat>
          <c:val>
            <c:numRef>
              <c:f>电子表格7!$B$2:$B$6</c:f>
              <c:numCache>
                <c:formatCode>General</c:formatCode>
                <c:ptCount val="5"/>
                <c:pt idx="0">
                  <c:v>1</c:v>
                </c:pt>
                <c:pt idx="1">
                  <c:v>1.72</c:v>
                </c:pt>
                <c:pt idx="2">
                  <c:v>0.97</c:v>
                </c:pt>
                <c:pt idx="3">
                  <c:v>1.54</c:v>
                </c:pt>
                <c:pt idx="4">
                  <c:v>0.68</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Lst>
        </c:ser>
        <c:dLbls>
          <c:showLegendKey val="0"/>
          <c:showVal val="0"/>
          <c:showCatName val="0"/>
          <c:showSerName val="0"/>
          <c:showPercent val="0"/>
          <c:showBubbleSize val="0"/>
        </c:dLbls>
        <c:gapWidth val="209"/>
        <c:overlap val="-50"/>
        <c:axId val="183850880"/>
        <c:axId val="183852416"/>
      </c:barChart>
      <c:catAx>
        <c:axId val="183850880"/>
        <c:scaling>
          <c:orientation val="minMax"/>
        </c:scaling>
        <c:delete val="0"/>
        <c:axPos val="b"/>
        <c:numFmt formatCode="General" sourceLinked="0"/>
        <c:majorTickMark val="none"/>
        <c:minorTickMark val="none"/>
        <c:tickLblPos val="nextTo"/>
        <c:spPr>
          <a:noFill/>
          <a:ln w="9525" cap="flat" cmpd="sng" algn="ctr">
            <a:solidFill>
              <a:srgbClr val="D9D9D9">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zh-CN"/>
          </a:p>
        </c:txPr>
        <c:crossAx val="183852416"/>
        <c:crosses val="autoZero"/>
        <c:auto val="1"/>
        <c:lblAlgn val="ctr"/>
        <c:lblOffset val="100"/>
        <c:noMultiLvlLbl val="1"/>
      </c:catAx>
      <c:valAx>
        <c:axId val="183852416"/>
        <c:scaling>
          <c:orientation val="minMax"/>
        </c:scaling>
        <c:delete val="0"/>
        <c:axPos val="l"/>
        <c:title>
          <c:tx>
            <c:rich>
              <a:bodyPr rot="-5400000" spcFirstLastPara="0" vertOverflow="ellipsis" vert="horz" wrap="square" anchor="ctr" anchorCtr="1"/>
              <a:lstStyle/>
              <a:p>
                <a:pPr>
                  <a:defRPr lang="zh-CN" sz="1000" b="0" i="0" u="none" strike="noStrike" kern="1200" baseline="0">
                    <a:solidFill>
                      <a:srgbClr val="000000"/>
                    </a:solidFill>
                    <a:latin typeface="+mn-lt"/>
                    <a:ea typeface="+mn-lt"/>
                    <a:cs typeface="+mn-cs"/>
                  </a:defRPr>
                </a:pPr>
                <a:r>
                  <a:rPr lang="ko-KR" altLang="en-US" sz="1000" b="0" i="0" u="none" baseline="0">
                    <a:solidFill>
                      <a:srgbClr val="595959"/>
                    </a:solidFill>
                    <a:latin typeface="+mn-lt"/>
                    <a:ea typeface="+mn-lt"/>
                  </a:rPr>
                  <a:t> Trkb protein of distal ileum</a:t>
                </a:r>
              </a:p>
            </c:rich>
          </c:tx>
          <c:layout>
            <c:manualLayout>
              <c:xMode val="edge"/>
              <c:yMode val="edge"/>
              <c:x val="3.05555555555556E-2"/>
              <c:y val="0.171134441528142"/>
            </c:manualLayout>
          </c:layout>
          <c:overlay val="0"/>
          <c:spPr>
            <a:noFill/>
            <a:ln>
              <a:noFill/>
              <a:round/>
            </a:ln>
          </c:spPr>
        </c:title>
        <c:numFmt formatCode="General" sourceLinked="1"/>
        <c:majorTickMark val="none"/>
        <c:minorTickMark val="none"/>
        <c:tickLblPos val="nextTo"/>
        <c:spPr>
          <a:noFill/>
          <a:ln w="6350" cap="flat" cmpd="sng" algn="ctr">
            <a:solidFill>
              <a:srgbClr val="4472C4">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zh-CN"/>
          </a:p>
        </c:txPr>
        <c:crossAx val="183850880"/>
        <c:crosses val="autoZero"/>
        <c:crossBetween val="between"/>
      </c:valAx>
      <c:spPr>
        <a:noFill/>
        <a:ln>
          <a:noFill/>
          <a:round/>
        </a:ln>
      </c:spPr>
    </c:plotArea>
    <c:legend>
      <c:legendPos val="b"/>
      <c:layout>
        <c:manualLayout>
          <c:xMode val="edge"/>
          <c:yMode val="edge"/>
          <c:x val="0.40273359580052498"/>
          <c:y val="9.5200495771361901E-2"/>
          <c:w val="0.59448856127026695"/>
          <c:h val="0.15845733795987399"/>
        </c:manualLayout>
      </c:layout>
      <c:overlay val="1"/>
      <c:spPr>
        <a:noFill/>
        <a:ln>
          <a:noFill/>
          <a:round/>
        </a:ln>
      </c:spPr>
      <c:txPr>
        <a:bodyPr rot="0" spcFirstLastPara="0" vertOverflow="ellipsis" vert="horz" wrap="square" anchor="ctr" anchorCtr="1"/>
        <a:lstStyle/>
        <a:p>
          <a:pPr>
            <a:defRPr lang="zh-CN" sz="900" b="0" i="0" u="none" strike="noStrike" kern="1200" baseline="0">
              <a:solidFill>
                <a:srgbClr val="595959"/>
              </a:solidFill>
              <a:latin typeface="+mn-lt"/>
              <a:ea typeface="+mn-lt"/>
              <a:cs typeface="+mn-cs"/>
            </a:defRPr>
          </a:pPr>
          <a:endParaRPr lang="zh-CN"/>
        </a:p>
      </c:txPr>
    </c:legend>
    <c:plotVisOnly val="1"/>
    <c:dispBlanksAs val="gap"/>
    <c:showDLblsOverMax val="1"/>
  </c:chart>
  <c:spPr>
    <a:solidFill>
      <a:srgbClr val="FFFFFF">
        <a:alpha val="100000"/>
      </a:srgbClr>
    </a:solidFill>
    <a:ln w="9525" cap="flat" cmpd="sng" algn="ctr">
      <a:solidFill>
        <a:srgbClr val="D9D9D9">
          <a:alpha val="100000"/>
        </a:srgbClr>
      </a:solidFill>
      <a:prstDash val="solid"/>
      <a:round/>
    </a:ln>
  </c:spPr>
  <c:txPr>
    <a:bodyPr/>
    <a:lstStyle/>
    <a:p>
      <a:pPr>
        <a:defRPr lang="zh-CN" sz="1000" b="0" i="0" u="none" baseline="0">
          <a:solidFill>
            <a:srgbClr val="000000"/>
          </a:solidFill>
          <a:latin typeface="宋体" panose="02010600030101010101" charset="-122"/>
          <a:ea typeface="宋体" panose="02010600030101010101" charset="-122"/>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997226410528"/>
          <c:y val="0.19451793896525599"/>
          <c:w val="0.76808324491353497"/>
          <c:h val="0.69095767160460897"/>
        </c:manualLayout>
      </c:layout>
      <c:barChart>
        <c:barDir val="col"/>
        <c:grouping val="clustered"/>
        <c:varyColors val="1"/>
        <c:ser>
          <c:idx val="0"/>
          <c:order val="0"/>
          <c:tx>
            <c:strRef>
              <c:f>电子表格8!$B$1</c:f>
              <c:strCache>
                <c:ptCount val="1"/>
                <c:pt idx="0">
                  <c:v>C-kit</c:v>
                </c:pt>
              </c:strCache>
            </c:strRef>
          </c:tx>
          <c:spPr>
            <a:solidFill>
              <a:srgbClr val="4472C4"/>
            </a:solidFill>
            <a:ln>
              <a:noFill/>
              <a:round/>
            </a:ln>
          </c:spPr>
          <c:invertIfNegative val="1"/>
          <c:dPt>
            <c:idx val="0"/>
            <c:invertIfNegative val="1"/>
            <c:bubble3D val="0"/>
          </c:dPt>
          <c:dPt>
            <c:idx val="1"/>
            <c:invertIfNegative val="1"/>
            <c:bubble3D val="0"/>
          </c:dPt>
          <c:dPt>
            <c:idx val="2"/>
            <c:invertIfNegative val="1"/>
            <c:bubble3D val="0"/>
          </c:dPt>
          <c:dPt>
            <c:idx val="3"/>
            <c:invertIfNegative val="1"/>
            <c:bubble3D val="0"/>
          </c:dPt>
          <c:dPt>
            <c:idx val="4"/>
            <c:invertIfNegative val="1"/>
            <c:bubble3D val="0"/>
          </c:dPt>
          <c:dLbls>
            <c:dLbl>
              <c:idx val="0"/>
              <c:delete val="1"/>
              <c:extLst>
                <c:ext xmlns:c15="http://schemas.microsoft.com/office/drawing/2012/chart" uri="{CE6537A1-D6FC-4f65-9D91-7224C49458BB}"/>
              </c:extLst>
            </c:dLbl>
            <c:dLbl>
              <c:idx val="1"/>
              <c:layout>
                <c:manualLayout>
                  <c:x val="-2.7776684164479998E-3"/>
                  <c:y val="-0.157407407407407"/>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2"/>
              <c:layout>
                <c:manualLayout>
                  <c:x val="1.0936132973192E-7"/>
                  <c:y val="-7.1759076990376203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2.7777777777777801E-3"/>
                  <c:y val="-7.8703703703703706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zh-CN"/>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5"/>
                <c:pt idx="0">
                  <c:v>0</c:v>
                </c:pt>
                <c:pt idx="1">
                  <c:v>1.03</c:v>
                </c:pt>
                <c:pt idx="2">
                  <c:v>0.28000000000000003</c:v>
                </c:pt>
                <c:pt idx="3">
                  <c:v>0.73</c:v>
                </c:pt>
                <c:pt idx="4">
                  <c:v>0.17</c:v>
                </c:pt>
              </c:numLit>
            </c:plus>
            <c:minus>
              <c:numLit>
                <c:formatCode>General</c:formatCode>
                <c:ptCount val="5"/>
                <c:pt idx="0">
                  <c:v>0</c:v>
                </c:pt>
                <c:pt idx="1">
                  <c:v>1.03</c:v>
                </c:pt>
                <c:pt idx="2">
                  <c:v>0.28000000000000003</c:v>
                </c:pt>
                <c:pt idx="3">
                  <c:v>0.73</c:v>
                </c:pt>
                <c:pt idx="4">
                  <c:v>0.17</c:v>
                </c:pt>
              </c:numLit>
            </c:minus>
            <c:spPr>
              <a:ln w="15875" cap="flat" cmpd="sng" algn="ctr">
                <a:solidFill>
                  <a:srgbClr val="595959">
                    <a:alpha val="100000"/>
                  </a:srgbClr>
                </a:solidFill>
                <a:prstDash val="solid"/>
                <a:round/>
              </a:ln>
            </c:spPr>
          </c:errBars>
          <c:cat>
            <c:strRef>
              <c:f>电子表格8!$A$2:$A$6</c:f>
              <c:strCache>
                <c:ptCount val="5"/>
                <c:pt idx="0">
                  <c:v>Control group</c:v>
                </c:pt>
                <c:pt idx="1">
                  <c:v>WAS group</c:v>
                </c:pt>
                <c:pt idx="2">
                  <c:v>Rifaximin group</c:v>
                </c:pt>
                <c:pt idx="3">
                  <c:v>25mg/kg BBR group</c:v>
                </c:pt>
                <c:pt idx="4">
                  <c:v>100mg/kg BBR group</c:v>
                </c:pt>
              </c:strCache>
            </c:strRef>
          </c:cat>
          <c:val>
            <c:numRef>
              <c:f>电子表格8!$B$2:$B$6</c:f>
              <c:numCache>
                <c:formatCode>General</c:formatCode>
                <c:ptCount val="5"/>
                <c:pt idx="0">
                  <c:v>1</c:v>
                </c:pt>
                <c:pt idx="1">
                  <c:v>2.6</c:v>
                </c:pt>
                <c:pt idx="2">
                  <c:v>0.71</c:v>
                </c:pt>
                <c:pt idx="3">
                  <c:v>1.69</c:v>
                </c:pt>
                <c:pt idx="4">
                  <c:v>0.49</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Lst>
        </c:ser>
        <c:dLbls>
          <c:showLegendKey val="0"/>
          <c:showVal val="0"/>
          <c:showCatName val="0"/>
          <c:showSerName val="0"/>
          <c:showPercent val="0"/>
          <c:showBubbleSize val="0"/>
        </c:dLbls>
        <c:gapWidth val="209"/>
        <c:overlap val="-50"/>
        <c:axId val="183903744"/>
        <c:axId val="183905280"/>
      </c:barChart>
      <c:catAx>
        <c:axId val="183903744"/>
        <c:scaling>
          <c:orientation val="minMax"/>
        </c:scaling>
        <c:delete val="0"/>
        <c:axPos val="b"/>
        <c:numFmt formatCode="General" sourceLinked="0"/>
        <c:majorTickMark val="none"/>
        <c:minorTickMark val="none"/>
        <c:tickLblPos val="nextTo"/>
        <c:spPr>
          <a:noFill/>
          <a:ln w="9525" cap="flat" cmpd="sng" algn="ctr">
            <a:solidFill>
              <a:srgbClr val="D9D9D9">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zh-CN"/>
          </a:p>
        </c:txPr>
        <c:crossAx val="183905280"/>
        <c:crosses val="autoZero"/>
        <c:auto val="1"/>
        <c:lblAlgn val="ctr"/>
        <c:lblOffset val="100"/>
        <c:noMultiLvlLbl val="1"/>
      </c:catAx>
      <c:valAx>
        <c:axId val="183905280"/>
        <c:scaling>
          <c:orientation val="minMax"/>
        </c:scaling>
        <c:delete val="0"/>
        <c:axPos val="l"/>
        <c:title>
          <c:tx>
            <c:rich>
              <a:bodyPr rot="-5400000" spcFirstLastPara="0" vertOverflow="ellipsis" vert="horz" wrap="square" anchor="ctr" anchorCtr="1"/>
              <a:lstStyle/>
              <a:p>
                <a:pPr>
                  <a:defRPr lang="zh-CN" sz="1100" b="0" i="0" u="none" strike="noStrike" kern="1200" baseline="0">
                    <a:solidFill>
                      <a:srgbClr val="000000"/>
                    </a:solidFill>
                    <a:latin typeface="+mn-lt"/>
                    <a:ea typeface="+mn-lt"/>
                    <a:cs typeface="+mn-cs"/>
                  </a:defRPr>
                </a:pPr>
                <a:r>
                  <a:rPr lang="ko-KR" altLang="en-US" sz="1100" b="0" i="0" u="none" baseline="0">
                    <a:solidFill>
                      <a:srgbClr val="595959"/>
                    </a:solidFill>
                    <a:latin typeface="+mn-lt"/>
                    <a:ea typeface="+mn-lt"/>
                  </a:rPr>
                  <a:t>C-kit mRNA levels of distal ileum </a:t>
                </a:r>
              </a:p>
            </c:rich>
          </c:tx>
          <c:layout>
            <c:manualLayout>
              <c:xMode val="edge"/>
              <c:yMode val="edge"/>
              <c:x val="2.41971451938073E-2"/>
              <c:y val="8.81088366510797E-2"/>
            </c:manualLayout>
          </c:layout>
          <c:overlay val="0"/>
          <c:spPr>
            <a:noFill/>
            <a:ln>
              <a:noFill/>
              <a:round/>
            </a:ln>
          </c:spPr>
        </c:title>
        <c:numFmt formatCode="General" sourceLinked="1"/>
        <c:majorTickMark val="none"/>
        <c:minorTickMark val="none"/>
        <c:tickLblPos val="nextTo"/>
        <c:spPr>
          <a:noFill/>
          <a:ln w="6350" cap="flat" cmpd="sng" algn="ctr">
            <a:solidFill>
              <a:srgbClr val="4472C4">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zh-CN"/>
          </a:p>
        </c:txPr>
        <c:crossAx val="183903744"/>
        <c:crosses val="autoZero"/>
        <c:crossBetween val="between"/>
      </c:valAx>
      <c:spPr>
        <a:noFill/>
        <a:ln>
          <a:noFill/>
          <a:round/>
        </a:ln>
      </c:spPr>
    </c:plotArea>
    <c:legend>
      <c:legendPos val="b"/>
      <c:layout>
        <c:manualLayout>
          <c:xMode val="edge"/>
          <c:yMode val="edge"/>
          <c:x val="0.405511438729733"/>
          <c:y val="5.3533829104695202E-2"/>
          <c:w val="0.59448856127026695"/>
          <c:h val="0.13993875765529301"/>
        </c:manualLayout>
      </c:layout>
      <c:overlay val="1"/>
      <c:spPr>
        <a:noFill/>
        <a:ln>
          <a:noFill/>
          <a:round/>
        </a:ln>
      </c:spPr>
      <c:txPr>
        <a:bodyPr rot="0" spcFirstLastPara="0" vertOverflow="ellipsis" vert="horz" wrap="square" anchor="ctr" anchorCtr="1"/>
        <a:lstStyle/>
        <a:p>
          <a:pPr>
            <a:defRPr lang="zh-CN" sz="900" b="0" i="0" u="none" strike="noStrike" kern="1200" baseline="0">
              <a:solidFill>
                <a:srgbClr val="595959"/>
              </a:solidFill>
              <a:latin typeface="+mn-lt"/>
              <a:ea typeface="+mn-lt"/>
              <a:cs typeface="+mn-cs"/>
            </a:defRPr>
          </a:pPr>
          <a:endParaRPr lang="zh-CN"/>
        </a:p>
      </c:txPr>
    </c:legend>
    <c:plotVisOnly val="1"/>
    <c:dispBlanksAs val="gap"/>
    <c:showDLblsOverMax val="1"/>
  </c:chart>
  <c:spPr>
    <a:solidFill>
      <a:srgbClr val="FFFFFF">
        <a:alpha val="100000"/>
      </a:srgbClr>
    </a:solidFill>
    <a:ln w="9525" cap="flat" cmpd="sng" algn="ctr">
      <a:solidFill>
        <a:srgbClr val="D9D9D9">
          <a:alpha val="100000"/>
        </a:srgbClr>
      </a:solidFill>
      <a:prstDash val="solid"/>
      <a:round/>
    </a:ln>
  </c:spPr>
  <c:txPr>
    <a:bodyPr/>
    <a:lstStyle/>
    <a:p>
      <a:pPr>
        <a:defRPr lang="zh-CN" sz="1000" b="0" i="0" u="none" baseline="0">
          <a:solidFill>
            <a:srgbClr val="000000"/>
          </a:solidFill>
          <a:latin typeface="宋体" panose="02010600030101010101" charset="-122"/>
          <a:ea typeface="宋体" panose="02010600030101010101" charset="-122"/>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997226410528"/>
          <c:y val="0.19451793896525599"/>
          <c:w val="0.76808324491353497"/>
          <c:h val="0.69095767160460897"/>
        </c:manualLayout>
      </c:layout>
      <c:barChart>
        <c:barDir val="col"/>
        <c:grouping val="clustered"/>
        <c:varyColors val="1"/>
        <c:ser>
          <c:idx val="0"/>
          <c:order val="0"/>
          <c:tx>
            <c:strRef>
              <c:f>电子表格9!$B$1</c:f>
              <c:strCache>
                <c:ptCount val="1"/>
                <c:pt idx="0">
                  <c:v>C-kit</c:v>
                </c:pt>
              </c:strCache>
            </c:strRef>
          </c:tx>
          <c:spPr>
            <a:solidFill>
              <a:srgbClr val="4472C4"/>
            </a:solidFill>
            <a:ln>
              <a:noFill/>
              <a:round/>
            </a:ln>
          </c:spPr>
          <c:invertIfNegative val="1"/>
          <c:dPt>
            <c:idx val="0"/>
            <c:invertIfNegative val="1"/>
            <c:bubble3D val="0"/>
          </c:dPt>
          <c:dPt>
            <c:idx val="1"/>
            <c:invertIfNegative val="1"/>
            <c:bubble3D val="0"/>
          </c:dPt>
          <c:dPt>
            <c:idx val="2"/>
            <c:invertIfNegative val="1"/>
            <c:bubble3D val="0"/>
          </c:dPt>
          <c:dPt>
            <c:idx val="3"/>
            <c:invertIfNegative val="1"/>
            <c:bubble3D val="0"/>
          </c:dPt>
          <c:dPt>
            <c:idx val="4"/>
            <c:invertIfNegative val="1"/>
            <c:bubble3D val="0"/>
          </c:dPt>
          <c:dLbls>
            <c:dLbl>
              <c:idx val="0"/>
              <c:delete val="1"/>
              <c:extLst>
                <c:ext xmlns:c15="http://schemas.microsoft.com/office/drawing/2012/chart" uri="{CE6537A1-D6FC-4f65-9D91-7224C49458BB}"/>
              </c:extLst>
            </c:dLbl>
            <c:dLbl>
              <c:idx val="1"/>
              <c:layout>
                <c:manualLayout>
                  <c:x val="5.0925337632080002E-17"/>
                  <c:y val="-6.0185185185185203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a</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2"/>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1000" b="0" i="0" u="none" baseline="0">
                        <a:solidFill>
                          <a:srgbClr val="404040"/>
                        </a:solidFill>
                        <a:latin typeface="宋体" panose="02010600030101010101" charset="-122"/>
                        <a:ea typeface="宋体" panose="02010600030101010101" charset="-122"/>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1.3891076115485599E-3"/>
                  <c:y val="-3.9351851851851902E-2"/>
                </c:manualLayout>
              </c:layout>
              <c:tx>
                <c:rich>
                  <a:bodyPr rot="0" spcFirstLastPara="0" vertOverflow="ellipsis" vert="horz" wrap="square" lIns="38100" tIns="19050" rIns="38100" bIns="19050" anchor="b"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r>
                      <a:rPr lang="en-US" altLang="ko-KR" sz="900" b="0" i="0" u="none" baseline="0">
                        <a:solidFill>
                          <a:srgbClr val="404040"/>
                        </a:solidFill>
                        <a:latin typeface="+mn-lt"/>
                        <a:ea typeface="+mn-lt"/>
                      </a:rPr>
                      <a:t>b,c</a:t>
                    </a:r>
                  </a:p>
                </c:rich>
              </c:tx>
              <c:spPr>
                <a:noFill/>
                <a:ln>
                  <a:noFill/>
                </a:ln>
                <a:effectLst/>
              </c:spPr>
              <c:dLblPos val="outEnd"/>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b" anchorCtr="1"/>
              <a:lstStyle/>
              <a:p>
                <a:pPr>
                  <a:defRPr lang="zh-CN" sz="900" b="0" i="0" u="none" strike="noStrike" kern="1200" baseline="0">
                    <a:solidFill>
                      <a:srgbClr val="404040"/>
                    </a:solidFill>
                    <a:latin typeface="+mn-lt"/>
                    <a:ea typeface="+mn-lt"/>
                    <a:cs typeface="+mn-cs"/>
                  </a:defRPr>
                </a:pPr>
                <a:endParaRPr lang="zh-CN"/>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errBars>
            <c:errBarType val="both"/>
            <c:errValType val="cust"/>
            <c:noEndCap val="1"/>
            <c:plus>
              <c:numLit>
                <c:formatCode>General</c:formatCode>
                <c:ptCount val="5"/>
                <c:pt idx="0">
                  <c:v>0</c:v>
                </c:pt>
                <c:pt idx="1">
                  <c:v>0.57999999999999996</c:v>
                </c:pt>
                <c:pt idx="2">
                  <c:v>0.18</c:v>
                </c:pt>
                <c:pt idx="3">
                  <c:v>0.37</c:v>
                </c:pt>
                <c:pt idx="4">
                  <c:v>0.52</c:v>
                </c:pt>
              </c:numLit>
            </c:plus>
            <c:minus>
              <c:numLit>
                <c:formatCode>General</c:formatCode>
                <c:ptCount val="5"/>
                <c:pt idx="0">
                  <c:v>0</c:v>
                </c:pt>
                <c:pt idx="1">
                  <c:v>0.57999999999999996</c:v>
                </c:pt>
                <c:pt idx="2">
                  <c:v>0.18</c:v>
                </c:pt>
                <c:pt idx="3">
                  <c:v>0.37</c:v>
                </c:pt>
                <c:pt idx="4">
                  <c:v>0.52</c:v>
                </c:pt>
              </c:numLit>
            </c:minus>
            <c:spPr>
              <a:ln w="15875" cap="flat" cmpd="sng" algn="ctr">
                <a:solidFill>
                  <a:srgbClr val="595959">
                    <a:alpha val="100000"/>
                  </a:srgbClr>
                </a:solidFill>
                <a:prstDash val="solid"/>
                <a:round/>
              </a:ln>
            </c:spPr>
          </c:errBars>
          <c:cat>
            <c:strRef>
              <c:f>电子表格9!$A$2:$A$6</c:f>
              <c:strCache>
                <c:ptCount val="5"/>
                <c:pt idx="0">
                  <c:v>Control group</c:v>
                </c:pt>
                <c:pt idx="1">
                  <c:v>WAS group</c:v>
                </c:pt>
                <c:pt idx="2">
                  <c:v>Rifaximin group</c:v>
                </c:pt>
                <c:pt idx="3">
                  <c:v>25mg/kg BBR group</c:v>
                </c:pt>
                <c:pt idx="4">
                  <c:v>100mg/kg BBR group</c:v>
                </c:pt>
              </c:strCache>
            </c:strRef>
          </c:cat>
          <c:val>
            <c:numRef>
              <c:f>电子表格9!$B$2:$B$6</c:f>
              <c:numCache>
                <c:formatCode>General</c:formatCode>
                <c:ptCount val="5"/>
                <c:pt idx="0">
                  <c:v>1</c:v>
                </c:pt>
                <c:pt idx="1">
                  <c:v>4.22</c:v>
                </c:pt>
                <c:pt idx="2">
                  <c:v>2.58</c:v>
                </c:pt>
                <c:pt idx="3">
                  <c:v>3.49</c:v>
                </c:pt>
                <c:pt idx="4">
                  <c:v>2.64</c:v>
                </c:pt>
              </c:numCache>
            </c:numRef>
          </c:val>
          <c:extLst>
            <c:ext xmlns:c14="http://schemas.microsoft.com/office/drawing/2007/8/2/chart" uri="{6F2FDCE9-48DA-4B69-8628-5D25D57E5C99}">
              <c14:invertSolidFillFmt>
                <c14:spPr xmlns:c14="http://schemas.microsoft.com/office/drawing/2007/8/2/chart">
                  <a:solidFill>
                    <a:srgbClr val="FFFFFF"/>
                  </a:solidFill>
                  <a:ln>
                    <a:noFill/>
                    <a:round/>
                  </a:ln>
                </c14:spPr>
              </c14:invertSolidFillFmt>
            </c:ext>
          </c:extLst>
        </c:ser>
        <c:dLbls>
          <c:showLegendKey val="0"/>
          <c:showVal val="0"/>
          <c:showCatName val="0"/>
          <c:showSerName val="0"/>
          <c:showPercent val="0"/>
          <c:showBubbleSize val="0"/>
        </c:dLbls>
        <c:gapWidth val="209"/>
        <c:overlap val="-50"/>
        <c:axId val="185140352"/>
        <c:axId val="185141888"/>
      </c:barChart>
      <c:catAx>
        <c:axId val="185140352"/>
        <c:scaling>
          <c:orientation val="minMax"/>
        </c:scaling>
        <c:delete val="0"/>
        <c:axPos val="b"/>
        <c:numFmt formatCode="General" sourceLinked="0"/>
        <c:majorTickMark val="none"/>
        <c:minorTickMark val="none"/>
        <c:tickLblPos val="nextTo"/>
        <c:spPr>
          <a:noFill/>
          <a:ln w="9525" cap="flat" cmpd="sng" algn="ctr">
            <a:solidFill>
              <a:srgbClr val="D9D9D9">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zh-CN"/>
          </a:p>
        </c:txPr>
        <c:crossAx val="185141888"/>
        <c:crosses val="autoZero"/>
        <c:auto val="1"/>
        <c:lblAlgn val="ctr"/>
        <c:lblOffset val="100"/>
        <c:noMultiLvlLbl val="1"/>
      </c:catAx>
      <c:valAx>
        <c:axId val="185141888"/>
        <c:scaling>
          <c:orientation val="minMax"/>
        </c:scaling>
        <c:delete val="0"/>
        <c:axPos val="l"/>
        <c:title>
          <c:tx>
            <c:rich>
              <a:bodyPr rot="-5400000" spcFirstLastPara="0" vertOverflow="ellipsis" vert="horz" wrap="square" anchor="ctr" anchorCtr="1"/>
              <a:lstStyle/>
              <a:p>
                <a:pPr>
                  <a:defRPr lang="zh-CN" sz="1000" b="0" i="0" u="none" strike="noStrike" kern="1200" baseline="0">
                    <a:solidFill>
                      <a:srgbClr val="000000"/>
                    </a:solidFill>
                    <a:latin typeface="+mn-lt"/>
                    <a:ea typeface="+mn-lt"/>
                    <a:cs typeface="+mn-cs"/>
                  </a:defRPr>
                </a:pPr>
                <a:r>
                  <a:rPr lang="ko-KR" altLang="en-US" sz="1000" b="0" i="0" u="none" baseline="0">
                    <a:solidFill>
                      <a:srgbClr val="595959"/>
                    </a:solidFill>
                    <a:latin typeface="+mn-lt"/>
                    <a:ea typeface="+mn-lt"/>
                  </a:rPr>
                  <a:t>C-kit protein of distal ileum </a:t>
                </a:r>
              </a:p>
            </c:rich>
          </c:tx>
          <c:layout>
            <c:manualLayout>
              <c:xMode val="edge"/>
              <c:yMode val="edge"/>
              <c:x val="3.3981514230083498E-2"/>
              <c:y val="0.13727187162829099"/>
            </c:manualLayout>
          </c:layout>
          <c:overlay val="0"/>
          <c:spPr>
            <a:noFill/>
            <a:ln>
              <a:noFill/>
              <a:round/>
            </a:ln>
          </c:spPr>
        </c:title>
        <c:numFmt formatCode="General" sourceLinked="1"/>
        <c:majorTickMark val="none"/>
        <c:minorTickMark val="none"/>
        <c:tickLblPos val="nextTo"/>
        <c:spPr>
          <a:noFill/>
          <a:ln w="6350" cap="flat" cmpd="sng" algn="ctr">
            <a:solidFill>
              <a:srgbClr val="4472C4">
                <a:alpha val="100000"/>
              </a:srgbClr>
            </a:solidFill>
            <a:prstDash val="solid"/>
            <a:round/>
          </a:ln>
        </c:spPr>
        <c:txPr>
          <a:bodyPr rot="-600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mn-cs"/>
              </a:defRPr>
            </a:pPr>
            <a:endParaRPr lang="zh-CN"/>
          </a:p>
        </c:txPr>
        <c:crossAx val="185140352"/>
        <c:crosses val="autoZero"/>
        <c:crossBetween val="between"/>
      </c:valAx>
      <c:spPr>
        <a:noFill/>
        <a:ln>
          <a:noFill/>
          <a:round/>
        </a:ln>
      </c:spPr>
    </c:plotArea>
    <c:legend>
      <c:legendPos val="b"/>
      <c:layout>
        <c:manualLayout>
          <c:xMode val="edge"/>
          <c:yMode val="edge"/>
          <c:x val="0.40551137357830302"/>
          <c:y val="1.18671624380286E-2"/>
          <c:w val="0.59448856127026695"/>
          <c:h val="0.15845733795987399"/>
        </c:manualLayout>
      </c:layout>
      <c:overlay val="1"/>
      <c:spPr>
        <a:noFill/>
        <a:ln>
          <a:noFill/>
          <a:round/>
        </a:ln>
      </c:spPr>
      <c:txPr>
        <a:bodyPr rot="0" spcFirstLastPara="0" vertOverflow="ellipsis" vert="horz" wrap="square" anchor="ctr" anchorCtr="1"/>
        <a:lstStyle/>
        <a:p>
          <a:pPr>
            <a:defRPr lang="zh-CN" sz="900" b="0" i="0" u="none" strike="noStrike" kern="1200" baseline="0">
              <a:solidFill>
                <a:srgbClr val="595959"/>
              </a:solidFill>
              <a:latin typeface="+mn-lt"/>
              <a:ea typeface="+mn-lt"/>
              <a:cs typeface="+mn-cs"/>
            </a:defRPr>
          </a:pPr>
          <a:endParaRPr lang="zh-CN"/>
        </a:p>
      </c:txPr>
    </c:legend>
    <c:plotVisOnly val="1"/>
    <c:dispBlanksAs val="gap"/>
    <c:showDLblsOverMax val="1"/>
  </c:chart>
  <c:spPr>
    <a:solidFill>
      <a:srgbClr val="FFFFFF">
        <a:alpha val="100000"/>
      </a:srgbClr>
    </a:solidFill>
    <a:ln w="9525" cap="flat" cmpd="sng" algn="ctr">
      <a:solidFill>
        <a:srgbClr val="D9D9D9">
          <a:alpha val="100000"/>
        </a:srgbClr>
      </a:solidFill>
      <a:prstDash val="solid"/>
      <a:round/>
    </a:ln>
  </c:spPr>
  <c:txPr>
    <a:bodyPr/>
    <a:lstStyle/>
    <a:p>
      <a:pPr>
        <a:defRPr lang="zh-CN" sz="1000" b="0" i="0" u="none" baseline="0">
          <a:solidFill>
            <a:srgbClr val="000000"/>
          </a:solidFill>
          <a:latin typeface="宋体" panose="02010600030101010101" charset="-122"/>
          <a:ea typeface="宋体" panose="02010600030101010101" charset="-122"/>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B7E8BD"/>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35D81D-B33E-43B4-9402-E7D38908E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44</Pages>
  <Words>9962</Words>
  <Characters>56789</Characters>
  <Application>Microsoft Office Word</Application>
  <DocSecurity>0</DocSecurity>
  <Lines>473</Lines>
  <Paragraphs>133</Paragraphs>
  <ScaleCrop>false</ScaleCrop>
  <Company/>
  <LinksUpToDate>false</LinksUpToDate>
  <CharactersWithSpaces>66618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俞志超</dc:creator>
  <cp:lastModifiedBy>Administrator</cp:lastModifiedBy>
  <cp:revision>6</cp:revision>
  <dcterms:created xsi:type="dcterms:W3CDTF">2019-07-15T08:44:00Z</dcterms:created>
  <dcterms:modified xsi:type="dcterms:W3CDTF">2019-08-06T03:00:00Z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