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7015B" w14:textId="04EF1EC5" w:rsidR="00D3451A" w:rsidRPr="00115F98" w:rsidRDefault="00D3451A" w:rsidP="001C4059">
      <w:pPr>
        <w:adjustRightInd w:val="0"/>
        <w:snapToGrid w:val="0"/>
        <w:spacing w:line="360" w:lineRule="auto"/>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_GoBack"/>
      <w:bookmarkEnd w:id="8"/>
      <w:r w:rsidRPr="00115F98">
        <w:rPr>
          <w:rFonts w:ascii="Book Antiqua" w:eastAsia="Times New Roman" w:hAnsi="Book Antiqua" w:cs="宋体"/>
          <w:b/>
          <w:color w:val="000000" w:themeColor="text1"/>
          <w:sz w:val="24"/>
          <w:szCs w:val="24"/>
        </w:rPr>
        <w:t xml:space="preserve">Name of Journal: </w:t>
      </w:r>
      <w:r w:rsidR="001C4059" w:rsidRPr="00115F98">
        <w:rPr>
          <w:rFonts w:ascii="Book Antiqua" w:hAnsi="Book Antiqua" w:cs="Tahoma"/>
          <w:i/>
          <w:color w:val="000000" w:themeColor="text1"/>
          <w:sz w:val="24"/>
          <w:szCs w:val="24"/>
        </w:rPr>
        <w:t>World Journal of Gastroenterology</w:t>
      </w:r>
    </w:p>
    <w:p w14:paraId="785BE7E8" w14:textId="5C50BF3D" w:rsidR="00D3451A" w:rsidRPr="00115F98" w:rsidRDefault="00D3451A" w:rsidP="001C4059">
      <w:pPr>
        <w:adjustRightInd w:val="0"/>
        <w:snapToGrid w:val="0"/>
        <w:spacing w:line="360" w:lineRule="auto"/>
        <w:rPr>
          <w:rFonts w:ascii="Book Antiqua" w:hAnsi="Book Antiqua" w:cs="Arial"/>
          <w:color w:val="000000" w:themeColor="text1"/>
          <w:sz w:val="24"/>
          <w:szCs w:val="24"/>
          <w:lang w:val="en"/>
        </w:rPr>
      </w:pPr>
      <w:bookmarkStart w:id="9" w:name="_Hlk5632321"/>
      <w:r w:rsidRPr="00115F98">
        <w:rPr>
          <w:rFonts w:ascii="Book Antiqua" w:eastAsia="Times New Roman" w:hAnsi="Book Antiqua"/>
          <w:b/>
          <w:bCs/>
          <w:color w:val="000000" w:themeColor="text1"/>
          <w:sz w:val="24"/>
          <w:szCs w:val="24"/>
        </w:rPr>
        <w:t>Manuscript NO</w:t>
      </w:r>
      <w:r w:rsidRPr="00115F98">
        <w:rPr>
          <w:rFonts w:ascii="Book Antiqua" w:hAnsi="Book Antiqua" w:cs="Arial"/>
          <w:b/>
          <w:color w:val="000000" w:themeColor="text1"/>
          <w:sz w:val="24"/>
          <w:szCs w:val="24"/>
          <w:lang w:val="en"/>
        </w:rPr>
        <w:t xml:space="preserve">: </w:t>
      </w:r>
      <w:r w:rsidR="001C4059" w:rsidRPr="00115F98">
        <w:rPr>
          <w:rFonts w:ascii="Book Antiqua" w:hAnsi="Book Antiqua" w:cs="Arial"/>
          <w:color w:val="000000" w:themeColor="text1"/>
          <w:sz w:val="24"/>
          <w:szCs w:val="24"/>
          <w:lang w:val="en"/>
        </w:rPr>
        <w:t>47009</w:t>
      </w:r>
    </w:p>
    <w:bookmarkEnd w:id="9"/>
    <w:p w14:paraId="5E73076F" w14:textId="2516AC20" w:rsidR="00226860" w:rsidRPr="00115F98" w:rsidRDefault="00D3451A" w:rsidP="0022686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115F98">
        <w:rPr>
          <w:rFonts w:ascii="Book Antiqua" w:hAnsi="Book Antiqua"/>
          <w:b/>
          <w:color w:val="000000" w:themeColor="text1"/>
          <w:sz w:val="24"/>
          <w:szCs w:val="24"/>
          <w:shd w:val="clear" w:color="auto" w:fill="FFFFFF"/>
        </w:rPr>
        <w:t>Manuscript Type</w:t>
      </w:r>
      <w:r w:rsidRPr="00115F98">
        <w:rPr>
          <w:rFonts w:ascii="Book Antiqua" w:hAnsi="Book Antiqua"/>
          <w:b/>
          <w:color w:val="000000" w:themeColor="text1"/>
          <w:sz w:val="24"/>
          <w:szCs w:val="24"/>
        </w:rPr>
        <w:t>:</w:t>
      </w:r>
      <w:r w:rsidR="001C4059" w:rsidRPr="00115F98">
        <w:rPr>
          <w:rFonts w:ascii="Book Antiqua" w:hAnsi="Book Antiqua"/>
          <w:b/>
          <w:color w:val="000000" w:themeColor="text1"/>
          <w:sz w:val="24"/>
          <w:szCs w:val="24"/>
        </w:rPr>
        <w:t xml:space="preserve"> </w:t>
      </w:r>
      <w:r w:rsidR="00226860" w:rsidRPr="00226860">
        <w:rPr>
          <w:rFonts w:ascii="Book Antiqua" w:hAnsi="Book Antiqua"/>
          <w:color w:val="000000" w:themeColor="text1"/>
          <w:sz w:val="24"/>
          <w:szCs w:val="24"/>
        </w:rPr>
        <w:t>META-ANALYSIS</w:t>
      </w:r>
    </w:p>
    <w:bookmarkEnd w:id="0"/>
    <w:bookmarkEnd w:id="1"/>
    <w:bookmarkEnd w:id="2"/>
    <w:bookmarkEnd w:id="3"/>
    <w:bookmarkEnd w:id="4"/>
    <w:bookmarkEnd w:id="5"/>
    <w:bookmarkEnd w:id="6"/>
    <w:bookmarkEnd w:id="7"/>
    <w:p w14:paraId="756B67D5" w14:textId="24BCA8B6" w:rsidR="00D3451A" w:rsidRPr="00115F98" w:rsidRDefault="00D3451A" w:rsidP="001C4059">
      <w:pPr>
        <w:autoSpaceDE w:val="0"/>
        <w:autoSpaceDN w:val="0"/>
        <w:adjustRightInd w:val="0"/>
        <w:snapToGrid w:val="0"/>
        <w:spacing w:line="360" w:lineRule="auto"/>
        <w:rPr>
          <w:rFonts w:ascii="Book Antiqua" w:hAnsi="Book Antiqua" w:cs="Times New Roman"/>
          <w:b/>
          <w:color w:val="000000" w:themeColor="text1"/>
          <w:kern w:val="0"/>
          <w:sz w:val="24"/>
          <w:szCs w:val="24"/>
        </w:rPr>
      </w:pPr>
    </w:p>
    <w:p w14:paraId="70A4961D" w14:textId="6A77E820" w:rsidR="002878A3" w:rsidRPr="00115F98" w:rsidRDefault="002878A3" w:rsidP="001C4059">
      <w:pPr>
        <w:autoSpaceDE w:val="0"/>
        <w:autoSpaceDN w:val="0"/>
        <w:adjustRightInd w:val="0"/>
        <w:snapToGrid w:val="0"/>
        <w:spacing w:line="360" w:lineRule="auto"/>
        <w:rPr>
          <w:rFonts w:ascii="Book Antiqua" w:eastAsia="Times New Roman" w:hAnsi="Book Antiqua" w:cs="Times New Roman"/>
          <w:b/>
          <w:color w:val="000000" w:themeColor="text1"/>
          <w:kern w:val="0"/>
          <w:sz w:val="24"/>
          <w:szCs w:val="24"/>
        </w:rPr>
      </w:pPr>
      <w:bookmarkStart w:id="10" w:name="OLE_LINK1"/>
      <w:r w:rsidRPr="00115F98">
        <w:rPr>
          <w:rFonts w:ascii="Book Antiqua" w:eastAsia="Times New Roman" w:hAnsi="Book Antiqua" w:cs="Times New Roman"/>
          <w:b/>
          <w:color w:val="000000" w:themeColor="text1"/>
          <w:kern w:val="0"/>
          <w:sz w:val="24"/>
          <w:szCs w:val="24"/>
        </w:rPr>
        <w:t>Association of proton pump inhibitors</w:t>
      </w:r>
      <w:r w:rsidRPr="00115F98">
        <w:rPr>
          <w:rFonts w:ascii="Book Antiqua" w:hAnsi="Book Antiqua" w:cs="Times New Roman"/>
          <w:b/>
          <w:color w:val="000000" w:themeColor="text1"/>
          <w:kern w:val="0"/>
          <w:sz w:val="24"/>
          <w:szCs w:val="24"/>
        </w:rPr>
        <w:t xml:space="preserve"> </w:t>
      </w:r>
      <w:r w:rsidRPr="00115F98">
        <w:rPr>
          <w:rFonts w:ascii="Book Antiqua" w:eastAsia="Times New Roman" w:hAnsi="Book Antiqua" w:cs="Times New Roman"/>
          <w:b/>
          <w:color w:val="000000" w:themeColor="text1"/>
          <w:kern w:val="0"/>
          <w:sz w:val="24"/>
          <w:szCs w:val="24"/>
        </w:rPr>
        <w:t>with</w:t>
      </w:r>
      <w:bookmarkStart w:id="11" w:name="_Hlk535102087"/>
      <w:r w:rsidR="0026736D">
        <w:rPr>
          <w:rFonts w:ascii="Book Antiqua" w:eastAsia="Times New Roman" w:hAnsi="Book Antiqua" w:cs="Times New Roman"/>
          <w:b/>
          <w:color w:val="000000" w:themeColor="text1"/>
          <w:kern w:val="0"/>
          <w:sz w:val="24"/>
          <w:szCs w:val="24"/>
        </w:rPr>
        <w:t xml:space="preserve"> </w:t>
      </w:r>
      <w:r w:rsidRPr="00115F98">
        <w:rPr>
          <w:rFonts w:ascii="Book Antiqua" w:eastAsia="Times New Roman" w:hAnsi="Book Antiqua" w:cs="Times New Roman"/>
          <w:b/>
          <w:color w:val="000000" w:themeColor="text1"/>
          <w:kern w:val="0"/>
          <w:sz w:val="24"/>
          <w:szCs w:val="24"/>
        </w:rPr>
        <w:t>risk of hepatic encephalopathy in</w:t>
      </w:r>
      <w:r w:rsidRPr="00115F98">
        <w:rPr>
          <w:rFonts w:ascii="Book Antiqua" w:hAnsi="Book Antiqua"/>
          <w:b/>
          <w:color w:val="000000" w:themeColor="text1"/>
          <w:sz w:val="24"/>
          <w:szCs w:val="24"/>
        </w:rPr>
        <w:t xml:space="preserve"> </w:t>
      </w:r>
      <w:r w:rsidRPr="00115F98">
        <w:rPr>
          <w:rFonts w:ascii="Book Antiqua" w:eastAsia="Times New Roman" w:hAnsi="Book Antiqua" w:cs="Times New Roman"/>
          <w:b/>
          <w:color w:val="000000" w:themeColor="text1"/>
          <w:kern w:val="0"/>
          <w:sz w:val="24"/>
          <w:szCs w:val="24"/>
        </w:rPr>
        <w:t xml:space="preserve">advanced liver disease: </w:t>
      </w:r>
      <w:r w:rsidR="001C4059" w:rsidRPr="00115F98">
        <w:rPr>
          <w:rFonts w:ascii="Book Antiqua" w:eastAsia="Times New Roman" w:hAnsi="Book Antiqua" w:cs="Times New Roman"/>
          <w:b/>
          <w:color w:val="000000" w:themeColor="text1"/>
          <w:kern w:val="0"/>
          <w:sz w:val="24"/>
          <w:szCs w:val="24"/>
        </w:rPr>
        <w:t>A</w:t>
      </w:r>
      <w:r w:rsidRPr="00115F98">
        <w:rPr>
          <w:rFonts w:ascii="Book Antiqua" w:eastAsia="Times New Roman" w:hAnsi="Book Antiqua" w:cs="Times New Roman"/>
          <w:b/>
          <w:color w:val="000000" w:themeColor="text1"/>
          <w:kern w:val="0"/>
          <w:sz w:val="24"/>
          <w:szCs w:val="24"/>
        </w:rPr>
        <w:t xml:space="preserve"> meta-analysis</w:t>
      </w:r>
    </w:p>
    <w:bookmarkEnd w:id="10"/>
    <w:bookmarkEnd w:id="11"/>
    <w:p w14:paraId="751FD097" w14:textId="736FF3E7" w:rsidR="002878A3" w:rsidRPr="00226860" w:rsidRDefault="002878A3" w:rsidP="001C4059">
      <w:pPr>
        <w:spacing w:line="360" w:lineRule="auto"/>
        <w:rPr>
          <w:rFonts w:ascii="Book Antiqua" w:hAnsi="Book Antiqua"/>
          <w:color w:val="000000" w:themeColor="text1"/>
          <w:sz w:val="24"/>
          <w:szCs w:val="24"/>
        </w:rPr>
      </w:pPr>
    </w:p>
    <w:p w14:paraId="158D740D" w14:textId="2BE0CA73" w:rsidR="00D3451A" w:rsidRPr="00115F98" w:rsidRDefault="006178B7" w:rsidP="001C4059">
      <w:pPr>
        <w:spacing w:line="360" w:lineRule="auto"/>
        <w:rPr>
          <w:rFonts w:ascii="Book Antiqua" w:hAnsi="Book Antiqua"/>
          <w:color w:val="000000" w:themeColor="text1"/>
          <w:sz w:val="24"/>
          <w:szCs w:val="24"/>
        </w:rPr>
      </w:pPr>
      <w:bookmarkStart w:id="12" w:name="_Hlk5627141"/>
      <w:proofErr w:type="spellStart"/>
      <w:r w:rsidRPr="00115F98">
        <w:rPr>
          <w:rFonts w:ascii="Book Antiqua" w:hAnsi="Book Antiqua" w:cs="Garamond-Bold"/>
          <w:bCs/>
          <w:color w:val="000000" w:themeColor="text1"/>
          <w:sz w:val="24"/>
          <w:szCs w:val="24"/>
        </w:rPr>
        <w:t>Tantai</w:t>
      </w:r>
      <w:proofErr w:type="spellEnd"/>
      <w:r w:rsidR="00BF02E1" w:rsidRPr="00115F98">
        <w:rPr>
          <w:rFonts w:ascii="Book Antiqua" w:hAnsi="Book Antiqua" w:cs="Garamond-Bold"/>
          <w:bCs/>
          <w:color w:val="000000" w:themeColor="text1"/>
          <w:sz w:val="24"/>
          <w:szCs w:val="24"/>
        </w:rPr>
        <w:t xml:space="preserve"> XX </w:t>
      </w:r>
      <w:r w:rsidR="00BF02E1" w:rsidRPr="00115F98">
        <w:rPr>
          <w:rFonts w:ascii="Book Antiqua" w:hAnsi="Book Antiqua" w:cs="Garamond-Bold"/>
          <w:bCs/>
          <w:i/>
          <w:color w:val="000000" w:themeColor="text1"/>
          <w:sz w:val="24"/>
          <w:szCs w:val="24"/>
        </w:rPr>
        <w:t>et al</w:t>
      </w:r>
      <w:r w:rsidR="00BF02E1" w:rsidRPr="00115F98">
        <w:rPr>
          <w:rFonts w:ascii="Book Antiqua" w:hAnsi="Book Antiqua" w:cs="Garamond-Bold"/>
          <w:bCs/>
          <w:color w:val="000000" w:themeColor="text1"/>
          <w:sz w:val="24"/>
          <w:szCs w:val="24"/>
        </w:rPr>
        <w:t>.</w:t>
      </w:r>
      <w:r w:rsidR="0015089F" w:rsidRPr="00115F98">
        <w:rPr>
          <w:rFonts w:ascii="Book Antiqua" w:hAnsi="Book Antiqua" w:cs="Garamond-Bold"/>
          <w:bCs/>
          <w:color w:val="000000" w:themeColor="text1"/>
          <w:sz w:val="24"/>
          <w:szCs w:val="24"/>
        </w:rPr>
        <w:t xml:space="preserve"> </w:t>
      </w:r>
      <w:bookmarkStart w:id="13" w:name="OLE_LINK2"/>
      <w:r w:rsidR="00D212A9" w:rsidRPr="00115F98">
        <w:rPr>
          <w:rFonts w:ascii="Book Antiqua" w:hAnsi="Book Antiqua" w:cs="Garamond-Bold"/>
          <w:bCs/>
          <w:color w:val="000000" w:themeColor="text1"/>
          <w:sz w:val="24"/>
          <w:szCs w:val="24"/>
        </w:rPr>
        <w:t>R</w:t>
      </w:r>
      <w:r w:rsidR="004E117C" w:rsidRPr="00115F98">
        <w:rPr>
          <w:rFonts w:ascii="Book Antiqua" w:hAnsi="Book Antiqua" w:cs="Garamond-Bold"/>
          <w:bCs/>
          <w:color w:val="000000" w:themeColor="text1"/>
          <w:sz w:val="24"/>
          <w:szCs w:val="24"/>
        </w:rPr>
        <w:t>isk of HE in PPI users</w:t>
      </w:r>
      <w:bookmarkEnd w:id="13"/>
    </w:p>
    <w:bookmarkEnd w:id="12"/>
    <w:p w14:paraId="28ECDCCE" w14:textId="77777777" w:rsidR="00D3451A" w:rsidRPr="00115F98" w:rsidRDefault="00D3451A" w:rsidP="001C4059">
      <w:pPr>
        <w:spacing w:line="360" w:lineRule="auto"/>
        <w:rPr>
          <w:rFonts w:ascii="Book Antiqua" w:hAnsi="Book Antiqua"/>
          <w:color w:val="000000" w:themeColor="text1"/>
          <w:sz w:val="24"/>
          <w:szCs w:val="24"/>
        </w:rPr>
      </w:pPr>
    </w:p>
    <w:p w14:paraId="60922D03" w14:textId="63E4A764" w:rsidR="002878A3" w:rsidRPr="00115F98" w:rsidRDefault="002878A3" w:rsidP="001C4059">
      <w:pPr>
        <w:spacing w:line="360" w:lineRule="auto"/>
        <w:rPr>
          <w:rFonts w:ascii="Book Antiqua" w:hAnsi="Book Antiqua" w:cs="Times New Roman"/>
          <w:color w:val="000000" w:themeColor="text1"/>
          <w:sz w:val="24"/>
          <w:szCs w:val="24"/>
          <w:vertAlign w:val="superscript"/>
        </w:rPr>
      </w:pPr>
      <w:r w:rsidRPr="00115F98">
        <w:rPr>
          <w:rFonts w:ascii="Book Antiqua" w:hAnsi="Book Antiqua" w:cs="Times New Roman"/>
          <w:color w:val="000000" w:themeColor="text1"/>
          <w:sz w:val="24"/>
          <w:szCs w:val="24"/>
        </w:rPr>
        <w:t>Xin</w:t>
      </w:r>
      <w:r w:rsidR="001C4059" w:rsidRPr="00115F98">
        <w:rPr>
          <w:rFonts w:ascii="Book Antiqua" w:hAnsi="Book Antiqua" w:cs="Times New Roman"/>
          <w:color w:val="000000" w:themeColor="text1"/>
          <w:sz w:val="24"/>
          <w:szCs w:val="24"/>
        </w:rPr>
        <w:t>-X</w:t>
      </w:r>
      <w:r w:rsidRPr="00115F98">
        <w:rPr>
          <w:rFonts w:ascii="Book Antiqua" w:hAnsi="Book Antiqua" w:cs="Times New Roman"/>
          <w:color w:val="000000" w:themeColor="text1"/>
          <w:sz w:val="24"/>
          <w:szCs w:val="24"/>
        </w:rPr>
        <w:t xml:space="preserve">ing </w:t>
      </w:r>
      <w:proofErr w:type="spellStart"/>
      <w:r w:rsidRPr="00115F98">
        <w:rPr>
          <w:rFonts w:ascii="Book Antiqua" w:hAnsi="Book Antiqua" w:cs="Times New Roman"/>
          <w:color w:val="000000" w:themeColor="text1"/>
          <w:sz w:val="24"/>
          <w:szCs w:val="24"/>
        </w:rPr>
        <w:t>Tantai</w:t>
      </w:r>
      <w:proofErr w:type="spellEnd"/>
      <w:r w:rsidRPr="00115F98">
        <w:rPr>
          <w:rFonts w:ascii="Book Antiqua" w:hAnsi="Book Antiqua" w:cs="Times New Roman"/>
          <w:color w:val="000000" w:themeColor="text1"/>
          <w:sz w:val="24"/>
          <w:szCs w:val="24"/>
        </w:rPr>
        <w:t>, Long</w:t>
      </w:r>
      <w:r w:rsidR="001C4059" w:rsidRPr="00115F98">
        <w:rPr>
          <w:rFonts w:ascii="Book Antiqua" w:hAnsi="Book Antiqua" w:cs="Times New Roman"/>
          <w:color w:val="000000" w:themeColor="text1"/>
          <w:sz w:val="24"/>
          <w:szCs w:val="24"/>
        </w:rPr>
        <w:t>-</w:t>
      </w:r>
      <w:proofErr w:type="spellStart"/>
      <w:r w:rsidR="001C4059" w:rsidRPr="00115F98">
        <w:rPr>
          <w:rFonts w:ascii="Book Antiqua" w:hAnsi="Book Antiqua" w:cs="Times New Roman"/>
          <w:color w:val="000000" w:themeColor="text1"/>
          <w:sz w:val="24"/>
          <w:szCs w:val="24"/>
        </w:rPr>
        <w:t>B</w:t>
      </w:r>
      <w:r w:rsidRPr="00115F98">
        <w:rPr>
          <w:rFonts w:ascii="Book Antiqua" w:hAnsi="Book Antiqua" w:cs="Times New Roman"/>
          <w:color w:val="000000" w:themeColor="text1"/>
          <w:sz w:val="24"/>
          <w:szCs w:val="24"/>
        </w:rPr>
        <w:t>ao</w:t>
      </w:r>
      <w:proofErr w:type="spellEnd"/>
      <w:r w:rsidRPr="00115F98">
        <w:rPr>
          <w:rFonts w:ascii="Book Antiqua" w:hAnsi="Book Antiqua" w:cs="Times New Roman"/>
          <w:color w:val="000000" w:themeColor="text1"/>
          <w:sz w:val="24"/>
          <w:szCs w:val="24"/>
        </w:rPr>
        <w:t xml:space="preserve"> Yang, </w:t>
      </w:r>
      <w:proofErr w:type="spellStart"/>
      <w:r w:rsidRPr="00115F98">
        <w:rPr>
          <w:rFonts w:ascii="Book Antiqua" w:hAnsi="Book Antiqua" w:cs="Times New Roman"/>
          <w:color w:val="000000" w:themeColor="text1"/>
          <w:sz w:val="24"/>
          <w:szCs w:val="24"/>
        </w:rPr>
        <w:t>Zhong</w:t>
      </w:r>
      <w:proofErr w:type="spellEnd"/>
      <w:r w:rsidR="001C4059" w:rsidRPr="00115F98">
        <w:rPr>
          <w:rFonts w:ascii="Book Antiqua" w:hAnsi="Book Antiqua" w:cs="Times New Roman"/>
          <w:color w:val="000000" w:themeColor="text1"/>
          <w:sz w:val="24"/>
          <w:szCs w:val="24"/>
        </w:rPr>
        <w:t>-C</w:t>
      </w:r>
      <w:r w:rsidRPr="00115F98">
        <w:rPr>
          <w:rFonts w:ascii="Book Antiqua" w:hAnsi="Book Antiqua" w:cs="Times New Roman"/>
          <w:color w:val="000000" w:themeColor="text1"/>
          <w:sz w:val="24"/>
          <w:szCs w:val="24"/>
        </w:rPr>
        <w:t xml:space="preserve">ao Wei, </w:t>
      </w:r>
      <w:proofErr w:type="spellStart"/>
      <w:r w:rsidRPr="00115F98">
        <w:rPr>
          <w:rFonts w:ascii="Book Antiqua" w:hAnsi="Book Antiqua" w:cs="Times New Roman"/>
          <w:color w:val="000000" w:themeColor="text1"/>
          <w:sz w:val="24"/>
          <w:szCs w:val="24"/>
        </w:rPr>
        <w:t>Cai</w:t>
      </w:r>
      <w:proofErr w:type="spellEnd"/>
      <w:r w:rsidR="001C4059" w:rsidRPr="00115F98">
        <w:rPr>
          <w:rFonts w:ascii="Book Antiqua" w:hAnsi="Book Antiqua" w:cs="Times New Roman"/>
          <w:color w:val="000000" w:themeColor="text1"/>
          <w:sz w:val="24"/>
          <w:szCs w:val="24"/>
        </w:rPr>
        <w:t>-L</w:t>
      </w:r>
      <w:r w:rsidRPr="00115F98">
        <w:rPr>
          <w:rFonts w:ascii="Book Antiqua" w:hAnsi="Book Antiqua" w:cs="Times New Roman"/>
          <w:color w:val="000000" w:themeColor="text1"/>
          <w:sz w:val="24"/>
          <w:szCs w:val="24"/>
        </w:rPr>
        <w:t>an Xiao, Li</w:t>
      </w:r>
      <w:r w:rsidR="001C4059" w:rsidRPr="00115F98">
        <w:rPr>
          <w:rFonts w:ascii="Book Antiqua" w:hAnsi="Book Antiqua" w:cs="Times New Roman"/>
          <w:color w:val="000000" w:themeColor="text1"/>
          <w:sz w:val="24"/>
          <w:szCs w:val="24"/>
        </w:rPr>
        <w:t>-</w:t>
      </w:r>
      <w:proofErr w:type="spellStart"/>
      <w:r w:rsidR="001C4059" w:rsidRPr="00115F98">
        <w:rPr>
          <w:rFonts w:ascii="Book Antiqua" w:hAnsi="Book Antiqua" w:cs="Times New Roman"/>
          <w:color w:val="000000" w:themeColor="text1"/>
          <w:sz w:val="24"/>
          <w:szCs w:val="24"/>
        </w:rPr>
        <w:t>R</w:t>
      </w:r>
      <w:r w:rsidRPr="00115F98">
        <w:rPr>
          <w:rFonts w:ascii="Book Antiqua" w:hAnsi="Book Antiqua" w:cs="Times New Roman"/>
          <w:color w:val="000000" w:themeColor="text1"/>
          <w:sz w:val="24"/>
          <w:szCs w:val="24"/>
        </w:rPr>
        <w:t>ong</w:t>
      </w:r>
      <w:proofErr w:type="spellEnd"/>
      <w:r w:rsidRPr="00115F98">
        <w:rPr>
          <w:rFonts w:ascii="Book Antiqua" w:hAnsi="Book Antiqua" w:cs="Times New Roman"/>
          <w:color w:val="000000" w:themeColor="text1"/>
          <w:sz w:val="24"/>
          <w:szCs w:val="24"/>
        </w:rPr>
        <w:t xml:space="preserve"> Chen, </w:t>
      </w:r>
      <w:proofErr w:type="spellStart"/>
      <w:r w:rsidRPr="00115F98">
        <w:rPr>
          <w:rFonts w:ascii="Book Antiqua" w:hAnsi="Book Antiqua" w:cs="Times New Roman"/>
          <w:color w:val="000000" w:themeColor="text1"/>
          <w:sz w:val="24"/>
          <w:szCs w:val="24"/>
        </w:rPr>
        <w:t>Jin</w:t>
      </w:r>
      <w:proofErr w:type="spellEnd"/>
      <w:r w:rsidR="001C4059" w:rsidRPr="00115F98">
        <w:rPr>
          <w:rFonts w:ascii="Book Antiqua" w:hAnsi="Book Antiqua" w:cs="Times New Roman"/>
          <w:color w:val="000000" w:themeColor="text1"/>
          <w:sz w:val="24"/>
          <w:szCs w:val="24"/>
        </w:rPr>
        <w:t>-H</w:t>
      </w:r>
      <w:r w:rsidRPr="00115F98">
        <w:rPr>
          <w:rFonts w:ascii="Book Antiqua" w:hAnsi="Book Antiqua" w:cs="Times New Roman"/>
          <w:color w:val="000000" w:themeColor="text1"/>
          <w:sz w:val="24"/>
          <w:szCs w:val="24"/>
        </w:rPr>
        <w:t>ai Wang, Na Liu</w:t>
      </w:r>
    </w:p>
    <w:p w14:paraId="7A42690C" w14:textId="77777777" w:rsidR="00D3451A" w:rsidRPr="00115F98" w:rsidRDefault="00D3451A" w:rsidP="001C4059">
      <w:pPr>
        <w:spacing w:line="360" w:lineRule="auto"/>
        <w:rPr>
          <w:rFonts w:ascii="Book Antiqua" w:hAnsi="Book Antiqua" w:cs="Times New Roman"/>
          <w:color w:val="000000" w:themeColor="text1"/>
          <w:sz w:val="24"/>
          <w:szCs w:val="24"/>
        </w:rPr>
      </w:pPr>
    </w:p>
    <w:p w14:paraId="62D5A52E" w14:textId="0F502A30" w:rsidR="002878A3" w:rsidRPr="00115F98" w:rsidRDefault="001C4059" w:rsidP="001C4059">
      <w:pPr>
        <w:spacing w:line="360" w:lineRule="auto"/>
        <w:rPr>
          <w:rFonts w:ascii="Book Antiqua" w:hAnsi="Book Antiqua" w:cs="Times New Roman"/>
          <w:color w:val="000000" w:themeColor="text1"/>
          <w:sz w:val="24"/>
          <w:szCs w:val="24"/>
          <w:vertAlign w:val="superscript"/>
        </w:rPr>
      </w:pPr>
      <w:r w:rsidRPr="00115F98">
        <w:rPr>
          <w:rFonts w:ascii="Book Antiqua" w:hAnsi="Book Antiqua" w:cs="Times New Roman"/>
          <w:b/>
          <w:color w:val="000000" w:themeColor="text1"/>
          <w:sz w:val="24"/>
          <w:szCs w:val="24"/>
        </w:rPr>
        <w:t xml:space="preserve">Xin-Xing </w:t>
      </w:r>
      <w:proofErr w:type="spellStart"/>
      <w:r w:rsidRPr="00115F98">
        <w:rPr>
          <w:rFonts w:ascii="Book Antiqua" w:hAnsi="Book Antiqua" w:cs="Times New Roman"/>
          <w:b/>
          <w:color w:val="000000" w:themeColor="text1"/>
          <w:sz w:val="24"/>
          <w:szCs w:val="24"/>
        </w:rPr>
        <w:t>Tantai</w:t>
      </w:r>
      <w:proofErr w:type="spellEnd"/>
      <w:r w:rsidRPr="00115F98">
        <w:rPr>
          <w:rFonts w:ascii="Book Antiqua" w:hAnsi="Book Antiqua" w:cs="Times New Roman"/>
          <w:b/>
          <w:color w:val="000000" w:themeColor="text1"/>
          <w:sz w:val="24"/>
          <w:szCs w:val="24"/>
        </w:rPr>
        <w:t>, Long-</w:t>
      </w:r>
      <w:proofErr w:type="spellStart"/>
      <w:r w:rsidRPr="00115F98">
        <w:rPr>
          <w:rFonts w:ascii="Book Antiqua" w:hAnsi="Book Antiqua" w:cs="Times New Roman"/>
          <w:b/>
          <w:color w:val="000000" w:themeColor="text1"/>
          <w:sz w:val="24"/>
          <w:szCs w:val="24"/>
        </w:rPr>
        <w:t>Bao</w:t>
      </w:r>
      <w:proofErr w:type="spellEnd"/>
      <w:r w:rsidRPr="00115F98">
        <w:rPr>
          <w:rFonts w:ascii="Book Antiqua" w:hAnsi="Book Antiqua" w:cs="Times New Roman"/>
          <w:b/>
          <w:color w:val="000000" w:themeColor="text1"/>
          <w:sz w:val="24"/>
          <w:szCs w:val="24"/>
        </w:rPr>
        <w:t xml:space="preserve"> Yang, </w:t>
      </w:r>
      <w:proofErr w:type="spellStart"/>
      <w:r w:rsidRPr="00115F98">
        <w:rPr>
          <w:rFonts w:ascii="Book Antiqua" w:hAnsi="Book Antiqua" w:cs="Times New Roman"/>
          <w:b/>
          <w:color w:val="000000" w:themeColor="text1"/>
          <w:sz w:val="24"/>
          <w:szCs w:val="24"/>
        </w:rPr>
        <w:t>Zhong</w:t>
      </w:r>
      <w:proofErr w:type="spellEnd"/>
      <w:r w:rsidRPr="00115F98">
        <w:rPr>
          <w:rFonts w:ascii="Book Antiqua" w:hAnsi="Book Antiqua" w:cs="Times New Roman"/>
          <w:b/>
          <w:color w:val="000000" w:themeColor="text1"/>
          <w:sz w:val="24"/>
          <w:szCs w:val="24"/>
        </w:rPr>
        <w:t xml:space="preserve">-Cao Wei, </w:t>
      </w:r>
      <w:proofErr w:type="spellStart"/>
      <w:r w:rsidRPr="00115F98">
        <w:rPr>
          <w:rFonts w:ascii="Book Antiqua" w:hAnsi="Book Antiqua" w:cs="Times New Roman"/>
          <w:b/>
          <w:color w:val="000000" w:themeColor="text1"/>
          <w:sz w:val="24"/>
          <w:szCs w:val="24"/>
        </w:rPr>
        <w:t>Cai</w:t>
      </w:r>
      <w:proofErr w:type="spellEnd"/>
      <w:r w:rsidRPr="00115F98">
        <w:rPr>
          <w:rFonts w:ascii="Book Antiqua" w:hAnsi="Book Antiqua" w:cs="Times New Roman"/>
          <w:b/>
          <w:color w:val="000000" w:themeColor="text1"/>
          <w:sz w:val="24"/>
          <w:szCs w:val="24"/>
        </w:rPr>
        <w:t>-Lan Xiao, Li-</w:t>
      </w:r>
      <w:proofErr w:type="spellStart"/>
      <w:r w:rsidRPr="00115F98">
        <w:rPr>
          <w:rFonts w:ascii="Book Antiqua" w:hAnsi="Book Antiqua" w:cs="Times New Roman"/>
          <w:b/>
          <w:color w:val="000000" w:themeColor="text1"/>
          <w:sz w:val="24"/>
          <w:szCs w:val="24"/>
        </w:rPr>
        <w:t>Rong</w:t>
      </w:r>
      <w:proofErr w:type="spellEnd"/>
      <w:r w:rsidRPr="00115F98">
        <w:rPr>
          <w:rFonts w:ascii="Book Antiqua" w:hAnsi="Book Antiqua" w:cs="Times New Roman"/>
          <w:b/>
          <w:color w:val="000000" w:themeColor="text1"/>
          <w:sz w:val="24"/>
          <w:szCs w:val="24"/>
        </w:rPr>
        <w:t xml:space="preserve"> Chen, </w:t>
      </w:r>
      <w:proofErr w:type="spellStart"/>
      <w:r w:rsidRPr="00115F98">
        <w:rPr>
          <w:rFonts w:ascii="Book Antiqua" w:hAnsi="Book Antiqua" w:cs="Times New Roman"/>
          <w:b/>
          <w:color w:val="000000" w:themeColor="text1"/>
          <w:sz w:val="24"/>
          <w:szCs w:val="24"/>
        </w:rPr>
        <w:t>Jin</w:t>
      </w:r>
      <w:proofErr w:type="spellEnd"/>
      <w:r w:rsidRPr="00115F98">
        <w:rPr>
          <w:rFonts w:ascii="Book Antiqua" w:hAnsi="Book Antiqua" w:cs="Times New Roman"/>
          <w:b/>
          <w:color w:val="000000" w:themeColor="text1"/>
          <w:sz w:val="24"/>
          <w:szCs w:val="24"/>
        </w:rPr>
        <w:t>-Hai Wang, Na Liu,</w:t>
      </w:r>
      <w:r w:rsidRPr="00115F98">
        <w:rPr>
          <w:rFonts w:ascii="Book Antiqua" w:hAnsi="Book Antiqua" w:cs="Times New Roman"/>
          <w:color w:val="000000" w:themeColor="text1"/>
          <w:sz w:val="24"/>
          <w:szCs w:val="24"/>
        </w:rPr>
        <w:t xml:space="preserve"> </w:t>
      </w:r>
      <w:bookmarkStart w:id="14" w:name="OLE_LINK50"/>
      <w:bookmarkStart w:id="15" w:name="OLE_LINK51"/>
      <w:r w:rsidR="002878A3" w:rsidRPr="00115F98">
        <w:rPr>
          <w:rFonts w:ascii="Book Antiqua" w:hAnsi="Book Antiqua" w:cs="Times New Roman"/>
          <w:color w:val="000000" w:themeColor="text1"/>
          <w:sz w:val="24"/>
          <w:szCs w:val="24"/>
        </w:rPr>
        <w:t>Division of Gastroenterology, The Second Affiliated Hospital, Xi</w:t>
      </w:r>
      <w:r w:rsidRPr="00115F98">
        <w:rPr>
          <w:rFonts w:ascii="Book Antiqua"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 xml:space="preserve">an </w:t>
      </w:r>
      <w:proofErr w:type="spellStart"/>
      <w:r w:rsidR="002878A3" w:rsidRPr="00115F98">
        <w:rPr>
          <w:rFonts w:ascii="Book Antiqua" w:hAnsi="Book Antiqua" w:cs="Times New Roman"/>
          <w:color w:val="000000" w:themeColor="text1"/>
          <w:sz w:val="24"/>
          <w:szCs w:val="24"/>
        </w:rPr>
        <w:t>Jiaotong</w:t>
      </w:r>
      <w:proofErr w:type="spellEnd"/>
      <w:r w:rsidR="002878A3" w:rsidRPr="00115F98">
        <w:rPr>
          <w:rFonts w:ascii="Book Antiqua" w:hAnsi="Book Antiqua" w:cs="Times New Roman"/>
          <w:color w:val="000000" w:themeColor="text1"/>
          <w:sz w:val="24"/>
          <w:szCs w:val="24"/>
        </w:rPr>
        <w:t xml:space="preserve"> University,</w:t>
      </w:r>
      <w:bookmarkEnd w:id="14"/>
      <w:bookmarkEnd w:id="15"/>
      <w:r w:rsidR="002878A3" w:rsidRPr="00115F98">
        <w:rPr>
          <w:rFonts w:ascii="Book Antiqua" w:hAnsi="Book Antiqua" w:cs="Times New Roman"/>
          <w:color w:val="000000" w:themeColor="text1"/>
          <w:sz w:val="24"/>
          <w:szCs w:val="24"/>
        </w:rPr>
        <w:t xml:space="preserve"> Xi</w:t>
      </w:r>
      <w:r w:rsidRPr="00115F98">
        <w:rPr>
          <w:rFonts w:ascii="Book Antiqua"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an</w:t>
      </w:r>
      <w:r w:rsidR="00D3451A" w:rsidRPr="00115F98">
        <w:rPr>
          <w:rFonts w:ascii="Book Antiqua" w:hAnsi="Book Antiqua" w:cs="Times New Roman"/>
          <w:color w:val="000000" w:themeColor="text1"/>
          <w:sz w:val="24"/>
          <w:szCs w:val="24"/>
        </w:rPr>
        <w:t xml:space="preserve"> </w:t>
      </w:r>
      <w:bookmarkStart w:id="16" w:name="_Hlk5631342"/>
      <w:r w:rsidR="002F11EE" w:rsidRPr="00115F98">
        <w:rPr>
          <w:rFonts w:ascii="Book Antiqua" w:hAnsi="Book Antiqua" w:cs="Times New Roman"/>
          <w:color w:val="000000" w:themeColor="text1"/>
          <w:sz w:val="24"/>
          <w:szCs w:val="24"/>
        </w:rPr>
        <w:t>710004</w:t>
      </w:r>
      <w:bookmarkEnd w:id="16"/>
      <w:r w:rsidR="002878A3" w:rsidRPr="00115F98">
        <w:rPr>
          <w:rFonts w:ascii="Book Antiqua" w:hAnsi="Book Antiqua" w:cs="Times New Roman"/>
          <w:color w:val="000000" w:themeColor="text1"/>
          <w:sz w:val="24"/>
          <w:szCs w:val="24"/>
        </w:rPr>
        <w:t>, Shaanxi</w:t>
      </w:r>
      <w:r w:rsidRPr="00115F98">
        <w:rPr>
          <w:rFonts w:ascii="Book Antiqua" w:hAnsi="Book Antiqua" w:cs="Times New Roman"/>
          <w:color w:val="000000" w:themeColor="text1"/>
          <w:sz w:val="24"/>
          <w:szCs w:val="24"/>
        </w:rPr>
        <w:t xml:space="preserve"> Province</w:t>
      </w:r>
      <w:r w:rsidR="002878A3" w:rsidRPr="00115F98">
        <w:rPr>
          <w:rFonts w:ascii="Book Antiqua" w:hAnsi="Book Antiqua" w:cs="Times New Roman"/>
          <w:color w:val="000000" w:themeColor="text1"/>
          <w:sz w:val="24"/>
          <w:szCs w:val="24"/>
        </w:rPr>
        <w:t>, China</w:t>
      </w:r>
    </w:p>
    <w:p w14:paraId="7B633670" w14:textId="634A0333" w:rsidR="00D3451A" w:rsidRPr="00115F98" w:rsidRDefault="00D3451A" w:rsidP="001C4059">
      <w:pPr>
        <w:spacing w:line="360" w:lineRule="auto"/>
        <w:rPr>
          <w:rFonts w:ascii="Book Antiqua" w:hAnsi="Book Antiqua" w:cs="Times New Roman"/>
          <w:b/>
          <w:color w:val="000000" w:themeColor="text1"/>
          <w:sz w:val="24"/>
          <w:szCs w:val="24"/>
        </w:rPr>
      </w:pPr>
    </w:p>
    <w:p w14:paraId="629323E2" w14:textId="61BDF61E" w:rsidR="00D3451A" w:rsidRPr="00115F98" w:rsidRDefault="006978FD" w:rsidP="001C4059">
      <w:pPr>
        <w:spacing w:line="360" w:lineRule="auto"/>
        <w:rPr>
          <w:rFonts w:ascii="Book Antiqua" w:hAnsi="Book Antiqua"/>
          <w:bCs/>
          <w:color w:val="000000" w:themeColor="text1"/>
          <w:sz w:val="24"/>
          <w:szCs w:val="24"/>
          <w:shd w:val="clear" w:color="auto" w:fill="FFFFFF"/>
        </w:rPr>
      </w:pPr>
      <w:bookmarkStart w:id="17" w:name="_Hlk5615127"/>
      <w:r w:rsidRPr="00115F98">
        <w:rPr>
          <w:rFonts w:ascii="Book Antiqua" w:hAnsi="Book Antiqua"/>
          <w:b/>
          <w:bCs/>
          <w:color w:val="000000" w:themeColor="text1"/>
          <w:sz w:val="24"/>
          <w:szCs w:val="24"/>
          <w:shd w:val="clear" w:color="auto" w:fill="FFFFFF"/>
        </w:rPr>
        <w:t>ORCID number</w:t>
      </w:r>
      <w:r w:rsidRPr="00115F98">
        <w:rPr>
          <w:rFonts w:ascii="Book Antiqua" w:hAnsi="Book Antiqua"/>
          <w:b/>
          <w:color w:val="000000" w:themeColor="text1"/>
          <w:sz w:val="24"/>
          <w:szCs w:val="24"/>
          <w:lang w:val="en-GB"/>
        </w:rPr>
        <w:t>:</w:t>
      </w:r>
      <w:r w:rsidRPr="00115F98">
        <w:rPr>
          <w:rFonts w:ascii="Book Antiqua" w:eastAsia="宋体" w:hAnsi="Book Antiqua" w:hint="eastAsia"/>
          <w:b/>
          <w:color w:val="000000" w:themeColor="text1"/>
          <w:lang w:val="en-GB"/>
        </w:rPr>
        <w:t xml:space="preserve"> </w:t>
      </w:r>
      <w:r w:rsidR="00570C7F" w:rsidRPr="00115F98">
        <w:rPr>
          <w:rFonts w:ascii="Book Antiqua" w:hAnsi="Book Antiqua"/>
          <w:bCs/>
          <w:color w:val="000000" w:themeColor="text1"/>
          <w:sz w:val="24"/>
          <w:szCs w:val="24"/>
          <w:shd w:val="clear" w:color="auto" w:fill="FFFFFF"/>
        </w:rPr>
        <w:t>Xin</w:t>
      </w:r>
      <w:r w:rsidRPr="00115F98">
        <w:rPr>
          <w:rFonts w:ascii="Book Antiqua" w:hAnsi="Book Antiqua"/>
          <w:bCs/>
          <w:color w:val="000000" w:themeColor="text1"/>
          <w:sz w:val="24"/>
          <w:szCs w:val="24"/>
          <w:shd w:val="clear" w:color="auto" w:fill="FFFFFF"/>
        </w:rPr>
        <w:t>-X</w:t>
      </w:r>
      <w:r w:rsidR="00570C7F" w:rsidRPr="00115F98">
        <w:rPr>
          <w:rFonts w:ascii="Book Antiqua" w:hAnsi="Book Antiqua"/>
          <w:bCs/>
          <w:color w:val="000000" w:themeColor="text1"/>
          <w:sz w:val="24"/>
          <w:szCs w:val="24"/>
          <w:shd w:val="clear" w:color="auto" w:fill="FFFFFF"/>
        </w:rPr>
        <w:t xml:space="preserve">ing </w:t>
      </w:r>
      <w:proofErr w:type="spellStart"/>
      <w:r w:rsidR="00570C7F" w:rsidRPr="00115F98">
        <w:rPr>
          <w:rFonts w:ascii="Book Antiqua" w:hAnsi="Book Antiqua"/>
          <w:bCs/>
          <w:color w:val="000000" w:themeColor="text1"/>
          <w:sz w:val="24"/>
          <w:szCs w:val="24"/>
          <w:shd w:val="clear" w:color="auto" w:fill="FFFFFF"/>
        </w:rPr>
        <w:t>Tantai</w:t>
      </w:r>
      <w:proofErr w:type="spellEnd"/>
      <w:r w:rsidR="00BA5823" w:rsidRPr="00115F98">
        <w:rPr>
          <w:rFonts w:ascii="Book Antiqua" w:hAnsi="Book Antiqua"/>
          <w:bCs/>
          <w:color w:val="000000" w:themeColor="text1"/>
          <w:sz w:val="24"/>
          <w:szCs w:val="24"/>
          <w:shd w:val="clear" w:color="auto" w:fill="FFFFFF"/>
        </w:rPr>
        <w:t xml:space="preserve"> (0000-0002-4105-6890); </w:t>
      </w:r>
      <w:r w:rsidR="00570C7F" w:rsidRPr="00115F98">
        <w:rPr>
          <w:rFonts w:ascii="Book Antiqua" w:hAnsi="Book Antiqua"/>
          <w:bCs/>
          <w:color w:val="000000" w:themeColor="text1"/>
          <w:sz w:val="24"/>
          <w:szCs w:val="24"/>
          <w:shd w:val="clear" w:color="auto" w:fill="FFFFFF"/>
        </w:rPr>
        <w:t>Long</w:t>
      </w:r>
      <w:r w:rsidRPr="00115F98">
        <w:rPr>
          <w:rFonts w:ascii="Book Antiqua" w:hAnsi="Book Antiqua"/>
          <w:bCs/>
          <w:color w:val="000000" w:themeColor="text1"/>
          <w:sz w:val="24"/>
          <w:szCs w:val="24"/>
          <w:shd w:val="clear" w:color="auto" w:fill="FFFFFF"/>
        </w:rPr>
        <w:t>-</w:t>
      </w:r>
      <w:proofErr w:type="spellStart"/>
      <w:r w:rsidRPr="00115F98">
        <w:rPr>
          <w:rFonts w:ascii="Book Antiqua" w:hAnsi="Book Antiqua"/>
          <w:bCs/>
          <w:color w:val="000000" w:themeColor="text1"/>
          <w:sz w:val="24"/>
          <w:szCs w:val="24"/>
          <w:shd w:val="clear" w:color="auto" w:fill="FFFFFF"/>
        </w:rPr>
        <w:t>B</w:t>
      </w:r>
      <w:r w:rsidR="00570C7F" w:rsidRPr="00115F98">
        <w:rPr>
          <w:rFonts w:ascii="Book Antiqua" w:hAnsi="Book Antiqua"/>
          <w:bCs/>
          <w:color w:val="000000" w:themeColor="text1"/>
          <w:sz w:val="24"/>
          <w:szCs w:val="24"/>
          <w:shd w:val="clear" w:color="auto" w:fill="FFFFFF"/>
        </w:rPr>
        <w:t>ao</w:t>
      </w:r>
      <w:proofErr w:type="spellEnd"/>
      <w:r w:rsidR="00570C7F" w:rsidRPr="00115F98">
        <w:rPr>
          <w:rFonts w:ascii="Book Antiqua" w:hAnsi="Book Antiqua"/>
          <w:bCs/>
          <w:color w:val="000000" w:themeColor="text1"/>
          <w:sz w:val="24"/>
          <w:szCs w:val="24"/>
          <w:shd w:val="clear" w:color="auto" w:fill="FFFFFF"/>
        </w:rPr>
        <w:t xml:space="preserve"> Yang</w:t>
      </w:r>
      <w:r w:rsidR="00BA5823" w:rsidRPr="00115F98">
        <w:rPr>
          <w:rFonts w:ascii="Book Antiqua" w:hAnsi="Book Antiqua"/>
          <w:bCs/>
          <w:color w:val="000000" w:themeColor="text1"/>
          <w:sz w:val="24"/>
          <w:szCs w:val="24"/>
          <w:shd w:val="clear" w:color="auto" w:fill="FFFFFF"/>
        </w:rPr>
        <w:t xml:space="preserve"> (0000-0001-7731-0910);</w:t>
      </w:r>
      <w:r w:rsidR="00570C7F" w:rsidRPr="00115F98">
        <w:rPr>
          <w:rFonts w:ascii="Book Antiqua" w:hAnsi="Book Antiqua"/>
          <w:bCs/>
          <w:color w:val="000000" w:themeColor="text1"/>
          <w:sz w:val="24"/>
          <w:szCs w:val="24"/>
          <w:shd w:val="clear" w:color="auto" w:fill="FFFFFF"/>
        </w:rPr>
        <w:t xml:space="preserve"> </w:t>
      </w:r>
      <w:proofErr w:type="spellStart"/>
      <w:r w:rsidR="00570C7F" w:rsidRPr="00115F98">
        <w:rPr>
          <w:rFonts w:ascii="Book Antiqua" w:hAnsi="Book Antiqua"/>
          <w:bCs/>
          <w:color w:val="000000" w:themeColor="text1"/>
          <w:sz w:val="24"/>
          <w:szCs w:val="24"/>
          <w:shd w:val="clear" w:color="auto" w:fill="FFFFFF"/>
        </w:rPr>
        <w:t>Zhong</w:t>
      </w:r>
      <w:proofErr w:type="spellEnd"/>
      <w:r w:rsidRPr="00115F98">
        <w:rPr>
          <w:rFonts w:ascii="Book Antiqua" w:hAnsi="Book Antiqua"/>
          <w:bCs/>
          <w:color w:val="000000" w:themeColor="text1"/>
          <w:sz w:val="24"/>
          <w:szCs w:val="24"/>
          <w:shd w:val="clear" w:color="auto" w:fill="FFFFFF"/>
        </w:rPr>
        <w:t>-C</w:t>
      </w:r>
      <w:r w:rsidR="00570C7F" w:rsidRPr="00115F98">
        <w:rPr>
          <w:rFonts w:ascii="Book Antiqua" w:hAnsi="Book Antiqua"/>
          <w:bCs/>
          <w:color w:val="000000" w:themeColor="text1"/>
          <w:sz w:val="24"/>
          <w:szCs w:val="24"/>
          <w:shd w:val="clear" w:color="auto" w:fill="FFFFFF"/>
        </w:rPr>
        <w:t>ao Wei</w:t>
      </w:r>
      <w:r w:rsidR="00BA5823" w:rsidRPr="00115F98">
        <w:rPr>
          <w:rFonts w:ascii="Book Antiqua" w:hAnsi="Book Antiqua"/>
          <w:bCs/>
          <w:color w:val="000000" w:themeColor="text1"/>
          <w:sz w:val="24"/>
          <w:szCs w:val="24"/>
          <w:shd w:val="clear" w:color="auto" w:fill="FFFFFF"/>
        </w:rPr>
        <w:t xml:space="preserve"> (0000-0001-8931-680X);</w:t>
      </w:r>
      <w:r w:rsidR="00570C7F" w:rsidRPr="00115F98">
        <w:rPr>
          <w:rFonts w:ascii="Book Antiqua" w:hAnsi="Book Antiqua"/>
          <w:bCs/>
          <w:color w:val="000000" w:themeColor="text1"/>
          <w:sz w:val="24"/>
          <w:szCs w:val="24"/>
          <w:shd w:val="clear" w:color="auto" w:fill="FFFFFF"/>
        </w:rPr>
        <w:t xml:space="preserve"> </w:t>
      </w:r>
      <w:proofErr w:type="spellStart"/>
      <w:r w:rsidR="00570C7F" w:rsidRPr="00115F98">
        <w:rPr>
          <w:rFonts w:ascii="Book Antiqua" w:hAnsi="Book Antiqua"/>
          <w:bCs/>
          <w:color w:val="000000" w:themeColor="text1"/>
          <w:sz w:val="24"/>
          <w:szCs w:val="24"/>
          <w:shd w:val="clear" w:color="auto" w:fill="FFFFFF"/>
        </w:rPr>
        <w:t>Cai</w:t>
      </w:r>
      <w:proofErr w:type="spellEnd"/>
      <w:r w:rsidRPr="00115F98">
        <w:rPr>
          <w:rFonts w:ascii="Book Antiqua" w:hAnsi="Book Antiqua"/>
          <w:bCs/>
          <w:color w:val="000000" w:themeColor="text1"/>
          <w:sz w:val="24"/>
          <w:szCs w:val="24"/>
          <w:shd w:val="clear" w:color="auto" w:fill="FFFFFF"/>
        </w:rPr>
        <w:t>-L</w:t>
      </w:r>
      <w:r w:rsidR="00570C7F" w:rsidRPr="00115F98">
        <w:rPr>
          <w:rFonts w:ascii="Book Antiqua" w:hAnsi="Book Antiqua"/>
          <w:bCs/>
          <w:color w:val="000000" w:themeColor="text1"/>
          <w:sz w:val="24"/>
          <w:szCs w:val="24"/>
          <w:shd w:val="clear" w:color="auto" w:fill="FFFFFF"/>
        </w:rPr>
        <w:t>an Xiao</w:t>
      </w:r>
      <w:r w:rsidR="00BA5823" w:rsidRPr="00115F98">
        <w:rPr>
          <w:rFonts w:ascii="Book Antiqua" w:hAnsi="Book Antiqua"/>
          <w:bCs/>
          <w:color w:val="000000" w:themeColor="text1"/>
          <w:sz w:val="24"/>
          <w:szCs w:val="24"/>
          <w:shd w:val="clear" w:color="auto" w:fill="FFFFFF"/>
        </w:rPr>
        <w:t xml:space="preserve"> (0000-0001-8476-5008);</w:t>
      </w:r>
      <w:r w:rsidR="00570C7F" w:rsidRPr="00115F98">
        <w:rPr>
          <w:rFonts w:ascii="Book Antiqua" w:hAnsi="Book Antiqua"/>
          <w:bCs/>
          <w:color w:val="000000" w:themeColor="text1"/>
          <w:sz w:val="24"/>
          <w:szCs w:val="24"/>
          <w:shd w:val="clear" w:color="auto" w:fill="FFFFFF"/>
        </w:rPr>
        <w:t xml:space="preserve"> Li</w:t>
      </w:r>
      <w:r w:rsidRPr="00115F98">
        <w:rPr>
          <w:rFonts w:ascii="Book Antiqua" w:hAnsi="Book Antiqua"/>
          <w:bCs/>
          <w:color w:val="000000" w:themeColor="text1"/>
          <w:sz w:val="24"/>
          <w:szCs w:val="24"/>
          <w:shd w:val="clear" w:color="auto" w:fill="FFFFFF"/>
        </w:rPr>
        <w:t>-</w:t>
      </w:r>
      <w:proofErr w:type="spellStart"/>
      <w:r w:rsidRPr="00115F98">
        <w:rPr>
          <w:rFonts w:ascii="Book Antiqua" w:hAnsi="Book Antiqua"/>
          <w:bCs/>
          <w:color w:val="000000" w:themeColor="text1"/>
          <w:sz w:val="24"/>
          <w:szCs w:val="24"/>
          <w:shd w:val="clear" w:color="auto" w:fill="FFFFFF"/>
        </w:rPr>
        <w:t>R</w:t>
      </w:r>
      <w:r w:rsidR="00570C7F" w:rsidRPr="00115F98">
        <w:rPr>
          <w:rFonts w:ascii="Book Antiqua" w:hAnsi="Book Antiqua"/>
          <w:bCs/>
          <w:color w:val="000000" w:themeColor="text1"/>
          <w:sz w:val="24"/>
          <w:szCs w:val="24"/>
          <w:shd w:val="clear" w:color="auto" w:fill="FFFFFF"/>
        </w:rPr>
        <w:t>ong</w:t>
      </w:r>
      <w:proofErr w:type="spellEnd"/>
      <w:r w:rsidR="00570C7F" w:rsidRPr="00115F98">
        <w:rPr>
          <w:rFonts w:ascii="Book Antiqua" w:hAnsi="Book Antiqua"/>
          <w:bCs/>
          <w:color w:val="000000" w:themeColor="text1"/>
          <w:sz w:val="24"/>
          <w:szCs w:val="24"/>
          <w:shd w:val="clear" w:color="auto" w:fill="FFFFFF"/>
        </w:rPr>
        <w:t xml:space="preserve"> Chen</w:t>
      </w:r>
      <w:r w:rsidR="00BA5823" w:rsidRPr="00115F98">
        <w:rPr>
          <w:rFonts w:ascii="Book Antiqua" w:hAnsi="Book Antiqua"/>
          <w:bCs/>
          <w:color w:val="000000" w:themeColor="text1"/>
          <w:sz w:val="24"/>
          <w:szCs w:val="24"/>
          <w:shd w:val="clear" w:color="auto" w:fill="FFFFFF"/>
        </w:rPr>
        <w:t xml:space="preserve"> (0000-0001-8901-2830);</w:t>
      </w:r>
      <w:r w:rsidR="00570C7F" w:rsidRPr="00115F98">
        <w:rPr>
          <w:rFonts w:ascii="Book Antiqua" w:hAnsi="Book Antiqua"/>
          <w:bCs/>
          <w:color w:val="000000" w:themeColor="text1"/>
          <w:sz w:val="24"/>
          <w:szCs w:val="24"/>
          <w:shd w:val="clear" w:color="auto" w:fill="FFFFFF"/>
        </w:rPr>
        <w:t xml:space="preserve"> </w:t>
      </w:r>
      <w:proofErr w:type="spellStart"/>
      <w:r w:rsidR="00570C7F" w:rsidRPr="00115F98">
        <w:rPr>
          <w:rFonts w:ascii="Book Antiqua" w:hAnsi="Book Antiqua"/>
          <w:bCs/>
          <w:color w:val="000000" w:themeColor="text1"/>
          <w:sz w:val="24"/>
          <w:szCs w:val="24"/>
          <w:shd w:val="clear" w:color="auto" w:fill="FFFFFF"/>
        </w:rPr>
        <w:t>Jin</w:t>
      </w:r>
      <w:proofErr w:type="spellEnd"/>
      <w:r w:rsidRPr="00115F98">
        <w:rPr>
          <w:rFonts w:ascii="Book Antiqua" w:hAnsi="Book Antiqua"/>
          <w:bCs/>
          <w:color w:val="000000" w:themeColor="text1"/>
          <w:sz w:val="24"/>
          <w:szCs w:val="24"/>
          <w:shd w:val="clear" w:color="auto" w:fill="FFFFFF"/>
        </w:rPr>
        <w:t>-H</w:t>
      </w:r>
      <w:r w:rsidR="00570C7F" w:rsidRPr="00115F98">
        <w:rPr>
          <w:rFonts w:ascii="Book Antiqua" w:hAnsi="Book Antiqua"/>
          <w:bCs/>
          <w:color w:val="000000" w:themeColor="text1"/>
          <w:sz w:val="24"/>
          <w:szCs w:val="24"/>
          <w:shd w:val="clear" w:color="auto" w:fill="FFFFFF"/>
        </w:rPr>
        <w:t>ai Wang</w:t>
      </w:r>
      <w:r w:rsidRPr="00115F98">
        <w:rPr>
          <w:rFonts w:ascii="Book Antiqua" w:hAnsi="Book Antiqua"/>
          <w:bCs/>
          <w:color w:val="000000" w:themeColor="text1"/>
          <w:sz w:val="24"/>
          <w:szCs w:val="24"/>
          <w:shd w:val="clear" w:color="auto" w:fill="FFFFFF"/>
        </w:rPr>
        <w:t xml:space="preserve"> </w:t>
      </w:r>
      <w:r w:rsidR="00BA5823" w:rsidRPr="00115F98">
        <w:rPr>
          <w:rFonts w:ascii="Book Antiqua" w:hAnsi="Book Antiqua"/>
          <w:bCs/>
          <w:color w:val="000000" w:themeColor="text1"/>
          <w:sz w:val="24"/>
          <w:szCs w:val="24"/>
          <w:shd w:val="clear" w:color="auto" w:fill="FFFFFF"/>
        </w:rPr>
        <w:t>(0000-0003-1365-4727);</w:t>
      </w:r>
      <w:r w:rsidR="00570C7F" w:rsidRPr="00115F98">
        <w:rPr>
          <w:rFonts w:ascii="Book Antiqua" w:hAnsi="Book Antiqua"/>
          <w:bCs/>
          <w:color w:val="000000" w:themeColor="text1"/>
          <w:sz w:val="24"/>
          <w:szCs w:val="24"/>
          <w:shd w:val="clear" w:color="auto" w:fill="FFFFFF"/>
        </w:rPr>
        <w:t xml:space="preserve"> Na Liu</w:t>
      </w:r>
      <w:r w:rsidRPr="00115F98">
        <w:rPr>
          <w:rFonts w:ascii="Book Antiqua" w:hAnsi="Book Antiqua"/>
          <w:bCs/>
          <w:color w:val="000000" w:themeColor="text1"/>
          <w:sz w:val="24"/>
          <w:szCs w:val="24"/>
          <w:shd w:val="clear" w:color="auto" w:fill="FFFFFF"/>
        </w:rPr>
        <w:t xml:space="preserve"> </w:t>
      </w:r>
      <w:r w:rsidR="00BA5823" w:rsidRPr="00115F98">
        <w:rPr>
          <w:rFonts w:ascii="Book Antiqua" w:hAnsi="Book Antiqua"/>
          <w:bCs/>
          <w:color w:val="000000" w:themeColor="text1"/>
          <w:sz w:val="24"/>
          <w:szCs w:val="24"/>
          <w:shd w:val="clear" w:color="auto" w:fill="FFFFFF"/>
        </w:rPr>
        <w:t>(0000-0003-3246-9674).</w:t>
      </w:r>
    </w:p>
    <w:bookmarkEnd w:id="17"/>
    <w:p w14:paraId="29699D89" w14:textId="53CD5AB9" w:rsidR="00D3451A" w:rsidRPr="00115F98" w:rsidRDefault="00D3451A" w:rsidP="001C4059">
      <w:pPr>
        <w:spacing w:line="360" w:lineRule="auto"/>
        <w:rPr>
          <w:rFonts w:ascii="Book Antiqua" w:hAnsi="Book Antiqua" w:cs="Times New Roman"/>
          <w:b/>
          <w:color w:val="000000" w:themeColor="text1"/>
          <w:sz w:val="24"/>
          <w:szCs w:val="24"/>
        </w:rPr>
      </w:pPr>
    </w:p>
    <w:p w14:paraId="02AE43C7" w14:textId="1511139B" w:rsidR="006978FD" w:rsidRPr="00115F98" w:rsidRDefault="006978FD" w:rsidP="001C4059">
      <w:pPr>
        <w:spacing w:line="360" w:lineRule="auto"/>
        <w:rPr>
          <w:rFonts w:ascii="Book Antiqua" w:hAnsi="Book Antiqua" w:cs="Times New Roman"/>
          <w:color w:val="000000" w:themeColor="text1"/>
          <w:sz w:val="24"/>
          <w:szCs w:val="24"/>
        </w:rPr>
      </w:pPr>
      <w:r w:rsidRPr="00115F98">
        <w:rPr>
          <w:rFonts w:ascii="Book Antiqua" w:eastAsia="Times New Roman" w:hAnsi="Book Antiqua"/>
          <w:b/>
          <w:color w:val="000000" w:themeColor="text1"/>
          <w:sz w:val="24"/>
          <w:szCs w:val="24"/>
        </w:rPr>
        <w:t>Author contributions:</w:t>
      </w:r>
      <w:r w:rsidRPr="00115F98">
        <w:rPr>
          <w:rFonts w:ascii="Book Antiqua" w:eastAsia="Times New Roman" w:hAnsi="Book Antiqua"/>
          <w:color w:val="000000" w:themeColor="text1"/>
          <w:sz w:val="24"/>
          <w:szCs w:val="24"/>
        </w:rPr>
        <w:t xml:space="preserve"> </w:t>
      </w:r>
      <w:proofErr w:type="spellStart"/>
      <w:r w:rsidRPr="00115F98">
        <w:rPr>
          <w:rFonts w:ascii="Book Antiqua" w:hAnsi="Book Antiqua"/>
          <w:bCs/>
          <w:color w:val="000000" w:themeColor="text1"/>
          <w:sz w:val="24"/>
          <w:szCs w:val="24"/>
          <w:shd w:val="clear" w:color="auto" w:fill="FFFFFF"/>
        </w:rPr>
        <w:t>Tantai</w:t>
      </w:r>
      <w:proofErr w:type="spellEnd"/>
      <w:r w:rsidRPr="00115F98">
        <w:rPr>
          <w:rFonts w:ascii="Book Antiqua" w:hAnsi="Book Antiqua"/>
          <w:bCs/>
          <w:color w:val="000000" w:themeColor="text1"/>
          <w:sz w:val="24"/>
          <w:szCs w:val="24"/>
          <w:shd w:val="clear" w:color="auto" w:fill="FFFFFF"/>
        </w:rPr>
        <w:t xml:space="preserve"> XX, </w:t>
      </w:r>
      <w:r w:rsidRPr="00115F98">
        <w:rPr>
          <w:rFonts w:ascii="Book Antiqua" w:hAnsi="Book Antiqua" w:cs="Times New Roman"/>
          <w:color w:val="000000" w:themeColor="text1"/>
          <w:sz w:val="24"/>
          <w:szCs w:val="24"/>
        </w:rPr>
        <w:t xml:space="preserve">Wang JH, and Liu N contributed to the study concept and design; Yang LB and Wei ZC contributed to the acquisition of data; </w:t>
      </w:r>
      <w:proofErr w:type="spellStart"/>
      <w:r w:rsidRPr="00115F98">
        <w:rPr>
          <w:rFonts w:ascii="Book Antiqua" w:hAnsi="Book Antiqua"/>
          <w:bCs/>
          <w:color w:val="000000" w:themeColor="text1"/>
          <w:sz w:val="24"/>
          <w:szCs w:val="24"/>
          <w:shd w:val="clear" w:color="auto" w:fill="FFFFFF"/>
        </w:rPr>
        <w:t>Tantai</w:t>
      </w:r>
      <w:proofErr w:type="spellEnd"/>
      <w:r w:rsidRPr="00115F98">
        <w:rPr>
          <w:rFonts w:ascii="Book Antiqua" w:hAnsi="Book Antiqua"/>
          <w:bCs/>
          <w:color w:val="000000" w:themeColor="text1"/>
          <w:sz w:val="24"/>
          <w:szCs w:val="24"/>
          <w:shd w:val="clear" w:color="auto" w:fill="FFFFFF"/>
        </w:rPr>
        <w:t xml:space="preserve"> XX, </w:t>
      </w:r>
      <w:r w:rsidRPr="00115F98">
        <w:rPr>
          <w:rFonts w:ascii="Book Antiqua" w:hAnsi="Book Antiqua" w:cs="Times New Roman"/>
          <w:color w:val="000000" w:themeColor="text1"/>
          <w:sz w:val="24"/>
          <w:szCs w:val="24"/>
        </w:rPr>
        <w:t xml:space="preserve">Wang JH, Liu N, Xiao CL, and </w:t>
      </w:r>
      <w:r w:rsidRPr="00115F98">
        <w:rPr>
          <w:rFonts w:ascii="Book Antiqua" w:hAnsi="Book Antiqua"/>
          <w:bCs/>
          <w:color w:val="000000" w:themeColor="text1"/>
          <w:sz w:val="24"/>
          <w:szCs w:val="24"/>
          <w:shd w:val="clear" w:color="auto" w:fill="FFFFFF"/>
        </w:rPr>
        <w:t xml:space="preserve">Chen LR </w:t>
      </w:r>
      <w:r w:rsidRPr="00115F98">
        <w:rPr>
          <w:rFonts w:ascii="Book Antiqua" w:hAnsi="Book Antiqua" w:cs="Times New Roman"/>
          <w:color w:val="000000" w:themeColor="text1"/>
          <w:sz w:val="24"/>
          <w:szCs w:val="24"/>
        </w:rPr>
        <w:t xml:space="preserve">contributed to the analysis and interpretation of data; </w:t>
      </w:r>
      <w:proofErr w:type="spellStart"/>
      <w:r w:rsidR="00043586" w:rsidRPr="00115F98">
        <w:rPr>
          <w:rFonts w:ascii="Book Antiqua" w:hAnsi="Book Antiqua"/>
          <w:bCs/>
          <w:color w:val="000000" w:themeColor="text1"/>
          <w:sz w:val="24"/>
          <w:szCs w:val="24"/>
          <w:shd w:val="clear" w:color="auto" w:fill="FFFFFF"/>
        </w:rPr>
        <w:t>Tantai</w:t>
      </w:r>
      <w:proofErr w:type="spellEnd"/>
      <w:r w:rsidR="00043586" w:rsidRPr="00115F98">
        <w:rPr>
          <w:rFonts w:ascii="Book Antiqua" w:hAnsi="Book Antiqua"/>
          <w:bCs/>
          <w:color w:val="000000" w:themeColor="text1"/>
          <w:sz w:val="24"/>
          <w:szCs w:val="24"/>
          <w:shd w:val="clear" w:color="auto" w:fill="FFFFFF"/>
        </w:rPr>
        <w:t xml:space="preserve"> XX </w:t>
      </w:r>
      <w:r w:rsidR="00043586" w:rsidRPr="00115F98">
        <w:rPr>
          <w:rFonts w:ascii="Book Antiqua" w:hAnsi="Book Antiqua" w:cs="Times New Roman"/>
          <w:color w:val="000000" w:themeColor="text1"/>
          <w:sz w:val="24"/>
          <w:szCs w:val="24"/>
        </w:rPr>
        <w:t xml:space="preserve">contributed to the statistical analysis; </w:t>
      </w:r>
      <w:proofErr w:type="spellStart"/>
      <w:r w:rsidR="00043586" w:rsidRPr="00115F98">
        <w:rPr>
          <w:rFonts w:ascii="Book Antiqua" w:hAnsi="Book Antiqua"/>
          <w:bCs/>
          <w:color w:val="000000" w:themeColor="text1"/>
          <w:sz w:val="24"/>
          <w:szCs w:val="24"/>
          <w:shd w:val="clear" w:color="auto" w:fill="FFFFFF"/>
        </w:rPr>
        <w:t>Tantai</w:t>
      </w:r>
      <w:proofErr w:type="spellEnd"/>
      <w:r w:rsidR="00043586" w:rsidRPr="00115F98">
        <w:rPr>
          <w:rFonts w:ascii="Book Antiqua" w:hAnsi="Book Antiqua"/>
          <w:bCs/>
          <w:color w:val="000000" w:themeColor="text1"/>
          <w:sz w:val="24"/>
          <w:szCs w:val="24"/>
          <w:shd w:val="clear" w:color="auto" w:fill="FFFFFF"/>
        </w:rPr>
        <w:t xml:space="preserve"> XX drafted the manuscript; </w:t>
      </w:r>
      <w:r w:rsidR="00043586" w:rsidRPr="00115F98">
        <w:rPr>
          <w:rFonts w:ascii="Book Antiqua" w:hAnsi="Book Antiqua" w:cs="Times New Roman"/>
          <w:color w:val="000000" w:themeColor="text1"/>
          <w:sz w:val="24"/>
          <w:szCs w:val="24"/>
        </w:rPr>
        <w:t>Wang JH</w:t>
      </w:r>
      <w:r w:rsidR="0026736D">
        <w:rPr>
          <w:rFonts w:ascii="Book Antiqua" w:hAnsi="Book Antiqua" w:cs="Times New Roman"/>
          <w:color w:val="000000" w:themeColor="text1"/>
          <w:sz w:val="24"/>
          <w:szCs w:val="24"/>
        </w:rPr>
        <w:t xml:space="preserve"> </w:t>
      </w:r>
      <w:r w:rsidR="00043586" w:rsidRPr="00115F98">
        <w:rPr>
          <w:rFonts w:ascii="Book Antiqua" w:hAnsi="Book Antiqua" w:cs="Times New Roman"/>
          <w:color w:val="000000" w:themeColor="text1"/>
          <w:sz w:val="24"/>
          <w:szCs w:val="24"/>
        </w:rPr>
        <w:t>and Liu N contributed to the critical revision of the manuscript for important intellectual content, and study supervision</w:t>
      </w:r>
      <w:r w:rsidR="00F46703" w:rsidRPr="00115F98">
        <w:rPr>
          <w:rFonts w:ascii="Book Antiqua" w:hAnsi="Book Antiqua" w:cs="Times New Roman"/>
          <w:color w:val="000000" w:themeColor="text1"/>
          <w:sz w:val="24"/>
          <w:szCs w:val="24"/>
        </w:rPr>
        <w:t>.</w:t>
      </w:r>
    </w:p>
    <w:p w14:paraId="2C619891" w14:textId="3726B0B8" w:rsidR="00F46703" w:rsidRPr="00115F98" w:rsidRDefault="00F46703" w:rsidP="001C4059">
      <w:pPr>
        <w:spacing w:line="360" w:lineRule="auto"/>
        <w:rPr>
          <w:rFonts w:ascii="Book Antiqua" w:hAnsi="Book Antiqua" w:cs="Times New Roman"/>
          <w:color w:val="000000" w:themeColor="text1"/>
          <w:sz w:val="24"/>
          <w:szCs w:val="24"/>
        </w:rPr>
      </w:pPr>
    </w:p>
    <w:p w14:paraId="6256459A" w14:textId="2D943064" w:rsidR="00F46703" w:rsidRPr="00115F98" w:rsidRDefault="00F46703" w:rsidP="001C4059">
      <w:pPr>
        <w:spacing w:line="360" w:lineRule="auto"/>
        <w:rPr>
          <w:rFonts w:ascii="Book Antiqua" w:eastAsia="等线" w:hAnsi="Book Antiqua" w:cs="Times New Roman"/>
          <w:color w:val="000000" w:themeColor="text1"/>
          <w:sz w:val="24"/>
          <w:szCs w:val="24"/>
        </w:rPr>
      </w:pPr>
      <w:r w:rsidRPr="00115F98">
        <w:rPr>
          <w:rFonts w:ascii="Book Antiqua" w:eastAsia="Times New Roman" w:hAnsi="Book Antiqua"/>
          <w:b/>
          <w:color w:val="000000" w:themeColor="text1"/>
          <w:sz w:val="24"/>
          <w:szCs w:val="24"/>
          <w:lang w:val="it-IT"/>
        </w:rPr>
        <w:t>Conflict-of-interest statement</w:t>
      </w:r>
      <w:r w:rsidRPr="00115F98">
        <w:rPr>
          <w:rFonts w:ascii="Book Antiqua" w:eastAsia="Times New Roman" w:hAnsi="Book Antiqua" w:hint="eastAsia"/>
          <w:b/>
          <w:bCs/>
          <w:iCs/>
          <w:color w:val="000000" w:themeColor="text1"/>
          <w:sz w:val="24"/>
          <w:szCs w:val="24"/>
        </w:rPr>
        <w:t>:</w:t>
      </w:r>
      <w:r w:rsidRPr="00115F98">
        <w:rPr>
          <w:rFonts w:ascii="Book Antiqua" w:eastAsia="Times New Roman" w:hAnsi="Book Antiqua"/>
          <w:b/>
          <w:bCs/>
          <w:iCs/>
          <w:color w:val="000000" w:themeColor="text1"/>
          <w:sz w:val="24"/>
          <w:szCs w:val="24"/>
        </w:rPr>
        <w:t xml:space="preserve"> </w:t>
      </w:r>
      <w:r w:rsidRPr="00115F98">
        <w:rPr>
          <w:rFonts w:ascii="Book Antiqua" w:eastAsia="等线" w:hAnsi="Book Antiqua" w:cs="Times New Roman"/>
          <w:color w:val="000000" w:themeColor="text1"/>
          <w:sz w:val="24"/>
          <w:szCs w:val="24"/>
        </w:rPr>
        <w:t xml:space="preserve">The authors have no potential conflicts of interest </w:t>
      </w:r>
      <w:r w:rsidRPr="00115F98">
        <w:rPr>
          <w:rFonts w:ascii="Book Antiqua" w:eastAsia="等线" w:hAnsi="Book Antiqua" w:cs="Times New Roman"/>
          <w:color w:val="000000" w:themeColor="text1"/>
          <w:sz w:val="24"/>
          <w:szCs w:val="24"/>
        </w:rPr>
        <w:lastRenderedPageBreak/>
        <w:t>to disclose.</w:t>
      </w:r>
    </w:p>
    <w:p w14:paraId="2911286C" w14:textId="124884A3" w:rsidR="00F46703" w:rsidRPr="00115F98" w:rsidRDefault="00F46703" w:rsidP="001C4059">
      <w:pPr>
        <w:spacing w:line="360" w:lineRule="auto"/>
        <w:rPr>
          <w:rFonts w:ascii="Book Antiqua" w:eastAsia="等线" w:hAnsi="Book Antiqua" w:cs="Times New Roman"/>
          <w:color w:val="000000" w:themeColor="text1"/>
          <w:sz w:val="24"/>
          <w:szCs w:val="24"/>
        </w:rPr>
      </w:pPr>
    </w:p>
    <w:p w14:paraId="197A9B19" w14:textId="08DD1851" w:rsidR="00085FAE" w:rsidRPr="00115F98" w:rsidRDefault="00F46703" w:rsidP="001C4059">
      <w:pPr>
        <w:spacing w:line="360" w:lineRule="auto"/>
        <w:rPr>
          <w:rStyle w:val="ad"/>
          <w:rFonts w:ascii="Book Antiqua" w:hAnsi="Book Antiqua"/>
          <w:b w:val="0"/>
          <w:color w:val="000000" w:themeColor="text1"/>
          <w:sz w:val="24"/>
          <w:szCs w:val="24"/>
        </w:rPr>
      </w:pPr>
      <w:r w:rsidRPr="00115F98">
        <w:rPr>
          <w:rFonts w:ascii="Book Antiqua" w:eastAsia="等线" w:hAnsi="Book Antiqua" w:cs="Times New Roman"/>
          <w:b/>
          <w:color w:val="000000" w:themeColor="text1"/>
          <w:sz w:val="24"/>
          <w:szCs w:val="24"/>
        </w:rPr>
        <w:t>PRISMA 2009 Checklist</w:t>
      </w:r>
      <w:r w:rsidRPr="00115F98">
        <w:rPr>
          <w:rFonts w:ascii="Book Antiqua" w:eastAsia="等线" w:hAnsi="Book Antiqua" w:cs="Times New Roman" w:hint="eastAsia"/>
          <w:b/>
          <w:color w:val="000000" w:themeColor="text1"/>
          <w:sz w:val="24"/>
          <w:szCs w:val="24"/>
        </w:rPr>
        <w:t xml:space="preserve"> </w:t>
      </w:r>
      <w:r w:rsidRPr="00115F98">
        <w:rPr>
          <w:rFonts w:ascii="Book Antiqua" w:eastAsia="等线" w:hAnsi="Book Antiqua" w:cs="Times New Roman"/>
          <w:b/>
          <w:color w:val="000000" w:themeColor="text1"/>
          <w:sz w:val="24"/>
          <w:szCs w:val="24"/>
          <w:lang w:val="it-IT"/>
        </w:rPr>
        <w:t>statement</w:t>
      </w:r>
      <w:r w:rsidRPr="00115F98">
        <w:rPr>
          <w:rFonts w:ascii="Book Antiqua" w:eastAsia="等线" w:hAnsi="Book Antiqua" w:cs="Times New Roman" w:hint="eastAsia"/>
          <w:b/>
          <w:bCs/>
          <w:iCs/>
          <w:color w:val="000000" w:themeColor="text1"/>
          <w:sz w:val="24"/>
          <w:szCs w:val="24"/>
        </w:rPr>
        <w:t>:</w:t>
      </w:r>
      <w:r w:rsidRPr="00115F98">
        <w:rPr>
          <w:rFonts w:ascii="Book Antiqua" w:eastAsia="等线" w:hAnsi="Book Antiqua" w:cs="Times New Roman"/>
          <w:b/>
          <w:bCs/>
          <w:iCs/>
          <w:color w:val="000000" w:themeColor="text1"/>
          <w:sz w:val="24"/>
          <w:szCs w:val="24"/>
        </w:rPr>
        <w:t xml:space="preserve"> </w:t>
      </w:r>
      <w:r w:rsidR="00085FAE" w:rsidRPr="00115F98">
        <w:rPr>
          <w:rStyle w:val="ad"/>
          <w:rFonts w:ascii="Book Antiqua" w:hAnsi="Book Antiqua"/>
          <w:b w:val="0"/>
          <w:color w:val="000000" w:themeColor="text1"/>
          <w:sz w:val="24"/>
          <w:szCs w:val="24"/>
        </w:rPr>
        <w:t>The authors have read the PRISMA 2009 Checklist, and the manuscript was prepared and revised according to the PRISMA 2009 Checklist.</w:t>
      </w:r>
    </w:p>
    <w:p w14:paraId="24FA8D08" w14:textId="3B0128D3" w:rsidR="00F46703" w:rsidRPr="00115F98" w:rsidRDefault="00F46703" w:rsidP="001C4059">
      <w:pPr>
        <w:spacing w:line="360" w:lineRule="auto"/>
        <w:rPr>
          <w:rStyle w:val="ad"/>
          <w:rFonts w:ascii="Book Antiqua" w:hAnsi="Book Antiqua"/>
          <w:b w:val="0"/>
          <w:color w:val="000000" w:themeColor="text1"/>
          <w:sz w:val="24"/>
          <w:szCs w:val="24"/>
        </w:rPr>
      </w:pPr>
    </w:p>
    <w:p w14:paraId="2962E905" w14:textId="77777777" w:rsidR="00F46703" w:rsidRPr="00115F98" w:rsidRDefault="00F46703" w:rsidP="00F46703">
      <w:pPr>
        <w:widowControl/>
        <w:spacing w:line="360" w:lineRule="auto"/>
        <w:rPr>
          <w:rFonts w:ascii="Book Antiqua" w:eastAsia="MS Mincho" w:hAnsi="Book Antiqua" w:cs="Times New Roman"/>
          <w:b/>
          <w:color w:val="000000" w:themeColor="text1"/>
          <w:kern w:val="0"/>
          <w:sz w:val="24"/>
          <w:szCs w:val="24"/>
          <w:lang w:eastAsia="it-IT"/>
        </w:rPr>
      </w:pPr>
      <w:r w:rsidRPr="00115F98">
        <w:rPr>
          <w:rFonts w:ascii="Book Antiqua" w:eastAsia="MS Mincho" w:hAnsi="Book Antiqua" w:cs="Times New Roman"/>
          <w:b/>
          <w:color w:val="000000" w:themeColor="text1"/>
          <w:kern w:val="0"/>
          <w:sz w:val="24"/>
          <w:szCs w:val="24"/>
          <w:lang w:eastAsia="it-IT"/>
        </w:rPr>
        <w:t xml:space="preserve">Open-Access: </w:t>
      </w:r>
      <w:r w:rsidRPr="00115F98">
        <w:rPr>
          <w:rFonts w:ascii="Book Antiqua" w:eastAsia="MS Mincho" w:hAnsi="Book Antiqua" w:cs="Times New Roman"/>
          <w:color w:val="000000" w:themeColor="text1"/>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87F3FB" w14:textId="44519BC9" w:rsidR="00F46703" w:rsidRPr="00115F98" w:rsidRDefault="00F46703" w:rsidP="001C4059">
      <w:pPr>
        <w:spacing w:line="360" w:lineRule="auto"/>
        <w:rPr>
          <w:rStyle w:val="ad"/>
          <w:rFonts w:ascii="Book Antiqua" w:eastAsia="等线" w:hAnsi="Book Antiqua" w:cs="Times New Roman"/>
          <w:b w:val="0"/>
          <w:bCs w:val="0"/>
          <w:color w:val="000000" w:themeColor="text1"/>
          <w:sz w:val="24"/>
          <w:szCs w:val="24"/>
        </w:rPr>
      </w:pPr>
    </w:p>
    <w:p w14:paraId="09D252CD" w14:textId="03AFC4DB" w:rsidR="00F46703" w:rsidRPr="00115F98" w:rsidRDefault="00F46703" w:rsidP="001C4059">
      <w:pPr>
        <w:spacing w:line="360" w:lineRule="auto"/>
        <w:rPr>
          <w:rStyle w:val="ad"/>
          <w:rFonts w:ascii="Book Antiqua" w:eastAsia="等线" w:hAnsi="Book Antiqua" w:cs="Times New Roman"/>
          <w:b w:val="0"/>
          <w:bCs w:val="0"/>
          <w:color w:val="000000" w:themeColor="text1"/>
          <w:sz w:val="24"/>
          <w:szCs w:val="24"/>
        </w:rPr>
      </w:pPr>
      <w:r w:rsidRPr="00115F98">
        <w:rPr>
          <w:rStyle w:val="ad"/>
          <w:rFonts w:ascii="Book Antiqua" w:eastAsia="等线" w:hAnsi="Book Antiqua" w:cs="Times New Roman"/>
          <w:bCs w:val="0"/>
          <w:color w:val="000000" w:themeColor="text1"/>
          <w:sz w:val="24"/>
          <w:szCs w:val="24"/>
        </w:rPr>
        <w:t>Manuscript source:</w:t>
      </w:r>
      <w:r w:rsidRPr="00115F98">
        <w:rPr>
          <w:rStyle w:val="ad"/>
          <w:rFonts w:ascii="Book Antiqua" w:eastAsia="等线" w:hAnsi="Book Antiqua" w:cs="Times New Roman"/>
          <w:b w:val="0"/>
          <w:bCs w:val="0"/>
          <w:color w:val="000000" w:themeColor="text1"/>
          <w:sz w:val="24"/>
          <w:szCs w:val="24"/>
        </w:rPr>
        <w:t xml:space="preserve"> Unsolicited manuscript</w:t>
      </w:r>
    </w:p>
    <w:p w14:paraId="4F1AED3A" w14:textId="77777777" w:rsidR="00D3451A" w:rsidRPr="00115F98" w:rsidRDefault="00D3451A" w:rsidP="001C4059">
      <w:pPr>
        <w:spacing w:line="360" w:lineRule="auto"/>
        <w:rPr>
          <w:rFonts w:ascii="Book Antiqua" w:hAnsi="Book Antiqua" w:cs="Times New Roman"/>
          <w:b/>
          <w:color w:val="000000" w:themeColor="text1"/>
          <w:sz w:val="24"/>
          <w:szCs w:val="24"/>
        </w:rPr>
      </w:pPr>
    </w:p>
    <w:p w14:paraId="4EE667D5" w14:textId="4B29DE13" w:rsidR="002878A3" w:rsidRPr="00115F98" w:rsidRDefault="00F46703" w:rsidP="001C4059">
      <w:pPr>
        <w:spacing w:line="360" w:lineRule="auto"/>
        <w:rPr>
          <w:rFonts w:ascii="Book Antiqua" w:hAnsi="Book Antiqua" w:cs="Times New Roman"/>
          <w:color w:val="000000" w:themeColor="text1"/>
          <w:sz w:val="24"/>
          <w:szCs w:val="24"/>
        </w:rPr>
      </w:pPr>
      <w:bookmarkStart w:id="18" w:name="OLE_LINK535"/>
      <w:bookmarkStart w:id="19" w:name="OLE_LINK536"/>
      <w:r w:rsidRPr="00115F98">
        <w:rPr>
          <w:rFonts w:ascii="Book Antiqua" w:hAnsi="Book Antiqua"/>
          <w:b/>
          <w:color w:val="000000" w:themeColor="text1"/>
          <w:sz w:val="24"/>
          <w:szCs w:val="24"/>
        </w:rPr>
        <w:t>Corresponding author:</w:t>
      </w:r>
      <w:bookmarkEnd w:id="18"/>
      <w:bookmarkEnd w:id="19"/>
      <w:r w:rsidRPr="00115F98">
        <w:rPr>
          <w:rFonts w:ascii="Book Antiqua" w:eastAsia="宋体" w:hAnsi="Book Antiqua" w:hint="eastAsia"/>
          <w:b/>
          <w:color w:val="000000" w:themeColor="text1"/>
        </w:rPr>
        <w:t xml:space="preserve"> </w:t>
      </w:r>
      <w:r w:rsidR="002878A3" w:rsidRPr="00115F98">
        <w:rPr>
          <w:rFonts w:ascii="Book Antiqua" w:hAnsi="Book Antiqua" w:cs="Times New Roman"/>
          <w:b/>
          <w:color w:val="000000" w:themeColor="text1"/>
          <w:sz w:val="24"/>
          <w:szCs w:val="24"/>
        </w:rPr>
        <w:t>Na Liu,</w:t>
      </w:r>
      <w:r w:rsidR="002878A3" w:rsidRPr="00115F98">
        <w:rPr>
          <w:rFonts w:ascii="Book Antiqua" w:hAnsi="Book Antiqua" w:cs="Times New Roman"/>
          <w:color w:val="000000" w:themeColor="text1"/>
          <w:sz w:val="24"/>
          <w:szCs w:val="24"/>
        </w:rPr>
        <w:t xml:space="preserve"> </w:t>
      </w:r>
      <w:r w:rsidRPr="00115F98">
        <w:rPr>
          <w:rFonts w:ascii="Book Antiqua" w:hAnsi="Book Antiqua" w:cs="Times New Roman"/>
          <w:b/>
          <w:color w:val="000000" w:themeColor="text1"/>
          <w:sz w:val="24"/>
          <w:szCs w:val="24"/>
        </w:rPr>
        <w:t>PhD, Doctor,</w:t>
      </w:r>
      <w:r w:rsidRPr="00115F98">
        <w:rPr>
          <w:rFonts w:ascii="Book Antiqua" w:hAnsi="Book Antiqua" w:cs="Times New Roman"/>
          <w:color w:val="000000" w:themeColor="text1"/>
          <w:sz w:val="24"/>
          <w:szCs w:val="24"/>
        </w:rPr>
        <w:t xml:space="preserve"> </w:t>
      </w:r>
      <w:bookmarkStart w:id="20" w:name="OLE_LINK5"/>
      <w:bookmarkStart w:id="21" w:name="OLE_LINK6"/>
      <w:r w:rsidR="004D14F0" w:rsidRPr="00115F98">
        <w:rPr>
          <w:rFonts w:ascii="Book Antiqua" w:hAnsi="Book Antiqua" w:cs="Times New Roman"/>
          <w:color w:val="000000" w:themeColor="text1"/>
          <w:sz w:val="24"/>
          <w:szCs w:val="24"/>
        </w:rPr>
        <w:t>Division of Gastroenterology</w:t>
      </w:r>
      <w:bookmarkEnd w:id="20"/>
      <w:bookmarkEnd w:id="21"/>
      <w:r w:rsidR="004D14F0" w:rsidRPr="00115F98">
        <w:rPr>
          <w:rFonts w:ascii="Book Antiqua" w:hAnsi="Book Antiqua" w:cs="Times New Roman"/>
          <w:color w:val="000000" w:themeColor="text1"/>
          <w:sz w:val="24"/>
          <w:szCs w:val="24"/>
        </w:rPr>
        <w:t xml:space="preserve">, </w:t>
      </w:r>
      <w:bookmarkStart w:id="22" w:name="OLE_LINK7"/>
      <w:r w:rsidR="004D14F0" w:rsidRPr="00115F98">
        <w:rPr>
          <w:rFonts w:ascii="Book Antiqua" w:hAnsi="Book Antiqua" w:cs="Times New Roman"/>
          <w:color w:val="000000" w:themeColor="text1"/>
          <w:sz w:val="24"/>
          <w:szCs w:val="24"/>
        </w:rPr>
        <w:t xml:space="preserve">The Second Affiliated Hospital, Xi’an </w:t>
      </w:r>
      <w:proofErr w:type="spellStart"/>
      <w:r w:rsidR="004D14F0" w:rsidRPr="00115F98">
        <w:rPr>
          <w:rFonts w:ascii="Book Antiqua" w:hAnsi="Book Antiqua" w:cs="Times New Roman"/>
          <w:color w:val="000000" w:themeColor="text1"/>
          <w:sz w:val="24"/>
          <w:szCs w:val="24"/>
        </w:rPr>
        <w:t>Jiaotong</w:t>
      </w:r>
      <w:proofErr w:type="spellEnd"/>
      <w:r w:rsidR="004D14F0" w:rsidRPr="00115F98">
        <w:rPr>
          <w:rFonts w:ascii="Book Antiqua" w:hAnsi="Book Antiqua" w:cs="Times New Roman"/>
          <w:color w:val="000000" w:themeColor="text1"/>
          <w:sz w:val="24"/>
          <w:szCs w:val="24"/>
        </w:rPr>
        <w:t xml:space="preserve"> University</w:t>
      </w:r>
      <w:bookmarkEnd w:id="22"/>
      <w:r w:rsidR="004D14F0" w:rsidRPr="00115F98">
        <w:rPr>
          <w:rFonts w:ascii="Book Antiqua" w:hAnsi="Book Antiqua" w:cs="Times New Roman"/>
          <w:color w:val="000000" w:themeColor="text1"/>
          <w:sz w:val="24"/>
          <w:szCs w:val="24"/>
        </w:rPr>
        <w:t xml:space="preserve">, </w:t>
      </w:r>
      <w:bookmarkStart w:id="23" w:name="OLE_LINK8"/>
      <w:bookmarkStart w:id="24" w:name="OLE_LINK9"/>
      <w:r w:rsidR="002878A3" w:rsidRPr="00115F98">
        <w:rPr>
          <w:rFonts w:ascii="Book Antiqua" w:hAnsi="Book Antiqua" w:cs="Times New Roman"/>
          <w:color w:val="000000" w:themeColor="text1"/>
          <w:sz w:val="24"/>
          <w:szCs w:val="24"/>
        </w:rPr>
        <w:t xml:space="preserve">No. 157, </w:t>
      </w:r>
      <w:proofErr w:type="spellStart"/>
      <w:r w:rsidR="002878A3" w:rsidRPr="00115F98">
        <w:rPr>
          <w:rFonts w:ascii="Book Antiqua" w:hAnsi="Book Antiqua" w:cs="Times New Roman"/>
          <w:color w:val="000000" w:themeColor="text1"/>
          <w:sz w:val="24"/>
          <w:szCs w:val="24"/>
        </w:rPr>
        <w:t>Xi</w:t>
      </w:r>
      <w:r w:rsidR="0026736D">
        <w:rPr>
          <w:rFonts w:ascii="Book Antiqua" w:hAnsi="Book Antiqua" w:cs="Times New Roman"/>
          <w:color w:val="000000" w:themeColor="text1"/>
          <w:sz w:val="24"/>
          <w:szCs w:val="24"/>
        </w:rPr>
        <w:t>w</w:t>
      </w:r>
      <w:r w:rsidR="002878A3" w:rsidRPr="00115F98">
        <w:rPr>
          <w:rFonts w:ascii="Book Antiqua" w:hAnsi="Book Antiqua" w:cs="Times New Roman"/>
          <w:color w:val="000000" w:themeColor="text1"/>
          <w:sz w:val="24"/>
          <w:szCs w:val="24"/>
        </w:rPr>
        <w:t>u</w:t>
      </w:r>
      <w:proofErr w:type="spellEnd"/>
      <w:r w:rsidR="002878A3" w:rsidRPr="00115F98">
        <w:rPr>
          <w:rFonts w:ascii="Book Antiqua" w:hAnsi="Book Antiqua" w:cs="Times New Roman"/>
          <w:color w:val="000000" w:themeColor="text1"/>
          <w:sz w:val="24"/>
          <w:szCs w:val="24"/>
        </w:rPr>
        <w:t xml:space="preserve"> Road</w:t>
      </w:r>
      <w:bookmarkEnd w:id="23"/>
      <w:bookmarkEnd w:id="24"/>
      <w:r w:rsidR="002878A3" w:rsidRPr="00115F98">
        <w:rPr>
          <w:rFonts w:ascii="Book Antiqua" w:hAnsi="Book Antiqua" w:cs="Times New Roman"/>
          <w:color w:val="000000" w:themeColor="text1"/>
          <w:sz w:val="24"/>
          <w:szCs w:val="24"/>
        </w:rPr>
        <w:t xml:space="preserve">, </w:t>
      </w:r>
      <w:bookmarkStart w:id="25" w:name="OLE_LINK10"/>
      <w:r w:rsidR="002878A3" w:rsidRPr="00115F98">
        <w:rPr>
          <w:rFonts w:ascii="Book Antiqua" w:hAnsi="Book Antiqua" w:cs="Times New Roman"/>
          <w:color w:val="000000" w:themeColor="text1"/>
          <w:sz w:val="24"/>
          <w:szCs w:val="24"/>
        </w:rPr>
        <w:t>Xi’an</w:t>
      </w:r>
      <w:bookmarkEnd w:id="25"/>
      <w:r w:rsidR="002878A3" w:rsidRPr="00115F98">
        <w:rPr>
          <w:rFonts w:ascii="Book Antiqua" w:hAnsi="Book Antiqua" w:cs="Times New Roman"/>
          <w:color w:val="000000" w:themeColor="text1"/>
          <w:sz w:val="24"/>
          <w:szCs w:val="24"/>
        </w:rPr>
        <w:t>, Shaanxi</w:t>
      </w:r>
      <w:r w:rsidR="004D14F0" w:rsidRPr="00115F98">
        <w:rPr>
          <w:rFonts w:ascii="Book Antiqua" w:hAnsi="Book Antiqua" w:cs="Times New Roman"/>
          <w:color w:val="000000" w:themeColor="text1"/>
          <w:sz w:val="24"/>
          <w:szCs w:val="24"/>
        </w:rPr>
        <w:t xml:space="preserve"> Province</w:t>
      </w:r>
      <w:r w:rsidR="002878A3" w:rsidRPr="00115F98">
        <w:rPr>
          <w:rFonts w:ascii="Book Antiqua" w:hAnsi="Book Antiqua" w:cs="Times New Roman"/>
          <w:color w:val="000000" w:themeColor="text1"/>
          <w:sz w:val="24"/>
          <w:szCs w:val="24"/>
        </w:rPr>
        <w:t>, China</w:t>
      </w:r>
      <w:r w:rsidR="004D14F0" w:rsidRPr="00115F98">
        <w:rPr>
          <w:rFonts w:ascii="Book Antiqua" w:hAnsi="Book Antiqua" w:cs="Times New Roman"/>
          <w:color w:val="000000" w:themeColor="text1"/>
          <w:sz w:val="24"/>
          <w:szCs w:val="24"/>
        </w:rPr>
        <w:t>. liunafmmu@163.com</w:t>
      </w:r>
    </w:p>
    <w:p w14:paraId="075A85B0" w14:textId="1C7B4307" w:rsidR="00AC4B2F" w:rsidRPr="00115F98" w:rsidRDefault="00AC4B2F"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b/>
          <w:color w:val="000000" w:themeColor="text1"/>
          <w:sz w:val="24"/>
          <w:szCs w:val="24"/>
        </w:rPr>
        <w:t>Telephone:</w:t>
      </w:r>
      <w:r w:rsidRPr="00115F98">
        <w:rPr>
          <w:rFonts w:ascii="Book Antiqua" w:hAnsi="Book Antiqua" w:cs="Times New Roman"/>
          <w:color w:val="000000" w:themeColor="text1"/>
          <w:sz w:val="24"/>
          <w:szCs w:val="24"/>
        </w:rPr>
        <w:t xml:space="preserve"> +86-29-8767</w:t>
      </w:r>
      <w:r w:rsidR="004D14F0" w:rsidRPr="00115F98">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9335</w:t>
      </w:r>
    </w:p>
    <w:p w14:paraId="0368295D" w14:textId="3FC721A9" w:rsidR="00AC4B2F" w:rsidRPr="00115F98" w:rsidRDefault="00AC4B2F"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b/>
          <w:color w:val="000000" w:themeColor="text1"/>
          <w:sz w:val="24"/>
          <w:szCs w:val="24"/>
        </w:rPr>
        <w:t>Fax:</w:t>
      </w:r>
      <w:r w:rsidRPr="00115F98">
        <w:rPr>
          <w:rFonts w:ascii="Book Antiqua" w:hAnsi="Book Antiqua" w:cs="Times New Roman"/>
          <w:color w:val="000000" w:themeColor="text1"/>
          <w:sz w:val="24"/>
          <w:szCs w:val="24"/>
        </w:rPr>
        <w:t xml:space="preserve"> +86-29-8767</w:t>
      </w:r>
      <w:r w:rsidR="004D14F0" w:rsidRPr="00115F98">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9368</w:t>
      </w:r>
    </w:p>
    <w:p w14:paraId="3680B0DC" w14:textId="77777777" w:rsidR="002878A3" w:rsidRPr="00115F98" w:rsidRDefault="002878A3" w:rsidP="001C4059">
      <w:pPr>
        <w:spacing w:line="360" w:lineRule="auto"/>
        <w:rPr>
          <w:rFonts w:ascii="Book Antiqua" w:hAnsi="Book Antiqua" w:cs="Times New Roman"/>
          <w:b/>
          <w:color w:val="000000" w:themeColor="text1"/>
          <w:sz w:val="24"/>
          <w:szCs w:val="24"/>
        </w:rPr>
      </w:pPr>
      <w:bookmarkStart w:id="26" w:name="OLE_LINK82"/>
    </w:p>
    <w:p w14:paraId="49E1F5B3" w14:textId="766700B5" w:rsidR="004D14F0" w:rsidRPr="00115F98" w:rsidRDefault="004D14F0" w:rsidP="004D14F0">
      <w:pPr>
        <w:spacing w:line="360" w:lineRule="auto"/>
        <w:rPr>
          <w:rFonts w:ascii="Book Antiqua" w:eastAsia="宋体" w:hAnsi="Book Antiqua" w:cs="Times New Roman"/>
          <w:b/>
          <w:color w:val="000000" w:themeColor="text1"/>
          <w:sz w:val="24"/>
          <w:szCs w:val="24"/>
        </w:rPr>
      </w:pPr>
      <w:bookmarkStart w:id="27" w:name="OLE_LINK75"/>
      <w:bookmarkStart w:id="28" w:name="OLE_LINK76"/>
      <w:bookmarkStart w:id="29" w:name="OLE_LINK269"/>
      <w:bookmarkStart w:id="30" w:name="OLE_LINK239"/>
      <w:r w:rsidRPr="00115F98">
        <w:rPr>
          <w:rFonts w:ascii="Book Antiqua" w:eastAsia="宋体" w:hAnsi="Book Antiqua" w:cs="Times New Roman"/>
          <w:b/>
          <w:color w:val="000000" w:themeColor="text1"/>
          <w:sz w:val="24"/>
          <w:szCs w:val="24"/>
        </w:rPr>
        <w:t xml:space="preserve">Received: </w:t>
      </w:r>
      <w:r w:rsidRPr="00115F98">
        <w:rPr>
          <w:rFonts w:ascii="Book Antiqua" w:eastAsia="宋体" w:hAnsi="Book Antiqua" w:cs="Times New Roman"/>
          <w:color w:val="000000" w:themeColor="text1"/>
          <w:sz w:val="24"/>
          <w:szCs w:val="24"/>
        </w:rPr>
        <w:t>March 12, 2019</w:t>
      </w:r>
    </w:p>
    <w:p w14:paraId="7C9BB9A0" w14:textId="7485F38E" w:rsidR="004D14F0" w:rsidRPr="00115F98" w:rsidRDefault="004D14F0" w:rsidP="004D14F0">
      <w:pPr>
        <w:spacing w:line="360" w:lineRule="auto"/>
        <w:rPr>
          <w:rFonts w:ascii="Book Antiqua" w:eastAsia="宋体" w:hAnsi="Book Antiqua" w:cs="Times New Roman"/>
          <w:b/>
          <w:color w:val="000000" w:themeColor="text1"/>
          <w:sz w:val="24"/>
          <w:szCs w:val="24"/>
        </w:rPr>
      </w:pPr>
      <w:r w:rsidRPr="00115F98">
        <w:rPr>
          <w:rFonts w:ascii="Book Antiqua" w:eastAsia="宋体" w:hAnsi="Book Antiqua" w:cs="Times New Roman"/>
          <w:b/>
          <w:color w:val="000000" w:themeColor="text1"/>
          <w:sz w:val="24"/>
          <w:szCs w:val="24"/>
        </w:rPr>
        <w:t xml:space="preserve">Peer-review started: </w:t>
      </w:r>
      <w:r w:rsidRPr="00115F98">
        <w:rPr>
          <w:rFonts w:ascii="Book Antiqua" w:eastAsia="宋体" w:hAnsi="Book Antiqua" w:cs="Times New Roman"/>
          <w:color w:val="000000" w:themeColor="text1"/>
          <w:sz w:val="24"/>
          <w:szCs w:val="24"/>
        </w:rPr>
        <w:t>March 13, 2019</w:t>
      </w:r>
    </w:p>
    <w:p w14:paraId="7D2D3B03" w14:textId="57553EAB" w:rsidR="004D14F0" w:rsidRPr="00115F98" w:rsidRDefault="004D14F0" w:rsidP="004D14F0">
      <w:pPr>
        <w:spacing w:line="360" w:lineRule="auto"/>
        <w:rPr>
          <w:rFonts w:ascii="Book Antiqua" w:eastAsia="宋体" w:hAnsi="Book Antiqua" w:cs="Times New Roman"/>
          <w:b/>
          <w:color w:val="000000" w:themeColor="text1"/>
          <w:sz w:val="24"/>
          <w:szCs w:val="24"/>
        </w:rPr>
      </w:pPr>
      <w:r w:rsidRPr="00115F98">
        <w:rPr>
          <w:rFonts w:ascii="Book Antiqua" w:eastAsia="宋体" w:hAnsi="Book Antiqua" w:cs="Times New Roman"/>
          <w:b/>
          <w:color w:val="000000" w:themeColor="text1"/>
          <w:sz w:val="24"/>
          <w:szCs w:val="24"/>
        </w:rPr>
        <w:t xml:space="preserve">First decision: </w:t>
      </w:r>
      <w:r w:rsidRPr="00115F98">
        <w:rPr>
          <w:rFonts w:ascii="Book Antiqua" w:eastAsia="宋体" w:hAnsi="Book Antiqua" w:cs="Times New Roman"/>
          <w:color w:val="000000" w:themeColor="text1"/>
          <w:sz w:val="24"/>
          <w:szCs w:val="24"/>
        </w:rPr>
        <w:t>April 11, 2019</w:t>
      </w:r>
    </w:p>
    <w:p w14:paraId="4B3DE716" w14:textId="75DDD12C" w:rsidR="004D14F0" w:rsidRPr="00115F98" w:rsidRDefault="004D14F0" w:rsidP="004D14F0">
      <w:pPr>
        <w:spacing w:line="360" w:lineRule="auto"/>
        <w:rPr>
          <w:rFonts w:ascii="Book Antiqua" w:eastAsia="宋体" w:hAnsi="Book Antiqua" w:cs="Times New Roman"/>
          <w:b/>
          <w:color w:val="000000" w:themeColor="text1"/>
          <w:sz w:val="24"/>
          <w:szCs w:val="24"/>
        </w:rPr>
      </w:pPr>
      <w:r w:rsidRPr="00115F98">
        <w:rPr>
          <w:rFonts w:ascii="Book Antiqua" w:eastAsia="宋体" w:hAnsi="Book Antiqua" w:cs="Times New Roman"/>
          <w:b/>
          <w:color w:val="000000" w:themeColor="text1"/>
          <w:sz w:val="24"/>
          <w:szCs w:val="24"/>
        </w:rPr>
        <w:t xml:space="preserve">Revised: </w:t>
      </w:r>
      <w:r w:rsidRPr="00115F98">
        <w:rPr>
          <w:rFonts w:ascii="Book Antiqua" w:eastAsia="宋体" w:hAnsi="Book Antiqua" w:cs="Times New Roman"/>
          <w:color w:val="000000" w:themeColor="text1"/>
          <w:sz w:val="24"/>
          <w:szCs w:val="24"/>
        </w:rPr>
        <w:t>April 21, 2019</w:t>
      </w:r>
    </w:p>
    <w:p w14:paraId="20D720B8" w14:textId="0F368054" w:rsidR="004D14F0" w:rsidRPr="00115F98" w:rsidRDefault="004D14F0" w:rsidP="004D14F0">
      <w:pPr>
        <w:spacing w:line="360" w:lineRule="auto"/>
        <w:rPr>
          <w:rFonts w:ascii="Book Antiqua" w:eastAsia="宋体" w:hAnsi="Book Antiqua" w:cs="Times New Roman"/>
          <w:color w:val="000000" w:themeColor="text1"/>
          <w:sz w:val="24"/>
          <w:szCs w:val="24"/>
        </w:rPr>
      </w:pPr>
      <w:r w:rsidRPr="00115F98">
        <w:rPr>
          <w:rFonts w:ascii="Book Antiqua" w:eastAsia="宋体" w:hAnsi="Book Antiqua" w:cs="Times New Roman"/>
          <w:b/>
          <w:color w:val="000000" w:themeColor="text1"/>
          <w:sz w:val="24"/>
          <w:szCs w:val="24"/>
        </w:rPr>
        <w:t>Accepted:</w:t>
      </w:r>
      <w:r w:rsidR="002A64CA" w:rsidRPr="002A64CA">
        <w:t xml:space="preserve"> </w:t>
      </w:r>
      <w:r w:rsidR="002A64CA" w:rsidRPr="002A64CA">
        <w:rPr>
          <w:rFonts w:ascii="Book Antiqua" w:eastAsia="宋体" w:hAnsi="Book Antiqua" w:cs="Times New Roman"/>
          <w:color w:val="000000" w:themeColor="text1"/>
          <w:sz w:val="24"/>
          <w:szCs w:val="24"/>
        </w:rPr>
        <w:t>May 3, 2019</w:t>
      </w:r>
      <w:r w:rsidRPr="00115F98">
        <w:rPr>
          <w:rFonts w:ascii="Book Antiqua" w:eastAsia="宋体" w:hAnsi="Book Antiqua" w:cs="Times New Roman"/>
          <w:b/>
          <w:color w:val="000000" w:themeColor="text1"/>
          <w:sz w:val="24"/>
          <w:szCs w:val="24"/>
        </w:rPr>
        <w:t xml:space="preserve"> </w:t>
      </w:r>
    </w:p>
    <w:p w14:paraId="780EF1A1" w14:textId="77777777" w:rsidR="004D14F0" w:rsidRPr="00115F98" w:rsidRDefault="004D14F0" w:rsidP="004D14F0">
      <w:pPr>
        <w:spacing w:line="360" w:lineRule="auto"/>
        <w:rPr>
          <w:rFonts w:ascii="Book Antiqua" w:eastAsia="宋体" w:hAnsi="Book Antiqua" w:cs="Times New Roman"/>
          <w:b/>
          <w:color w:val="000000" w:themeColor="text1"/>
          <w:sz w:val="24"/>
          <w:szCs w:val="24"/>
        </w:rPr>
      </w:pPr>
      <w:r w:rsidRPr="00115F98">
        <w:rPr>
          <w:rFonts w:ascii="Book Antiqua" w:eastAsia="宋体" w:hAnsi="Book Antiqua" w:cs="Times New Roman"/>
          <w:b/>
          <w:color w:val="000000" w:themeColor="text1"/>
          <w:sz w:val="24"/>
          <w:szCs w:val="24"/>
        </w:rPr>
        <w:t>Article in press:</w:t>
      </w:r>
    </w:p>
    <w:p w14:paraId="7058B5EE" w14:textId="77777777" w:rsidR="004D14F0" w:rsidRPr="00115F98" w:rsidRDefault="004D14F0" w:rsidP="004D14F0">
      <w:pPr>
        <w:spacing w:line="360" w:lineRule="auto"/>
        <w:rPr>
          <w:rFonts w:ascii="Book Antiqua" w:eastAsia="宋体" w:hAnsi="Book Antiqua" w:cs="Times New Roman"/>
          <w:b/>
          <w:color w:val="000000" w:themeColor="text1"/>
          <w:sz w:val="24"/>
          <w:szCs w:val="24"/>
        </w:rPr>
      </w:pPr>
      <w:r w:rsidRPr="00115F98">
        <w:rPr>
          <w:rFonts w:ascii="Book Antiqua" w:eastAsia="宋体" w:hAnsi="Book Antiqua" w:cs="Times New Roman"/>
          <w:b/>
          <w:color w:val="000000" w:themeColor="text1"/>
          <w:sz w:val="24"/>
          <w:szCs w:val="24"/>
        </w:rPr>
        <w:t>Published online:</w:t>
      </w:r>
    </w:p>
    <w:bookmarkEnd w:id="27"/>
    <w:bookmarkEnd w:id="28"/>
    <w:bookmarkEnd w:id="29"/>
    <w:bookmarkEnd w:id="30"/>
    <w:p w14:paraId="1D20E66A" w14:textId="77777777" w:rsidR="002878A3" w:rsidRPr="00115F98" w:rsidRDefault="002878A3"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color w:val="000000" w:themeColor="text1"/>
          <w:sz w:val="24"/>
          <w:szCs w:val="24"/>
        </w:rPr>
        <w:lastRenderedPageBreak/>
        <w:t>Abstract</w:t>
      </w:r>
    </w:p>
    <w:p w14:paraId="5844BA90" w14:textId="19842519" w:rsidR="00290F92" w:rsidRPr="00115F98" w:rsidRDefault="00290F92" w:rsidP="001C4059">
      <w:pPr>
        <w:spacing w:line="360" w:lineRule="auto"/>
        <w:rPr>
          <w:rFonts w:ascii="Book Antiqua" w:hAnsi="Book Antiqua" w:cs="Times New Roman"/>
          <w:b/>
          <w:i/>
          <w:color w:val="000000" w:themeColor="text1"/>
          <w:sz w:val="24"/>
          <w:szCs w:val="24"/>
        </w:rPr>
      </w:pPr>
      <w:r w:rsidRPr="00115F98">
        <w:rPr>
          <w:rFonts w:ascii="Book Antiqua" w:hAnsi="Book Antiqua" w:cs="Times New Roman"/>
          <w:b/>
          <w:i/>
          <w:color w:val="000000" w:themeColor="text1"/>
          <w:sz w:val="24"/>
          <w:szCs w:val="24"/>
        </w:rPr>
        <w:t>BACKGROUND</w:t>
      </w:r>
    </w:p>
    <w:p w14:paraId="6E5E16E4" w14:textId="1CC37DC5" w:rsidR="00B905B3" w:rsidRPr="00115F98" w:rsidRDefault="00290F92"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 xml:space="preserve">Several studies have explored the association between the use of proton pump inhibitors (PPIs) and the risk of developing hepatic encephalopathy (HE) in patients with advanced liver disease. However, the </w:t>
      </w:r>
      <w:r w:rsidRPr="00E10932">
        <w:rPr>
          <w:rFonts w:ascii="Book Antiqua" w:hAnsi="Book Antiqua" w:cs="Times New Roman"/>
          <w:sz w:val="24"/>
          <w:szCs w:val="24"/>
        </w:rPr>
        <w:t>evidence</w:t>
      </w:r>
      <w:r w:rsidR="00B21FE9" w:rsidRPr="00E10932">
        <w:rPr>
          <w:rFonts w:ascii="Book Antiqua" w:hAnsi="Book Antiqua" w:cs="Times New Roman"/>
          <w:sz w:val="24"/>
          <w:szCs w:val="24"/>
        </w:rPr>
        <w:t>-</w:t>
      </w:r>
      <w:r w:rsidRPr="00E10932">
        <w:rPr>
          <w:rFonts w:ascii="Book Antiqua" w:hAnsi="Book Antiqua" w:cs="Times New Roman"/>
          <w:sz w:val="24"/>
          <w:szCs w:val="24"/>
        </w:rPr>
        <w:t xml:space="preserve">based </w:t>
      </w:r>
      <w:r w:rsidRPr="00115F98">
        <w:rPr>
          <w:rFonts w:ascii="Book Antiqua" w:hAnsi="Book Antiqua" w:cs="Times New Roman"/>
          <w:color w:val="000000" w:themeColor="text1"/>
          <w:sz w:val="24"/>
          <w:szCs w:val="24"/>
        </w:rPr>
        <w:t>conclusions are controversial.</w:t>
      </w:r>
      <w:r w:rsidR="00CF68BF" w:rsidRPr="00115F98">
        <w:rPr>
          <w:rFonts w:ascii="Book Antiqua" w:hAnsi="Book Antiqua"/>
          <w:color w:val="000000" w:themeColor="text1"/>
          <w:sz w:val="24"/>
          <w:szCs w:val="24"/>
        </w:rPr>
        <w:t xml:space="preserve"> </w:t>
      </w:r>
      <w:r w:rsidR="00CF68BF" w:rsidRPr="00115F98">
        <w:rPr>
          <w:rFonts w:ascii="Book Antiqua" w:hAnsi="Book Antiqua" w:cs="Times New Roman"/>
          <w:color w:val="000000" w:themeColor="text1"/>
          <w:sz w:val="24"/>
          <w:szCs w:val="24"/>
        </w:rPr>
        <w:t>We hypothesize</w:t>
      </w:r>
      <w:r w:rsidR="0026736D">
        <w:rPr>
          <w:rFonts w:ascii="Book Antiqua" w:hAnsi="Book Antiqua" w:cs="Times New Roman"/>
          <w:color w:val="000000" w:themeColor="text1"/>
          <w:sz w:val="24"/>
          <w:szCs w:val="24"/>
        </w:rPr>
        <w:t>d</w:t>
      </w:r>
      <w:r w:rsidR="00CF68BF" w:rsidRPr="00115F98">
        <w:rPr>
          <w:rFonts w:ascii="Book Antiqua" w:hAnsi="Book Antiqua" w:cs="Times New Roman"/>
          <w:color w:val="000000" w:themeColor="text1"/>
          <w:sz w:val="24"/>
          <w:szCs w:val="24"/>
        </w:rPr>
        <w:t xml:space="preserve"> that</w:t>
      </w:r>
      <w:r w:rsidR="00D345FB" w:rsidRPr="00115F98">
        <w:rPr>
          <w:rFonts w:ascii="Book Antiqua" w:hAnsi="Book Antiqua" w:cs="Times New Roman"/>
          <w:color w:val="000000" w:themeColor="text1"/>
          <w:sz w:val="24"/>
          <w:szCs w:val="24"/>
        </w:rPr>
        <w:t xml:space="preserve"> using PPIs may increase the risk of HE </w:t>
      </w:r>
      <w:r w:rsidR="003D23BD" w:rsidRPr="00115F98">
        <w:rPr>
          <w:rFonts w:ascii="Book Antiqua" w:hAnsi="Book Antiqua" w:cs="Times New Roman"/>
          <w:color w:val="000000" w:themeColor="text1"/>
          <w:sz w:val="24"/>
          <w:szCs w:val="24"/>
        </w:rPr>
        <w:t>in patients with advanced liver disease</w:t>
      </w:r>
      <w:r w:rsidR="00CB0F18" w:rsidRPr="00115F98">
        <w:rPr>
          <w:rFonts w:ascii="Book Antiqua" w:hAnsi="Book Antiqua" w:cs="Times New Roman"/>
          <w:color w:val="000000" w:themeColor="text1"/>
          <w:sz w:val="24"/>
          <w:szCs w:val="24"/>
        </w:rPr>
        <w:t xml:space="preserve">. </w:t>
      </w:r>
      <w:r w:rsidR="002759C9" w:rsidRPr="00115F98">
        <w:rPr>
          <w:rFonts w:ascii="Book Antiqua" w:hAnsi="Book Antiqua" w:cs="Times New Roman"/>
          <w:color w:val="000000" w:themeColor="text1"/>
          <w:sz w:val="24"/>
          <w:szCs w:val="24"/>
        </w:rPr>
        <w:t>I</w:t>
      </w:r>
      <w:r w:rsidR="00CB0F18" w:rsidRPr="00115F98">
        <w:rPr>
          <w:rFonts w:ascii="Book Antiqua" w:hAnsi="Book Antiqua" w:cs="Times New Roman"/>
          <w:color w:val="000000" w:themeColor="text1"/>
          <w:sz w:val="24"/>
          <w:szCs w:val="24"/>
        </w:rPr>
        <w:t>f confirmed,</w:t>
      </w:r>
      <w:r w:rsidR="001E6387" w:rsidRPr="00115F98">
        <w:rPr>
          <w:rFonts w:ascii="Book Antiqua" w:hAnsi="Book Antiqua" w:cs="Times New Roman"/>
          <w:color w:val="000000" w:themeColor="text1"/>
          <w:sz w:val="24"/>
          <w:szCs w:val="24"/>
        </w:rPr>
        <w:t xml:space="preserve"> </w:t>
      </w:r>
      <w:r w:rsidR="00CB0F18" w:rsidRPr="00115F98">
        <w:rPr>
          <w:rFonts w:ascii="Book Antiqua" w:hAnsi="Book Antiqua" w:cs="Times New Roman"/>
          <w:color w:val="000000" w:themeColor="text1"/>
          <w:sz w:val="24"/>
          <w:szCs w:val="24"/>
        </w:rPr>
        <w:t>clinician</w:t>
      </w:r>
      <w:r w:rsidR="001E6387" w:rsidRPr="00115F98">
        <w:rPr>
          <w:rFonts w:ascii="Book Antiqua" w:hAnsi="Book Antiqua" w:cs="Times New Roman"/>
          <w:color w:val="000000" w:themeColor="text1"/>
          <w:sz w:val="24"/>
          <w:szCs w:val="24"/>
        </w:rPr>
        <w:t xml:space="preserve">s must </w:t>
      </w:r>
      <w:r w:rsidR="00CB0F18" w:rsidRPr="00115F98">
        <w:rPr>
          <w:rFonts w:ascii="Book Antiqua" w:hAnsi="Book Antiqua" w:cs="Times New Roman"/>
          <w:color w:val="000000" w:themeColor="text1"/>
          <w:sz w:val="24"/>
          <w:szCs w:val="24"/>
        </w:rPr>
        <w:t xml:space="preserve">strictly adhere to the indications for PPI </w:t>
      </w:r>
      <w:r w:rsidR="001E6387" w:rsidRPr="00115F98">
        <w:rPr>
          <w:rFonts w:ascii="Book Antiqua" w:hAnsi="Book Antiqua" w:cs="Times New Roman"/>
          <w:color w:val="000000" w:themeColor="text1"/>
          <w:sz w:val="24"/>
          <w:szCs w:val="24"/>
        </w:rPr>
        <w:t>treatment</w:t>
      </w:r>
      <w:r w:rsidR="00CB0F18" w:rsidRPr="00115F98">
        <w:rPr>
          <w:rFonts w:ascii="Book Antiqua" w:hAnsi="Book Antiqua" w:cs="Times New Roman"/>
          <w:color w:val="000000" w:themeColor="text1"/>
          <w:sz w:val="24"/>
          <w:szCs w:val="24"/>
        </w:rPr>
        <w:t xml:space="preserve"> in </w:t>
      </w:r>
      <w:r w:rsidR="001E6387" w:rsidRPr="00115F98">
        <w:rPr>
          <w:rFonts w:ascii="Book Antiqua" w:hAnsi="Book Antiqua" w:cs="Times New Roman"/>
          <w:color w:val="000000" w:themeColor="text1"/>
          <w:sz w:val="24"/>
          <w:szCs w:val="24"/>
        </w:rPr>
        <w:t>this population.</w:t>
      </w:r>
    </w:p>
    <w:p w14:paraId="6FF32E42" w14:textId="77777777" w:rsidR="00B94402" w:rsidRPr="00115F98" w:rsidRDefault="00B94402" w:rsidP="001C4059">
      <w:pPr>
        <w:spacing w:line="360" w:lineRule="auto"/>
        <w:rPr>
          <w:rFonts w:ascii="Book Antiqua" w:hAnsi="Book Antiqua"/>
          <w:color w:val="000000" w:themeColor="text1"/>
          <w:sz w:val="24"/>
          <w:szCs w:val="24"/>
        </w:rPr>
      </w:pPr>
    </w:p>
    <w:p w14:paraId="6D3652AF" w14:textId="03B1E837" w:rsidR="00290F92" w:rsidRPr="00115F98" w:rsidRDefault="00290F92" w:rsidP="001C4059">
      <w:pPr>
        <w:spacing w:line="360" w:lineRule="auto"/>
        <w:rPr>
          <w:rFonts w:ascii="Book Antiqua" w:hAnsi="Book Antiqua" w:cs="Times New Roman"/>
          <w:b/>
          <w:i/>
          <w:color w:val="000000" w:themeColor="text1"/>
          <w:sz w:val="24"/>
          <w:szCs w:val="24"/>
        </w:rPr>
      </w:pPr>
      <w:r w:rsidRPr="00115F98">
        <w:rPr>
          <w:rFonts w:ascii="Book Antiqua" w:hAnsi="Book Antiqua" w:cs="Times New Roman"/>
          <w:b/>
          <w:i/>
          <w:color w:val="000000" w:themeColor="text1"/>
          <w:sz w:val="24"/>
          <w:szCs w:val="24"/>
        </w:rPr>
        <w:t>AIM</w:t>
      </w:r>
    </w:p>
    <w:p w14:paraId="5B26478B" w14:textId="5F429801" w:rsidR="00290F92" w:rsidRPr="00115F98" w:rsidRDefault="00290F92"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To evaluate the pooled risk of HE in patients with advanced liver disease who use PPIs.</w:t>
      </w:r>
    </w:p>
    <w:p w14:paraId="18CE4C49" w14:textId="77777777" w:rsidR="00B94402" w:rsidRPr="00115F98" w:rsidRDefault="00B94402" w:rsidP="001C4059">
      <w:pPr>
        <w:spacing w:line="360" w:lineRule="auto"/>
        <w:rPr>
          <w:rFonts w:ascii="Book Antiqua" w:hAnsi="Book Antiqua" w:cs="Times New Roman"/>
          <w:color w:val="000000" w:themeColor="text1"/>
          <w:sz w:val="24"/>
          <w:szCs w:val="24"/>
        </w:rPr>
      </w:pPr>
    </w:p>
    <w:p w14:paraId="5E294006" w14:textId="3889CDF7" w:rsidR="00A33BF0" w:rsidRPr="00115F98" w:rsidRDefault="00A33BF0" w:rsidP="001C4059">
      <w:pPr>
        <w:spacing w:line="360" w:lineRule="auto"/>
        <w:rPr>
          <w:rFonts w:ascii="Book Antiqua" w:hAnsi="Book Antiqua" w:cs="Times New Roman"/>
          <w:b/>
          <w:i/>
          <w:color w:val="000000" w:themeColor="text1"/>
          <w:sz w:val="24"/>
          <w:szCs w:val="24"/>
        </w:rPr>
      </w:pPr>
      <w:r w:rsidRPr="00115F98">
        <w:rPr>
          <w:rFonts w:ascii="Book Antiqua" w:hAnsi="Book Antiqua" w:cs="Times New Roman"/>
          <w:b/>
          <w:i/>
          <w:color w:val="000000" w:themeColor="text1"/>
          <w:sz w:val="24"/>
          <w:szCs w:val="24"/>
        </w:rPr>
        <w:t>METHODS</w:t>
      </w:r>
    </w:p>
    <w:p w14:paraId="68BADD8E" w14:textId="12BC9DC6" w:rsidR="001E2560" w:rsidRPr="00115F98" w:rsidRDefault="00F80C80"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Three electronic databases</w:t>
      </w:r>
      <w:r w:rsidR="00B94402" w:rsidRPr="00115F98">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PubMed, EMBASE, and the Cochrane Library</w:t>
      </w:r>
      <w:r w:rsidRPr="00115F98">
        <w:rPr>
          <w:rFonts w:ascii="Book Antiqua" w:hAnsi="Book Antiqua" w:cs="Times New Roman"/>
          <w:color w:val="000000" w:themeColor="text1"/>
          <w:sz w:val="24"/>
          <w:szCs w:val="24"/>
        </w:rPr>
        <w:t>)</w:t>
      </w:r>
      <w:r w:rsidR="00B94402" w:rsidRPr="00115F98">
        <w:rPr>
          <w:rFonts w:ascii="Book Antiqua" w:hAnsi="Book Antiqua" w:cs="Times New Roman"/>
          <w:color w:val="000000" w:themeColor="text1"/>
          <w:sz w:val="24"/>
          <w:szCs w:val="24"/>
        </w:rPr>
        <w:t xml:space="preserve"> </w:t>
      </w:r>
      <w:r w:rsidR="000059D2" w:rsidRPr="00115F98">
        <w:rPr>
          <w:rFonts w:ascii="Book Antiqua" w:hAnsi="Book Antiqua" w:cs="Times New Roman"/>
          <w:color w:val="000000" w:themeColor="text1"/>
          <w:sz w:val="24"/>
          <w:szCs w:val="24"/>
        </w:rPr>
        <w:t>were searched</w:t>
      </w:r>
      <w:r w:rsidR="002878A3" w:rsidRPr="00115F98">
        <w:rPr>
          <w:rFonts w:ascii="Book Antiqua" w:hAnsi="Book Antiqua" w:cs="Times New Roman"/>
          <w:color w:val="000000" w:themeColor="text1"/>
          <w:sz w:val="24"/>
          <w:szCs w:val="24"/>
        </w:rPr>
        <w:t xml:space="preserve"> from the date of database inception through January 8, 2019 to identify comparative studies evaluating the association between PPI use and the risk of HE.</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sz w:val="24"/>
          <w:szCs w:val="24"/>
        </w:rPr>
        <w:t xml:space="preserve">Data from </w:t>
      </w:r>
      <w:r w:rsidR="002878A3" w:rsidRPr="00115F98">
        <w:rPr>
          <w:rFonts w:ascii="Book Antiqua" w:eastAsia="等线" w:hAnsi="Book Antiqua" w:cs="Times New Roman"/>
          <w:color w:val="000000" w:themeColor="text1"/>
          <w:sz w:val="24"/>
          <w:szCs w:val="24"/>
        </w:rPr>
        <w:t xml:space="preserve">the </w:t>
      </w:r>
      <w:r w:rsidR="002878A3" w:rsidRPr="00115F98">
        <w:rPr>
          <w:rFonts w:ascii="Book Antiqua" w:hAnsi="Book Antiqua" w:cs="Times New Roman"/>
          <w:color w:val="000000" w:themeColor="text1"/>
          <w:sz w:val="24"/>
          <w:szCs w:val="24"/>
        </w:rPr>
        <w:t xml:space="preserve">included studies were extracted. </w:t>
      </w:r>
      <w:r w:rsidR="00601B40" w:rsidRPr="00115F98">
        <w:rPr>
          <w:rFonts w:ascii="Book Antiqua" w:hAnsi="Book Antiqua" w:cs="Times New Roman"/>
          <w:color w:val="000000" w:themeColor="text1"/>
          <w:sz w:val="24"/>
          <w:szCs w:val="24"/>
        </w:rPr>
        <w:t>The random-effects model was used for pooling risk estimates and the corresponding 95% confidence intervals (CIs).</w:t>
      </w:r>
      <w:r w:rsidR="002878A3" w:rsidRPr="00115F98">
        <w:rPr>
          <w:rFonts w:ascii="Book Antiqua" w:hAnsi="Book Antiqua" w:cs="Times New Roman"/>
          <w:color w:val="000000" w:themeColor="text1"/>
          <w:sz w:val="24"/>
          <w:szCs w:val="24"/>
        </w:rPr>
        <w:t xml:space="preserve"> Subgroup</w:t>
      </w:r>
      <w:r w:rsidR="0026736D">
        <w:rPr>
          <w:rFonts w:ascii="Book Antiqua" w:hAnsi="Book Antiqua" w:cs="Times New Roman"/>
          <w:color w:val="000000" w:themeColor="text1"/>
          <w:sz w:val="24"/>
          <w:szCs w:val="24"/>
        </w:rPr>
        <w:t xml:space="preserve"> </w:t>
      </w:r>
      <w:r w:rsidR="002878A3" w:rsidRPr="00115F98">
        <w:rPr>
          <w:rFonts w:ascii="Book Antiqua" w:hAnsi="Book Antiqua" w:cs="Times New Roman"/>
          <w:color w:val="000000" w:themeColor="text1"/>
          <w:sz w:val="24"/>
          <w:szCs w:val="24"/>
        </w:rPr>
        <w:t xml:space="preserve">and sensitivity analyses were </w:t>
      </w:r>
      <w:r w:rsidR="00E50C04" w:rsidRPr="00115F98">
        <w:rPr>
          <w:rFonts w:ascii="Book Antiqua" w:hAnsi="Book Antiqua" w:cs="Times New Roman"/>
          <w:color w:val="000000" w:themeColor="text1"/>
          <w:sz w:val="24"/>
          <w:szCs w:val="24"/>
        </w:rPr>
        <w:t xml:space="preserve">also </w:t>
      </w:r>
      <w:r w:rsidR="002878A3" w:rsidRPr="00115F98">
        <w:rPr>
          <w:rFonts w:ascii="Book Antiqua" w:hAnsi="Book Antiqua" w:cs="Times New Roman"/>
          <w:color w:val="000000" w:themeColor="text1"/>
          <w:sz w:val="24"/>
          <w:szCs w:val="24"/>
        </w:rPr>
        <w:t>performed.</w:t>
      </w:r>
    </w:p>
    <w:p w14:paraId="4A2E940B" w14:textId="77777777" w:rsidR="00B94402" w:rsidRPr="00115F98" w:rsidRDefault="00B94402" w:rsidP="001C4059">
      <w:pPr>
        <w:spacing w:line="360" w:lineRule="auto"/>
        <w:rPr>
          <w:rFonts w:ascii="Book Antiqua" w:hAnsi="Book Antiqua" w:cs="Times New Roman"/>
          <w:color w:val="000000" w:themeColor="text1"/>
          <w:sz w:val="24"/>
          <w:szCs w:val="24"/>
        </w:rPr>
      </w:pPr>
    </w:p>
    <w:p w14:paraId="51A98A86" w14:textId="7716E7CE" w:rsidR="00A33BF0" w:rsidRPr="00115F98" w:rsidRDefault="00A33BF0" w:rsidP="001C4059">
      <w:pPr>
        <w:spacing w:line="360" w:lineRule="auto"/>
        <w:rPr>
          <w:rFonts w:ascii="Book Antiqua" w:hAnsi="Book Antiqua" w:cs="Times New Roman"/>
          <w:b/>
          <w:i/>
          <w:color w:val="000000" w:themeColor="text1"/>
          <w:sz w:val="24"/>
          <w:szCs w:val="24"/>
        </w:rPr>
      </w:pPr>
      <w:r w:rsidRPr="00115F98">
        <w:rPr>
          <w:rFonts w:ascii="Book Antiqua" w:hAnsi="Book Antiqua" w:cs="Times New Roman"/>
          <w:b/>
          <w:i/>
          <w:color w:val="000000" w:themeColor="text1"/>
          <w:sz w:val="24"/>
          <w:szCs w:val="24"/>
        </w:rPr>
        <w:t>RESULTS</w:t>
      </w:r>
    </w:p>
    <w:p w14:paraId="503CEB22" w14:textId="69882241" w:rsidR="002878A3" w:rsidRPr="00115F98" w:rsidRDefault="002878A3" w:rsidP="001C4059">
      <w:pPr>
        <w:spacing w:line="360" w:lineRule="auto"/>
        <w:rPr>
          <w:rFonts w:ascii="Book Antiqua"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In total,</w:t>
      </w:r>
      <w:r w:rsidRPr="00115F98">
        <w:rPr>
          <w:rFonts w:ascii="Book Antiqua" w:eastAsia="等线" w:hAnsi="Book Antiqua" w:cs="Times New Roman"/>
          <w:b/>
          <w:color w:val="000000" w:themeColor="text1"/>
          <w:sz w:val="24"/>
          <w:szCs w:val="24"/>
        </w:rPr>
        <w:t xml:space="preserve"> </w:t>
      </w:r>
      <w:r w:rsidRPr="00115F98">
        <w:rPr>
          <w:rFonts w:ascii="Book Antiqua" w:hAnsi="Book Antiqua" w:cs="Times New Roman"/>
          <w:color w:val="000000" w:themeColor="text1"/>
          <w:sz w:val="24"/>
          <w:szCs w:val="24"/>
        </w:rPr>
        <w:t xml:space="preserve">4342 patients from five case-control studies and 188053 patients from four cohort studies were included in this analysis. In patients with advanced liver disease, PPI use was associated with an elevated risk of developing HE, with significant heterogeneity. </w:t>
      </w:r>
      <w:r w:rsidRPr="00115F98">
        <w:rPr>
          <w:rFonts w:ascii="Book Antiqua" w:eastAsia="等线" w:hAnsi="Book Antiqua" w:cs="Times New Roman"/>
          <w:color w:val="000000" w:themeColor="text1"/>
          <w:sz w:val="24"/>
          <w:szCs w:val="24"/>
        </w:rPr>
        <w:t>The pooled</w:t>
      </w:r>
      <w:r w:rsidRPr="00115F98">
        <w:rPr>
          <w:rFonts w:ascii="Book Antiqua" w:hAnsi="Book Antiqua" w:cs="Times New Roman"/>
          <w:color w:val="000000" w:themeColor="text1"/>
          <w:sz w:val="24"/>
          <w:szCs w:val="24"/>
        </w:rPr>
        <w:t xml:space="preserve"> </w:t>
      </w:r>
      <w:r w:rsidR="00B94402" w:rsidRPr="00115F98">
        <w:rPr>
          <w:rFonts w:ascii="Book Antiqua" w:hAnsi="Book Antiqua"/>
          <w:color w:val="000000" w:themeColor="text1"/>
          <w:sz w:val="24"/>
          <w:szCs w:val="24"/>
        </w:rPr>
        <w:t>odds ratio</w:t>
      </w:r>
      <w:r w:rsidRPr="00115F98">
        <w:rPr>
          <w:rFonts w:ascii="Book Antiqua" w:hAnsi="Book Antiqua" w:cs="Times New Roman"/>
          <w:color w:val="000000" w:themeColor="text1"/>
          <w:sz w:val="24"/>
          <w:szCs w:val="24"/>
        </w:rPr>
        <w:t xml:space="preserve"> for case-control studies was 2.58</w:t>
      </w:r>
      <w:r w:rsidR="0026736D">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95%CI</w:t>
      </w:r>
      <w:r w:rsidR="0026736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 1.68</w:t>
      </w:r>
      <w:r w:rsidR="00B94402" w:rsidRPr="00115F98">
        <w:rPr>
          <w:rFonts w:ascii="Book Antiqua" w:hAnsi="Book Antiqua" w:cs="Times New Roman" w:hint="eastAsia"/>
          <w:color w:val="000000" w:themeColor="text1"/>
          <w:sz w:val="24"/>
          <w:szCs w:val="24"/>
        </w:rPr>
        <w:t>-</w:t>
      </w:r>
      <w:r w:rsidRPr="00115F98">
        <w:rPr>
          <w:rFonts w:ascii="Book Antiqua" w:hAnsi="Book Antiqua" w:cs="Times New Roman"/>
          <w:color w:val="000000" w:themeColor="text1"/>
          <w:sz w:val="24"/>
          <w:szCs w:val="24"/>
        </w:rPr>
        <w:t xml:space="preserve">3.94, </w:t>
      </w:r>
      <w:r w:rsidRPr="00115F98">
        <w:rPr>
          <w:rFonts w:ascii="Book Antiqua" w:hAnsi="Book Antiqua" w:cs="Times New Roman"/>
          <w:i/>
          <w:color w:val="000000" w:themeColor="text1"/>
          <w:sz w:val="24"/>
          <w:szCs w:val="24"/>
        </w:rPr>
        <w:t>I</w:t>
      </w:r>
      <w:r w:rsidRPr="00115F98">
        <w:rPr>
          <w:rFonts w:ascii="Book Antiqua" w:hAnsi="Book Antiqua" w:cs="Times New Roman"/>
          <w:i/>
          <w:color w:val="000000" w:themeColor="text1"/>
          <w:sz w:val="24"/>
          <w:szCs w:val="24"/>
          <w:vertAlign w:val="superscript"/>
        </w:rPr>
        <w:t>2</w:t>
      </w:r>
      <w:r w:rsidR="00B94402" w:rsidRPr="00115F98">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w:t>
      </w:r>
      <w:r w:rsidR="00B94402" w:rsidRPr="00115F98">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72%</w:t>
      </w:r>
      <w:r w:rsidR="0026736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w:t>
      </w:r>
      <w:r w:rsidRPr="00115F98">
        <w:rPr>
          <w:rFonts w:ascii="Book Antiqua" w:eastAsia="等线" w:hAnsi="Book Antiqua" w:cs="Times New Roman"/>
          <w:color w:val="000000" w:themeColor="text1"/>
          <w:sz w:val="24"/>
          <w:szCs w:val="24"/>
        </w:rPr>
        <w:t xml:space="preserve"> The pooled</w:t>
      </w:r>
      <w:r w:rsidRPr="00115F98">
        <w:rPr>
          <w:rFonts w:ascii="Book Antiqua" w:hAnsi="Book Antiqua" w:cs="Times New Roman"/>
          <w:color w:val="000000" w:themeColor="text1"/>
          <w:sz w:val="24"/>
          <w:szCs w:val="24"/>
        </w:rPr>
        <w:t xml:space="preserve"> RR for cohort studies was 1.67</w:t>
      </w:r>
      <w:r w:rsidR="0026736D">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95%CI</w:t>
      </w:r>
      <w:r w:rsidR="0026736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 1.30</w:t>
      </w:r>
      <w:r w:rsidR="00B94402" w:rsidRPr="00115F98">
        <w:rPr>
          <w:rFonts w:ascii="Book Antiqua" w:hAnsi="Book Antiqua" w:cs="Times New Roman" w:hint="eastAsia"/>
          <w:color w:val="000000" w:themeColor="text1"/>
          <w:sz w:val="24"/>
          <w:szCs w:val="24"/>
        </w:rPr>
        <w:t>-</w:t>
      </w:r>
      <w:r w:rsidRPr="00115F98">
        <w:rPr>
          <w:rFonts w:ascii="Book Antiqua" w:hAnsi="Book Antiqua" w:cs="Times New Roman"/>
          <w:color w:val="000000" w:themeColor="text1"/>
          <w:sz w:val="24"/>
          <w:szCs w:val="24"/>
        </w:rPr>
        <w:t xml:space="preserve">2.14, </w:t>
      </w:r>
      <w:r w:rsidRPr="00115F98">
        <w:rPr>
          <w:rFonts w:ascii="Book Antiqua" w:hAnsi="Book Antiqua" w:cs="Times New Roman"/>
          <w:i/>
          <w:color w:val="000000" w:themeColor="text1"/>
          <w:sz w:val="24"/>
          <w:szCs w:val="24"/>
        </w:rPr>
        <w:t>I</w:t>
      </w:r>
      <w:r w:rsidRPr="00115F98">
        <w:rPr>
          <w:rFonts w:ascii="Book Antiqua" w:hAnsi="Book Antiqua" w:cs="Times New Roman"/>
          <w:i/>
          <w:color w:val="000000" w:themeColor="text1"/>
          <w:sz w:val="24"/>
          <w:szCs w:val="24"/>
          <w:vertAlign w:val="superscript"/>
        </w:rPr>
        <w:t>2</w:t>
      </w:r>
      <w:r w:rsidR="00B94402" w:rsidRPr="00115F98">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w:t>
      </w:r>
      <w:r w:rsidR="00B94402" w:rsidRPr="00115F98">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67%</w:t>
      </w:r>
      <w:r w:rsidR="0026736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The results of the subgroup analyses suggested that the heterogeneity may be the result of differences in the study designs and the </w:t>
      </w:r>
      <w:r w:rsidRPr="00115F98">
        <w:rPr>
          <w:rFonts w:ascii="Book Antiqua" w:eastAsia="等线" w:hAnsi="Book Antiqua" w:cs="Times New Roman"/>
          <w:color w:val="000000" w:themeColor="text1"/>
          <w:kern w:val="0"/>
          <w:sz w:val="24"/>
          <w:szCs w:val="24"/>
        </w:rPr>
        <w:lastRenderedPageBreak/>
        <w:t>definitions of PPI use.</w:t>
      </w:r>
      <w:r w:rsidRPr="00115F98">
        <w:rPr>
          <w:rFonts w:ascii="Book Antiqua" w:hAnsi="Book Antiqua" w:cs="Times New Roman"/>
          <w:color w:val="000000" w:themeColor="text1"/>
          <w:sz w:val="24"/>
          <w:szCs w:val="24"/>
        </w:rPr>
        <w:t xml:space="preserve"> The sensitivity</w:t>
      </w:r>
      <w:r w:rsidR="0026736D">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and subgroup analyses did not alter our findings.</w:t>
      </w:r>
    </w:p>
    <w:p w14:paraId="6EFD96CC" w14:textId="77777777" w:rsidR="00B94402" w:rsidRPr="00115F98" w:rsidRDefault="00B94402" w:rsidP="001C4059">
      <w:pPr>
        <w:spacing w:line="360" w:lineRule="auto"/>
        <w:rPr>
          <w:rFonts w:ascii="Book Antiqua" w:hAnsi="Book Antiqua" w:cs="Times New Roman"/>
          <w:color w:val="000000" w:themeColor="text1"/>
          <w:sz w:val="24"/>
          <w:szCs w:val="24"/>
        </w:rPr>
      </w:pPr>
    </w:p>
    <w:p w14:paraId="763719A9" w14:textId="44C7BA01" w:rsidR="00A33BF0" w:rsidRPr="00115F98" w:rsidRDefault="00A33BF0" w:rsidP="001C4059">
      <w:pPr>
        <w:spacing w:line="360" w:lineRule="auto"/>
        <w:rPr>
          <w:rFonts w:ascii="Book Antiqua" w:hAnsi="Book Antiqua" w:cs="Times New Roman"/>
          <w:b/>
          <w:i/>
          <w:color w:val="000000" w:themeColor="text1"/>
          <w:sz w:val="24"/>
          <w:szCs w:val="24"/>
        </w:rPr>
      </w:pPr>
      <w:r w:rsidRPr="00115F98">
        <w:rPr>
          <w:rFonts w:ascii="Book Antiqua" w:hAnsi="Book Antiqua" w:cs="Times New Roman"/>
          <w:b/>
          <w:i/>
          <w:color w:val="000000" w:themeColor="text1"/>
          <w:sz w:val="24"/>
          <w:szCs w:val="24"/>
        </w:rPr>
        <w:t>CONCLUSION</w:t>
      </w:r>
    </w:p>
    <w:p w14:paraId="4C154D4B" w14:textId="269712A6" w:rsidR="002878A3" w:rsidRPr="00115F98" w:rsidRDefault="002878A3" w:rsidP="001C4059">
      <w:pPr>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 xml:space="preserve">In patients with advanced liver disease, PPI use </w:t>
      </w:r>
      <w:r w:rsidRPr="00115F98">
        <w:rPr>
          <w:rFonts w:ascii="Book Antiqua" w:eastAsia="等线" w:hAnsi="Book Antiqua" w:cs="Times New Roman"/>
          <w:color w:val="000000" w:themeColor="text1"/>
          <w:sz w:val="24"/>
          <w:szCs w:val="24"/>
        </w:rPr>
        <w:t>is</w:t>
      </w:r>
      <w:r w:rsidRPr="00115F98">
        <w:rPr>
          <w:rFonts w:ascii="Book Antiqua" w:hAnsi="Book Antiqua" w:cs="Times New Roman"/>
          <w:color w:val="000000" w:themeColor="text1"/>
          <w:sz w:val="24"/>
          <w:szCs w:val="24"/>
        </w:rPr>
        <w:t xml:space="preserve"> associated with an elevated risk of HE. </w:t>
      </w:r>
      <w:r w:rsidR="00F67577" w:rsidRPr="00115F98">
        <w:rPr>
          <w:rFonts w:ascii="Book Antiqua" w:hAnsi="Book Antiqua" w:cs="Times New Roman"/>
          <w:color w:val="000000" w:themeColor="text1"/>
          <w:sz w:val="24"/>
          <w:szCs w:val="24"/>
        </w:rPr>
        <w:t xml:space="preserve">Future large prospective studies are needed to confirm </w:t>
      </w:r>
      <w:r w:rsidR="0026736D" w:rsidRPr="00115F98">
        <w:rPr>
          <w:rFonts w:ascii="Book Antiqua" w:hAnsi="Book Antiqua" w:cs="Times New Roman"/>
          <w:color w:val="000000" w:themeColor="text1"/>
          <w:sz w:val="24"/>
          <w:szCs w:val="24"/>
        </w:rPr>
        <w:t>th</w:t>
      </w:r>
      <w:r w:rsidR="0026736D">
        <w:rPr>
          <w:rFonts w:ascii="Book Antiqua" w:hAnsi="Book Antiqua" w:cs="Times New Roman"/>
          <w:color w:val="000000" w:themeColor="text1"/>
          <w:sz w:val="24"/>
          <w:szCs w:val="24"/>
        </w:rPr>
        <w:t>is</w:t>
      </w:r>
      <w:r w:rsidR="0026736D" w:rsidRPr="00115F98">
        <w:rPr>
          <w:rFonts w:ascii="Book Antiqua" w:hAnsi="Book Antiqua" w:cs="Times New Roman"/>
          <w:color w:val="000000" w:themeColor="text1"/>
          <w:sz w:val="24"/>
          <w:szCs w:val="24"/>
        </w:rPr>
        <w:t xml:space="preserve"> </w:t>
      </w:r>
      <w:r w:rsidR="00F67577" w:rsidRPr="00115F98">
        <w:rPr>
          <w:rFonts w:ascii="Book Antiqua" w:hAnsi="Book Antiqua" w:cs="Times New Roman"/>
          <w:color w:val="000000" w:themeColor="text1"/>
          <w:sz w:val="24"/>
          <w:szCs w:val="24"/>
        </w:rPr>
        <w:t>association.</w:t>
      </w:r>
    </w:p>
    <w:p w14:paraId="36F35016" w14:textId="77777777" w:rsidR="00B94402" w:rsidRPr="00115F98" w:rsidRDefault="00B94402" w:rsidP="001C4059">
      <w:pPr>
        <w:spacing w:line="360" w:lineRule="auto"/>
        <w:rPr>
          <w:rFonts w:ascii="Book Antiqua" w:hAnsi="Book Antiqua" w:cs="Times New Roman"/>
          <w:b/>
          <w:color w:val="000000" w:themeColor="text1"/>
          <w:sz w:val="24"/>
          <w:szCs w:val="24"/>
        </w:rPr>
      </w:pPr>
    </w:p>
    <w:bookmarkEnd w:id="26"/>
    <w:p w14:paraId="21441EF0" w14:textId="77777777" w:rsidR="00B94402" w:rsidRPr="00115F98" w:rsidRDefault="00B94402" w:rsidP="001C4059">
      <w:pPr>
        <w:spacing w:line="360" w:lineRule="auto"/>
        <w:rPr>
          <w:rFonts w:ascii="Book Antiqua" w:hAnsi="Book Antiqua" w:cs="Times New Roman"/>
          <w:color w:val="000000" w:themeColor="text1"/>
          <w:sz w:val="24"/>
          <w:szCs w:val="24"/>
        </w:rPr>
      </w:pPr>
      <w:r w:rsidRPr="00115F98">
        <w:rPr>
          <w:rFonts w:ascii="Book Antiqua" w:eastAsia="Times New Roman" w:hAnsi="Book Antiqua"/>
          <w:b/>
          <w:color w:val="000000" w:themeColor="text1"/>
          <w:sz w:val="24"/>
          <w:szCs w:val="24"/>
        </w:rPr>
        <w:t>Key words:</w:t>
      </w:r>
      <w:r w:rsidRPr="00115F98">
        <w:rPr>
          <w:rFonts w:ascii="Book Antiqua" w:eastAsia="Times New Roman" w:hAnsi="Book Antiqua"/>
          <w:color w:val="000000" w:themeColor="text1"/>
        </w:rPr>
        <w:t xml:space="preserve"> </w:t>
      </w:r>
      <w:bookmarkStart w:id="31" w:name="OLE_LINK3"/>
      <w:bookmarkStart w:id="32" w:name="OLE_LINK4"/>
      <w:r w:rsidR="002878A3" w:rsidRPr="00115F98">
        <w:rPr>
          <w:rFonts w:ascii="Book Antiqua" w:hAnsi="Book Antiqua" w:cs="Times New Roman"/>
          <w:color w:val="000000" w:themeColor="text1"/>
          <w:sz w:val="24"/>
          <w:szCs w:val="24"/>
        </w:rPr>
        <w:t xml:space="preserve">Proton pump inhibitors; </w:t>
      </w:r>
      <w:r w:rsidR="002A5FAF" w:rsidRPr="00115F98">
        <w:rPr>
          <w:rFonts w:ascii="Book Antiqua" w:hAnsi="Book Antiqua" w:cs="Times New Roman"/>
          <w:color w:val="000000" w:themeColor="text1"/>
          <w:sz w:val="24"/>
          <w:szCs w:val="24"/>
        </w:rPr>
        <w:t>Cirrhosis</w:t>
      </w:r>
      <w:r w:rsidR="002878A3" w:rsidRPr="00115F98">
        <w:rPr>
          <w:rFonts w:ascii="Book Antiqua" w:hAnsi="Book Antiqua" w:cs="Times New Roman"/>
          <w:color w:val="000000" w:themeColor="text1"/>
          <w:sz w:val="24"/>
          <w:szCs w:val="24"/>
        </w:rPr>
        <w:t xml:space="preserve">; </w:t>
      </w:r>
      <w:r w:rsidR="002A5FAF" w:rsidRPr="00115F98">
        <w:rPr>
          <w:rFonts w:ascii="Book Antiqua" w:hAnsi="Book Antiqua" w:cs="Times New Roman"/>
          <w:color w:val="000000" w:themeColor="text1"/>
          <w:sz w:val="24"/>
          <w:szCs w:val="24"/>
        </w:rPr>
        <w:t xml:space="preserve">Hepatic </w:t>
      </w:r>
      <w:r w:rsidR="002878A3" w:rsidRPr="00115F98">
        <w:rPr>
          <w:rFonts w:ascii="Book Antiqua" w:hAnsi="Book Antiqua" w:cs="Times New Roman"/>
          <w:color w:val="000000" w:themeColor="text1"/>
          <w:sz w:val="24"/>
          <w:szCs w:val="24"/>
        </w:rPr>
        <w:t>encephalopathy;</w:t>
      </w:r>
      <w:r w:rsidR="004647BD" w:rsidRPr="00115F98">
        <w:rPr>
          <w:rFonts w:ascii="Book Antiqua" w:hAnsi="Book Antiqua" w:cs="Times New Roman"/>
          <w:color w:val="000000" w:themeColor="text1"/>
          <w:sz w:val="24"/>
          <w:szCs w:val="24"/>
        </w:rPr>
        <w:t xml:space="preserve"> </w:t>
      </w:r>
      <w:r w:rsidR="006B1D51" w:rsidRPr="00115F98">
        <w:rPr>
          <w:rFonts w:ascii="Book Antiqua" w:hAnsi="Book Antiqua" w:cs="Times New Roman"/>
          <w:color w:val="000000" w:themeColor="text1"/>
          <w:sz w:val="24"/>
          <w:szCs w:val="24"/>
        </w:rPr>
        <w:t xml:space="preserve">Systematic review; </w:t>
      </w:r>
      <w:r w:rsidR="002A5FAF" w:rsidRPr="00115F98">
        <w:rPr>
          <w:rFonts w:ascii="Book Antiqua" w:hAnsi="Book Antiqua" w:cs="Times New Roman"/>
          <w:color w:val="000000" w:themeColor="text1"/>
          <w:sz w:val="24"/>
          <w:szCs w:val="24"/>
        </w:rPr>
        <w:t>Meta</w:t>
      </w:r>
      <w:r w:rsidR="002878A3" w:rsidRPr="00115F98">
        <w:rPr>
          <w:rFonts w:ascii="Book Antiqua" w:hAnsi="Book Antiqua" w:cs="Times New Roman"/>
          <w:color w:val="000000" w:themeColor="text1"/>
          <w:sz w:val="24"/>
          <w:szCs w:val="24"/>
        </w:rPr>
        <w:t>-analysis</w:t>
      </w:r>
      <w:bookmarkStart w:id="33" w:name="OLE_LINK19"/>
      <w:bookmarkStart w:id="34" w:name="OLE_LINK20"/>
      <w:bookmarkStart w:id="35" w:name="_Hlk5627428"/>
      <w:bookmarkEnd w:id="31"/>
      <w:bookmarkEnd w:id="32"/>
    </w:p>
    <w:p w14:paraId="006B0E98" w14:textId="77777777" w:rsidR="00B94402" w:rsidRPr="00115F98" w:rsidRDefault="00B94402" w:rsidP="001C4059">
      <w:pPr>
        <w:spacing w:line="360" w:lineRule="auto"/>
        <w:rPr>
          <w:rFonts w:ascii="Book Antiqua" w:hAnsi="Book Antiqua" w:cs="Times New Roman"/>
          <w:color w:val="000000" w:themeColor="text1"/>
          <w:sz w:val="24"/>
          <w:szCs w:val="24"/>
        </w:rPr>
      </w:pPr>
    </w:p>
    <w:p w14:paraId="4BAC4F2A" w14:textId="370D663F" w:rsidR="00B94402" w:rsidRPr="00115F98" w:rsidRDefault="00B94402" w:rsidP="00B94402">
      <w:pPr>
        <w:widowControl/>
        <w:spacing w:line="360" w:lineRule="auto"/>
        <w:jc w:val="left"/>
        <w:rPr>
          <w:rFonts w:ascii="Book Antiqua" w:eastAsia="MS Mincho" w:hAnsi="Book Antiqua" w:cs="Arial"/>
          <w:color w:val="000000" w:themeColor="text1"/>
          <w:kern w:val="0"/>
          <w:sz w:val="24"/>
          <w:szCs w:val="24"/>
          <w:lang w:eastAsia="it-IT"/>
        </w:rPr>
      </w:pPr>
      <w:bookmarkStart w:id="36" w:name="OLE_LINK55"/>
      <w:bookmarkStart w:id="37" w:name="OLE_LINK56"/>
      <w:bookmarkStart w:id="38" w:name="OLE_LINK105"/>
      <w:bookmarkStart w:id="39" w:name="OLE_LINK116"/>
      <w:bookmarkStart w:id="40" w:name="OLE_LINK89"/>
      <w:r w:rsidRPr="00115F98">
        <w:rPr>
          <w:rFonts w:ascii="Book Antiqua" w:eastAsia="MS Mincho" w:hAnsi="Book Antiqua" w:cs="Times New Roman"/>
          <w:b/>
          <w:color w:val="000000" w:themeColor="text1"/>
          <w:kern w:val="0"/>
          <w:sz w:val="24"/>
          <w:szCs w:val="24"/>
          <w:lang w:eastAsia="it-IT"/>
        </w:rPr>
        <w:t>©</w:t>
      </w:r>
      <w:bookmarkEnd w:id="36"/>
      <w:bookmarkEnd w:id="37"/>
      <w:r w:rsidRPr="00115F98">
        <w:rPr>
          <w:rFonts w:ascii="Book Antiqua" w:eastAsia="MS Mincho" w:hAnsi="Book Antiqua" w:cs="Times New Roman" w:hint="eastAsia"/>
          <w:b/>
          <w:color w:val="000000" w:themeColor="text1"/>
          <w:kern w:val="0"/>
          <w:sz w:val="24"/>
          <w:szCs w:val="24"/>
          <w:lang w:eastAsia="it-IT"/>
        </w:rPr>
        <w:t xml:space="preserve"> </w:t>
      </w:r>
      <w:r w:rsidRPr="00115F98">
        <w:rPr>
          <w:rFonts w:ascii="Book Antiqua" w:eastAsia="MS Mincho" w:hAnsi="Book Antiqua" w:cs="Arial"/>
          <w:b/>
          <w:color w:val="000000" w:themeColor="text1"/>
          <w:kern w:val="0"/>
          <w:sz w:val="24"/>
          <w:szCs w:val="24"/>
          <w:lang w:eastAsia="it-IT"/>
        </w:rPr>
        <w:t xml:space="preserve">The Author(s) </w:t>
      </w:r>
      <w:r w:rsidRPr="00115F98">
        <w:rPr>
          <w:rFonts w:ascii="Book Antiqua" w:eastAsia="宋体" w:hAnsi="Book Antiqua" w:cs="Arial" w:hint="eastAsia"/>
          <w:b/>
          <w:color w:val="000000" w:themeColor="text1"/>
          <w:kern w:val="0"/>
          <w:sz w:val="24"/>
          <w:szCs w:val="24"/>
        </w:rPr>
        <w:t>201</w:t>
      </w:r>
      <w:r w:rsidRPr="00115F98">
        <w:rPr>
          <w:rFonts w:ascii="Book Antiqua" w:eastAsia="宋体" w:hAnsi="Book Antiqua" w:cs="Arial"/>
          <w:b/>
          <w:color w:val="000000" w:themeColor="text1"/>
          <w:kern w:val="0"/>
          <w:sz w:val="24"/>
          <w:szCs w:val="24"/>
        </w:rPr>
        <w:t>9</w:t>
      </w:r>
      <w:r w:rsidRPr="00115F98">
        <w:rPr>
          <w:rFonts w:ascii="Book Antiqua" w:eastAsia="MS Mincho" w:hAnsi="Book Antiqua" w:cs="Arial"/>
          <w:b/>
          <w:color w:val="000000" w:themeColor="text1"/>
          <w:kern w:val="0"/>
          <w:sz w:val="24"/>
          <w:szCs w:val="24"/>
          <w:lang w:eastAsia="it-IT"/>
        </w:rPr>
        <w:t xml:space="preserve">. </w:t>
      </w:r>
      <w:r w:rsidRPr="00115F98">
        <w:rPr>
          <w:rFonts w:ascii="Book Antiqua" w:eastAsia="MS Mincho" w:hAnsi="Book Antiqua" w:cs="Arial"/>
          <w:color w:val="000000" w:themeColor="text1"/>
          <w:kern w:val="0"/>
          <w:sz w:val="24"/>
          <w:szCs w:val="24"/>
          <w:lang w:eastAsia="it-IT"/>
        </w:rPr>
        <w:t xml:space="preserve">Published by </w:t>
      </w:r>
      <w:proofErr w:type="spellStart"/>
      <w:r w:rsidRPr="00115F98">
        <w:rPr>
          <w:rFonts w:ascii="Book Antiqua" w:eastAsia="MS Mincho" w:hAnsi="Book Antiqua" w:cs="Arial"/>
          <w:color w:val="000000" w:themeColor="text1"/>
          <w:kern w:val="0"/>
          <w:sz w:val="24"/>
          <w:szCs w:val="24"/>
          <w:lang w:eastAsia="it-IT"/>
        </w:rPr>
        <w:t>Baishideng</w:t>
      </w:r>
      <w:proofErr w:type="spellEnd"/>
      <w:r w:rsidRPr="00115F98">
        <w:rPr>
          <w:rFonts w:ascii="Book Antiqua" w:eastAsia="MS Mincho" w:hAnsi="Book Antiqua" w:cs="Arial"/>
          <w:color w:val="000000" w:themeColor="text1"/>
          <w:kern w:val="0"/>
          <w:sz w:val="24"/>
          <w:szCs w:val="24"/>
          <w:lang w:eastAsia="it-IT"/>
        </w:rPr>
        <w:t xml:space="preserve"> Publishing Group Inc. All rights reserved.</w:t>
      </w:r>
    </w:p>
    <w:bookmarkEnd w:id="38"/>
    <w:bookmarkEnd w:id="39"/>
    <w:bookmarkEnd w:id="40"/>
    <w:p w14:paraId="0A349238" w14:textId="77777777" w:rsidR="00B94402" w:rsidRPr="00115F98" w:rsidRDefault="00B94402" w:rsidP="001C4059">
      <w:pPr>
        <w:spacing w:line="360" w:lineRule="auto"/>
        <w:rPr>
          <w:rFonts w:ascii="Book Antiqua" w:hAnsi="Book Antiqua" w:cs="Times New Roman"/>
          <w:color w:val="000000" w:themeColor="text1"/>
          <w:sz w:val="24"/>
          <w:szCs w:val="24"/>
        </w:rPr>
      </w:pPr>
    </w:p>
    <w:p w14:paraId="68C2C7B9" w14:textId="0CB32786" w:rsidR="0086293F" w:rsidRPr="00115F98" w:rsidRDefault="00D3451A" w:rsidP="001C4059">
      <w:pPr>
        <w:spacing w:line="360" w:lineRule="auto"/>
        <w:rPr>
          <w:rFonts w:ascii="Book Antiqua" w:hAnsi="Book Antiqua"/>
          <w:color w:val="000000" w:themeColor="text1"/>
          <w:sz w:val="24"/>
          <w:szCs w:val="24"/>
          <w:lang w:val="en"/>
        </w:rPr>
      </w:pPr>
      <w:r w:rsidRPr="00115F98">
        <w:rPr>
          <w:rFonts w:ascii="Book Antiqua" w:eastAsia="Arial Unicode MS" w:hAnsi="Book Antiqua" w:cs="Arial Unicode MS"/>
          <w:b/>
          <w:color w:val="000000" w:themeColor="text1"/>
          <w:sz w:val="24"/>
          <w:szCs w:val="24"/>
        </w:rPr>
        <w:t>Core tip:</w:t>
      </w:r>
      <w:bookmarkEnd w:id="33"/>
      <w:bookmarkEnd w:id="34"/>
      <w:r w:rsidRPr="00115F98">
        <w:rPr>
          <w:rFonts w:ascii="Book Antiqua" w:eastAsia="Arial Unicode MS" w:hAnsi="Book Antiqua" w:cs="Arial Unicode MS"/>
          <w:b/>
          <w:color w:val="000000" w:themeColor="text1"/>
          <w:sz w:val="24"/>
          <w:szCs w:val="24"/>
        </w:rPr>
        <w:t xml:space="preserve"> </w:t>
      </w:r>
      <w:r w:rsidR="00CA2C9D" w:rsidRPr="00115F98">
        <w:rPr>
          <w:rFonts w:ascii="Book Antiqua" w:hAnsi="Book Antiqua"/>
          <w:color w:val="000000" w:themeColor="text1"/>
          <w:sz w:val="24"/>
          <w:szCs w:val="24"/>
          <w:lang w:val="en"/>
        </w:rPr>
        <w:t>P</w:t>
      </w:r>
      <w:r w:rsidR="00AF7141" w:rsidRPr="00115F98">
        <w:rPr>
          <w:rFonts w:ascii="Book Antiqua" w:hAnsi="Book Antiqua"/>
          <w:color w:val="000000" w:themeColor="text1"/>
          <w:sz w:val="24"/>
          <w:szCs w:val="24"/>
          <w:lang w:val="en"/>
        </w:rPr>
        <w:t>roton pump inhibitors</w:t>
      </w:r>
      <w:r w:rsidR="00B94402" w:rsidRPr="00115F98">
        <w:rPr>
          <w:rFonts w:ascii="Book Antiqua" w:hAnsi="Book Antiqua"/>
          <w:color w:val="000000" w:themeColor="text1"/>
          <w:sz w:val="24"/>
          <w:szCs w:val="24"/>
          <w:lang w:val="en"/>
        </w:rPr>
        <w:t xml:space="preserve"> </w:t>
      </w:r>
      <w:r w:rsidR="007E3E5C" w:rsidRPr="00115F98">
        <w:rPr>
          <w:rFonts w:ascii="Book Antiqua" w:hAnsi="Book Antiqua"/>
          <w:color w:val="000000" w:themeColor="text1"/>
          <w:sz w:val="24"/>
          <w:szCs w:val="24"/>
          <w:lang w:val="en"/>
        </w:rPr>
        <w:t>(PPIs)</w:t>
      </w:r>
      <w:r w:rsidR="00AF7141" w:rsidRPr="00115F98">
        <w:rPr>
          <w:rFonts w:ascii="Book Antiqua" w:hAnsi="Book Antiqua"/>
          <w:color w:val="000000" w:themeColor="text1"/>
          <w:sz w:val="24"/>
          <w:szCs w:val="24"/>
          <w:lang w:val="en"/>
        </w:rPr>
        <w:t xml:space="preserve"> </w:t>
      </w:r>
      <w:r w:rsidR="00CA2C9D" w:rsidRPr="00115F98">
        <w:rPr>
          <w:rFonts w:ascii="Book Antiqua" w:hAnsi="Book Antiqua"/>
          <w:color w:val="000000" w:themeColor="text1"/>
          <w:sz w:val="24"/>
          <w:szCs w:val="24"/>
          <w:lang w:val="en"/>
        </w:rPr>
        <w:t>are very commonly used in patients with advanced liver disease.</w:t>
      </w:r>
      <w:r w:rsidR="00B72AA1" w:rsidRPr="00115F98">
        <w:rPr>
          <w:rFonts w:ascii="Book Antiqua" w:hAnsi="Book Antiqua"/>
          <w:color w:val="000000" w:themeColor="text1"/>
          <w:sz w:val="24"/>
          <w:szCs w:val="24"/>
          <w:lang w:val="en"/>
        </w:rPr>
        <w:t xml:space="preserve"> </w:t>
      </w:r>
      <w:r w:rsidR="00D94D9E" w:rsidRPr="00115F98">
        <w:rPr>
          <w:rFonts w:ascii="Book Antiqua" w:hAnsi="Book Antiqua"/>
          <w:color w:val="000000" w:themeColor="text1"/>
          <w:sz w:val="24"/>
          <w:szCs w:val="24"/>
          <w:lang w:val="en"/>
        </w:rPr>
        <w:t>Remarkably,</w:t>
      </w:r>
      <w:r w:rsidR="009C6361" w:rsidRPr="00115F98">
        <w:rPr>
          <w:rFonts w:ascii="Book Antiqua" w:hAnsi="Book Antiqua"/>
          <w:color w:val="000000" w:themeColor="text1"/>
          <w:sz w:val="24"/>
          <w:szCs w:val="24"/>
        </w:rPr>
        <w:t xml:space="preserve"> </w:t>
      </w:r>
      <w:r w:rsidR="009C6361" w:rsidRPr="00115F98">
        <w:rPr>
          <w:rFonts w:ascii="Book Antiqua" w:hAnsi="Book Antiqua"/>
          <w:color w:val="000000" w:themeColor="text1"/>
          <w:sz w:val="24"/>
          <w:szCs w:val="24"/>
          <w:lang w:val="en"/>
        </w:rPr>
        <w:t>previous studies have shown that approximately 50% of indications for PPI</w:t>
      </w:r>
      <w:r w:rsidR="007E3E5C" w:rsidRPr="00115F98">
        <w:rPr>
          <w:rFonts w:ascii="Book Antiqua" w:hAnsi="Book Antiqua"/>
          <w:color w:val="000000" w:themeColor="text1"/>
          <w:sz w:val="24"/>
          <w:szCs w:val="24"/>
          <w:lang w:val="en"/>
        </w:rPr>
        <w:t>s</w:t>
      </w:r>
      <w:r w:rsidR="009C6361" w:rsidRPr="00115F98">
        <w:rPr>
          <w:rFonts w:ascii="Book Antiqua" w:hAnsi="Book Antiqua"/>
          <w:color w:val="000000" w:themeColor="text1"/>
          <w:sz w:val="24"/>
          <w:szCs w:val="24"/>
          <w:lang w:val="en"/>
        </w:rPr>
        <w:t xml:space="preserve"> treatment were unclear or inadequate in this </w:t>
      </w:r>
      <w:r w:rsidR="00F054FE" w:rsidRPr="00115F98">
        <w:rPr>
          <w:rFonts w:ascii="Book Antiqua" w:hAnsi="Book Antiqua"/>
          <w:color w:val="000000" w:themeColor="text1"/>
          <w:sz w:val="24"/>
          <w:szCs w:val="24"/>
          <w:lang w:val="en"/>
        </w:rPr>
        <w:t xml:space="preserve">special </w:t>
      </w:r>
      <w:r w:rsidR="009C6361" w:rsidRPr="00115F98">
        <w:rPr>
          <w:rFonts w:ascii="Book Antiqua" w:hAnsi="Book Antiqua"/>
          <w:color w:val="000000" w:themeColor="text1"/>
          <w:sz w:val="24"/>
          <w:szCs w:val="24"/>
          <w:lang w:val="en"/>
        </w:rPr>
        <w:t>group of patients.</w:t>
      </w:r>
      <w:r w:rsidR="00F054FE" w:rsidRPr="00115F98">
        <w:rPr>
          <w:rFonts w:ascii="Book Antiqua" w:hAnsi="Book Antiqua"/>
          <w:color w:val="000000" w:themeColor="text1"/>
          <w:sz w:val="24"/>
          <w:szCs w:val="24"/>
        </w:rPr>
        <w:t xml:space="preserve"> </w:t>
      </w:r>
      <w:r w:rsidR="00F054FE" w:rsidRPr="00115F98">
        <w:rPr>
          <w:rFonts w:ascii="Book Antiqua" w:hAnsi="Book Antiqua"/>
          <w:color w:val="000000" w:themeColor="text1"/>
          <w:sz w:val="24"/>
          <w:szCs w:val="24"/>
          <w:lang w:val="en"/>
        </w:rPr>
        <w:t xml:space="preserve">All </w:t>
      </w:r>
      <w:r w:rsidR="0026736D" w:rsidRPr="00115F98">
        <w:rPr>
          <w:rFonts w:ascii="Book Antiqua" w:hAnsi="Book Antiqua"/>
          <w:color w:val="000000" w:themeColor="text1"/>
          <w:sz w:val="24"/>
          <w:szCs w:val="24"/>
          <w:lang w:val="en"/>
        </w:rPr>
        <w:t>th</w:t>
      </w:r>
      <w:r w:rsidR="0026736D">
        <w:rPr>
          <w:rFonts w:ascii="Book Antiqua" w:hAnsi="Book Antiqua"/>
          <w:color w:val="000000" w:themeColor="text1"/>
          <w:sz w:val="24"/>
          <w:szCs w:val="24"/>
          <w:lang w:val="en"/>
        </w:rPr>
        <w:t>ese</w:t>
      </w:r>
      <w:r w:rsidR="0026736D" w:rsidRPr="00115F98">
        <w:rPr>
          <w:rFonts w:ascii="Book Antiqua" w:hAnsi="Book Antiqua"/>
          <w:color w:val="000000" w:themeColor="text1"/>
          <w:sz w:val="24"/>
          <w:szCs w:val="24"/>
          <w:lang w:val="en"/>
        </w:rPr>
        <w:t xml:space="preserve"> </w:t>
      </w:r>
      <w:r w:rsidR="00685BBA" w:rsidRPr="00115F98">
        <w:rPr>
          <w:rFonts w:ascii="Book Antiqua" w:hAnsi="Book Antiqua"/>
          <w:color w:val="000000" w:themeColor="text1"/>
          <w:sz w:val="24"/>
          <w:szCs w:val="24"/>
          <w:lang w:val="en"/>
        </w:rPr>
        <w:t>may be</w:t>
      </w:r>
      <w:r w:rsidR="00F054FE" w:rsidRPr="00115F98">
        <w:rPr>
          <w:rFonts w:ascii="Book Antiqua" w:hAnsi="Book Antiqua"/>
          <w:color w:val="000000" w:themeColor="text1"/>
          <w:sz w:val="24"/>
          <w:szCs w:val="24"/>
          <w:lang w:val="en"/>
        </w:rPr>
        <w:t xml:space="preserve"> because</w:t>
      </w:r>
      <w:r w:rsidR="00D72F04" w:rsidRPr="00115F98">
        <w:rPr>
          <w:rFonts w:ascii="Book Antiqua" w:hAnsi="Book Antiqua"/>
          <w:color w:val="000000" w:themeColor="text1"/>
          <w:sz w:val="24"/>
          <w:szCs w:val="24"/>
        </w:rPr>
        <w:t xml:space="preserve"> </w:t>
      </w:r>
      <w:r w:rsidR="00D72F04" w:rsidRPr="00115F98">
        <w:rPr>
          <w:rFonts w:ascii="Book Antiqua" w:hAnsi="Book Antiqua"/>
          <w:color w:val="000000" w:themeColor="text1"/>
          <w:sz w:val="24"/>
          <w:szCs w:val="24"/>
          <w:lang w:val="en"/>
        </w:rPr>
        <w:t>PPIs are generally considered safe. However,</w:t>
      </w:r>
      <w:r w:rsidR="002C272B" w:rsidRPr="00115F98">
        <w:rPr>
          <w:rFonts w:ascii="Book Antiqua" w:hAnsi="Book Antiqua"/>
          <w:color w:val="000000" w:themeColor="text1"/>
          <w:sz w:val="24"/>
          <w:szCs w:val="24"/>
          <w:lang w:val="en"/>
        </w:rPr>
        <w:t xml:space="preserve"> this meta-analysis </w:t>
      </w:r>
      <w:r w:rsidR="00686C46" w:rsidRPr="00115F98">
        <w:rPr>
          <w:rFonts w:ascii="Book Antiqua" w:hAnsi="Book Antiqua"/>
          <w:color w:val="000000" w:themeColor="text1"/>
          <w:sz w:val="24"/>
          <w:szCs w:val="24"/>
          <w:lang w:val="en"/>
        </w:rPr>
        <w:t>shows that</w:t>
      </w:r>
      <w:r w:rsidR="00653A27" w:rsidRPr="00115F98">
        <w:rPr>
          <w:rFonts w:ascii="Book Antiqua" w:hAnsi="Book Antiqua"/>
          <w:color w:val="000000" w:themeColor="text1"/>
          <w:sz w:val="24"/>
          <w:szCs w:val="24"/>
          <w:lang w:val="en"/>
        </w:rPr>
        <w:t xml:space="preserve"> </w:t>
      </w:r>
      <w:r w:rsidR="007E3E5C" w:rsidRPr="00115F98">
        <w:rPr>
          <w:rFonts w:ascii="Book Antiqua" w:hAnsi="Book Antiqua"/>
          <w:color w:val="000000" w:themeColor="text1"/>
          <w:sz w:val="24"/>
          <w:szCs w:val="24"/>
          <w:lang w:val="en"/>
        </w:rPr>
        <w:t xml:space="preserve">using PPIs </w:t>
      </w:r>
      <w:r w:rsidR="00686C46" w:rsidRPr="00115F98">
        <w:rPr>
          <w:rFonts w:ascii="Book Antiqua" w:hAnsi="Book Antiqua"/>
          <w:color w:val="000000" w:themeColor="text1"/>
          <w:sz w:val="24"/>
          <w:szCs w:val="24"/>
          <w:lang w:val="en"/>
        </w:rPr>
        <w:t xml:space="preserve">is associated with an </w:t>
      </w:r>
      <w:r w:rsidR="009B0A3A" w:rsidRPr="00115F98">
        <w:rPr>
          <w:rFonts w:ascii="Book Antiqua" w:hAnsi="Book Antiqua"/>
          <w:color w:val="000000" w:themeColor="text1"/>
          <w:sz w:val="24"/>
          <w:szCs w:val="24"/>
          <w:lang w:val="en"/>
        </w:rPr>
        <w:t>increased</w:t>
      </w:r>
      <w:r w:rsidR="00686C46" w:rsidRPr="00115F98">
        <w:rPr>
          <w:rFonts w:ascii="Book Antiqua" w:hAnsi="Book Antiqua"/>
          <w:color w:val="000000" w:themeColor="text1"/>
          <w:sz w:val="24"/>
          <w:szCs w:val="24"/>
          <w:lang w:val="en"/>
        </w:rPr>
        <w:t xml:space="preserve"> risk of hepatic encephalopathy</w:t>
      </w:r>
      <w:r w:rsidR="009B0A3A" w:rsidRPr="00115F98">
        <w:rPr>
          <w:rFonts w:ascii="Book Antiqua" w:hAnsi="Book Antiqua"/>
          <w:color w:val="000000" w:themeColor="text1"/>
          <w:sz w:val="24"/>
          <w:szCs w:val="24"/>
          <w:lang w:val="en"/>
        </w:rPr>
        <w:t xml:space="preserve"> </w:t>
      </w:r>
      <w:r w:rsidR="00516B63" w:rsidRPr="00115F98">
        <w:rPr>
          <w:rFonts w:ascii="Book Antiqua" w:hAnsi="Book Antiqua"/>
          <w:color w:val="000000" w:themeColor="text1"/>
          <w:sz w:val="24"/>
          <w:szCs w:val="24"/>
          <w:lang w:val="en"/>
        </w:rPr>
        <w:t xml:space="preserve">(HE) </w:t>
      </w:r>
      <w:r w:rsidR="009B0A3A" w:rsidRPr="00115F98">
        <w:rPr>
          <w:rFonts w:ascii="Book Antiqua" w:hAnsi="Book Antiqua"/>
          <w:color w:val="000000" w:themeColor="text1"/>
          <w:sz w:val="24"/>
          <w:szCs w:val="24"/>
          <w:lang w:val="en"/>
        </w:rPr>
        <w:t>in patients with advanced liver disease.</w:t>
      </w:r>
      <w:r w:rsidR="00516B63" w:rsidRPr="00115F98">
        <w:rPr>
          <w:rFonts w:ascii="Book Antiqua" w:hAnsi="Book Antiqua"/>
          <w:color w:val="000000" w:themeColor="text1"/>
          <w:sz w:val="24"/>
          <w:szCs w:val="24"/>
          <w:lang w:val="en"/>
        </w:rPr>
        <w:t xml:space="preserve"> </w:t>
      </w:r>
      <w:r w:rsidR="00CB7DB1" w:rsidRPr="00115F98">
        <w:rPr>
          <w:rFonts w:ascii="Book Antiqua" w:hAnsi="Book Antiqua"/>
          <w:color w:val="000000" w:themeColor="text1"/>
          <w:sz w:val="24"/>
          <w:szCs w:val="24"/>
          <w:lang w:val="en"/>
        </w:rPr>
        <w:t>This reminds clinicians that</w:t>
      </w:r>
      <w:r w:rsidR="00CB7DB1" w:rsidRPr="00115F98">
        <w:rPr>
          <w:rFonts w:ascii="Book Antiqua" w:hAnsi="Book Antiqua"/>
          <w:color w:val="000000" w:themeColor="text1"/>
          <w:sz w:val="24"/>
          <w:szCs w:val="24"/>
        </w:rPr>
        <w:t xml:space="preserve"> </w:t>
      </w:r>
      <w:r w:rsidR="00CB7DB1" w:rsidRPr="00115F98">
        <w:rPr>
          <w:rFonts w:ascii="Book Antiqua" w:hAnsi="Book Antiqua"/>
          <w:color w:val="000000" w:themeColor="text1"/>
          <w:sz w:val="24"/>
          <w:szCs w:val="24"/>
          <w:lang w:val="en"/>
        </w:rPr>
        <w:t>inappropriate use of PPIs may be no</w:t>
      </w:r>
      <w:r w:rsidR="00866CFA" w:rsidRPr="00115F98">
        <w:rPr>
          <w:rFonts w:ascii="Book Antiqua" w:hAnsi="Book Antiqua"/>
          <w:color w:val="000000" w:themeColor="text1"/>
          <w:sz w:val="24"/>
          <w:szCs w:val="24"/>
          <w:lang w:val="en"/>
        </w:rPr>
        <w:t>t</w:t>
      </w:r>
      <w:r w:rsidR="00CB7DB1" w:rsidRPr="00115F98">
        <w:rPr>
          <w:rFonts w:ascii="Book Antiqua" w:hAnsi="Book Antiqua"/>
          <w:color w:val="000000" w:themeColor="text1"/>
          <w:sz w:val="24"/>
          <w:szCs w:val="24"/>
          <w:lang w:val="en"/>
        </w:rPr>
        <w:t xml:space="preserve"> beneficial but put patients at an elevated risk of HE. </w:t>
      </w:r>
      <w:r w:rsidR="001903B7" w:rsidRPr="00115F98">
        <w:rPr>
          <w:rFonts w:ascii="Book Antiqua" w:hAnsi="Book Antiqua"/>
          <w:color w:val="000000" w:themeColor="text1"/>
          <w:sz w:val="24"/>
          <w:szCs w:val="24"/>
          <w:lang w:val="en"/>
        </w:rPr>
        <w:t xml:space="preserve">These findings </w:t>
      </w:r>
      <w:r w:rsidR="0086293F" w:rsidRPr="00115F98">
        <w:rPr>
          <w:rFonts w:ascii="Book Antiqua" w:hAnsi="Book Antiqua"/>
          <w:color w:val="000000" w:themeColor="text1"/>
          <w:sz w:val="24"/>
          <w:szCs w:val="24"/>
          <w:lang w:val="en"/>
        </w:rPr>
        <w:t>still need to be confirmed by more high-quality prospective studies</w:t>
      </w:r>
      <w:r w:rsidR="001A23AC" w:rsidRPr="00115F98">
        <w:rPr>
          <w:rFonts w:ascii="Book Antiqua" w:hAnsi="Book Antiqua"/>
          <w:color w:val="000000" w:themeColor="text1"/>
          <w:sz w:val="24"/>
          <w:szCs w:val="24"/>
          <w:lang w:val="en"/>
        </w:rPr>
        <w:t xml:space="preserve"> because of the limitations of </w:t>
      </w:r>
      <w:r w:rsidR="001B2D13" w:rsidRPr="00115F98">
        <w:rPr>
          <w:rFonts w:ascii="Book Antiqua" w:hAnsi="Book Antiqua"/>
          <w:color w:val="000000" w:themeColor="text1"/>
          <w:sz w:val="24"/>
          <w:szCs w:val="24"/>
          <w:lang w:val="en"/>
        </w:rPr>
        <w:t>this meta-analysis</w:t>
      </w:r>
      <w:r w:rsidR="00CB7DB1" w:rsidRPr="00115F98">
        <w:rPr>
          <w:rFonts w:ascii="Book Antiqua" w:hAnsi="Book Antiqua"/>
          <w:color w:val="000000" w:themeColor="text1"/>
          <w:sz w:val="24"/>
          <w:szCs w:val="24"/>
          <w:lang w:val="en"/>
        </w:rPr>
        <w:t xml:space="preserve">. </w:t>
      </w:r>
    </w:p>
    <w:p w14:paraId="7B01FCDC" w14:textId="77777777" w:rsidR="00947462" w:rsidRPr="00115F98" w:rsidRDefault="00947462" w:rsidP="00947462">
      <w:pPr>
        <w:autoSpaceDE w:val="0"/>
        <w:autoSpaceDN w:val="0"/>
        <w:adjustRightInd w:val="0"/>
        <w:snapToGrid w:val="0"/>
        <w:spacing w:line="360" w:lineRule="auto"/>
        <w:rPr>
          <w:rFonts w:ascii="Book Antiqua" w:hAnsi="Book Antiqua" w:cs="Garamond-Bold"/>
          <w:bCs/>
          <w:color w:val="000000" w:themeColor="text1"/>
          <w:sz w:val="24"/>
          <w:szCs w:val="24"/>
        </w:rPr>
      </w:pPr>
    </w:p>
    <w:p w14:paraId="3C8B8FE1" w14:textId="50000284" w:rsidR="00B94402" w:rsidRPr="00115F98" w:rsidRDefault="006B6933" w:rsidP="00947462">
      <w:pPr>
        <w:autoSpaceDE w:val="0"/>
        <w:autoSpaceDN w:val="0"/>
        <w:adjustRightInd w:val="0"/>
        <w:snapToGrid w:val="0"/>
        <w:spacing w:line="360" w:lineRule="auto"/>
        <w:rPr>
          <w:rFonts w:ascii="Book Antiqua" w:hAnsi="Book Antiqua" w:cs="Times New Roman"/>
          <w:color w:val="000000" w:themeColor="text1"/>
          <w:kern w:val="0"/>
          <w:sz w:val="24"/>
          <w:szCs w:val="24"/>
        </w:rPr>
      </w:pPr>
      <w:proofErr w:type="spellStart"/>
      <w:r w:rsidRPr="00115F98">
        <w:rPr>
          <w:rFonts w:ascii="Book Antiqua" w:hAnsi="Book Antiqua" w:cs="Garamond-Bold"/>
          <w:bCs/>
          <w:color w:val="000000" w:themeColor="text1"/>
          <w:sz w:val="24"/>
          <w:szCs w:val="24"/>
        </w:rPr>
        <w:t>Tantai</w:t>
      </w:r>
      <w:proofErr w:type="spellEnd"/>
      <w:r w:rsidRPr="00115F98">
        <w:rPr>
          <w:rFonts w:ascii="Book Antiqua" w:hAnsi="Book Antiqua" w:cs="Garamond-Bold"/>
          <w:bCs/>
          <w:color w:val="000000" w:themeColor="text1"/>
          <w:sz w:val="24"/>
          <w:szCs w:val="24"/>
        </w:rPr>
        <w:t xml:space="preserve"> XX</w:t>
      </w:r>
      <w:r w:rsidR="00947462" w:rsidRPr="00115F98">
        <w:rPr>
          <w:rFonts w:ascii="Book Antiqua" w:hAnsi="Book Antiqua" w:cs="Garamond-Bold"/>
          <w:bCs/>
          <w:color w:val="000000" w:themeColor="text1"/>
          <w:sz w:val="24"/>
          <w:szCs w:val="24"/>
        </w:rPr>
        <w:t xml:space="preserve">, </w:t>
      </w:r>
      <w:r w:rsidR="00947462" w:rsidRPr="00115F98">
        <w:rPr>
          <w:rFonts w:ascii="Book Antiqua" w:hAnsi="Book Antiqua" w:cs="Times New Roman"/>
          <w:color w:val="000000" w:themeColor="text1"/>
          <w:sz w:val="24"/>
          <w:szCs w:val="24"/>
        </w:rPr>
        <w:t>Yang LB, Wei ZC, Xiao CL, Chen LR, Wang JH, Liu N.</w:t>
      </w:r>
      <w:r w:rsidRPr="00115F98">
        <w:rPr>
          <w:rFonts w:ascii="Book Antiqua" w:hAnsi="Book Antiqua" w:cs="Garamond-Bold"/>
          <w:bCs/>
          <w:color w:val="000000" w:themeColor="text1"/>
          <w:sz w:val="24"/>
          <w:szCs w:val="24"/>
        </w:rPr>
        <w:t xml:space="preserve"> </w:t>
      </w:r>
      <w:r w:rsidRPr="00115F98">
        <w:rPr>
          <w:rFonts w:ascii="Book Antiqua" w:eastAsia="Times New Roman" w:hAnsi="Book Antiqua" w:cs="Times New Roman"/>
          <w:color w:val="000000" w:themeColor="text1"/>
          <w:kern w:val="0"/>
          <w:sz w:val="24"/>
          <w:szCs w:val="24"/>
        </w:rPr>
        <w:t>Association of proton pump inhibitors</w:t>
      </w:r>
      <w:r w:rsidRPr="00115F98">
        <w:rPr>
          <w:rFonts w:ascii="Book Antiqua"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with</w:t>
      </w:r>
      <w:r w:rsidR="0026736D">
        <w:rPr>
          <w:rFonts w:ascii="Book Antiqua" w:eastAsia="Times New Roman"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risk of hepatic encephalopathy in</w:t>
      </w:r>
      <w:r w:rsidRPr="00115F98">
        <w:rPr>
          <w:rFonts w:ascii="Book Antiqua" w:hAnsi="Book Antiqua"/>
          <w:color w:val="000000" w:themeColor="text1"/>
          <w:sz w:val="24"/>
          <w:szCs w:val="24"/>
        </w:rPr>
        <w:t xml:space="preserve"> </w:t>
      </w:r>
      <w:r w:rsidRPr="00115F98">
        <w:rPr>
          <w:rFonts w:ascii="Book Antiqua" w:eastAsia="Times New Roman" w:hAnsi="Book Antiqua" w:cs="Times New Roman"/>
          <w:color w:val="000000" w:themeColor="text1"/>
          <w:kern w:val="0"/>
          <w:sz w:val="24"/>
          <w:szCs w:val="24"/>
        </w:rPr>
        <w:t>advanced liver disease: A meta-analysis</w:t>
      </w:r>
      <w:r w:rsidR="00947462" w:rsidRPr="00115F98">
        <w:rPr>
          <w:rFonts w:ascii="Book Antiqua" w:eastAsia="Times New Roman" w:hAnsi="Book Antiqua" w:cs="Times New Roman"/>
          <w:color w:val="000000" w:themeColor="text1"/>
          <w:kern w:val="0"/>
          <w:sz w:val="24"/>
          <w:szCs w:val="24"/>
        </w:rPr>
        <w:t xml:space="preserve">. </w:t>
      </w:r>
      <w:r w:rsidR="00947462" w:rsidRPr="00115F98">
        <w:rPr>
          <w:rFonts w:ascii="Book Antiqua" w:eastAsia="Times New Roman" w:hAnsi="Book Antiqua" w:cs="Times New Roman"/>
          <w:i/>
          <w:color w:val="000000" w:themeColor="text1"/>
          <w:kern w:val="0"/>
          <w:sz w:val="24"/>
          <w:szCs w:val="24"/>
        </w:rPr>
        <w:t xml:space="preserve">World J </w:t>
      </w:r>
      <w:proofErr w:type="spellStart"/>
      <w:r w:rsidR="00947462" w:rsidRPr="00115F98">
        <w:rPr>
          <w:rFonts w:ascii="Book Antiqua" w:eastAsia="Times New Roman" w:hAnsi="Book Antiqua" w:cs="Times New Roman"/>
          <w:i/>
          <w:color w:val="000000" w:themeColor="text1"/>
          <w:kern w:val="0"/>
          <w:sz w:val="24"/>
          <w:szCs w:val="24"/>
        </w:rPr>
        <w:t>Gastroenterol</w:t>
      </w:r>
      <w:proofErr w:type="spellEnd"/>
      <w:r w:rsidR="00947462" w:rsidRPr="00115F98">
        <w:rPr>
          <w:rFonts w:ascii="Book Antiqua" w:eastAsia="Times New Roman" w:hAnsi="Book Antiqua" w:cs="Times New Roman"/>
          <w:i/>
          <w:color w:val="000000" w:themeColor="text1"/>
          <w:kern w:val="0"/>
          <w:sz w:val="24"/>
          <w:szCs w:val="24"/>
        </w:rPr>
        <w:t xml:space="preserve"> </w:t>
      </w:r>
      <w:r w:rsidR="00947462" w:rsidRPr="00115F98">
        <w:rPr>
          <w:rFonts w:ascii="Book Antiqua" w:eastAsia="Times New Roman" w:hAnsi="Book Antiqua" w:cs="Times New Roman"/>
          <w:color w:val="000000" w:themeColor="text1"/>
          <w:kern w:val="0"/>
          <w:sz w:val="24"/>
          <w:szCs w:val="24"/>
        </w:rPr>
        <w:t>2019; In press</w:t>
      </w:r>
    </w:p>
    <w:bookmarkEnd w:id="35"/>
    <w:p w14:paraId="78701BA3" w14:textId="26F8FA21" w:rsidR="00D3451A" w:rsidRPr="00115F98" w:rsidRDefault="00D3451A" w:rsidP="001C4059">
      <w:pPr>
        <w:widowControl/>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br w:type="page"/>
      </w:r>
    </w:p>
    <w:p w14:paraId="71C3F707" w14:textId="51728BFA" w:rsidR="002878A3" w:rsidRPr="00115F98" w:rsidRDefault="00106496"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color w:val="000000" w:themeColor="text1"/>
          <w:sz w:val="24"/>
          <w:szCs w:val="24"/>
        </w:rPr>
        <w:lastRenderedPageBreak/>
        <w:t>INTRODUCTION</w:t>
      </w:r>
    </w:p>
    <w:p w14:paraId="05E8CF04" w14:textId="135AE345" w:rsidR="002878A3" w:rsidRPr="00115F98" w:rsidRDefault="002878A3" w:rsidP="00106496">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115F98">
        <w:rPr>
          <w:rFonts w:ascii="Book Antiqua" w:eastAsia="Times New Roman" w:hAnsi="Book Antiqua" w:cs="Times New Roman"/>
          <w:color w:val="000000" w:themeColor="text1"/>
          <w:kern w:val="0"/>
          <w:sz w:val="24"/>
          <w:szCs w:val="24"/>
        </w:rPr>
        <w:t>Hepatic encephalopathy (HE) is a serious neuropsychiatric syndrome usually identified in patients with</w:t>
      </w:r>
      <w:r w:rsidRPr="00115F98">
        <w:rPr>
          <w:rFonts w:ascii="Book Antiqua"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advanced liver disease, which manifests along a spectrum spanning from minimal cognitive dysfunction to states of confusion and even</w:t>
      </w:r>
      <w:r w:rsidRPr="00115F98">
        <w:rPr>
          <w:rFonts w:ascii="Book Antiqua"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coma</w:t>
      </w:r>
      <w:r w:rsidR="006A2692" w:rsidRPr="00115F98">
        <w:rPr>
          <w:rFonts w:ascii="Book Antiqua" w:eastAsia="Times New Roman" w:hAnsi="Book Antiqua" w:cs="Times New Roman"/>
          <w:color w:val="000000" w:themeColor="text1"/>
          <w:kern w:val="0"/>
          <w:sz w:val="24"/>
          <w:szCs w:val="24"/>
          <w:vertAlign w:val="superscript"/>
        </w:rPr>
        <w:t>[</w:t>
      </w:r>
      <w:r w:rsidRPr="00115F98">
        <w:rPr>
          <w:rFonts w:ascii="Book Antiqua" w:hAnsi="Book Antiqua" w:cs="Times New Roman"/>
          <w:color w:val="000000" w:themeColor="text1"/>
          <w:kern w:val="0"/>
          <w:sz w:val="24"/>
          <w:szCs w:val="24"/>
          <w:vertAlign w:val="superscript"/>
        </w:rPr>
        <w:t>1,2</w:t>
      </w:r>
      <w:r w:rsidR="006A2692" w:rsidRPr="00115F98">
        <w:rPr>
          <w:rFonts w:ascii="Book Antiqua" w:hAnsi="Book Antiqua" w:cs="Times New Roman"/>
          <w:color w:val="000000" w:themeColor="text1"/>
          <w:kern w:val="0"/>
          <w:sz w:val="24"/>
          <w:szCs w:val="24"/>
          <w:vertAlign w:val="superscript"/>
        </w:rPr>
        <w:t>]</w:t>
      </w:r>
      <w:r w:rsidR="006A2692" w:rsidRPr="00115F98">
        <w:rPr>
          <w:rFonts w:ascii="Book Antiqua" w:eastAsia="Times New Roman"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HE can be subdivided into covert (minimal, grade 1) and overt (HE</w:t>
      </w:r>
      <w:r w:rsidRPr="00115F98">
        <w:rPr>
          <w:rFonts w:ascii="Book Antiqua"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grades</w:t>
      </w:r>
      <w:r w:rsidRPr="00115F98">
        <w:rPr>
          <w:rFonts w:ascii="Book Antiqua" w:hAnsi="Book Antiqua" w:cs="Times New Roman"/>
          <w:color w:val="000000" w:themeColor="text1"/>
          <w:sz w:val="24"/>
          <w:szCs w:val="24"/>
        </w:rPr>
        <w:t xml:space="preserve"> 2-4) according</w:t>
      </w:r>
      <w:r w:rsidRPr="00115F98">
        <w:rPr>
          <w:rFonts w:ascii="Book Antiqua" w:eastAsia="Times New Roman" w:hAnsi="Book Antiqua" w:cs="Times New Roman"/>
          <w:color w:val="000000" w:themeColor="text1"/>
          <w:kern w:val="0"/>
          <w:sz w:val="24"/>
          <w:szCs w:val="24"/>
        </w:rPr>
        <w:t xml:space="preserve"> to the severity of the manifestations</w:t>
      </w:r>
      <w:r w:rsidR="0075126D" w:rsidRPr="00115F98">
        <w:rPr>
          <w:rFonts w:ascii="Book Antiqua" w:eastAsia="Times New Roman" w:hAnsi="Book Antiqua" w:cs="Times New Roman"/>
          <w:color w:val="000000" w:themeColor="text1"/>
          <w:kern w:val="0"/>
          <w:sz w:val="24"/>
          <w:szCs w:val="24"/>
          <w:vertAlign w:val="superscript"/>
        </w:rPr>
        <w:t>[</w:t>
      </w:r>
      <w:r w:rsidRPr="00115F98">
        <w:rPr>
          <w:rFonts w:ascii="Book Antiqua" w:hAnsi="Book Antiqua" w:cs="Times New Roman"/>
          <w:color w:val="000000" w:themeColor="text1"/>
          <w:kern w:val="0"/>
          <w:sz w:val="24"/>
          <w:szCs w:val="24"/>
          <w:vertAlign w:val="superscript"/>
        </w:rPr>
        <w:t>2</w:t>
      </w:r>
      <w:r w:rsidR="0075126D" w:rsidRPr="00115F98">
        <w:rPr>
          <w:rFonts w:ascii="Book Antiqua" w:hAnsi="Book Antiqua" w:cs="Times New Roman"/>
          <w:color w:val="000000" w:themeColor="text1"/>
          <w:kern w:val="0"/>
          <w:sz w:val="24"/>
          <w:szCs w:val="24"/>
          <w:vertAlign w:val="superscript"/>
        </w:rPr>
        <w:t>]</w:t>
      </w:r>
      <w:r w:rsidR="0075126D"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 M</w:t>
      </w:r>
      <w:r w:rsidRPr="00115F98">
        <w:rPr>
          <w:rFonts w:ascii="Book Antiqua" w:eastAsia="Times New Roman" w:hAnsi="Book Antiqua" w:cs="Times New Roman"/>
          <w:color w:val="000000" w:themeColor="text1"/>
          <w:kern w:val="0"/>
          <w:sz w:val="24"/>
          <w:szCs w:val="24"/>
        </w:rPr>
        <w:t>inimal HE or covert HE is reported in 20%</w:t>
      </w:r>
      <w:r w:rsidR="006439FE" w:rsidRPr="00115F98">
        <w:rPr>
          <w:rFonts w:ascii="Book Antiqua" w:eastAsia="Times New Roman" w:hAnsi="Book Antiqua" w:cs="Times New Roman"/>
          <w:color w:val="000000" w:themeColor="text1"/>
          <w:kern w:val="0"/>
          <w:sz w:val="24"/>
          <w:szCs w:val="24"/>
        </w:rPr>
        <w:t>-</w:t>
      </w:r>
      <w:r w:rsidRPr="00115F98">
        <w:rPr>
          <w:rFonts w:ascii="Book Antiqua" w:eastAsia="Times New Roman" w:hAnsi="Book Antiqua" w:cs="Times New Roman"/>
          <w:color w:val="000000" w:themeColor="text1"/>
          <w:kern w:val="0"/>
          <w:sz w:val="24"/>
          <w:szCs w:val="24"/>
        </w:rPr>
        <w:t>80% of patients with cirrhosis, and the incidence of overt HE is</w:t>
      </w:r>
      <w:r w:rsidRPr="00115F98">
        <w:rPr>
          <w:rFonts w:ascii="Book Antiqua"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30</w:t>
      </w:r>
      <w:r w:rsidR="006439FE" w:rsidRPr="00115F98">
        <w:rPr>
          <w:rFonts w:ascii="Book Antiqua" w:eastAsia="Times New Roman" w:hAnsi="Book Antiqua" w:cs="Times New Roman"/>
          <w:color w:val="000000" w:themeColor="text1"/>
          <w:kern w:val="0"/>
          <w:sz w:val="24"/>
          <w:szCs w:val="24"/>
        </w:rPr>
        <w:t>%-</w:t>
      </w:r>
      <w:r w:rsidRPr="00115F98">
        <w:rPr>
          <w:rFonts w:ascii="Book Antiqua" w:eastAsia="Times New Roman" w:hAnsi="Book Antiqua" w:cs="Times New Roman"/>
          <w:color w:val="000000" w:themeColor="text1"/>
          <w:kern w:val="0"/>
          <w:sz w:val="24"/>
          <w:szCs w:val="24"/>
        </w:rPr>
        <w:t>40%</w:t>
      </w:r>
      <w:r w:rsidR="0040398F" w:rsidRPr="00115F98">
        <w:rPr>
          <w:rFonts w:ascii="Book Antiqua" w:eastAsia="Times New Roman" w:hAnsi="Book Antiqua" w:cs="Times New Roman"/>
          <w:color w:val="000000" w:themeColor="text1"/>
          <w:kern w:val="0"/>
          <w:sz w:val="24"/>
          <w:szCs w:val="24"/>
          <w:vertAlign w:val="superscript"/>
        </w:rPr>
        <w:t>[</w:t>
      </w:r>
      <w:r w:rsidR="0040398F" w:rsidRPr="00115F98">
        <w:rPr>
          <w:rFonts w:ascii="Book Antiqua" w:hAnsi="Book Antiqua" w:cs="Times New Roman"/>
          <w:color w:val="000000" w:themeColor="text1"/>
          <w:kern w:val="0"/>
          <w:sz w:val="24"/>
          <w:szCs w:val="24"/>
          <w:vertAlign w:val="superscript"/>
        </w:rPr>
        <w:t>2]</w:t>
      </w:r>
      <w:r w:rsidR="0040398F" w:rsidRPr="00115F98">
        <w:rPr>
          <w:rFonts w:ascii="Book Antiqua" w:hAnsi="Book Antiqua" w:cs="Times New Roman"/>
          <w:color w:val="000000" w:themeColor="text1"/>
          <w:kern w:val="0"/>
          <w:sz w:val="24"/>
          <w:szCs w:val="24"/>
        </w:rPr>
        <w:t>.</w:t>
      </w:r>
      <w:r w:rsidRPr="00115F98">
        <w:rPr>
          <w:rFonts w:ascii="Book Antiqua" w:eastAsia="Times New Roman" w:hAnsi="Book Antiqua" w:cs="Times New Roman"/>
          <w:color w:val="000000" w:themeColor="text1"/>
          <w:kern w:val="0"/>
          <w:sz w:val="24"/>
          <w:szCs w:val="24"/>
        </w:rPr>
        <w:t xml:space="preserve"> These complications are </w:t>
      </w:r>
      <w:r w:rsidRPr="00115F98">
        <w:rPr>
          <w:rFonts w:ascii="Book Antiqua" w:hAnsi="Book Antiqua" w:cs="Times New Roman"/>
          <w:color w:val="000000" w:themeColor="text1"/>
          <w:sz w:val="24"/>
          <w:szCs w:val="24"/>
        </w:rPr>
        <w:t>associated with impaired quality of life and poor prognosis</w:t>
      </w:r>
      <w:r w:rsidR="00D53E9F" w:rsidRPr="00115F98">
        <w:rPr>
          <w:rFonts w:ascii="Book Antiqua" w:hAnsi="Book Antiqua" w:cs="Times New Roman"/>
          <w:color w:val="000000" w:themeColor="text1"/>
          <w:sz w:val="24"/>
          <w:szCs w:val="24"/>
          <w:vertAlign w:val="superscript"/>
        </w:rPr>
        <w:t>[</w:t>
      </w:r>
      <w:r w:rsidR="00D53E9F" w:rsidRPr="00115F98">
        <w:rPr>
          <w:rFonts w:ascii="Book Antiqua" w:hAnsi="Book Antiqua" w:cs="Times New Roman"/>
          <w:color w:val="000000" w:themeColor="text1"/>
          <w:kern w:val="0"/>
          <w:sz w:val="24"/>
          <w:szCs w:val="24"/>
          <w:vertAlign w:val="superscript"/>
        </w:rPr>
        <w:t>2,3]</w:t>
      </w:r>
      <w:r w:rsidRPr="00115F98">
        <w:rPr>
          <w:rFonts w:ascii="Book Antiqua" w:hAnsi="Book Antiqua" w:cs="Times New Roman"/>
          <w:color w:val="000000" w:themeColor="text1"/>
          <w:sz w:val="24"/>
          <w:szCs w:val="24"/>
        </w:rPr>
        <w:t>.</w:t>
      </w:r>
      <w:r w:rsidRPr="00115F98">
        <w:rPr>
          <w:rFonts w:ascii="Book Antiqua" w:eastAsia="Times New Roman" w:hAnsi="Book Antiqua" w:cs="Times New Roman"/>
          <w:color w:val="000000" w:themeColor="text1"/>
          <w:kern w:val="0"/>
          <w:sz w:val="24"/>
          <w:szCs w:val="24"/>
        </w:rPr>
        <w:t xml:space="preserve"> At present, several factors have been identified that </w:t>
      </w:r>
      <w:r w:rsidR="00F843B2" w:rsidRPr="00115F98">
        <w:rPr>
          <w:rFonts w:ascii="Book Antiqua" w:eastAsia="Times New Roman" w:hAnsi="Book Antiqua" w:cs="Times New Roman"/>
          <w:color w:val="000000" w:themeColor="text1"/>
          <w:kern w:val="0"/>
          <w:sz w:val="24"/>
          <w:szCs w:val="24"/>
        </w:rPr>
        <w:t>induce</w:t>
      </w:r>
      <w:r w:rsidRPr="00115F98">
        <w:rPr>
          <w:rFonts w:ascii="Book Antiqua" w:eastAsia="Times New Roman" w:hAnsi="Book Antiqua" w:cs="Times New Roman"/>
          <w:color w:val="000000" w:themeColor="text1"/>
          <w:kern w:val="0"/>
          <w:sz w:val="24"/>
          <w:szCs w:val="24"/>
        </w:rPr>
        <w:t xml:space="preserve"> the incidence of HE, such as infection</w:t>
      </w:r>
      <w:r w:rsidRPr="00115F98">
        <w:rPr>
          <w:rFonts w:ascii="Book Antiqua" w:eastAsia="宋体"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constipation</w:t>
      </w:r>
      <w:r w:rsidRPr="00115F98">
        <w:rPr>
          <w:rFonts w:ascii="Book Antiqua" w:eastAsia="宋体"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gastrointestinal bleeding</w:t>
      </w:r>
      <w:r w:rsidRPr="00115F98">
        <w:rPr>
          <w:rFonts w:ascii="Book Antiqua" w:eastAsia="宋体" w:hAnsi="Book Antiqua" w:cs="Times New Roman"/>
          <w:color w:val="000000" w:themeColor="text1"/>
          <w:kern w:val="0"/>
          <w:sz w:val="24"/>
          <w:szCs w:val="24"/>
        </w:rPr>
        <w:t xml:space="preserve">, </w:t>
      </w:r>
      <w:r w:rsidRPr="00115F98">
        <w:rPr>
          <w:rFonts w:ascii="Book Antiqua" w:eastAsia="Times New Roman" w:hAnsi="Book Antiqua" w:cs="Times New Roman"/>
          <w:color w:val="000000" w:themeColor="text1"/>
          <w:kern w:val="0"/>
          <w:sz w:val="24"/>
          <w:szCs w:val="24"/>
        </w:rPr>
        <w:t>and the use of some nervous system drugs</w:t>
      </w:r>
      <w:r w:rsidR="00072F54" w:rsidRPr="00115F98">
        <w:rPr>
          <w:rFonts w:ascii="Book Antiqua" w:eastAsia="Times New Roman" w:hAnsi="Book Antiqua" w:cs="Times New Roman"/>
          <w:color w:val="000000" w:themeColor="text1"/>
          <w:kern w:val="0"/>
          <w:sz w:val="24"/>
          <w:szCs w:val="24"/>
          <w:vertAlign w:val="superscript"/>
        </w:rPr>
        <w:t>[</w:t>
      </w:r>
      <w:r w:rsidR="00072F54" w:rsidRPr="00115F98">
        <w:rPr>
          <w:rFonts w:ascii="Book Antiqua" w:hAnsi="Book Antiqua" w:cs="Times New Roman"/>
          <w:color w:val="000000" w:themeColor="text1"/>
          <w:kern w:val="0"/>
          <w:sz w:val="24"/>
          <w:szCs w:val="24"/>
          <w:vertAlign w:val="superscript"/>
        </w:rPr>
        <w:t>2]</w:t>
      </w:r>
      <w:r w:rsidR="00072F54" w:rsidRPr="00115F98">
        <w:rPr>
          <w:rFonts w:ascii="Book Antiqua" w:hAnsi="Book Antiqua" w:cs="Times New Roman"/>
          <w:color w:val="000000" w:themeColor="text1"/>
          <w:kern w:val="0"/>
          <w:sz w:val="24"/>
          <w:szCs w:val="24"/>
        </w:rPr>
        <w:t>.</w:t>
      </w:r>
      <w:r w:rsidRPr="00115F98">
        <w:rPr>
          <w:rFonts w:ascii="Book Antiqua" w:eastAsia="Times New Roman" w:hAnsi="Book Antiqua" w:cs="Times New Roman"/>
          <w:color w:val="000000" w:themeColor="text1"/>
          <w:kern w:val="0"/>
          <w:sz w:val="24"/>
          <w:szCs w:val="24"/>
        </w:rPr>
        <w:t xml:space="preserve"> However, unknown influential factors still need to be explored to facilitate better management of patients with chronic liver disease.</w:t>
      </w:r>
    </w:p>
    <w:p w14:paraId="4E3E9AE3" w14:textId="772049C5" w:rsidR="006439FE" w:rsidRPr="00115F98" w:rsidRDefault="002878A3" w:rsidP="006439FE">
      <w:pPr>
        <w:autoSpaceDE w:val="0"/>
        <w:autoSpaceDN w:val="0"/>
        <w:adjustRightInd w:val="0"/>
        <w:spacing w:line="360" w:lineRule="auto"/>
        <w:ind w:firstLineChars="100" w:firstLine="240"/>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 xml:space="preserve">With an excellent safety profile, proton pump inhibitors (PPIs) are commonly prescribed for peptic ulcer disease, reflux disease, esophagitis, </w:t>
      </w:r>
      <w:proofErr w:type="spellStart"/>
      <w:r w:rsidRPr="00115F98">
        <w:rPr>
          <w:rFonts w:ascii="Book Antiqua" w:hAnsi="Book Antiqua" w:cs="Times New Roman"/>
          <w:color w:val="000000" w:themeColor="text1"/>
          <w:sz w:val="24"/>
          <w:szCs w:val="24"/>
        </w:rPr>
        <w:t>nonvariceal</w:t>
      </w:r>
      <w:proofErr w:type="spellEnd"/>
      <w:r w:rsidRPr="00115F98">
        <w:rPr>
          <w:rFonts w:ascii="Book Antiqua" w:hAnsi="Book Antiqua" w:cs="Times New Roman"/>
          <w:color w:val="000000" w:themeColor="text1"/>
          <w:sz w:val="24"/>
          <w:szCs w:val="24"/>
        </w:rPr>
        <w:t xml:space="preserve"> upper gastrointestinal bleeding, </w:t>
      </w:r>
      <w:proofErr w:type="spellStart"/>
      <w:r w:rsidRPr="00115F98">
        <w:rPr>
          <w:rFonts w:ascii="Book Antiqua" w:eastAsia="等线" w:hAnsi="Book Antiqua" w:cs="Times New Roman"/>
          <w:i/>
          <w:color w:val="000000" w:themeColor="text1"/>
          <w:sz w:val="24"/>
          <w:szCs w:val="24"/>
        </w:rPr>
        <w:t>etc</w:t>
      </w:r>
      <w:proofErr w:type="spellEnd"/>
      <w:r w:rsidR="00F4717D" w:rsidRPr="00115F98">
        <w:rPr>
          <w:rFonts w:ascii="Book Antiqua" w:eastAsia="Times New Roman" w:hAnsi="Book Antiqua" w:cs="Times New Roman"/>
          <w:color w:val="000000" w:themeColor="text1"/>
          <w:kern w:val="0"/>
          <w:sz w:val="24"/>
          <w:szCs w:val="24"/>
          <w:vertAlign w:val="superscript"/>
        </w:rPr>
        <w:t>[</w:t>
      </w:r>
      <w:r w:rsidR="00F4717D" w:rsidRPr="00115F98">
        <w:rPr>
          <w:rFonts w:ascii="Book Antiqua" w:hAnsi="Book Antiqua" w:cs="Times New Roman"/>
          <w:color w:val="000000" w:themeColor="text1"/>
          <w:kern w:val="0"/>
          <w:sz w:val="24"/>
          <w:szCs w:val="24"/>
          <w:vertAlign w:val="superscript"/>
        </w:rPr>
        <w:t>4]</w:t>
      </w:r>
      <w:r w:rsidRPr="00115F98">
        <w:rPr>
          <w:rFonts w:ascii="Book Antiqua" w:hAnsi="Book Antiqua" w:cs="Times New Roman"/>
          <w:color w:val="000000" w:themeColor="text1"/>
          <w:sz w:val="24"/>
          <w:szCs w:val="24"/>
        </w:rPr>
        <w:t>. PPIs are very commonly used by as many as 46</w:t>
      </w:r>
      <w:r w:rsidR="006439FE" w:rsidRPr="00115F98">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-78% of patients with cirrhosis, and the excessive use of PPIs leads to a poor prognosis</w:t>
      </w:r>
      <w:r w:rsidR="002416C0" w:rsidRPr="00115F98">
        <w:rPr>
          <w:rFonts w:ascii="Book Antiqua" w:eastAsia="Times New Roman" w:hAnsi="Book Antiqua" w:cs="Times New Roman"/>
          <w:color w:val="000000" w:themeColor="text1"/>
          <w:kern w:val="0"/>
          <w:sz w:val="24"/>
          <w:szCs w:val="24"/>
          <w:vertAlign w:val="superscript"/>
        </w:rPr>
        <w:t>[</w:t>
      </w:r>
      <w:r w:rsidR="002416C0" w:rsidRPr="00115F98">
        <w:rPr>
          <w:rFonts w:ascii="Book Antiqua" w:hAnsi="Book Antiqua" w:cs="Times New Roman"/>
          <w:color w:val="000000" w:themeColor="text1"/>
          <w:kern w:val="0"/>
          <w:sz w:val="24"/>
          <w:szCs w:val="24"/>
          <w:vertAlign w:val="superscript"/>
        </w:rPr>
        <w:t>5-7]</w:t>
      </w:r>
      <w:r w:rsidRPr="00115F98">
        <w:rPr>
          <w:rFonts w:ascii="Book Antiqua" w:hAnsi="Book Antiqua" w:cs="Times New Roman"/>
          <w:color w:val="000000" w:themeColor="text1"/>
          <w:sz w:val="24"/>
          <w:szCs w:val="24"/>
        </w:rPr>
        <w:t xml:space="preserve">. By altering intestinal microflora and increasing bacterial proliferation, previous studies have reported that </w:t>
      </w:r>
      <w:r w:rsidRPr="00115F98">
        <w:rPr>
          <w:rFonts w:ascii="Book Antiqua" w:eastAsia="等线" w:hAnsi="Book Antiqua" w:cs="Times New Roman"/>
          <w:color w:val="000000" w:themeColor="text1"/>
          <w:sz w:val="24"/>
          <w:szCs w:val="24"/>
        </w:rPr>
        <w:t>PPI</w:t>
      </w:r>
      <w:r w:rsidRPr="00115F98">
        <w:rPr>
          <w:rFonts w:ascii="Book Antiqua" w:hAnsi="Book Antiqua" w:cs="Times New Roman"/>
          <w:color w:val="000000" w:themeColor="text1"/>
          <w:sz w:val="24"/>
          <w:szCs w:val="24"/>
        </w:rPr>
        <w:t xml:space="preserve"> treatment is associated with small intestinal bacterial overgrowth (SIBO), spontaneous bacterial peritonitis</w:t>
      </w:r>
      <w:r w:rsidR="00150C7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 and other bacterial infections in patients with cirrhosis</w:t>
      </w:r>
      <w:r w:rsidR="00B61259" w:rsidRPr="00115F98">
        <w:rPr>
          <w:rFonts w:ascii="Book Antiqua" w:eastAsia="Times New Roman" w:hAnsi="Book Antiqua" w:cs="Times New Roman"/>
          <w:color w:val="000000" w:themeColor="text1"/>
          <w:kern w:val="0"/>
          <w:sz w:val="24"/>
          <w:szCs w:val="24"/>
          <w:vertAlign w:val="superscript"/>
        </w:rPr>
        <w:t>[</w:t>
      </w:r>
      <w:r w:rsidR="00B61259" w:rsidRPr="00115F98">
        <w:rPr>
          <w:rFonts w:ascii="Book Antiqua" w:hAnsi="Book Antiqua" w:cs="Times New Roman"/>
          <w:color w:val="000000" w:themeColor="text1"/>
          <w:kern w:val="0"/>
          <w:sz w:val="24"/>
          <w:szCs w:val="24"/>
          <w:vertAlign w:val="superscript"/>
        </w:rPr>
        <w:t>8-12]</w:t>
      </w:r>
      <w:r w:rsidRPr="00115F98">
        <w:rPr>
          <w:rFonts w:ascii="Book Antiqua" w:hAnsi="Book Antiqua" w:cs="Times New Roman"/>
          <w:color w:val="000000" w:themeColor="text1"/>
          <w:sz w:val="24"/>
          <w:szCs w:val="24"/>
        </w:rPr>
        <w:t xml:space="preserve">. In addition, there is growing evidence that </w:t>
      </w:r>
      <w:r w:rsidRPr="00115F98">
        <w:rPr>
          <w:rFonts w:ascii="Book Antiqua" w:eastAsia="等线" w:hAnsi="Book Antiqua" w:cs="Times New Roman"/>
          <w:color w:val="000000" w:themeColor="text1"/>
          <w:sz w:val="24"/>
          <w:szCs w:val="24"/>
        </w:rPr>
        <w:t>PPI</w:t>
      </w:r>
      <w:r w:rsidRPr="00115F98">
        <w:rPr>
          <w:rFonts w:ascii="Book Antiqua" w:hAnsi="Book Antiqua" w:cs="Times New Roman"/>
          <w:color w:val="000000" w:themeColor="text1"/>
          <w:sz w:val="24"/>
          <w:szCs w:val="24"/>
        </w:rPr>
        <w:t xml:space="preserve"> therapy is associated with HE in patients with advanced liver disease</w:t>
      </w:r>
      <w:r w:rsidR="009C5F7F" w:rsidRPr="00115F98">
        <w:rPr>
          <w:rFonts w:ascii="Book Antiqua" w:eastAsia="Times New Roman" w:hAnsi="Book Antiqua" w:cs="Times New Roman"/>
          <w:color w:val="000000" w:themeColor="text1"/>
          <w:kern w:val="0"/>
          <w:sz w:val="24"/>
          <w:szCs w:val="24"/>
          <w:vertAlign w:val="superscript"/>
        </w:rPr>
        <w:t>[</w:t>
      </w:r>
      <w:r w:rsidR="009C5F7F" w:rsidRPr="00115F98">
        <w:rPr>
          <w:rFonts w:ascii="Book Antiqua" w:hAnsi="Book Antiqua" w:cs="Times New Roman"/>
          <w:color w:val="000000" w:themeColor="text1"/>
          <w:kern w:val="0"/>
          <w:sz w:val="24"/>
          <w:szCs w:val="24"/>
          <w:vertAlign w:val="superscript"/>
        </w:rPr>
        <w:t>13-18]</w:t>
      </w:r>
      <w:r w:rsidRPr="00115F98">
        <w:rPr>
          <w:rFonts w:ascii="Book Antiqua" w:hAnsi="Book Antiqua" w:cs="Times New Roman"/>
          <w:color w:val="000000" w:themeColor="text1"/>
          <w:sz w:val="24"/>
          <w:szCs w:val="24"/>
        </w:rPr>
        <w:t xml:space="preserve">. A previous meta-analysis evaluating </w:t>
      </w:r>
      <w:r w:rsidRPr="00115F98">
        <w:rPr>
          <w:rFonts w:ascii="Book Antiqua" w:eastAsia="等线" w:hAnsi="Book Antiqua" w:cs="Times New Roman"/>
          <w:color w:val="000000" w:themeColor="text1"/>
          <w:sz w:val="24"/>
          <w:szCs w:val="24"/>
        </w:rPr>
        <w:t xml:space="preserve">the </w:t>
      </w:r>
      <w:r w:rsidRPr="00115F98">
        <w:rPr>
          <w:rFonts w:ascii="Book Antiqua" w:hAnsi="Book Antiqua" w:cs="Times New Roman"/>
          <w:color w:val="000000" w:themeColor="text1"/>
          <w:sz w:val="24"/>
          <w:szCs w:val="24"/>
        </w:rPr>
        <w:t>association between PPIs and HE included only three retrospective studies. Due to the limited number of studies, large heterogeneity</w:t>
      </w:r>
      <w:r w:rsidR="00150C7D">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 and lack of prospective studies, a definite conclusion could not be drawn</w:t>
      </w:r>
      <w:r w:rsidR="0022393E" w:rsidRPr="00115F98">
        <w:rPr>
          <w:rFonts w:ascii="Book Antiqua" w:eastAsia="Times New Roman" w:hAnsi="Book Antiqua" w:cs="Times New Roman"/>
          <w:color w:val="000000" w:themeColor="text1"/>
          <w:kern w:val="0"/>
          <w:sz w:val="24"/>
          <w:szCs w:val="24"/>
          <w:vertAlign w:val="superscript"/>
        </w:rPr>
        <w:t>[</w:t>
      </w:r>
      <w:r w:rsidR="0022393E" w:rsidRPr="00115F98">
        <w:rPr>
          <w:rFonts w:ascii="Book Antiqua" w:hAnsi="Book Antiqua" w:cs="Times New Roman"/>
          <w:color w:val="000000" w:themeColor="text1"/>
          <w:kern w:val="0"/>
          <w:sz w:val="24"/>
          <w:szCs w:val="24"/>
          <w:vertAlign w:val="superscript"/>
        </w:rPr>
        <w:t>19]</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To</w:t>
      </w:r>
      <w:r w:rsidRPr="00115F98">
        <w:rPr>
          <w:rFonts w:ascii="Book Antiqua" w:hAnsi="Book Antiqua" w:cs="Times New Roman"/>
          <w:color w:val="000000" w:themeColor="text1"/>
          <w:sz w:val="24"/>
          <w:szCs w:val="24"/>
        </w:rPr>
        <w:t xml:space="preserve"> clarify the conclusions, </w:t>
      </w:r>
      <w:r w:rsidR="00ED378A" w:rsidRPr="00115F98">
        <w:rPr>
          <w:rFonts w:ascii="Book Antiqua" w:hAnsi="Book Antiqua" w:cs="Times New Roman"/>
          <w:color w:val="000000" w:themeColor="text1"/>
          <w:sz w:val="24"/>
          <w:szCs w:val="24"/>
        </w:rPr>
        <w:t>this meta-analysis was performed to further examine the association between PPI use and the risk of HE in patients with advanced liver disease.</w:t>
      </w:r>
    </w:p>
    <w:p w14:paraId="7FDA5040" w14:textId="77777777" w:rsidR="006439FE" w:rsidRPr="00115F98" w:rsidRDefault="006439FE" w:rsidP="006439FE">
      <w:pPr>
        <w:autoSpaceDE w:val="0"/>
        <w:autoSpaceDN w:val="0"/>
        <w:adjustRightInd w:val="0"/>
        <w:spacing w:line="360" w:lineRule="auto"/>
        <w:rPr>
          <w:rFonts w:ascii="Book Antiqua" w:hAnsi="Book Antiqua" w:cs="Times New Roman"/>
          <w:color w:val="000000" w:themeColor="text1"/>
          <w:sz w:val="24"/>
          <w:szCs w:val="24"/>
        </w:rPr>
      </w:pPr>
    </w:p>
    <w:p w14:paraId="0BEE0233" w14:textId="77777777" w:rsidR="006439FE" w:rsidRPr="00115F98" w:rsidRDefault="006439FE" w:rsidP="006439FE">
      <w:pPr>
        <w:spacing w:line="360" w:lineRule="auto"/>
        <w:rPr>
          <w:rFonts w:ascii="Book Antiqua" w:hAnsi="Book Antiqua"/>
          <w:b/>
          <w:color w:val="000000" w:themeColor="text1"/>
          <w:sz w:val="24"/>
          <w:szCs w:val="24"/>
        </w:rPr>
      </w:pPr>
      <w:r w:rsidRPr="00115F98">
        <w:rPr>
          <w:rFonts w:ascii="Book Antiqua" w:hAnsi="Book Antiqua"/>
          <w:b/>
          <w:color w:val="000000" w:themeColor="text1"/>
          <w:sz w:val="24"/>
          <w:szCs w:val="24"/>
        </w:rPr>
        <w:lastRenderedPageBreak/>
        <w:t>MATERIALS AND METHODS</w:t>
      </w:r>
    </w:p>
    <w:p w14:paraId="00C27095" w14:textId="77777777" w:rsidR="006439FE" w:rsidRPr="00115F98" w:rsidRDefault="002878A3" w:rsidP="006439FE">
      <w:pPr>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Literature search</w:t>
      </w:r>
    </w:p>
    <w:p w14:paraId="17F8AF52" w14:textId="2B6D5CB1" w:rsidR="00FF424E" w:rsidRPr="00115F98" w:rsidRDefault="00F65C4D" w:rsidP="008E3208">
      <w:pPr>
        <w:spacing w:line="360" w:lineRule="auto"/>
        <w:rPr>
          <w:rFonts w:ascii="Book Antiqua" w:hAnsi="Book Antiqua" w:cs="Times New Roman"/>
          <w:color w:val="000000" w:themeColor="text1"/>
          <w:sz w:val="24"/>
          <w:szCs w:val="24"/>
          <w:vertAlign w:val="superscript"/>
        </w:rPr>
      </w:pPr>
      <w:r w:rsidRPr="00115F98">
        <w:rPr>
          <w:rFonts w:ascii="Book Antiqua" w:hAnsi="Book Antiqua" w:cs="Times New Roman"/>
          <w:color w:val="000000" w:themeColor="text1"/>
          <w:sz w:val="24"/>
          <w:szCs w:val="24"/>
        </w:rPr>
        <w:t xml:space="preserve">Our meta-analysis was conducted in line with the </w:t>
      </w:r>
      <w:r w:rsidR="00FF424E" w:rsidRPr="00115F98">
        <w:rPr>
          <w:rFonts w:ascii="Book Antiqua" w:hAnsi="Book Antiqua" w:cs="Times New Roman"/>
          <w:color w:val="000000" w:themeColor="text1"/>
          <w:sz w:val="24"/>
          <w:szCs w:val="24"/>
        </w:rPr>
        <w:t>m</w:t>
      </w:r>
      <w:r w:rsidRPr="00115F98">
        <w:rPr>
          <w:rFonts w:ascii="Book Antiqua" w:hAnsi="Book Antiqua" w:cs="Times New Roman"/>
          <w:color w:val="000000" w:themeColor="text1"/>
          <w:sz w:val="24"/>
          <w:szCs w:val="24"/>
        </w:rPr>
        <w:t>eta</w:t>
      </w:r>
      <w:r w:rsidR="00FF424E" w:rsidRPr="00115F98">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analysis </w:t>
      </w:r>
      <w:r w:rsidR="00FF424E" w:rsidRPr="00115F98">
        <w:rPr>
          <w:rFonts w:ascii="Book Antiqua" w:hAnsi="Book Antiqua" w:cs="Times New Roman"/>
          <w:color w:val="000000" w:themeColor="text1"/>
          <w:sz w:val="24"/>
          <w:szCs w:val="24"/>
        </w:rPr>
        <w:t>of observational studies in epidemiology</w:t>
      </w:r>
      <w:r w:rsidRPr="00115F98">
        <w:rPr>
          <w:rFonts w:ascii="Book Antiqua" w:hAnsi="Book Antiqua" w:cs="Times New Roman"/>
          <w:color w:val="000000" w:themeColor="text1"/>
          <w:sz w:val="24"/>
          <w:szCs w:val="24"/>
        </w:rPr>
        <w:t xml:space="preserve"> guidelines</w:t>
      </w:r>
      <w:r w:rsidR="00571E49" w:rsidRPr="00115F98">
        <w:rPr>
          <w:rFonts w:ascii="Book Antiqua" w:eastAsia="Times New Roman" w:hAnsi="Book Antiqua" w:cs="Times New Roman"/>
          <w:color w:val="000000" w:themeColor="text1"/>
          <w:kern w:val="0"/>
          <w:sz w:val="24"/>
          <w:szCs w:val="24"/>
          <w:vertAlign w:val="superscript"/>
        </w:rPr>
        <w:t>[</w:t>
      </w:r>
      <w:r w:rsidR="00571E49" w:rsidRPr="00115F98">
        <w:rPr>
          <w:rFonts w:ascii="Book Antiqua" w:hAnsi="Book Antiqua" w:cs="Times New Roman"/>
          <w:color w:val="000000" w:themeColor="text1"/>
          <w:kern w:val="0"/>
          <w:sz w:val="24"/>
          <w:szCs w:val="24"/>
          <w:vertAlign w:val="superscript"/>
        </w:rPr>
        <w:t>20]</w:t>
      </w:r>
      <w:r w:rsidRPr="00115F98">
        <w:rPr>
          <w:rFonts w:ascii="Book Antiqua" w:hAnsi="Book Antiqua" w:cs="Times New Roman"/>
          <w:color w:val="000000" w:themeColor="text1"/>
          <w:sz w:val="24"/>
          <w:szCs w:val="24"/>
        </w:rPr>
        <w:t>.</w:t>
      </w:r>
      <w:r w:rsidR="008E3208" w:rsidRPr="00115F98">
        <w:rPr>
          <w:rFonts w:ascii="Book Antiqua" w:hAnsi="Book Antiqua" w:cs="Times New Roman" w:hint="eastAsia"/>
          <w:color w:val="000000" w:themeColor="text1"/>
          <w:sz w:val="24"/>
          <w:szCs w:val="24"/>
        </w:rPr>
        <w:t xml:space="preserve"> </w:t>
      </w:r>
      <w:r w:rsidR="0055241E" w:rsidRPr="00115F98">
        <w:rPr>
          <w:rFonts w:ascii="Book Antiqua" w:hAnsi="Book Antiqua" w:cs="Times New Roman"/>
          <w:color w:val="000000" w:themeColor="text1"/>
          <w:sz w:val="24"/>
          <w:szCs w:val="24"/>
        </w:rPr>
        <w:t>Electronic databases including PubMed</w:t>
      </w:r>
      <w:r w:rsidR="008E3208" w:rsidRPr="00115F98">
        <w:rPr>
          <w:rFonts w:ascii="Book Antiqua" w:hAnsi="Book Antiqua" w:cs="Times New Roman"/>
          <w:color w:val="000000" w:themeColor="text1"/>
          <w:sz w:val="24"/>
          <w:szCs w:val="24"/>
        </w:rPr>
        <w:t xml:space="preserve"> </w:t>
      </w:r>
      <w:r w:rsidR="0055241E" w:rsidRPr="00115F98">
        <w:rPr>
          <w:rFonts w:ascii="Book Antiqua" w:hAnsi="Book Antiqua" w:cs="Times New Roman"/>
          <w:color w:val="000000" w:themeColor="text1"/>
          <w:sz w:val="24"/>
          <w:szCs w:val="24"/>
        </w:rPr>
        <w:t>(from 1946 through January 8, 2019), EMBASE</w:t>
      </w:r>
      <w:r w:rsidR="008E3208" w:rsidRPr="00115F98">
        <w:rPr>
          <w:rFonts w:ascii="Book Antiqua" w:hAnsi="Book Antiqua" w:cs="Times New Roman"/>
          <w:color w:val="000000" w:themeColor="text1"/>
          <w:sz w:val="24"/>
          <w:szCs w:val="24"/>
        </w:rPr>
        <w:t xml:space="preserve"> </w:t>
      </w:r>
      <w:r w:rsidR="0055241E" w:rsidRPr="00115F98">
        <w:rPr>
          <w:rFonts w:ascii="Book Antiqua" w:hAnsi="Book Antiqua" w:cs="Times New Roman"/>
          <w:color w:val="000000" w:themeColor="text1"/>
          <w:sz w:val="24"/>
          <w:szCs w:val="24"/>
        </w:rPr>
        <w:t xml:space="preserve">(from 1988 through January 8, 2019), Cochrane Central Register of Controlled Trials (CENTRAL) (from 1991through January 8, 2019), and Cochrane Database and Systematic Reviews (from 2005 through January 8, 2019) were searched by </w:t>
      </w:r>
      <w:r w:rsidR="0074083F" w:rsidRPr="00115F98">
        <w:rPr>
          <w:rFonts w:ascii="Book Antiqua" w:hAnsi="Book Antiqua" w:cs="Times New Roman"/>
          <w:color w:val="000000" w:themeColor="text1"/>
          <w:sz w:val="24"/>
          <w:szCs w:val="24"/>
        </w:rPr>
        <w:t>using</w:t>
      </w:r>
      <w:r w:rsidR="0055241E" w:rsidRPr="00115F98">
        <w:rPr>
          <w:rFonts w:ascii="Book Antiqua" w:hAnsi="Book Antiqua" w:cs="Times New Roman"/>
          <w:color w:val="000000" w:themeColor="text1"/>
          <w:sz w:val="24"/>
          <w:szCs w:val="24"/>
        </w:rPr>
        <w:t xml:space="preserve"> subject headings and keywords.</w:t>
      </w:r>
      <w:r w:rsidR="002878A3" w:rsidRPr="00115F98">
        <w:rPr>
          <w:rFonts w:ascii="Book Antiqua" w:hAnsi="Book Antiqua" w:cs="Times New Roman"/>
          <w:color w:val="000000" w:themeColor="text1"/>
          <w:sz w:val="24"/>
          <w:szCs w:val="24"/>
        </w:rPr>
        <w:t xml:space="preserve"> The search terms were proton pump inhibitor, proton pump inhibitors, PPI, PPIs, omeprazole, lansoprazole, pantoprazole, </w:t>
      </w:r>
      <w:proofErr w:type="spellStart"/>
      <w:r w:rsidR="002878A3" w:rsidRPr="00115F98">
        <w:rPr>
          <w:rFonts w:ascii="Book Antiqua" w:hAnsi="Book Antiqua" w:cs="Times New Roman"/>
          <w:color w:val="000000" w:themeColor="text1"/>
          <w:sz w:val="24"/>
          <w:szCs w:val="24"/>
        </w:rPr>
        <w:t>rabeprazole</w:t>
      </w:r>
      <w:proofErr w:type="spellEnd"/>
      <w:r w:rsidR="002878A3" w:rsidRPr="00115F98">
        <w:rPr>
          <w:rFonts w:ascii="Book Antiqua" w:hAnsi="Book Antiqua" w:cs="Times New Roman"/>
          <w:color w:val="000000" w:themeColor="text1"/>
          <w:sz w:val="24"/>
          <w:szCs w:val="24"/>
        </w:rPr>
        <w:t xml:space="preserve">, esomeprazole, </w:t>
      </w:r>
      <w:proofErr w:type="spellStart"/>
      <w:r w:rsidR="002878A3" w:rsidRPr="00115F98">
        <w:rPr>
          <w:rFonts w:ascii="Book Antiqua" w:hAnsi="Book Antiqua" w:cs="Times New Roman"/>
          <w:color w:val="000000" w:themeColor="text1"/>
          <w:sz w:val="24"/>
          <w:szCs w:val="24"/>
        </w:rPr>
        <w:t>ilaprazole</w:t>
      </w:r>
      <w:proofErr w:type="spellEnd"/>
      <w:r w:rsidR="002878A3" w:rsidRPr="00115F98">
        <w:rPr>
          <w:rFonts w:ascii="Book Antiqua" w:hAnsi="Book Antiqua" w:cs="Times New Roman"/>
          <w:color w:val="000000" w:themeColor="text1"/>
          <w:sz w:val="24"/>
          <w:szCs w:val="24"/>
        </w:rPr>
        <w:t xml:space="preserve">, hepatic encephalopathy, HE, </w:t>
      </w:r>
      <w:r w:rsidR="00150C7D">
        <w:rPr>
          <w:rFonts w:ascii="Book Antiqua" w:hAnsi="Book Antiqua" w:cs="Times New Roman"/>
          <w:color w:val="000000" w:themeColor="text1"/>
          <w:sz w:val="24"/>
          <w:szCs w:val="24"/>
        </w:rPr>
        <w:t xml:space="preserve">and </w:t>
      </w:r>
      <w:proofErr w:type="spellStart"/>
      <w:r w:rsidR="002878A3" w:rsidRPr="00115F98">
        <w:rPr>
          <w:rFonts w:ascii="Book Antiqua" w:hAnsi="Book Antiqua" w:cs="Times New Roman"/>
          <w:color w:val="000000" w:themeColor="text1"/>
          <w:sz w:val="24"/>
          <w:szCs w:val="24"/>
        </w:rPr>
        <w:t>encephalopath</w:t>
      </w:r>
      <w:proofErr w:type="spellEnd"/>
      <w:r w:rsidR="002878A3" w:rsidRPr="00115F98">
        <w:rPr>
          <w:rFonts w:ascii="Book Antiqua" w:hAnsi="Book Antiqua" w:cs="Times New Roman"/>
          <w:color w:val="000000" w:themeColor="text1"/>
          <w:sz w:val="24"/>
          <w:szCs w:val="24"/>
        </w:rPr>
        <w:t xml:space="preserve">*. No language restrictions were applied. </w:t>
      </w:r>
      <w:r w:rsidR="00675A74" w:rsidRPr="00115F98">
        <w:rPr>
          <w:rFonts w:ascii="Book Antiqua" w:hAnsi="Book Antiqua" w:cs="Times New Roman"/>
          <w:color w:val="000000" w:themeColor="text1"/>
          <w:sz w:val="24"/>
          <w:szCs w:val="24"/>
        </w:rPr>
        <w:t>Two researchers (Z.W. and L.Y.). independently completed the process of searching and screening.</w:t>
      </w:r>
      <w:r w:rsidR="002878A3" w:rsidRPr="00115F98">
        <w:rPr>
          <w:rFonts w:ascii="Book Antiqua" w:hAnsi="Book Antiqua" w:cs="Times New Roman"/>
          <w:color w:val="000000" w:themeColor="text1"/>
          <w:sz w:val="24"/>
          <w:szCs w:val="24"/>
        </w:rPr>
        <w:t xml:space="preserve"> The titles and abstracts of the identified articles were assessed in the initial screening after duplicate citations were removed, and the full texts of potentially eligible studies were further evaluated to determine </w:t>
      </w:r>
      <w:r w:rsidR="002878A3" w:rsidRPr="00115F98">
        <w:rPr>
          <w:rFonts w:ascii="Book Antiqua" w:eastAsia="等线" w:hAnsi="Book Antiqua" w:cs="Times New Roman"/>
          <w:color w:val="000000" w:themeColor="text1"/>
          <w:sz w:val="24"/>
          <w:szCs w:val="24"/>
        </w:rPr>
        <w:t>whether</w:t>
      </w:r>
      <w:r w:rsidR="002878A3" w:rsidRPr="00115F98">
        <w:rPr>
          <w:rFonts w:ascii="Book Antiqua" w:hAnsi="Book Antiqua" w:cs="Times New Roman"/>
          <w:color w:val="000000" w:themeColor="text1"/>
          <w:sz w:val="24"/>
          <w:szCs w:val="24"/>
        </w:rPr>
        <w:t xml:space="preserve"> they should be included or not. </w:t>
      </w:r>
      <w:r w:rsidR="00073406" w:rsidRPr="00115F98">
        <w:rPr>
          <w:rFonts w:ascii="Book Antiqua" w:hAnsi="Book Antiqua" w:cs="Times New Roman"/>
          <w:color w:val="000000" w:themeColor="text1"/>
          <w:sz w:val="24"/>
          <w:szCs w:val="24"/>
        </w:rPr>
        <w:t xml:space="preserve">In addition, additional studies were manually searched by reviewing the bibliographies of the included studies and </w:t>
      </w:r>
      <w:r w:rsidR="00150C7D">
        <w:rPr>
          <w:rFonts w:ascii="Book Antiqua" w:hAnsi="Book Antiqua" w:cs="Times New Roman"/>
          <w:color w:val="000000" w:themeColor="text1"/>
          <w:sz w:val="24"/>
          <w:szCs w:val="24"/>
        </w:rPr>
        <w:t xml:space="preserve">the </w:t>
      </w:r>
      <w:r w:rsidR="00073406" w:rsidRPr="00115F98">
        <w:rPr>
          <w:rFonts w:ascii="Book Antiqua" w:hAnsi="Book Antiqua" w:cs="Times New Roman"/>
          <w:color w:val="000000" w:themeColor="text1"/>
          <w:sz w:val="24"/>
          <w:szCs w:val="24"/>
        </w:rPr>
        <w:t>relevant review literature.</w:t>
      </w:r>
      <w:r w:rsidR="002878A3" w:rsidRPr="00115F98">
        <w:rPr>
          <w:rFonts w:ascii="Book Antiqua" w:hAnsi="Book Antiqua" w:cs="Times New Roman"/>
          <w:color w:val="000000" w:themeColor="text1"/>
          <w:sz w:val="24"/>
          <w:szCs w:val="24"/>
        </w:rPr>
        <w:t xml:space="preserve"> ClinicalTrials.gov was also searched for unpublished studies. </w:t>
      </w:r>
      <w:r w:rsidR="007C1FEA" w:rsidRPr="00115F98">
        <w:rPr>
          <w:rFonts w:ascii="Book Antiqua" w:hAnsi="Book Antiqua" w:cs="Times New Roman"/>
          <w:color w:val="000000" w:themeColor="text1"/>
          <w:sz w:val="24"/>
          <w:szCs w:val="24"/>
        </w:rPr>
        <w:t>Disagreements between the researchers were resolved by discussing with a third researcher (J.W.)</w:t>
      </w:r>
      <w:r w:rsidR="002878A3" w:rsidRPr="00115F98">
        <w:rPr>
          <w:rFonts w:ascii="Book Antiqua" w:hAnsi="Book Antiqua" w:cs="Times New Roman"/>
          <w:color w:val="000000" w:themeColor="text1"/>
          <w:sz w:val="24"/>
          <w:szCs w:val="24"/>
        </w:rPr>
        <w:t>.</w:t>
      </w:r>
    </w:p>
    <w:p w14:paraId="28F0470D" w14:textId="77777777" w:rsidR="00FF424E" w:rsidRPr="00115F98" w:rsidRDefault="00FF424E" w:rsidP="001C4059">
      <w:pPr>
        <w:autoSpaceDE w:val="0"/>
        <w:autoSpaceDN w:val="0"/>
        <w:adjustRightInd w:val="0"/>
        <w:spacing w:line="360" w:lineRule="auto"/>
        <w:rPr>
          <w:rFonts w:ascii="Book Antiqua" w:hAnsi="Book Antiqua" w:cs="Times New Roman"/>
          <w:color w:val="000000" w:themeColor="text1"/>
          <w:sz w:val="24"/>
          <w:szCs w:val="24"/>
        </w:rPr>
      </w:pPr>
    </w:p>
    <w:p w14:paraId="23E020DB" w14:textId="77777777" w:rsidR="00FF424E"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Inclusion criteria</w:t>
      </w:r>
    </w:p>
    <w:p w14:paraId="25AE72B5" w14:textId="4A3874F3" w:rsidR="002878A3" w:rsidRPr="00115F98" w:rsidRDefault="0059014F" w:rsidP="001C4059">
      <w:pPr>
        <w:autoSpaceDE w:val="0"/>
        <w:autoSpaceDN w:val="0"/>
        <w:adjustRightInd w:val="0"/>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Randomized controlled trials, case-control studies</w:t>
      </w:r>
      <w:r w:rsidR="00C63F2E">
        <w:rPr>
          <w:rFonts w:ascii="Book Antiqua" w:hAnsi="Book Antiqua" w:cs="Times New Roman"/>
          <w:color w:val="000000" w:themeColor="text1"/>
          <w:sz w:val="24"/>
          <w:szCs w:val="24"/>
        </w:rPr>
        <w:t>,</w:t>
      </w:r>
      <w:r w:rsidRPr="00115F98">
        <w:rPr>
          <w:rFonts w:ascii="Book Antiqua" w:hAnsi="Book Antiqua" w:cs="Times New Roman"/>
          <w:color w:val="000000" w:themeColor="text1"/>
          <w:sz w:val="24"/>
          <w:szCs w:val="24"/>
        </w:rPr>
        <w:t xml:space="preserve"> and cohort studies were included if meeting the following criteria:</w:t>
      </w:r>
      <w:r w:rsidR="00E13D7E" w:rsidRPr="00115F98">
        <w:rPr>
          <w:rFonts w:ascii="Book Antiqua" w:hAnsi="Book Antiqua" w:cs="Times New Roman"/>
          <w:color w:val="000000" w:themeColor="text1"/>
          <w:sz w:val="24"/>
          <w:szCs w:val="24"/>
        </w:rPr>
        <w:t xml:space="preserve"> </w:t>
      </w:r>
      <w:r w:rsidR="008206AE" w:rsidRPr="00115F98">
        <w:rPr>
          <w:rFonts w:ascii="Book Antiqua" w:hAnsi="Book Antiqua" w:cs="Times New Roman"/>
          <w:color w:val="000000" w:themeColor="text1"/>
          <w:sz w:val="24"/>
          <w:szCs w:val="24"/>
        </w:rPr>
        <w:t>(1)</w:t>
      </w:r>
      <w:r w:rsidR="00E13D7E" w:rsidRPr="00115F98">
        <w:rPr>
          <w:rFonts w:ascii="Book Antiqua" w:hAnsi="Book Antiqua" w:cs="Times New Roman"/>
          <w:color w:val="000000" w:themeColor="text1"/>
          <w:sz w:val="24"/>
          <w:szCs w:val="24"/>
        </w:rPr>
        <w:t xml:space="preserve"> T</w:t>
      </w:r>
      <w:r w:rsidR="00C53B7F" w:rsidRPr="00115F98">
        <w:rPr>
          <w:rFonts w:ascii="Book Antiqua" w:hAnsi="Book Antiqua" w:cs="Times New Roman"/>
          <w:color w:val="000000" w:themeColor="text1"/>
          <w:sz w:val="24"/>
          <w:szCs w:val="24"/>
        </w:rPr>
        <w:t>he studies were performed in patients</w:t>
      </w:r>
      <w:r w:rsidR="002878A3" w:rsidRPr="00115F98">
        <w:rPr>
          <w:rFonts w:ascii="Book Antiqua" w:hAnsi="Book Antiqua" w:cs="Times New Roman"/>
          <w:color w:val="000000" w:themeColor="text1"/>
          <w:sz w:val="24"/>
          <w:szCs w:val="24"/>
        </w:rPr>
        <w:t xml:space="preserve"> with advanced liver disease</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 xml:space="preserve"> including advanced fibrosis, cirrhosis</w:t>
      </w:r>
      <w:r w:rsidR="002878A3" w:rsidRPr="00115F98">
        <w:rPr>
          <w:rFonts w:ascii="Book Antiqua" w:eastAsia="等线" w:hAnsi="Book Antiqua" w:cs="Times New Roman"/>
          <w:color w:val="000000" w:themeColor="text1"/>
          <w:sz w:val="24"/>
          <w:szCs w:val="24"/>
        </w:rPr>
        <w:t xml:space="preserve"> </w:t>
      </w:r>
      <w:r w:rsidR="002878A3" w:rsidRPr="00115F98">
        <w:rPr>
          <w:rFonts w:ascii="Book Antiqua" w:hAnsi="Book Antiqua" w:cs="Times New Roman"/>
          <w:color w:val="000000" w:themeColor="text1"/>
          <w:sz w:val="24"/>
          <w:szCs w:val="24"/>
        </w:rPr>
        <w:t>(compensated or decompensated)</w:t>
      </w:r>
      <w:r w:rsidR="00C63F2E">
        <w:rPr>
          <w:rFonts w:ascii="Book Antiqua"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 xml:space="preserve"> and acute-on-chronic liver failure (ACLF)</w:t>
      </w:r>
      <w:r w:rsidR="00E13D7E" w:rsidRPr="00115F98">
        <w:rPr>
          <w:rFonts w:ascii="Book Antiqua" w:hAnsi="Book Antiqua" w:cs="Times New Roman"/>
          <w:color w:val="000000" w:themeColor="text1"/>
          <w:sz w:val="24"/>
          <w:szCs w:val="24"/>
        </w:rPr>
        <w:t xml:space="preserve">; </w:t>
      </w:r>
      <w:r w:rsidR="002878A3" w:rsidRPr="00115F98">
        <w:rPr>
          <w:rFonts w:ascii="Book Antiqua" w:hAnsi="Book Antiqua" w:cs="Times New Roman"/>
          <w:color w:val="000000" w:themeColor="text1"/>
          <w:sz w:val="24"/>
          <w:szCs w:val="24"/>
        </w:rPr>
        <w:t xml:space="preserve">(2) </w:t>
      </w:r>
      <w:r w:rsidR="0039439E" w:rsidRPr="00115F98">
        <w:rPr>
          <w:rFonts w:ascii="Book Antiqua" w:hAnsi="Book Antiqua" w:cs="Times New Roman"/>
          <w:color w:val="000000" w:themeColor="text1"/>
          <w:sz w:val="24"/>
          <w:szCs w:val="24"/>
        </w:rPr>
        <w:t>the studies clearly clarified the definition of PPI exposure</w:t>
      </w:r>
      <w:r w:rsidR="00E13D7E" w:rsidRPr="00115F98">
        <w:rPr>
          <w:rFonts w:ascii="Book Antiqua" w:hAnsi="Book Antiqua" w:cs="Times New Roman"/>
          <w:color w:val="000000" w:themeColor="text1"/>
          <w:sz w:val="24"/>
          <w:szCs w:val="24"/>
        </w:rPr>
        <w:t>;</w:t>
      </w:r>
      <w:r w:rsidR="00E13D7E" w:rsidRPr="00115F98">
        <w:rPr>
          <w:rFonts w:ascii="Book Antiqua" w:hAnsi="Book Antiqua" w:cs="Times New Roman" w:hint="eastAsia"/>
          <w:color w:val="000000" w:themeColor="text1"/>
          <w:sz w:val="24"/>
          <w:szCs w:val="24"/>
        </w:rPr>
        <w:t xml:space="preserve"> </w:t>
      </w:r>
      <w:r w:rsidR="002878A3" w:rsidRPr="00115F98">
        <w:rPr>
          <w:rFonts w:ascii="Book Antiqua" w:hAnsi="Book Antiqua" w:cs="Times New Roman"/>
          <w:color w:val="000000" w:themeColor="text1"/>
          <w:sz w:val="24"/>
          <w:szCs w:val="24"/>
        </w:rPr>
        <w:t xml:space="preserve">(3) </w:t>
      </w:r>
      <w:r w:rsidR="000C5071" w:rsidRPr="00115F98">
        <w:rPr>
          <w:rFonts w:ascii="Book Antiqua" w:hAnsi="Book Antiqua" w:cs="Times New Roman"/>
          <w:color w:val="000000" w:themeColor="text1"/>
          <w:sz w:val="24"/>
          <w:szCs w:val="24"/>
        </w:rPr>
        <w:t xml:space="preserve">the studies evaluated the association between PPI use and the risk of HE, and reported a risk estimate and </w:t>
      </w:r>
      <w:r w:rsidR="00C63F2E">
        <w:rPr>
          <w:rFonts w:ascii="Book Antiqua" w:hAnsi="Book Antiqua" w:cs="Times New Roman"/>
          <w:color w:val="000000" w:themeColor="text1"/>
          <w:sz w:val="24"/>
          <w:szCs w:val="24"/>
        </w:rPr>
        <w:t xml:space="preserve">the </w:t>
      </w:r>
      <w:r w:rsidR="000C5071" w:rsidRPr="00115F98">
        <w:rPr>
          <w:rFonts w:ascii="Book Antiqua" w:hAnsi="Book Antiqua" w:cs="Times New Roman"/>
          <w:color w:val="000000" w:themeColor="text1"/>
          <w:sz w:val="24"/>
          <w:szCs w:val="24"/>
        </w:rPr>
        <w:t xml:space="preserve">corresponding 95% conﬁdence interval (CI). The risk estimate included </w:t>
      </w:r>
      <w:r w:rsidR="000C5071" w:rsidRPr="00115F98">
        <w:rPr>
          <w:rFonts w:ascii="Book Antiqua" w:hAnsi="Book Antiqua" w:cs="Times New Roman"/>
          <w:color w:val="000000" w:themeColor="text1"/>
          <w:sz w:val="24"/>
          <w:szCs w:val="24"/>
        </w:rPr>
        <w:lastRenderedPageBreak/>
        <w:t>odds ratio (OR), relative risk (RR)</w:t>
      </w:r>
      <w:r w:rsidR="00C63F2E">
        <w:rPr>
          <w:rFonts w:ascii="Book Antiqua" w:hAnsi="Book Antiqua" w:cs="Times New Roman"/>
          <w:color w:val="000000" w:themeColor="text1"/>
          <w:sz w:val="24"/>
          <w:szCs w:val="24"/>
        </w:rPr>
        <w:t>,</w:t>
      </w:r>
      <w:r w:rsidR="000C5071" w:rsidRPr="00115F98">
        <w:rPr>
          <w:rFonts w:ascii="Book Antiqua" w:hAnsi="Book Antiqua" w:cs="Times New Roman"/>
          <w:color w:val="000000" w:themeColor="text1"/>
          <w:sz w:val="24"/>
          <w:szCs w:val="24"/>
        </w:rPr>
        <w:t xml:space="preserve"> and hazard ratio (HR).</w:t>
      </w:r>
      <w:r w:rsidR="002878A3" w:rsidRPr="00115F98">
        <w:rPr>
          <w:rFonts w:ascii="Book Antiqua" w:hAnsi="Book Antiqua" w:cs="Times New Roman"/>
          <w:color w:val="000000" w:themeColor="text1"/>
          <w:sz w:val="24"/>
          <w:szCs w:val="24"/>
        </w:rPr>
        <w:t xml:space="preserve"> </w:t>
      </w:r>
      <w:r w:rsidR="002878A3" w:rsidRPr="00115F98">
        <w:rPr>
          <w:rFonts w:ascii="Book Antiqua" w:eastAsia="等线" w:hAnsi="Book Antiqua" w:cs="Times New Roman"/>
          <w:color w:val="000000" w:themeColor="text1"/>
          <w:sz w:val="24"/>
          <w:szCs w:val="24"/>
        </w:rPr>
        <w:t xml:space="preserve">To </w:t>
      </w:r>
      <w:r w:rsidR="002878A3" w:rsidRPr="00115F98">
        <w:rPr>
          <w:rFonts w:ascii="Book Antiqua" w:hAnsi="Book Antiqua" w:cs="Times New Roman"/>
          <w:color w:val="000000" w:themeColor="text1"/>
          <w:sz w:val="24"/>
          <w:szCs w:val="24"/>
        </w:rPr>
        <w:t xml:space="preserve">reduce the impact of confounding factors, we only extracted the effect estimates adjusted for the greatest number confounding factors. If the same population was used in two or more articles, </w:t>
      </w:r>
      <w:r w:rsidR="00D90107" w:rsidRPr="00115F98">
        <w:rPr>
          <w:rFonts w:ascii="Book Antiqua" w:hAnsi="Book Antiqua" w:cs="Times New Roman"/>
          <w:color w:val="000000" w:themeColor="text1"/>
          <w:sz w:val="24"/>
          <w:szCs w:val="24"/>
        </w:rPr>
        <w:t>only the study with the most comprehensive information was included</w:t>
      </w:r>
      <w:r w:rsidR="002878A3" w:rsidRPr="00115F98">
        <w:rPr>
          <w:rFonts w:ascii="Book Antiqua" w:hAnsi="Book Antiqua" w:cs="Times New Roman"/>
          <w:color w:val="000000" w:themeColor="text1"/>
          <w:sz w:val="24"/>
          <w:szCs w:val="24"/>
        </w:rPr>
        <w:t>. The data from conference abstracts were included without distinction. However, due to the uncertain quality of abstracts, we conducted a sensitivity analysis excluding the data from conference abstracts. For articles with incomplete data and abstracts, we attempted to contact the corresponding author via email to request the relevant data.</w:t>
      </w:r>
    </w:p>
    <w:p w14:paraId="6E40F3BD" w14:textId="77777777" w:rsidR="00E13D7E" w:rsidRPr="00115F98" w:rsidRDefault="00E13D7E" w:rsidP="001C4059">
      <w:pPr>
        <w:autoSpaceDE w:val="0"/>
        <w:autoSpaceDN w:val="0"/>
        <w:adjustRightInd w:val="0"/>
        <w:spacing w:line="360" w:lineRule="auto"/>
        <w:rPr>
          <w:rFonts w:ascii="Book Antiqua" w:hAnsi="Book Antiqua" w:cs="Times New Roman"/>
          <w:color w:val="000000" w:themeColor="text1"/>
          <w:sz w:val="24"/>
          <w:szCs w:val="24"/>
        </w:rPr>
      </w:pPr>
    </w:p>
    <w:p w14:paraId="30734912" w14:textId="77777777" w:rsidR="002878A3" w:rsidRPr="00115F98" w:rsidRDefault="002878A3" w:rsidP="001C4059">
      <w:pPr>
        <w:autoSpaceDE w:val="0"/>
        <w:autoSpaceDN w:val="0"/>
        <w:adjustRightInd w:val="0"/>
        <w:spacing w:line="360" w:lineRule="auto"/>
        <w:rPr>
          <w:rFonts w:ascii="Book Antiqua" w:hAnsi="Book Antiqua"/>
          <w:i/>
          <w:color w:val="000000" w:themeColor="text1"/>
          <w:sz w:val="24"/>
          <w:szCs w:val="24"/>
        </w:rPr>
      </w:pPr>
      <w:r w:rsidRPr="00115F98">
        <w:rPr>
          <w:rFonts w:ascii="Book Antiqua" w:hAnsi="Book Antiqua" w:cs="Times New Roman"/>
          <w:b/>
          <w:i/>
          <w:color w:val="000000" w:themeColor="text1"/>
          <w:kern w:val="0"/>
          <w:sz w:val="24"/>
          <w:szCs w:val="24"/>
        </w:rPr>
        <w:t>Data extraction</w:t>
      </w:r>
    </w:p>
    <w:p w14:paraId="51C6FDAC" w14:textId="72EB60FF" w:rsidR="002878A3" w:rsidRPr="00115F98" w:rsidRDefault="0002696C" w:rsidP="00E13D7E">
      <w:pPr>
        <w:autoSpaceDE w:val="0"/>
        <w:autoSpaceDN w:val="0"/>
        <w:adjustRightInd w:val="0"/>
        <w:spacing w:line="360" w:lineRule="auto"/>
        <w:rPr>
          <w:rFonts w:ascii="Book Antiqua" w:hAnsi="Book Antiqua" w:cs="Times New Roman"/>
          <w:color w:val="000000" w:themeColor="text1"/>
          <w:sz w:val="24"/>
          <w:szCs w:val="24"/>
        </w:rPr>
      </w:pPr>
      <w:r w:rsidRPr="00115F98">
        <w:rPr>
          <w:rFonts w:ascii="Book Antiqua" w:hAnsi="Book Antiqua" w:cs="Times New Roman"/>
          <w:color w:val="000000" w:themeColor="text1"/>
          <w:sz w:val="24"/>
          <w:szCs w:val="24"/>
        </w:rPr>
        <w:t>Using a pre-established form, two researchers (Z.W. and L.Y.) independently completed data extraction.</w:t>
      </w:r>
      <w:r w:rsidR="002878A3" w:rsidRPr="00115F98">
        <w:rPr>
          <w:rFonts w:ascii="Book Antiqua" w:hAnsi="Book Antiqua" w:cs="Times New Roman"/>
          <w:color w:val="000000" w:themeColor="text1"/>
          <w:sz w:val="24"/>
          <w:szCs w:val="24"/>
        </w:rPr>
        <w:t xml:space="preserve"> The collected data included the authors’ names, publication year, study location, study design, number of included patients, patient demographics</w:t>
      </w:r>
      <w:r w:rsidR="002878A3" w:rsidRPr="00115F98">
        <w:rPr>
          <w:rFonts w:ascii="Book Antiqua" w:eastAsia="等线" w:hAnsi="Book Antiqua" w:cs="Times New Roman"/>
          <w:color w:val="000000" w:themeColor="text1"/>
          <w:sz w:val="24"/>
          <w:szCs w:val="24"/>
        </w:rPr>
        <w:t xml:space="preserve"> </w:t>
      </w:r>
      <w:r w:rsidR="002878A3" w:rsidRPr="00115F98">
        <w:rPr>
          <w:rFonts w:ascii="Book Antiqua" w:hAnsi="Book Antiqua" w:cs="Times New Roman"/>
          <w:color w:val="000000" w:themeColor="text1"/>
          <w:sz w:val="24"/>
          <w:szCs w:val="24"/>
        </w:rPr>
        <w:t>(age</w:t>
      </w:r>
      <w:r w:rsidR="00C63F2E">
        <w:rPr>
          <w:rFonts w:ascii="Book Antiqua" w:hAnsi="Book Antiqua" w:cs="Times New Roman"/>
          <w:color w:val="000000" w:themeColor="text1"/>
          <w:sz w:val="24"/>
          <w:szCs w:val="24"/>
        </w:rPr>
        <w:t xml:space="preserve"> and</w:t>
      </w:r>
      <w:r w:rsidR="00C63F2E" w:rsidRPr="00115F98">
        <w:rPr>
          <w:rFonts w:ascii="Book Antiqua" w:hAnsi="Book Antiqua" w:cs="Times New Roman"/>
          <w:color w:val="000000" w:themeColor="text1"/>
          <w:sz w:val="24"/>
          <w:szCs w:val="24"/>
        </w:rPr>
        <w:t xml:space="preserve"> </w:t>
      </w:r>
      <w:r w:rsidR="002878A3" w:rsidRPr="00115F98">
        <w:rPr>
          <w:rFonts w:ascii="Book Antiqua" w:hAnsi="Book Antiqua" w:cs="Times New Roman"/>
          <w:color w:val="000000" w:themeColor="text1"/>
          <w:sz w:val="24"/>
          <w:szCs w:val="24"/>
        </w:rPr>
        <w:t>sex), type of advanced liver disease, outcomes analyzed, definition of PPI use, follow-up time, variables used for adjustment, risk estimates with 95% CIs</w:t>
      </w:r>
      <w:r w:rsidR="00C63F2E">
        <w:rPr>
          <w:rFonts w:ascii="Book Antiqua" w:hAnsi="Book Antiqua" w:cs="Times New Roman"/>
          <w:color w:val="000000" w:themeColor="text1"/>
          <w:sz w:val="24"/>
          <w:szCs w:val="24"/>
        </w:rPr>
        <w:t>,</w:t>
      </w:r>
      <w:r w:rsidR="002878A3" w:rsidRPr="00115F98">
        <w:rPr>
          <w:rFonts w:ascii="Book Antiqua" w:hAnsi="Book Antiqua" w:cs="Times New Roman"/>
          <w:color w:val="000000" w:themeColor="text1"/>
          <w:sz w:val="24"/>
          <w:szCs w:val="24"/>
        </w:rPr>
        <w:t xml:space="preserve"> and information </w:t>
      </w:r>
      <w:r w:rsidR="002878A3" w:rsidRPr="00115F98">
        <w:rPr>
          <w:rFonts w:ascii="Book Antiqua" w:eastAsia="等线" w:hAnsi="Book Antiqua" w:cs="Times New Roman"/>
          <w:color w:val="000000" w:themeColor="text1"/>
          <w:sz w:val="24"/>
          <w:szCs w:val="24"/>
        </w:rPr>
        <w:t>used</w:t>
      </w:r>
      <w:r w:rsidR="002878A3" w:rsidRPr="00115F98">
        <w:rPr>
          <w:rFonts w:ascii="Book Antiqua" w:hAnsi="Book Antiqua" w:cs="Times New Roman"/>
          <w:color w:val="000000" w:themeColor="text1"/>
          <w:sz w:val="24"/>
          <w:szCs w:val="24"/>
        </w:rPr>
        <w:t xml:space="preserve"> for the quality assessment. </w:t>
      </w:r>
      <w:r w:rsidR="005A182F" w:rsidRPr="00115F98">
        <w:rPr>
          <w:rFonts w:ascii="Book Antiqua" w:hAnsi="Book Antiqua" w:cs="Times New Roman"/>
          <w:color w:val="000000" w:themeColor="text1"/>
          <w:sz w:val="24"/>
          <w:szCs w:val="24"/>
        </w:rPr>
        <w:t>If two researchers had some disagreements in the process of data extraction, a third reviewer (J.W.) would be invited to resolve the disagreements.</w:t>
      </w:r>
    </w:p>
    <w:p w14:paraId="6B32F6EE" w14:textId="77777777" w:rsidR="00E13D7E" w:rsidRPr="00115F98" w:rsidRDefault="00E13D7E" w:rsidP="00E13D7E">
      <w:pPr>
        <w:autoSpaceDE w:val="0"/>
        <w:autoSpaceDN w:val="0"/>
        <w:adjustRightInd w:val="0"/>
        <w:spacing w:line="360" w:lineRule="auto"/>
        <w:rPr>
          <w:rFonts w:ascii="Book Antiqua" w:hAnsi="Book Antiqua" w:cs="Times New Roman"/>
          <w:color w:val="000000" w:themeColor="text1"/>
          <w:sz w:val="24"/>
          <w:szCs w:val="24"/>
        </w:rPr>
      </w:pPr>
    </w:p>
    <w:p w14:paraId="59FE89EC"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Quality assessment</w:t>
      </w:r>
    </w:p>
    <w:p w14:paraId="14FE05CB" w14:textId="207C3264" w:rsidR="002878A3" w:rsidRPr="00115F98" w:rsidRDefault="002878A3" w:rsidP="00E13D7E">
      <w:pPr>
        <w:autoSpaceDE w:val="0"/>
        <w:autoSpaceDN w:val="0"/>
        <w:adjustRightInd w:val="0"/>
        <w:spacing w:line="360" w:lineRule="auto"/>
        <w:rPr>
          <w:rFonts w:ascii="Book Antiqua" w:hAnsi="Book Antiqua"/>
          <w:color w:val="000000" w:themeColor="text1"/>
          <w:sz w:val="24"/>
          <w:szCs w:val="24"/>
        </w:rPr>
      </w:pPr>
      <w:r w:rsidRPr="00115F98">
        <w:rPr>
          <w:rFonts w:ascii="Book Antiqua" w:hAnsi="Book Antiqua" w:cs="Times New Roman"/>
          <w:color w:val="000000" w:themeColor="text1"/>
          <w:kern w:val="0"/>
          <w:sz w:val="24"/>
          <w:szCs w:val="24"/>
        </w:rPr>
        <w:t xml:space="preserve">Because all included studies were observational, </w:t>
      </w:r>
      <w:r w:rsidR="00C433B5" w:rsidRPr="00115F98">
        <w:rPr>
          <w:rFonts w:ascii="Book Antiqua" w:hAnsi="Book Antiqua" w:cs="Times New Roman"/>
          <w:color w:val="000000" w:themeColor="text1"/>
          <w:kern w:val="0"/>
          <w:sz w:val="24"/>
          <w:szCs w:val="24"/>
        </w:rPr>
        <w:t>the Newcastle</w:t>
      </w:r>
      <w:r w:rsidR="00E13D7E" w:rsidRPr="00115F98">
        <w:rPr>
          <w:rFonts w:ascii="Book Antiqua" w:hAnsi="Book Antiqua" w:cs="Times New Roman"/>
          <w:color w:val="000000" w:themeColor="text1"/>
          <w:kern w:val="0"/>
          <w:sz w:val="24"/>
          <w:szCs w:val="24"/>
        </w:rPr>
        <w:t>-</w:t>
      </w:r>
      <w:r w:rsidR="00C433B5" w:rsidRPr="00115F98">
        <w:rPr>
          <w:rFonts w:ascii="Book Antiqua" w:hAnsi="Book Antiqua" w:cs="Times New Roman"/>
          <w:color w:val="000000" w:themeColor="text1"/>
          <w:kern w:val="0"/>
          <w:sz w:val="24"/>
          <w:szCs w:val="24"/>
        </w:rPr>
        <w:t xml:space="preserve">Ottawa scale </w:t>
      </w:r>
      <w:r w:rsidR="004A056B" w:rsidRPr="00115F98">
        <w:rPr>
          <w:rFonts w:ascii="Book Antiqua" w:hAnsi="Book Antiqua" w:cs="Times New Roman"/>
          <w:color w:val="000000" w:themeColor="text1"/>
          <w:kern w:val="0"/>
          <w:sz w:val="24"/>
          <w:szCs w:val="24"/>
        </w:rPr>
        <w:t xml:space="preserve">(NOS) </w:t>
      </w:r>
      <w:r w:rsidR="00C433B5" w:rsidRPr="00115F98">
        <w:rPr>
          <w:rFonts w:ascii="Book Antiqua" w:hAnsi="Book Antiqua" w:cs="Times New Roman"/>
          <w:color w:val="000000" w:themeColor="text1"/>
          <w:kern w:val="0"/>
          <w:sz w:val="24"/>
          <w:szCs w:val="24"/>
        </w:rPr>
        <w:t>was used for quality assessment</w:t>
      </w:r>
      <w:r w:rsidR="00ED7861" w:rsidRPr="00115F98">
        <w:rPr>
          <w:rFonts w:ascii="Book Antiqua" w:eastAsia="Times New Roman" w:hAnsi="Book Antiqua" w:cs="Times New Roman"/>
          <w:color w:val="000000" w:themeColor="text1"/>
          <w:kern w:val="0"/>
          <w:sz w:val="24"/>
          <w:szCs w:val="24"/>
          <w:vertAlign w:val="superscript"/>
        </w:rPr>
        <w:t>[</w:t>
      </w:r>
      <w:r w:rsidR="00ED7861" w:rsidRPr="00115F98">
        <w:rPr>
          <w:rFonts w:ascii="Book Antiqua" w:hAnsi="Book Antiqua" w:cs="Times New Roman"/>
          <w:color w:val="000000" w:themeColor="text1"/>
          <w:kern w:val="0"/>
          <w:sz w:val="24"/>
          <w:szCs w:val="24"/>
          <w:vertAlign w:val="superscript"/>
        </w:rPr>
        <w:t>20]</w:t>
      </w:r>
      <w:r w:rsidR="00C433B5"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 </w:t>
      </w:r>
      <w:r w:rsidR="00A433AD" w:rsidRPr="00115F98">
        <w:rPr>
          <w:rFonts w:ascii="Book Antiqua" w:hAnsi="Book Antiqua" w:cs="Times New Roman"/>
          <w:color w:val="000000" w:themeColor="text1"/>
          <w:kern w:val="0"/>
          <w:sz w:val="24"/>
          <w:szCs w:val="24"/>
        </w:rPr>
        <w:t>The NOS evaluates the quality of case-control or cohort studies from three aspects. The scale items include selection (four points), comparability (two points), and exposure/outcome (three points).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The scale has a maximum possible score of 9 points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7 or more points indicate high quality,</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5</w:t>
      </w:r>
      <w:r w:rsidR="00E13D7E"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6 points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indicate moderate quality, and</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four or fewer points indicate low quality.</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Due to incomplete information in the conference abstracts, we only conducted</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quality assessments of full-text articles.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 xml:space="preserve">Two reviewers (C.X. and L.C.) </w:t>
      </w:r>
      <w:r w:rsidRPr="00115F98">
        <w:rPr>
          <w:rFonts w:ascii="Book Antiqua" w:hAnsi="Book Antiqua" w:cs="Times New Roman"/>
          <w:color w:val="000000" w:themeColor="text1"/>
          <w:kern w:val="0"/>
          <w:sz w:val="24"/>
          <w:szCs w:val="24"/>
        </w:rPr>
        <w:lastRenderedPageBreak/>
        <w:t>independently completed the quality assessments, and any disagreements were discussed with a third reviewer (N.L.), with agreement determined by consensus.</w:t>
      </w:r>
    </w:p>
    <w:p w14:paraId="1305C9F7" w14:textId="77777777" w:rsidR="00E13D7E" w:rsidRPr="00115F98" w:rsidRDefault="00E13D7E" w:rsidP="001C4059">
      <w:pPr>
        <w:autoSpaceDE w:val="0"/>
        <w:autoSpaceDN w:val="0"/>
        <w:adjustRightInd w:val="0"/>
        <w:spacing w:line="360" w:lineRule="auto"/>
        <w:rPr>
          <w:rFonts w:ascii="Book Antiqua" w:hAnsi="Book Antiqua" w:cs="Times New Roman"/>
          <w:b/>
          <w:color w:val="000000" w:themeColor="text1"/>
          <w:kern w:val="0"/>
          <w:sz w:val="24"/>
          <w:szCs w:val="24"/>
        </w:rPr>
      </w:pPr>
    </w:p>
    <w:p w14:paraId="7030F52A" w14:textId="4AF504DB"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 xml:space="preserve">Statistical </w:t>
      </w:r>
      <w:r w:rsidR="00C63F2E" w:rsidRPr="00115F98">
        <w:rPr>
          <w:rFonts w:ascii="Book Antiqua" w:hAnsi="Book Antiqua" w:cs="Times New Roman"/>
          <w:b/>
          <w:i/>
          <w:color w:val="000000" w:themeColor="text1"/>
          <w:kern w:val="0"/>
          <w:sz w:val="24"/>
          <w:szCs w:val="24"/>
        </w:rPr>
        <w:t>analys</w:t>
      </w:r>
      <w:r w:rsidR="00C63F2E">
        <w:rPr>
          <w:rFonts w:ascii="Book Antiqua" w:hAnsi="Book Antiqua" w:cs="Times New Roman"/>
          <w:b/>
          <w:i/>
          <w:color w:val="000000" w:themeColor="text1"/>
          <w:kern w:val="0"/>
          <w:sz w:val="24"/>
          <w:szCs w:val="24"/>
        </w:rPr>
        <w:t>i</w:t>
      </w:r>
      <w:r w:rsidR="00C63F2E" w:rsidRPr="00115F98">
        <w:rPr>
          <w:rFonts w:ascii="Book Antiqua" w:hAnsi="Book Antiqua" w:cs="Times New Roman"/>
          <w:b/>
          <w:i/>
          <w:color w:val="000000" w:themeColor="text1"/>
          <w:kern w:val="0"/>
          <w:sz w:val="24"/>
          <w:szCs w:val="24"/>
        </w:rPr>
        <w:t>s</w:t>
      </w:r>
    </w:p>
    <w:p w14:paraId="308CF210" w14:textId="34C826E4" w:rsidR="00E13D7E" w:rsidRPr="00115F98" w:rsidRDefault="002878A3" w:rsidP="001C4059">
      <w:pPr>
        <w:autoSpaceDE w:val="0"/>
        <w:autoSpaceDN w:val="0"/>
        <w:adjustRightInd w:val="0"/>
        <w:spacing w:line="360" w:lineRule="auto"/>
        <w:rPr>
          <w:rFonts w:ascii="Book Antiqua" w:eastAsia="等线" w:hAnsi="Book Antiqua" w:cs="Times New Roman"/>
          <w:color w:val="000000" w:themeColor="text1"/>
          <w:kern w:val="0"/>
          <w:sz w:val="24"/>
          <w:szCs w:val="24"/>
        </w:rPr>
      </w:pPr>
      <w:r w:rsidRPr="00115F98">
        <w:rPr>
          <w:rFonts w:ascii="Book Antiqua" w:eastAsia="等线" w:hAnsi="Book Antiqua" w:cs="Times New Roman"/>
          <w:color w:val="000000" w:themeColor="text1"/>
          <w:kern w:val="0"/>
          <w:sz w:val="24"/>
          <w:szCs w:val="24"/>
        </w:rPr>
        <w:t>The primary outcome of this meta-analysis was the pooled risk of HE in patients using PPIs.</w:t>
      </w:r>
      <w:r w:rsidRPr="00115F98">
        <w:rPr>
          <w:rFonts w:ascii="Book Antiqua" w:eastAsia="等线" w:hAnsi="Book Antiqua" w:cs="Times New Roman"/>
          <w:color w:val="000000" w:themeColor="text1"/>
          <w:sz w:val="24"/>
          <w:szCs w:val="24"/>
        </w:rPr>
        <w:t xml:space="preserve"> We only extracted the adjusted risk estimates instead of the raw data calculated by the events and the total number of patients. </w:t>
      </w:r>
      <w:r w:rsidR="00B53EE5" w:rsidRPr="00115F98">
        <w:rPr>
          <w:rFonts w:ascii="Book Antiqua" w:eastAsia="等线" w:hAnsi="Book Antiqua" w:cs="Times New Roman"/>
          <w:color w:val="000000" w:themeColor="text1"/>
          <w:sz w:val="24"/>
          <w:szCs w:val="24"/>
        </w:rPr>
        <w:t>Using the random effects model and the inverse variance method, the risk estimates were pooled to obtain an overall effect estimate and the corresponding 95%CI.</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sz w:val="24"/>
          <w:szCs w:val="24"/>
        </w:rPr>
        <w:t>Because the incidence of HE is relatively low,</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sz w:val="24"/>
          <w:szCs w:val="24"/>
        </w:rPr>
        <w:t>different risk estimates (OR/RR/HR) were considered equivalent</w:t>
      </w:r>
      <w:r w:rsidR="00543B46" w:rsidRPr="00115F98">
        <w:rPr>
          <w:rFonts w:ascii="Book Antiqua" w:eastAsia="Times New Roman" w:hAnsi="Book Antiqua" w:cs="Times New Roman"/>
          <w:color w:val="000000" w:themeColor="text1"/>
          <w:kern w:val="0"/>
          <w:sz w:val="24"/>
          <w:szCs w:val="24"/>
          <w:vertAlign w:val="superscript"/>
        </w:rPr>
        <w:t>[</w:t>
      </w:r>
      <w:r w:rsidR="00543B46" w:rsidRPr="00115F98">
        <w:rPr>
          <w:rFonts w:ascii="Book Antiqua" w:hAnsi="Book Antiqua" w:cs="Times New Roman"/>
          <w:color w:val="000000" w:themeColor="text1"/>
          <w:kern w:val="0"/>
          <w:sz w:val="24"/>
          <w:szCs w:val="24"/>
          <w:vertAlign w:val="superscript"/>
        </w:rPr>
        <w:t>21]</w:t>
      </w:r>
      <w:r w:rsidRP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Tsai </w:t>
      </w:r>
      <w:r w:rsidRPr="00115F98">
        <w:rPr>
          <w:rFonts w:ascii="Book Antiqua" w:eastAsia="等线" w:hAnsi="Book Antiqua" w:cs="Times New Roman"/>
          <w:i/>
          <w:color w:val="000000" w:themeColor="text1"/>
          <w:kern w:val="0"/>
          <w:sz w:val="24"/>
          <w:szCs w:val="24"/>
        </w:rPr>
        <w:t>et al</w:t>
      </w:r>
      <w:r w:rsidR="00713174" w:rsidRPr="00115F98">
        <w:rPr>
          <w:rFonts w:ascii="Book Antiqua" w:eastAsia="Times New Roman" w:hAnsi="Book Antiqua" w:cs="Times New Roman"/>
          <w:color w:val="000000" w:themeColor="text1"/>
          <w:kern w:val="0"/>
          <w:sz w:val="24"/>
          <w:szCs w:val="24"/>
          <w:vertAlign w:val="superscript"/>
        </w:rPr>
        <w:t>[</w:t>
      </w:r>
      <w:r w:rsidR="00713174" w:rsidRPr="00115F98">
        <w:rPr>
          <w:rFonts w:ascii="Book Antiqua" w:hAnsi="Book Antiqua" w:cs="Times New Roman"/>
          <w:color w:val="000000" w:themeColor="text1"/>
          <w:kern w:val="0"/>
          <w:sz w:val="24"/>
          <w:szCs w:val="24"/>
          <w:vertAlign w:val="superscript"/>
        </w:rPr>
        <w:t>16]</w:t>
      </w:r>
      <w:r w:rsidRP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kern w:val="0"/>
          <w:sz w:val="24"/>
          <w:szCs w:val="24"/>
        </w:rPr>
        <w:t>reported the ORs for HE in a subgroup analysis of patients with different PPI use patterns,</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sz w:val="24"/>
          <w:szCs w:val="24"/>
        </w:rPr>
        <w:t xml:space="preserve">and </w:t>
      </w:r>
      <w:r w:rsidRPr="00115F98">
        <w:rPr>
          <w:rFonts w:ascii="Book Antiqua" w:eastAsia="等线" w:hAnsi="Book Antiqua" w:cs="Times New Roman"/>
          <w:color w:val="000000" w:themeColor="text1"/>
          <w:kern w:val="0"/>
          <w:sz w:val="24"/>
          <w:szCs w:val="24"/>
        </w:rPr>
        <w:t xml:space="preserve">we pooled these OR values and 95%CI using a random effects model to obtain an approximate </w:t>
      </w:r>
      <w:r w:rsidRPr="00115F98">
        <w:rPr>
          <w:rFonts w:ascii="Book Antiqua" w:eastAsia="等线" w:hAnsi="Book Antiqua" w:cs="Times New Roman"/>
          <w:color w:val="000000" w:themeColor="text1"/>
          <w:sz w:val="24"/>
          <w:szCs w:val="24"/>
        </w:rPr>
        <w:t>overall</w:t>
      </w:r>
      <w:r w:rsidRPr="00115F98">
        <w:rPr>
          <w:rFonts w:ascii="Book Antiqua" w:eastAsia="等线" w:hAnsi="Book Antiqua" w:cs="Times New Roman"/>
          <w:color w:val="000000" w:themeColor="text1"/>
          <w:kern w:val="0"/>
          <w:sz w:val="24"/>
          <w:szCs w:val="24"/>
        </w:rPr>
        <w:t xml:space="preserve"> OR value with the associated 95%CI</w:t>
      </w:r>
      <w:r w:rsidR="00576D4B" w:rsidRPr="00115F98">
        <w:rPr>
          <w:rFonts w:ascii="Book Antiqua" w:eastAsia="Times New Roman" w:hAnsi="Book Antiqua" w:cs="Times New Roman"/>
          <w:color w:val="000000" w:themeColor="text1"/>
          <w:kern w:val="0"/>
          <w:sz w:val="24"/>
          <w:szCs w:val="24"/>
          <w:vertAlign w:val="superscript"/>
        </w:rPr>
        <w:t>[</w:t>
      </w:r>
      <w:r w:rsidR="00576D4B" w:rsidRPr="00115F98">
        <w:rPr>
          <w:rFonts w:ascii="Book Antiqua" w:hAnsi="Book Antiqua" w:cs="Times New Roman"/>
          <w:color w:val="000000" w:themeColor="text1"/>
          <w:kern w:val="0"/>
          <w:sz w:val="24"/>
          <w:szCs w:val="24"/>
          <w:vertAlign w:val="superscript"/>
        </w:rPr>
        <w:t>19,22]</w:t>
      </w:r>
      <w:r w:rsidRPr="00115F98">
        <w:rPr>
          <w:rFonts w:ascii="Book Antiqua" w:eastAsia="等线" w:hAnsi="Book Antiqua" w:cs="Times New Roman"/>
          <w:color w:val="000000" w:themeColor="text1"/>
          <w:kern w:val="0"/>
          <w:sz w:val="24"/>
          <w:szCs w:val="24"/>
        </w:rPr>
        <w:t>. Heterogeneity among the studies was tested by calculating Cochran</w:t>
      </w:r>
      <w:r w:rsidR="00E13D7E" w:rsidRPr="00115F98">
        <w:rPr>
          <w:rFonts w:ascii="Book Antiqua" w:eastAsia="等线"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rPr>
        <w:t xml:space="preserve">s Q (with </w:t>
      </w:r>
      <w:r w:rsidRPr="00115F98">
        <w:rPr>
          <w:rFonts w:ascii="Book Antiqua" w:eastAsia="等线" w:hAnsi="Book Antiqua" w:cs="Times New Roman"/>
          <w:i/>
          <w:color w:val="000000" w:themeColor="text1"/>
          <w:kern w:val="0"/>
          <w:sz w:val="24"/>
          <w:szCs w:val="24"/>
        </w:rPr>
        <w:t>P</w:t>
      </w:r>
      <w:r w:rsidRPr="00115F98">
        <w:rPr>
          <w:rFonts w:ascii="Book Antiqua" w:eastAsia="等线" w:hAnsi="Book Antiqua" w:cs="Times New Roman"/>
          <w:color w:val="000000" w:themeColor="text1"/>
          <w:kern w:val="0"/>
          <w:sz w:val="24"/>
          <w:szCs w:val="24"/>
        </w:rPr>
        <w:t xml:space="preserve"> &lt; 0.10 considered significant) and the </w:t>
      </w:r>
      <w:r w:rsidRPr="00115F98">
        <w:rPr>
          <w:rFonts w:ascii="Book Antiqua" w:eastAsia="等线" w:hAnsi="Book Antiqua" w:cs="Times New Roman"/>
          <w:i/>
          <w:color w:val="000000" w:themeColor="text1"/>
          <w:kern w:val="0"/>
          <w:sz w:val="24"/>
          <w:szCs w:val="24"/>
        </w:rPr>
        <w:t>I</w:t>
      </w:r>
      <w:r w:rsidRPr="00115F98">
        <w:rPr>
          <w:rFonts w:ascii="Book Antiqua" w:eastAsia="等线" w:hAnsi="Book Antiqua" w:cs="Times New Roman"/>
          <w:i/>
          <w:color w:val="000000" w:themeColor="text1"/>
          <w:kern w:val="0"/>
          <w:sz w:val="24"/>
          <w:szCs w:val="24"/>
          <w:vertAlign w:val="superscript"/>
        </w:rPr>
        <w:t>2</w:t>
      </w:r>
      <w:r w:rsidRPr="00115F98">
        <w:rPr>
          <w:rFonts w:ascii="Book Antiqua" w:eastAsia="等线" w:hAnsi="Book Antiqua" w:cs="Times New Roman"/>
          <w:color w:val="000000" w:themeColor="text1"/>
          <w:kern w:val="0"/>
          <w:sz w:val="24"/>
          <w:szCs w:val="24"/>
        </w:rPr>
        <w:t xml:space="preserve"> statistic.</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We considered the heterogeneity to be substantial</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when </w:t>
      </w:r>
      <w:r w:rsidRPr="00115F98">
        <w:rPr>
          <w:rFonts w:ascii="Book Antiqua" w:eastAsia="等线" w:hAnsi="Book Antiqua" w:cs="Times New Roman"/>
          <w:i/>
          <w:color w:val="000000" w:themeColor="text1"/>
          <w:kern w:val="0"/>
          <w:sz w:val="24"/>
          <w:szCs w:val="24"/>
        </w:rPr>
        <w:t>I</w:t>
      </w:r>
      <w:r w:rsidRPr="00115F98">
        <w:rPr>
          <w:rFonts w:ascii="Book Antiqua" w:eastAsia="等线" w:hAnsi="Book Antiqua" w:cs="Times New Roman"/>
          <w:i/>
          <w:color w:val="000000" w:themeColor="text1"/>
          <w:kern w:val="0"/>
          <w:sz w:val="24"/>
          <w:szCs w:val="24"/>
          <w:vertAlign w:val="superscript"/>
        </w:rPr>
        <w:t>2</w:t>
      </w:r>
      <w:r w:rsidRPr="00115F98">
        <w:rPr>
          <w:rFonts w:ascii="Book Antiqua" w:eastAsia="等线" w:hAnsi="Book Antiqua" w:cs="Times New Roman"/>
          <w:color w:val="000000" w:themeColor="text1"/>
          <w:kern w:val="0"/>
          <w:sz w:val="24"/>
          <w:szCs w:val="24"/>
          <w:vertAlign w:val="superscript"/>
        </w:rPr>
        <w:t xml:space="preserve"> </w:t>
      </w:r>
      <w:r w:rsidRPr="00115F98">
        <w:rPr>
          <w:rFonts w:ascii="Book Antiqua" w:eastAsia="等线" w:hAnsi="Book Antiqua" w:cs="Times New Roman"/>
          <w:color w:val="000000" w:themeColor="text1"/>
          <w:kern w:val="0"/>
          <w:sz w:val="24"/>
          <w:szCs w:val="24"/>
        </w:rPr>
        <w:t>was &gt;</w:t>
      </w:r>
      <w:r w:rsidR="00E13D7E" w:rsidRPr="00115F98">
        <w:rPr>
          <w:rFonts w:ascii="Book Antiqua" w:eastAsia="等线" w:hAnsi="Book Antiqua" w:cs="Times New Roman"/>
          <w:color w:val="000000" w:themeColor="text1"/>
          <w:kern w:val="0"/>
          <w:sz w:val="24"/>
          <w:szCs w:val="24"/>
        </w:rPr>
        <w:t xml:space="preserve"> </w:t>
      </w:r>
      <w:r w:rsidRPr="00115F98">
        <w:rPr>
          <w:rFonts w:ascii="Book Antiqua" w:eastAsia="等线" w:hAnsi="Book Antiqua" w:cs="Times New Roman"/>
          <w:color w:val="000000" w:themeColor="text1"/>
          <w:kern w:val="0"/>
          <w:sz w:val="24"/>
          <w:szCs w:val="24"/>
        </w:rPr>
        <w:t>50%.</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A high degree of heterogeneity was further explored in the subgroup analyses. We estimated in advance that the heterogeneity was mainly the result of differences in study designs and definitions of PPI use.</w:t>
      </w:r>
      <w:r w:rsidRPr="00115F98">
        <w:rPr>
          <w:rFonts w:ascii="Book Antiqua" w:hAnsi="Book Antiqua"/>
          <w:color w:val="000000" w:themeColor="text1"/>
          <w:sz w:val="24"/>
          <w:szCs w:val="24"/>
        </w:rPr>
        <w:t xml:space="preserve"> </w:t>
      </w:r>
      <w:r w:rsidR="00541A2B" w:rsidRPr="00115F98">
        <w:rPr>
          <w:rFonts w:ascii="Book Antiqua" w:eastAsia="等线" w:hAnsi="Book Antiqua" w:cs="Times New Roman"/>
          <w:color w:val="000000" w:themeColor="text1"/>
          <w:kern w:val="0"/>
          <w:sz w:val="24"/>
          <w:szCs w:val="24"/>
        </w:rPr>
        <w:t>Pre-arranged subgroup analyses would be performed based on the study design</w:t>
      </w:r>
      <w:r w:rsidRPr="00115F98">
        <w:rPr>
          <w:rFonts w:ascii="Book Antiqua" w:eastAsia="等线" w:hAnsi="Book Antiqua" w:cs="Times New Roman"/>
          <w:color w:val="000000" w:themeColor="text1"/>
          <w:kern w:val="0"/>
          <w:sz w:val="24"/>
          <w:szCs w:val="24"/>
        </w:rPr>
        <w:t>, definition of PPI use,</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study location,</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type of advanced liver disease, outcomes analyzed, and quality of the research. We performed the sensitivity analysis by excluding the data from conference abstracts. To eliminate confounding by indication, we also performed a specific sensitivity analysis for patients without prior HE. According to the Cochrane Collaboration Handbook</w:t>
      </w:r>
      <w:r w:rsidR="00BA63CB" w:rsidRPr="00115F98">
        <w:rPr>
          <w:rFonts w:ascii="Book Antiqua" w:eastAsia="Times New Roman" w:hAnsi="Book Antiqua" w:cs="Times New Roman"/>
          <w:color w:val="000000" w:themeColor="text1"/>
          <w:kern w:val="0"/>
          <w:sz w:val="24"/>
          <w:szCs w:val="24"/>
          <w:vertAlign w:val="superscript"/>
        </w:rPr>
        <w:t>[</w:t>
      </w:r>
      <w:r w:rsidR="00BA63CB" w:rsidRPr="00115F98">
        <w:rPr>
          <w:rFonts w:ascii="Book Antiqua" w:hAnsi="Book Antiqua" w:cs="Times New Roman"/>
          <w:color w:val="000000" w:themeColor="text1"/>
          <w:kern w:val="0"/>
          <w:sz w:val="24"/>
          <w:szCs w:val="24"/>
          <w:vertAlign w:val="superscript"/>
        </w:rPr>
        <w:t>22]</w:t>
      </w:r>
      <w:r w:rsidRPr="00115F98">
        <w:rPr>
          <w:rFonts w:ascii="Book Antiqua" w:eastAsia="等线"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vertAlign w:val="superscript"/>
        </w:rPr>
        <w:t xml:space="preserve"> </w:t>
      </w:r>
      <w:r w:rsidRPr="00115F98">
        <w:rPr>
          <w:rFonts w:ascii="Book Antiqua" w:eastAsia="等线" w:hAnsi="Book Antiqua" w:cs="Times New Roman"/>
          <w:color w:val="000000" w:themeColor="text1"/>
          <w:kern w:val="0"/>
          <w:sz w:val="24"/>
          <w:szCs w:val="24"/>
        </w:rPr>
        <w:t>it is not recommended to test for publication bias if the number of included studies is fewer than 10. We only</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explored publication bias by examining a funnel plot. </w:t>
      </w:r>
      <w:r w:rsidR="008C0137" w:rsidRPr="00115F98">
        <w:rPr>
          <w:rFonts w:ascii="Book Antiqua" w:eastAsia="等线" w:hAnsi="Book Antiqua" w:cs="Times New Roman"/>
          <w:color w:val="000000" w:themeColor="text1"/>
          <w:kern w:val="0"/>
          <w:sz w:val="24"/>
          <w:szCs w:val="24"/>
        </w:rPr>
        <w:t>All data analyses were performed by using Review Manager 5.3 (The Nordic Cochrane Centre, the Cochrane Collaboration, Copenhagen, 2014).</w:t>
      </w:r>
    </w:p>
    <w:p w14:paraId="53498B69" w14:textId="6D35AAA8" w:rsidR="002878A3" w:rsidRPr="00115F98" w:rsidRDefault="00E13D7E"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115F98">
        <w:rPr>
          <w:rFonts w:ascii="Book Antiqua" w:hAnsi="Book Antiqua" w:cs="Times New Roman"/>
          <w:b/>
          <w:color w:val="000000" w:themeColor="text1"/>
          <w:kern w:val="0"/>
          <w:sz w:val="24"/>
          <w:szCs w:val="24"/>
        </w:rPr>
        <w:lastRenderedPageBreak/>
        <w:t>RESULTS</w:t>
      </w:r>
    </w:p>
    <w:p w14:paraId="47762219"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Literature search</w:t>
      </w:r>
    </w:p>
    <w:p w14:paraId="152F759A" w14:textId="407A1EE3" w:rsidR="002878A3" w:rsidRPr="00115F98"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r w:rsidRPr="00115F98">
        <w:rPr>
          <w:rFonts w:ascii="Book Antiqua" w:hAnsi="Book Antiqua" w:cs="Times New Roman"/>
          <w:color w:val="000000" w:themeColor="text1"/>
          <w:kern w:val="0"/>
          <w:sz w:val="24"/>
          <w:szCs w:val="24"/>
        </w:rPr>
        <w:t xml:space="preserve">Of </w:t>
      </w:r>
      <w:r w:rsidR="009B6343" w:rsidRPr="00115F98">
        <w:rPr>
          <w:rFonts w:ascii="Book Antiqua" w:hAnsi="Book Antiqua" w:cs="Times New Roman"/>
          <w:color w:val="000000" w:themeColor="text1"/>
          <w:kern w:val="0"/>
          <w:sz w:val="24"/>
          <w:szCs w:val="24"/>
        </w:rPr>
        <w:t>3006 studies</w:t>
      </w:r>
      <w:r w:rsidR="007434B9">
        <w:rPr>
          <w:rFonts w:ascii="Book Antiqua" w:hAnsi="Book Antiqua" w:cs="Times New Roman"/>
          <w:color w:val="000000" w:themeColor="text1"/>
          <w:kern w:val="0"/>
          <w:sz w:val="24"/>
          <w:szCs w:val="24"/>
        </w:rPr>
        <w:t xml:space="preserve"> </w:t>
      </w:r>
      <w:r w:rsidR="009B6343" w:rsidRPr="00115F98">
        <w:rPr>
          <w:rFonts w:ascii="Book Antiqua" w:hAnsi="Book Antiqua" w:cs="Times New Roman"/>
          <w:color w:val="000000" w:themeColor="text1"/>
          <w:kern w:val="0"/>
          <w:sz w:val="24"/>
          <w:szCs w:val="24"/>
        </w:rPr>
        <w:t>initially retrieved, 2578</w:t>
      </w:r>
      <w:r w:rsidR="007434B9">
        <w:rPr>
          <w:rFonts w:ascii="Book Antiqua" w:hAnsi="Book Antiqua" w:cs="Times New Roman"/>
          <w:color w:val="000000" w:themeColor="text1"/>
          <w:kern w:val="0"/>
          <w:sz w:val="24"/>
          <w:szCs w:val="24"/>
        </w:rPr>
        <w:t xml:space="preserve"> </w:t>
      </w:r>
      <w:r w:rsidR="009B6343" w:rsidRPr="00115F98">
        <w:rPr>
          <w:rFonts w:ascii="Book Antiqua" w:hAnsi="Book Antiqua" w:cs="Times New Roman"/>
          <w:color w:val="000000" w:themeColor="text1"/>
          <w:kern w:val="0"/>
          <w:sz w:val="24"/>
          <w:szCs w:val="24"/>
        </w:rPr>
        <w:t>were from EMBASE, 383</w:t>
      </w:r>
      <w:r w:rsidR="007434B9">
        <w:rPr>
          <w:rFonts w:ascii="Book Antiqua" w:hAnsi="Book Antiqua" w:cs="Times New Roman"/>
          <w:color w:val="000000" w:themeColor="text1"/>
          <w:kern w:val="0"/>
          <w:sz w:val="24"/>
          <w:szCs w:val="24"/>
        </w:rPr>
        <w:t xml:space="preserve"> </w:t>
      </w:r>
      <w:r w:rsidR="009B6343" w:rsidRPr="00115F98">
        <w:rPr>
          <w:rFonts w:ascii="Book Antiqua" w:hAnsi="Book Antiqua" w:cs="Times New Roman"/>
          <w:color w:val="000000" w:themeColor="text1"/>
          <w:kern w:val="0"/>
          <w:sz w:val="24"/>
          <w:szCs w:val="24"/>
        </w:rPr>
        <w:t>from PubMed</w:t>
      </w:r>
      <w:r w:rsidR="007434B9">
        <w:rPr>
          <w:rFonts w:ascii="Book Antiqua" w:hAnsi="Book Antiqua" w:cs="Times New Roman"/>
          <w:color w:val="000000" w:themeColor="text1"/>
          <w:kern w:val="0"/>
          <w:sz w:val="24"/>
          <w:szCs w:val="24"/>
        </w:rPr>
        <w:t>,</w:t>
      </w:r>
      <w:r w:rsidR="009B6343" w:rsidRPr="00115F98">
        <w:rPr>
          <w:rFonts w:ascii="Book Antiqua" w:hAnsi="Book Antiqua" w:cs="Times New Roman"/>
          <w:color w:val="000000" w:themeColor="text1"/>
          <w:kern w:val="0"/>
          <w:sz w:val="24"/>
          <w:szCs w:val="24"/>
        </w:rPr>
        <w:t xml:space="preserve"> and 45</w:t>
      </w:r>
      <w:r w:rsidR="007434B9">
        <w:rPr>
          <w:rFonts w:ascii="Book Antiqua" w:hAnsi="Book Antiqua" w:cs="Times New Roman"/>
          <w:color w:val="000000" w:themeColor="text1"/>
          <w:kern w:val="0"/>
          <w:sz w:val="24"/>
          <w:szCs w:val="24"/>
        </w:rPr>
        <w:t xml:space="preserve"> </w:t>
      </w:r>
      <w:r w:rsidR="009B6343" w:rsidRPr="00115F98">
        <w:rPr>
          <w:rFonts w:ascii="Book Antiqua" w:hAnsi="Book Antiqua" w:cs="Times New Roman"/>
          <w:color w:val="000000" w:themeColor="text1"/>
          <w:kern w:val="0"/>
          <w:sz w:val="24"/>
          <w:szCs w:val="24"/>
        </w:rPr>
        <w:t>from the Cochrane Library.</w:t>
      </w:r>
      <w:r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One study was identified through the manual search.</w:t>
      </w:r>
      <w:r w:rsidR="00685F32"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After excluding duplicates, 2684 titles and abstracts were reviewed, and 60 studies were assessed for eligibility through full</w:t>
      </w:r>
      <w:r w:rsidR="007434B9">
        <w:rPr>
          <w:rFonts w:ascii="Book Antiqua" w:hAnsi="Book Antiqua" w:cs="Times New Roman"/>
          <w:color w:val="000000" w:themeColor="text1"/>
          <w:kern w:val="0"/>
          <w:sz w:val="24"/>
          <w:szCs w:val="24"/>
        </w:rPr>
        <w:t>-</w:t>
      </w:r>
      <w:r w:rsidR="002878A3" w:rsidRPr="00115F98">
        <w:rPr>
          <w:rFonts w:ascii="Book Antiqua" w:hAnsi="Book Antiqua" w:cs="Times New Roman"/>
          <w:color w:val="000000" w:themeColor="text1"/>
          <w:kern w:val="0"/>
          <w:sz w:val="24"/>
          <w:szCs w:val="24"/>
        </w:rPr>
        <w:t>text review.</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 xml:space="preserve">Based on the inclusion criteria, </w:t>
      </w:r>
      <w:r w:rsidR="007434B9">
        <w:rPr>
          <w:rFonts w:ascii="Book Antiqua" w:hAnsi="Book Antiqua" w:cs="Times New Roman"/>
          <w:color w:val="000000" w:themeColor="text1"/>
          <w:kern w:val="0"/>
          <w:sz w:val="24"/>
          <w:szCs w:val="24"/>
        </w:rPr>
        <w:t>eight</w:t>
      </w:r>
      <w:r w:rsidR="007434B9"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 xml:space="preserve">observational studies and </w:t>
      </w:r>
      <w:r w:rsidR="007434B9">
        <w:rPr>
          <w:rFonts w:ascii="Book Antiqua" w:hAnsi="Book Antiqua" w:cs="Times New Roman"/>
          <w:color w:val="000000" w:themeColor="text1"/>
          <w:kern w:val="0"/>
          <w:sz w:val="24"/>
          <w:szCs w:val="24"/>
        </w:rPr>
        <w:t>six</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conference abstracts were identified. Of </w:t>
      </w:r>
      <w:r w:rsidR="002878A3" w:rsidRPr="00115F98">
        <w:rPr>
          <w:rFonts w:ascii="Book Antiqua" w:eastAsia="等线" w:hAnsi="Book Antiqua" w:cs="Times New Roman"/>
          <w:color w:val="000000" w:themeColor="text1"/>
          <w:kern w:val="0"/>
          <w:sz w:val="24"/>
          <w:szCs w:val="24"/>
        </w:rPr>
        <w:t>these</w:t>
      </w:r>
      <w:r w:rsidR="002878A3" w:rsidRPr="00115F98">
        <w:rPr>
          <w:rFonts w:ascii="Book Antiqua" w:hAnsi="Book Antiqua" w:cs="Times New Roman"/>
          <w:color w:val="000000" w:themeColor="text1"/>
          <w:kern w:val="0"/>
          <w:sz w:val="24"/>
          <w:szCs w:val="24"/>
        </w:rPr>
        <w:t xml:space="preserve">, </w:t>
      </w:r>
      <w:r w:rsidR="007434B9">
        <w:rPr>
          <w:rFonts w:ascii="Book Antiqua" w:hAnsi="Book Antiqua" w:cs="Times New Roman"/>
          <w:color w:val="000000" w:themeColor="text1"/>
          <w:kern w:val="0"/>
          <w:sz w:val="24"/>
          <w:szCs w:val="24"/>
        </w:rPr>
        <w:t>six</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observational studies</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case-control studies and </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cohort studies)</w:t>
      </w:r>
      <w:r w:rsidR="001D01B3" w:rsidRPr="00115F98">
        <w:rPr>
          <w:rFonts w:ascii="Book Antiqua" w:eastAsia="Times New Roman" w:hAnsi="Book Antiqua" w:cs="Times New Roman"/>
          <w:color w:val="000000" w:themeColor="text1"/>
          <w:kern w:val="0"/>
          <w:sz w:val="24"/>
          <w:szCs w:val="24"/>
          <w:vertAlign w:val="superscript"/>
        </w:rPr>
        <w:t>[</w:t>
      </w:r>
      <w:r w:rsidR="001D01B3" w:rsidRPr="00115F98">
        <w:rPr>
          <w:rFonts w:ascii="Book Antiqua" w:hAnsi="Book Antiqua" w:cs="Times New Roman"/>
          <w:color w:val="000000" w:themeColor="text1"/>
          <w:kern w:val="0"/>
          <w:sz w:val="24"/>
          <w:szCs w:val="24"/>
          <w:vertAlign w:val="superscript"/>
        </w:rPr>
        <w:t>13-18]</w:t>
      </w:r>
      <w:r w:rsidR="002878A3" w:rsidRPr="00115F98">
        <w:rPr>
          <w:rFonts w:ascii="Book Antiqua" w:hAnsi="Book Antiqua" w:cs="Times New Roman"/>
          <w:color w:val="000000" w:themeColor="text1"/>
          <w:kern w:val="0"/>
          <w:sz w:val="24"/>
          <w:szCs w:val="24"/>
        </w:rPr>
        <w:t xml:space="preserve"> and </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conference abstracts</w:t>
      </w:r>
      <w:r w:rsidR="00FA5785" w:rsidRPr="00115F98">
        <w:rPr>
          <w:rFonts w:ascii="Book Antiqua" w:eastAsia="Times New Roman" w:hAnsi="Book Antiqua" w:cs="Times New Roman"/>
          <w:color w:val="000000" w:themeColor="text1"/>
          <w:kern w:val="0"/>
          <w:sz w:val="24"/>
          <w:szCs w:val="24"/>
          <w:vertAlign w:val="superscript"/>
        </w:rPr>
        <w:t>[</w:t>
      </w:r>
      <w:r w:rsidR="00FA5785" w:rsidRPr="00115F98">
        <w:rPr>
          <w:rFonts w:ascii="Book Antiqua" w:hAnsi="Book Antiqua" w:cs="Times New Roman"/>
          <w:color w:val="000000" w:themeColor="text1"/>
          <w:kern w:val="0"/>
          <w:sz w:val="24"/>
          <w:szCs w:val="24"/>
          <w:vertAlign w:val="superscript"/>
        </w:rPr>
        <w:t>23-25]</w:t>
      </w:r>
      <w:r w:rsidR="002878A3" w:rsidRPr="00115F98">
        <w:rPr>
          <w:rFonts w:ascii="Book Antiqua" w:hAnsi="Book Antiqua" w:cs="Times New Roman"/>
          <w:color w:val="000000" w:themeColor="text1"/>
          <w:kern w:val="0"/>
          <w:sz w:val="24"/>
          <w:szCs w:val="24"/>
        </w:rPr>
        <w:t xml:space="preserve"> provided the necessary data and were ultimately included (Figure 1). Two</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cohort studies and three conference abstracts were excluded because of incomplete data. We tried to contact the corresponding authors via email. However, our requests did not receive responses.</w:t>
      </w:r>
    </w:p>
    <w:p w14:paraId="03BD5A91" w14:textId="77777777" w:rsidR="00E13D7E" w:rsidRPr="00115F98"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p>
    <w:p w14:paraId="58BF5801"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Study characteristics and quality assessment</w:t>
      </w:r>
    </w:p>
    <w:p w14:paraId="3FA00E02" w14:textId="4BF9AC39" w:rsidR="002878A3" w:rsidRPr="00115F98" w:rsidRDefault="00630767" w:rsidP="00E13D7E">
      <w:pPr>
        <w:autoSpaceDE w:val="0"/>
        <w:autoSpaceDN w:val="0"/>
        <w:adjustRightInd w:val="0"/>
        <w:spacing w:line="360" w:lineRule="auto"/>
        <w:rPr>
          <w:rFonts w:ascii="Book Antiqua" w:hAnsi="Book Antiqua" w:cs="Times New Roman"/>
          <w:color w:val="000000" w:themeColor="text1"/>
          <w:kern w:val="0"/>
          <w:sz w:val="24"/>
          <w:szCs w:val="24"/>
        </w:rPr>
      </w:pPr>
      <w:bookmarkStart w:id="41" w:name="_Hlk535352042"/>
      <w:r w:rsidRPr="00115F98">
        <w:rPr>
          <w:rFonts w:ascii="Book Antiqua" w:hAnsi="Book Antiqua" w:cs="Times New Roman"/>
          <w:color w:val="000000" w:themeColor="text1"/>
          <w:kern w:val="0"/>
          <w:sz w:val="24"/>
          <w:szCs w:val="24"/>
        </w:rPr>
        <w:t>Table 1 lists the characteristics of the included studies.</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Six</w:t>
      </w:r>
      <w:r w:rsidR="002878A3" w:rsidRPr="00115F98">
        <w:rPr>
          <w:rFonts w:ascii="Book Antiqua" w:hAnsi="Book Antiqua" w:cs="Times New Roman"/>
          <w:color w:val="000000" w:themeColor="text1"/>
          <w:kern w:val="0"/>
          <w:sz w:val="24"/>
          <w:szCs w:val="24"/>
        </w:rPr>
        <w:t xml:space="preserve"> observational studies</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case-control studies and </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cohort studies)</w:t>
      </w:r>
      <w:r w:rsidR="00AB0868" w:rsidRPr="00115F98">
        <w:rPr>
          <w:rFonts w:ascii="Book Antiqua" w:eastAsia="Times New Roman" w:hAnsi="Book Antiqua" w:cs="Times New Roman"/>
          <w:color w:val="000000" w:themeColor="text1"/>
          <w:kern w:val="0"/>
          <w:sz w:val="24"/>
          <w:szCs w:val="24"/>
          <w:vertAlign w:val="superscript"/>
        </w:rPr>
        <w:t>[</w:t>
      </w:r>
      <w:r w:rsidR="00AB0868" w:rsidRPr="00115F98">
        <w:rPr>
          <w:rFonts w:ascii="Book Antiqua" w:hAnsi="Book Antiqua" w:cs="Times New Roman"/>
          <w:color w:val="000000" w:themeColor="text1"/>
          <w:kern w:val="0"/>
          <w:sz w:val="24"/>
          <w:szCs w:val="24"/>
          <w:vertAlign w:val="superscript"/>
        </w:rPr>
        <w:t>13-18]</w:t>
      </w:r>
      <w:r w:rsidR="002878A3" w:rsidRPr="00115F98">
        <w:rPr>
          <w:rFonts w:ascii="Book Antiqua" w:hAnsi="Book Antiqua" w:cs="Times New Roman"/>
          <w:color w:val="000000" w:themeColor="text1"/>
          <w:kern w:val="0"/>
          <w:sz w:val="24"/>
          <w:szCs w:val="24"/>
        </w:rPr>
        <w:t xml:space="preserve"> and </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conference abstracts</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w:t>
      </w:r>
      <w:r w:rsidR="007434B9">
        <w:rPr>
          <w:rFonts w:ascii="Book Antiqua" w:hAnsi="Book Antiqua" w:cs="Times New Roman"/>
          <w:color w:val="000000" w:themeColor="text1"/>
          <w:kern w:val="0"/>
          <w:sz w:val="24"/>
          <w:szCs w:val="24"/>
        </w:rPr>
        <w:t>two</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case-control studies and</w:t>
      </w:r>
      <w:r w:rsidR="002878A3" w:rsidRPr="00115F98">
        <w:rPr>
          <w:rFonts w:ascii="Book Antiqua" w:eastAsia="等线" w:hAnsi="Book Antiqua" w:cs="Times New Roman"/>
          <w:color w:val="000000" w:themeColor="text1"/>
          <w:kern w:val="0"/>
          <w:sz w:val="24"/>
          <w:szCs w:val="24"/>
        </w:rPr>
        <w:t xml:space="preserve"> </w:t>
      </w:r>
      <w:r w:rsidR="007434B9">
        <w:rPr>
          <w:rFonts w:ascii="Book Antiqua" w:eastAsia="等线" w:hAnsi="Book Antiqua" w:cs="Times New Roman"/>
          <w:color w:val="000000" w:themeColor="text1"/>
          <w:kern w:val="0"/>
          <w:sz w:val="24"/>
          <w:szCs w:val="24"/>
        </w:rPr>
        <w:t>one</w:t>
      </w:r>
      <w:r w:rsidR="007434B9" w:rsidRPr="00115F98">
        <w:rPr>
          <w:rFonts w:ascii="Book Antiqua" w:eastAsia="等线" w:hAnsi="Book Antiqua" w:cs="Times New Roman"/>
          <w:color w:val="000000" w:themeColor="text1"/>
          <w:kern w:val="0"/>
          <w:sz w:val="24"/>
          <w:szCs w:val="24"/>
        </w:rPr>
        <w:t xml:space="preserve"> </w:t>
      </w:r>
      <w:r w:rsidR="002878A3" w:rsidRPr="00115F98">
        <w:rPr>
          <w:rFonts w:ascii="Book Antiqua" w:eastAsia="等线" w:hAnsi="Book Antiqua" w:cs="Times New Roman"/>
          <w:color w:val="000000" w:themeColor="text1"/>
          <w:kern w:val="0"/>
          <w:sz w:val="24"/>
          <w:szCs w:val="24"/>
        </w:rPr>
        <w:t>cohort</w:t>
      </w:r>
      <w:r w:rsidR="002878A3" w:rsidRPr="00115F98">
        <w:rPr>
          <w:rFonts w:ascii="Book Antiqua" w:hAnsi="Book Antiqua" w:cs="Times New Roman"/>
          <w:color w:val="000000" w:themeColor="text1"/>
          <w:kern w:val="0"/>
          <w:sz w:val="24"/>
          <w:szCs w:val="24"/>
        </w:rPr>
        <w:t xml:space="preserve"> study)</w:t>
      </w:r>
      <w:r w:rsidR="00DD20EA" w:rsidRPr="00115F98">
        <w:rPr>
          <w:rFonts w:ascii="Book Antiqua" w:eastAsia="Times New Roman" w:hAnsi="Book Antiqua" w:cs="Times New Roman"/>
          <w:color w:val="000000" w:themeColor="text1"/>
          <w:kern w:val="0"/>
          <w:sz w:val="24"/>
          <w:szCs w:val="24"/>
          <w:vertAlign w:val="superscript"/>
        </w:rPr>
        <w:t>[</w:t>
      </w:r>
      <w:r w:rsidR="00DD20EA" w:rsidRPr="00115F98">
        <w:rPr>
          <w:rFonts w:ascii="Book Antiqua" w:hAnsi="Book Antiqua" w:cs="Times New Roman"/>
          <w:color w:val="000000" w:themeColor="text1"/>
          <w:kern w:val="0"/>
          <w:sz w:val="24"/>
          <w:szCs w:val="24"/>
          <w:vertAlign w:val="superscript"/>
        </w:rPr>
        <w:t>23-25]</w:t>
      </w:r>
      <w:r w:rsidR="002878A3" w:rsidRPr="00115F98">
        <w:rPr>
          <w:rFonts w:ascii="Book Antiqua" w:hAnsi="Book Antiqua" w:cs="Times New Roman"/>
          <w:color w:val="000000" w:themeColor="text1"/>
          <w:kern w:val="0"/>
          <w:sz w:val="24"/>
          <w:szCs w:val="24"/>
        </w:rPr>
        <w:t xml:space="preserve"> were included.</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sz w:val="24"/>
          <w:szCs w:val="24"/>
        </w:rPr>
        <w:t xml:space="preserve">In total, </w:t>
      </w:r>
      <w:r w:rsidR="002878A3" w:rsidRPr="00115F98">
        <w:rPr>
          <w:rFonts w:ascii="Book Antiqua" w:hAnsi="Book Antiqua" w:cs="Times New Roman"/>
          <w:color w:val="000000" w:themeColor="text1"/>
          <w:kern w:val="0"/>
          <w:sz w:val="24"/>
          <w:szCs w:val="24"/>
        </w:rPr>
        <w:t>4342 patients from the case-control studies and 188053</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patients from the cohort studies</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 xml:space="preserve">were included in this analysis. </w:t>
      </w:r>
      <w:r w:rsidR="002878A3" w:rsidRPr="00115F98">
        <w:rPr>
          <w:rFonts w:ascii="Book Antiqua" w:eastAsia="等线" w:hAnsi="Book Antiqua" w:cs="Times New Roman"/>
          <w:color w:val="000000" w:themeColor="text1"/>
          <w:kern w:val="0"/>
          <w:sz w:val="24"/>
          <w:szCs w:val="24"/>
        </w:rPr>
        <w:t>Three</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studies</w:t>
      </w:r>
      <w:r w:rsidR="007434B9">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from Asia used </w:t>
      </w:r>
      <w:r w:rsidR="002878A3" w:rsidRPr="00115F98">
        <w:rPr>
          <w:rFonts w:ascii="Book Antiqua" w:eastAsia="等线" w:hAnsi="Book Antiqua" w:cs="Times New Roman"/>
          <w:color w:val="000000" w:themeColor="text1"/>
          <w:kern w:val="0"/>
          <w:sz w:val="24"/>
          <w:szCs w:val="24"/>
        </w:rPr>
        <w:t xml:space="preserve">a </w:t>
      </w:r>
      <w:r w:rsidR="002878A3" w:rsidRPr="00115F98">
        <w:rPr>
          <w:rFonts w:ascii="Book Antiqua" w:hAnsi="Book Antiqua" w:cs="Times New Roman"/>
          <w:color w:val="000000" w:themeColor="text1"/>
          <w:kern w:val="0"/>
          <w:sz w:val="24"/>
          <w:szCs w:val="24"/>
        </w:rPr>
        <w:t>case-control design</w:t>
      </w:r>
      <w:r w:rsidR="00AA25DB" w:rsidRPr="00115F98">
        <w:rPr>
          <w:rFonts w:ascii="Book Antiqua" w:eastAsia="Times New Roman" w:hAnsi="Book Antiqua" w:cs="Times New Roman"/>
          <w:color w:val="000000" w:themeColor="text1"/>
          <w:kern w:val="0"/>
          <w:sz w:val="24"/>
          <w:szCs w:val="24"/>
          <w:vertAlign w:val="superscript"/>
        </w:rPr>
        <w:t>[</w:t>
      </w:r>
      <w:r w:rsidR="00AA25DB" w:rsidRPr="00115F98">
        <w:rPr>
          <w:rFonts w:ascii="Book Antiqua" w:hAnsi="Book Antiqua" w:cs="Times New Roman"/>
          <w:color w:val="000000" w:themeColor="text1"/>
          <w:kern w:val="0"/>
          <w:sz w:val="24"/>
          <w:szCs w:val="24"/>
          <w:vertAlign w:val="superscript"/>
        </w:rPr>
        <w:t>15,16,18]</w:t>
      </w:r>
      <w:r w:rsidR="002878A3" w:rsidRPr="00115F98">
        <w:rPr>
          <w:rFonts w:ascii="Book Antiqua" w:hAnsi="Book Antiqua" w:cs="Times New Roman"/>
          <w:color w:val="000000" w:themeColor="text1"/>
          <w:kern w:val="0"/>
          <w:sz w:val="24"/>
          <w:szCs w:val="24"/>
        </w:rPr>
        <w:t xml:space="preserve">, </w:t>
      </w:r>
      <w:r w:rsidR="007434B9">
        <w:rPr>
          <w:rFonts w:ascii="Book Antiqua" w:hAnsi="Book Antiqua" w:cs="Times New Roman"/>
          <w:color w:val="000000" w:themeColor="text1"/>
          <w:kern w:val="0"/>
          <w:sz w:val="24"/>
          <w:szCs w:val="24"/>
        </w:rPr>
        <w:t>six</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studies were from Europe, and one study was from </w:t>
      </w:r>
      <w:r w:rsidR="002878A3" w:rsidRPr="00115F98">
        <w:rPr>
          <w:rFonts w:ascii="Book Antiqua" w:eastAsia="等线" w:hAnsi="Book Antiqua" w:cs="Times New Roman"/>
          <w:color w:val="000000" w:themeColor="text1"/>
          <w:kern w:val="0"/>
          <w:sz w:val="24"/>
          <w:szCs w:val="24"/>
        </w:rPr>
        <w:t xml:space="preserve">the </w:t>
      </w:r>
      <w:r w:rsidR="002878A3" w:rsidRPr="00115F98">
        <w:rPr>
          <w:rFonts w:ascii="Book Antiqua" w:hAnsi="Book Antiqua" w:cs="Times New Roman"/>
          <w:color w:val="000000" w:themeColor="text1"/>
          <w:kern w:val="0"/>
          <w:sz w:val="24"/>
          <w:szCs w:val="24"/>
        </w:rPr>
        <w:t>U</w:t>
      </w:r>
      <w:r w:rsidR="00E13D7E" w:rsidRPr="00115F98">
        <w:rPr>
          <w:rFonts w:ascii="Book Antiqua" w:hAnsi="Book Antiqua" w:cs="Times New Roman"/>
          <w:color w:val="000000" w:themeColor="text1"/>
          <w:kern w:val="0"/>
          <w:sz w:val="24"/>
          <w:szCs w:val="24"/>
        </w:rPr>
        <w:t>nited States</w:t>
      </w:r>
      <w:r w:rsidR="00AD7555" w:rsidRPr="00115F98">
        <w:rPr>
          <w:rFonts w:ascii="Book Antiqua" w:eastAsia="Times New Roman" w:hAnsi="Book Antiqua" w:cs="Times New Roman"/>
          <w:color w:val="000000" w:themeColor="text1"/>
          <w:kern w:val="0"/>
          <w:sz w:val="24"/>
          <w:szCs w:val="24"/>
          <w:vertAlign w:val="superscript"/>
        </w:rPr>
        <w:t>[</w:t>
      </w:r>
      <w:r w:rsidR="00AD7555" w:rsidRPr="00115F98">
        <w:rPr>
          <w:rFonts w:ascii="Book Antiqua" w:hAnsi="Book Antiqua" w:cs="Times New Roman"/>
          <w:color w:val="000000" w:themeColor="text1"/>
          <w:kern w:val="0"/>
          <w:sz w:val="24"/>
          <w:szCs w:val="24"/>
          <w:vertAlign w:val="superscript"/>
        </w:rPr>
        <w:t>13,14,17,23-25]</w:t>
      </w:r>
      <w:r w:rsidR="002878A3" w:rsidRPr="00115F98">
        <w:rPr>
          <w:rFonts w:ascii="Book Antiqua" w:hAnsi="Book Antiqua" w:cs="Times New Roman"/>
          <w:color w:val="000000" w:themeColor="text1"/>
          <w:kern w:val="0"/>
          <w:sz w:val="24"/>
          <w:szCs w:val="24"/>
        </w:rPr>
        <w:t xml:space="preserve">. </w:t>
      </w:r>
      <w:bookmarkEnd w:id="41"/>
      <w:r w:rsidR="002878A3" w:rsidRPr="00115F98">
        <w:rPr>
          <w:rFonts w:ascii="Book Antiqua" w:hAnsi="Book Antiqua" w:cs="Times New Roman"/>
          <w:color w:val="000000" w:themeColor="text1"/>
          <w:kern w:val="0"/>
          <w:sz w:val="24"/>
          <w:szCs w:val="24"/>
        </w:rPr>
        <w:t>Most of these studies included middle</w:t>
      </w:r>
      <w:r w:rsidR="007434B9">
        <w:rPr>
          <w:rFonts w:ascii="Book Antiqua" w:hAnsi="Book Antiqua" w:cs="Times New Roman"/>
          <w:color w:val="000000" w:themeColor="text1"/>
          <w:kern w:val="0"/>
          <w:sz w:val="24"/>
          <w:szCs w:val="24"/>
        </w:rPr>
        <w:t>-</w:t>
      </w:r>
      <w:r w:rsidR="002878A3" w:rsidRPr="00115F98">
        <w:rPr>
          <w:rFonts w:ascii="Book Antiqua" w:hAnsi="Book Antiqua" w:cs="Times New Roman"/>
          <w:color w:val="000000" w:themeColor="text1"/>
          <w:kern w:val="0"/>
          <w:sz w:val="24"/>
          <w:szCs w:val="24"/>
        </w:rPr>
        <w:t xml:space="preserve">aged and elderly individuals, and there </w:t>
      </w:r>
      <w:r w:rsidR="002878A3" w:rsidRPr="00115F98">
        <w:rPr>
          <w:rFonts w:ascii="Book Antiqua" w:eastAsia="等线" w:hAnsi="Book Antiqua" w:cs="Times New Roman"/>
          <w:color w:val="000000" w:themeColor="text1"/>
          <w:kern w:val="0"/>
          <w:sz w:val="24"/>
          <w:szCs w:val="24"/>
        </w:rPr>
        <w:t>were</w:t>
      </w:r>
      <w:r w:rsidR="002878A3" w:rsidRPr="00115F98">
        <w:rPr>
          <w:rFonts w:ascii="Book Antiqua" w:hAnsi="Book Antiqua" w:cs="Times New Roman"/>
          <w:color w:val="000000" w:themeColor="text1"/>
          <w:kern w:val="0"/>
          <w:sz w:val="24"/>
          <w:szCs w:val="24"/>
        </w:rPr>
        <w:t xml:space="preserve"> more men than women. Cirrhotic patients were analyzed in </w:t>
      </w:r>
      <w:r w:rsidR="007434B9">
        <w:rPr>
          <w:rFonts w:ascii="Book Antiqua" w:hAnsi="Book Antiqua" w:cs="Times New Roman"/>
          <w:color w:val="000000" w:themeColor="text1"/>
          <w:kern w:val="0"/>
          <w:sz w:val="24"/>
          <w:szCs w:val="24"/>
        </w:rPr>
        <w:t>five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studies</w:t>
      </w:r>
      <w:r w:rsidR="0071527C" w:rsidRPr="00115F98">
        <w:rPr>
          <w:rFonts w:ascii="Book Antiqua" w:eastAsia="Times New Roman" w:hAnsi="Book Antiqua" w:cs="Times New Roman"/>
          <w:color w:val="000000" w:themeColor="text1"/>
          <w:kern w:val="0"/>
          <w:sz w:val="24"/>
          <w:szCs w:val="24"/>
          <w:vertAlign w:val="superscript"/>
        </w:rPr>
        <w:t>[</w:t>
      </w:r>
      <w:r w:rsidR="0071527C" w:rsidRPr="00115F98">
        <w:rPr>
          <w:rFonts w:ascii="Book Antiqua" w:hAnsi="Book Antiqua" w:cs="Times New Roman"/>
          <w:color w:val="000000" w:themeColor="text1"/>
          <w:kern w:val="0"/>
          <w:sz w:val="24"/>
          <w:szCs w:val="24"/>
          <w:vertAlign w:val="superscript"/>
        </w:rPr>
        <w:t>14-16,23,24]</w:t>
      </w:r>
      <w:r w:rsidR="002878A3" w:rsidRPr="00115F98">
        <w:rPr>
          <w:rFonts w:ascii="Book Antiqua" w:hAnsi="Book Antiqua" w:cs="Times New Roman"/>
          <w:color w:val="000000" w:themeColor="text1"/>
          <w:kern w:val="0"/>
          <w:sz w:val="24"/>
          <w:szCs w:val="24"/>
        </w:rPr>
        <w:t>,</w:t>
      </w:r>
      <w:r w:rsidR="002878A3" w:rsidRPr="00115F98">
        <w:rPr>
          <w:rFonts w:ascii="Book Antiqua" w:eastAsia="等线" w:hAnsi="Book Antiqua" w:cs="Times New Roman"/>
          <w:color w:val="000000" w:themeColor="text1"/>
          <w:sz w:val="24"/>
          <w:szCs w:val="24"/>
        </w:rPr>
        <w:t xml:space="preserve"> patients with</w:t>
      </w:r>
      <w:r w:rsidR="002878A3" w:rsidRPr="00115F98">
        <w:rPr>
          <w:rFonts w:ascii="Book Antiqua" w:hAnsi="Book Antiqua" w:cs="Times New Roman"/>
          <w:color w:val="000000" w:themeColor="text1"/>
          <w:kern w:val="0"/>
          <w:sz w:val="24"/>
          <w:szCs w:val="24"/>
        </w:rPr>
        <w:t xml:space="preserve"> cirrhosis with ascites in </w:t>
      </w:r>
      <w:r w:rsidR="007434B9">
        <w:rPr>
          <w:rFonts w:ascii="Book Antiqua" w:hAnsi="Book Antiqua" w:cs="Times New Roman"/>
          <w:color w:val="000000" w:themeColor="text1"/>
          <w:kern w:val="0"/>
          <w:sz w:val="24"/>
          <w:szCs w:val="24"/>
        </w:rPr>
        <w:t>two</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studies</w:t>
      </w:r>
      <w:r w:rsidR="00127E5F" w:rsidRPr="00115F98">
        <w:rPr>
          <w:rFonts w:ascii="Book Antiqua" w:eastAsia="Times New Roman" w:hAnsi="Book Antiqua" w:cs="Times New Roman"/>
          <w:color w:val="000000" w:themeColor="text1"/>
          <w:kern w:val="0"/>
          <w:sz w:val="24"/>
          <w:szCs w:val="24"/>
          <w:vertAlign w:val="superscript"/>
        </w:rPr>
        <w:t>[</w:t>
      </w:r>
      <w:r w:rsidR="00127E5F" w:rsidRPr="00115F98">
        <w:rPr>
          <w:rFonts w:ascii="Book Antiqua" w:hAnsi="Book Antiqua" w:cs="Times New Roman"/>
          <w:color w:val="000000" w:themeColor="text1"/>
          <w:kern w:val="0"/>
          <w:sz w:val="24"/>
          <w:szCs w:val="24"/>
          <w:vertAlign w:val="superscript"/>
        </w:rPr>
        <w:t>17,25]</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patients with cirrhosis with </w:t>
      </w:r>
      <w:proofErr w:type="spellStart"/>
      <w:r w:rsidR="00E13D7E" w:rsidRPr="00115F98">
        <w:rPr>
          <w:rFonts w:ascii="Book Antiqua" w:hAnsi="Book Antiqua" w:cs="Times New Roman"/>
          <w:color w:val="000000" w:themeColor="text1"/>
          <w:kern w:val="0"/>
          <w:sz w:val="24"/>
          <w:szCs w:val="24"/>
        </w:rPr>
        <w:t>transjugular</w:t>
      </w:r>
      <w:proofErr w:type="spellEnd"/>
      <w:r w:rsidR="00E13D7E" w:rsidRPr="00115F98">
        <w:rPr>
          <w:rFonts w:ascii="Book Antiqua" w:hAnsi="Book Antiqua" w:cs="Times New Roman"/>
          <w:color w:val="000000" w:themeColor="text1"/>
          <w:kern w:val="0"/>
          <w:sz w:val="24"/>
          <w:szCs w:val="24"/>
        </w:rPr>
        <w:t xml:space="preserve"> intrahepatic portosystemic shunt</w:t>
      </w:r>
      <w:r w:rsidR="002878A3" w:rsidRPr="00115F98">
        <w:rPr>
          <w:rFonts w:ascii="Book Antiqua" w:hAnsi="Book Antiqua" w:cs="Times New Roman"/>
          <w:color w:val="000000" w:themeColor="text1"/>
          <w:kern w:val="0"/>
          <w:sz w:val="24"/>
          <w:szCs w:val="24"/>
        </w:rPr>
        <w:t xml:space="preserve"> implantation in one study</w:t>
      </w:r>
      <w:r w:rsidR="0046427C" w:rsidRPr="00115F98">
        <w:rPr>
          <w:rFonts w:ascii="Book Antiqua" w:eastAsia="Times New Roman" w:hAnsi="Book Antiqua" w:cs="Times New Roman"/>
          <w:color w:val="000000" w:themeColor="text1"/>
          <w:kern w:val="0"/>
          <w:sz w:val="24"/>
          <w:szCs w:val="24"/>
          <w:vertAlign w:val="superscript"/>
        </w:rPr>
        <w:t>[</w:t>
      </w:r>
      <w:r w:rsidR="0046427C" w:rsidRPr="00115F98">
        <w:rPr>
          <w:rFonts w:ascii="Book Antiqua" w:hAnsi="Book Antiqua" w:cs="Times New Roman"/>
          <w:color w:val="000000" w:themeColor="text1"/>
          <w:kern w:val="0"/>
          <w:sz w:val="24"/>
          <w:szCs w:val="24"/>
          <w:vertAlign w:val="superscript"/>
        </w:rPr>
        <w:t>13]</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and patients with </w:t>
      </w:r>
      <w:r w:rsidR="00E13D7E" w:rsidRPr="00115F98">
        <w:rPr>
          <w:rFonts w:ascii="Book Antiqua" w:hAnsi="Book Antiqua" w:cs="Times New Roman"/>
          <w:color w:val="000000" w:themeColor="text1"/>
          <w:kern w:val="0"/>
          <w:sz w:val="24"/>
          <w:szCs w:val="24"/>
        </w:rPr>
        <w:t>hepatitis B virus</w:t>
      </w:r>
      <w:r w:rsidR="002878A3" w:rsidRPr="00115F98">
        <w:rPr>
          <w:rFonts w:ascii="Book Antiqua" w:hAnsi="Book Antiqua" w:cs="Times New Roman"/>
          <w:color w:val="000000" w:themeColor="text1"/>
          <w:kern w:val="0"/>
          <w:sz w:val="24"/>
          <w:szCs w:val="24"/>
        </w:rPr>
        <w:t>-related ACLF in one study</w:t>
      </w:r>
      <w:r w:rsidR="00C246FA" w:rsidRPr="00115F98">
        <w:rPr>
          <w:rFonts w:ascii="Book Antiqua" w:eastAsia="Times New Roman" w:hAnsi="Book Antiqua" w:cs="Times New Roman"/>
          <w:color w:val="000000" w:themeColor="text1"/>
          <w:kern w:val="0"/>
          <w:sz w:val="24"/>
          <w:szCs w:val="24"/>
          <w:vertAlign w:val="superscript"/>
        </w:rPr>
        <w:t>[</w:t>
      </w:r>
      <w:r w:rsidR="00C246FA" w:rsidRPr="00115F98">
        <w:rPr>
          <w:rFonts w:ascii="Book Antiqua" w:hAnsi="Book Antiqua" w:cs="Times New Roman"/>
          <w:color w:val="000000" w:themeColor="text1"/>
          <w:kern w:val="0"/>
          <w:sz w:val="24"/>
          <w:szCs w:val="24"/>
          <w:vertAlign w:val="superscript"/>
        </w:rPr>
        <w:t>18]</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w:t>
      </w:r>
      <w:r w:rsidR="002878A3" w:rsidRPr="00115F98">
        <w:rPr>
          <w:rFonts w:ascii="Book Antiqua" w:eastAsia="等线" w:hAnsi="Book Antiqua" w:cs="Times New Roman"/>
          <w:color w:val="000000" w:themeColor="text1"/>
          <w:kern w:val="0"/>
          <w:sz w:val="24"/>
          <w:szCs w:val="24"/>
        </w:rPr>
        <w:t>Seven</w:t>
      </w:r>
      <w:r w:rsidR="002878A3" w:rsidRPr="00115F98">
        <w:rPr>
          <w:rFonts w:ascii="Book Antiqua" w:hAnsi="Book Antiqua" w:cs="Times New Roman"/>
          <w:color w:val="000000" w:themeColor="text1"/>
          <w:kern w:val="0"/>
          <w:sz w:val="24"/>
          <w:szCs w:val="24"/>
        </w:rPr>
        <w:t xml:space="preserve"> studies provided outcomes regarding the risk of HE grades 1-4</w:t>
      </w:r>
      <w:r w:rsidR="00C77DD6" w:rsidRPr="00115F98">
        <w:rPr>
          <w:rFonts w:ascii="Book Antiqua" w:eastAsia="Times New Roman" w:hAnsi="Book Antiqua" w:cs="Times New Roman"/>
          <w:color w:val="000000" w:themeColor="text1"/>
          <w:kern w:val="0"/>
          <w:sz w:val="24"/>
          <w:szCs w:val="24"/>
          <w:vertAlign w:val="superscript"/>
        </w:rPr>
        <w:t>[</w:t>
      </w:r>
      <w:r w:rsidR="00C77DD6" w:rsidRPr="00115F98">
        <w:rPr>
          <w:rFonts w:ascii="Book Antiqua" w:hAnsi="Book Antiqua" w:cs="Times New Roman"/>
          <w:color w:val="000000" w:themeColor="text1"/>
          <w:kern w:val="0"/>
          <w:sz w:val="24"/>
          <w:szCs w:val="24"/>
          <w:vertAlign w:val="superscript"/>
        </w:rPr>
        <w:t>13,15-17,23-25]</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w:t>
      </w:r>
      <w:r w:rsidR="007434B9">
        <w:rPr>
          <w:rFonts w:ascii="Book Antiqua" w:hAnsi="Book Antiqua" w:cs="Times New Roman"/>
          <w:color w:val="000000" w:themeColor="text1"/>
          <w:kern w:val="0"/>
          <w:sz w:val="24"/>
          <w:szCs w:val="24"/>
        </w:rPr>
        <w:t>three</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studies provided</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sz w:val="24"/>
          <w:szCs w:val="24"/>
        </w:rPr>
        <w:t xml:space="preserve">the risk of </w:t>
      </w:r>
      <w:r w:rsidR="002878A3" w:rsidRPr="00115F98">
        <w:rPr>
          <w:rFonts w:ascii="Book Antiqua" w:hAnsi="Book Antiqua" w:cs="Times New Roman"/>
          <w:color w:val="000000" w:themeColor="text1"/>
          <w:kern w:val="0"/>
          <w:sz w:val="24"/>
          <w:szCs w:val="24"/>
        </w:rPr>
        <w:t>HE grades 2-4</w:t>
      </w:r>
      <w:r w:rsidR="00EF0C40" w:rsidRPr="00115F98">
        <w:rPr>
          <w:rFonts w:ascii="Book Antiqua" w:eastAsia="Times New Roman" w:hAnsi="Book Antiqua" w:cs="Times New Roman"/>
          <w:color w:val="000000" w:themeColor="text1"/>
          <w:kern w:val="0"/>
          <w:sz w:val="24"/>
          <w:szCs w:val="24"/>
          <w:vertAlign w:val="superscript"/>
        </w:rPr>
        <w:t>[</w:t>
      </w:r>
      <w:r w:rsidR="00EF0C40" w:rsidRPr="00115F98">
        <w:rPr>
          <w:rFonts w:ascii="Book Antiqua" w:hAnsi="Book Antiqua" w:cs="Times New Roman"/>
          <w:color w:val="000000" w:themeColor="text1"/>
          <w:kern w:val="0"/>
          <w:sz w:val="24"/>
          <w:szCs w:val="24"/>
          <w:vertAlign w:val="superscript"/>
        </w:rPr>
        <w:t>14,17,18]</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and one study provided the risk of minimal HE</w:t>
      </w:r>
      <w:r w:rsidR="00F50757" w:rsidRPr="00115F98">
        <w:rPr>
          <w:rFonts w:ascii="Book Antiqua" w:eastAsia="Times New Roman" w:hAnsi="Book Antiqua" w:cs="Times New Roman"/>
          <w:color w:val="000000" w:themeColor="text1"/>
          <w:kern w:val="0"/>
          <w:sz w:val="24"/>
          <w:szCs w:val="24"/>
          <w:vertAlign w:val="superscript"/>
        </w:rPr>
        <w:t>[</w:t>
      </w:r>
      <w:r w:rsidR="00F50757" w:rsidRPr="00115F98">
        <w:rPr>
          <w:rFonts w:ascii="Book Antiqua" w:hAnsi="Book Antiqua" w:cs="Times New Roman"/>
          <w:color w:val="000000" w:themeColor="text1"/>
          <w:kern w:val="0"/>
          <w:sz w:val="24"/>
          <w:szCs w:val="24"/>
          <w:vertAlign w:val="superscript"/>
        </w:rPr>
        <w:t>14]</w:t>
      </w:r>
      <w:r w:rsidR="002878A3" w:rsidRPr="00115F98">
        <w:rPr>
          <w:rFonts w:ascii="Book Antiqua" w:eastAsia="等线" w:hAnsi="Book Antiqua" w:cs="Times New Roman"/>
          <w:color w:val="000000" w:themeColor="text1"/>
          <w:sz w:val="24"/>
          <w:szCs w:val="24"/>
        </w:rPr>
        <w:t>.</w:t>
      </w:r>
      <w:r w:rsidR="002878A3" w:rsidRPr="00115F98">
        <w:rPr>
          <w:rFonts w:ascii="Book Antiqua" w:hAnsi="Book Antiqua" w:cs="Times New Roman"/>
          <w:color w:val="000000" w:themeColor="text1"/>
          <w:kern w:val="0"/>
          <w:sz w:val="24"/>
          <w:szCs w:val="24"/>
        </w:rPr>
        <w:t xml:space="preserve"> With regard to </w:t>
      </w:r>
      <w:r w:rsidR="002878A3" w:rsidRPr="00115F98">
        <w:rPr>
          <w:rFonts w:ascii="Book Antiqua" w:eastAsia="等线" w:hAnsi="Book Antiqua" w:cs="Times New Roman"/>
          <w:color w:val="000000" w:themeColor="text1"/>
          <w:kern w:val="0"/>
          <w:sz w:val="24"/>
          <w:szCs w:val="24"/>
        </w:rPr>
        <w:t xml:space="preserve">the </w:t>
      </w:r>
      <w:r w:rsidR="002878A3" w:rsidRPr="00115F98">
        <w:rPr>
          <w:rFonts w:ascii="Book Antiqua" w:hAnsi="Book Antiqua" w:cs="Times New Roman"/>
          <w:color w:val="000000" w:themeColor="text1"/>
          <w:kern w:val="0"/>
          <w:sz w:val="24"/>
          <w:szCs w:val="24"/>
        </w:rPr>
        <w:t xml:space="preserve">definition of PPI </w:t>
      </w:r>
      <w:r w:rsidR="002878A3" w:rsidRPr="00115F98">
        <w:rPr>
          <w:rFonts w:ascii="Book Antiqua" w:hAnsi="Book Antiqua" w:cs="Times New Roman"/>
          <w:color w:val="000000" w:themeColor="text1"/>
          <w:kern w:val="0"/>
          <w:sz w:val="24"/>
          <w:szCs w:val="24"/>
        </w:rPr>
        <w:lastRenderedPageBreak/>
        <w:t xml:space="preserve">use, there </w:t>
      </w:r>
      <w:r w:rsidR="007434B9" w:rsidRPr="00115F98">
        <w:rPr>
          <w:rFonts w:ascii="Book Antiqua" w:hAnsi="Book Antiqua" w:cs="Times New Roman"/>
          <w:color w:val="000000" w:themeColor="text1"/>
          <w:kern w:val="0"/>
          <w:sz w:val="24"/>
          <w:szCs w:val="24"/>
        </w:rPr>
        <w:t>w</w:t>
      </w:r>
      <w:r w:rsidR="007434B9">
        <w:rPr>
          <w:rFonts w:ascii="Book Antiqua" w:hAnsi="Book Antiqua" w:cs="Times New Roman"/>
          <w:color w:val="000000" w:themeColor="text1"/>
          <w:kern w:val="0"/>
          <w:sz w:val="24"/>
          <w:szCs w:val="24"/>
        </w:rPr>
        <w:t>as a</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 xml:space="preserve">clear difference among the included studies. </w:t>
      </w:r>
      <w:r w:rsidR="002878A3" w:rsidRPr="00115F98">
        <w:rPr>
          <w:rFonts w:ascii="Book Antiqua" w:eastAsia="等线" w:hAnsi="Book Antiqua" w:cs="Times New Roman"/>
          <w:color w:val="000000" w:themeColor="text1"/>
          <w:kern w:val="0"/>
          <w:sz w:val="24"/>
          <w:szCs w:val="24"/>
        </w:rPr>
        <w:t>Three</w:t>
      </w:r>
      <w:r w:rsidR="002878A3" w:rsidRPr="00115F98">
        <w:rPr>
          <w:rFonts w:ascii="Book Antiqua" w:hAnsi="Book Antiqua" w:cs="Times New Roman"/>
          <w:color w:val="000000" w:themeColor="text1"/>
          <w:kern w:val="0"/>
          <w:sz w:val="24"/>
          <w:szCs w:val="24"/>
        </w:rPr>
        <w:t xml:space="preserve"> studies adopted the definition of </w:t>
      </w:r>
      <w:bookmarkStart w:id="42" w:name="_Hlk535268387"/>
      <w:r w:rsidR="002878A3" w:rsidRPr="00115F98">
        <w:rPr>
          <w:rFonts w:ascii="Book Antiqua" w:hAnsi="Book Antiqua" w:cs="Times New Roman"/>
          <w:color w:val="000000" w:themeColor="text1"/>
          <w:kern w:val="0"/>
          <w:sz w:val="24"/>
          <w:szCs w:val="24"/>
        </w:rPr>
        <w:t>in-hospital</w:t>
      </w:r>
      <w:bookmarkEnd w:id="42"/>
      <w:r w:rsidR="002878A3" w:rsidRPr="00115F98">
        <w:rPr>
          <w:rFonts w:ascii="Book Antiqua" w:hAnsi="Book Antiqua" w:cs="Times New Roman"/>
          <w:color w:val="000000" w:themeColor="text1"/>
          <w:kern w:val="0"/>
          <w:sz w:val="24"/>
          <w:szCs w:val="24"/>
        </w:rPr>
        <w:t xml:space="preserve"> PPI use as PPI exposure</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(in-hospital definition)</w:t>
      </w:r>
      <w:r w:rsidR="00FD21B4" w:rsidRPr="00115F98">
        <w:rPr>
          <w:rFonts w:ascii="Book Antiqua" w:eastAsia="Times New Roman" w:hAnsi="Book Antiqua" w:cs="Times New Roman"/>
          <w:color w:val="000000" w:themeColor="text1"/>
          <w:kern w:val="0"/>
          <w:sz w:val="24"/>
          <w:szCs w:val="24"/>
          <w:vertAlign w:val="superscript"/>
        </w:rPr>
        <w:t>[</w:t>
      </w:r>
      <w:r w:rsidR="00FD21B4" w:rsidRPr="00115F98">
        <w:rPr>
          <w:rFonts w:ascii="Book Antiqua" w:hAnsi="Book Antiqua" w:cs="Times New Roman"/>
          <w:color w:val="000000" w:themeColor="text1"/>
          <w:kern w:val="0"/>
          <w:sz w:val="24"/>
          <w:szCs w:val="24"/>
          <w:vertAlign w:val="superscript"/>
        </w:rPr>
        <w:t>13,15,18]</w:t>
      </w:r>
      <w:r w:rsidR="002878A3" w:rsidRPr="00115F98">
        <w:rPr>
          <w:rFonts w:ascii="Book Antiqua" w:hAnsi="Book Antiqua" w:cs="Times New Roman"/>
          <w:color w:val="000000" w:themeColor="text1"/>
          <w:kern w:val="0"/>
          <w:sz w:val="24"/>
          <w:szCs w:val="24"/>
        </w:rPr>
        <w:t xml:space="preserve">, </w:t>
      </w:r>
      <w:r w:rsidR="007434B9">
        <w:rPr>
          <w:rFonts w:ascii="Book Antiqua" w:hAnsi="Book Antiqua" w:cs="Times New Roman"/>
          <w:color w:val="000000" w:themeColor="text1"/>
          <w:kern w:val="0"/>
          <w:sz w:val="24"/>
          <w:szCs w:val="24"/>
        </w:rPr>
        <w:t>two</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studies adopted the definition of</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current PPI use</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as PPI exposure</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(current definition)</w:t>
      </w:r>
      <w:r w:rsidR="004F6109" w:rsidRPr="00115F98">
        <w:rPr>
          <w:rFonts w:ascii="Book Antiqua" w:eastAsia="Times New Roman" w:hAnsi="Book Antiqua" w:cs="Times New Roman"/>
          <w:color w:val="000000" w:themeColor="text1"/>
          <w:kern w:val="0"/>
          <w:sz w:val="24"/>
          <w:szCs w:val="24"/>
          <w:vertAlign w:val="superscript"/>
        </w:rPr>
        <w:t>[</w:t>
      </w:r>
      <w:r w:rsidR="004F6109" w:rsidRPr="00115F98">
        <w:rPr>
          <w:rFonts w:ascii="Book Antiqua" w:hAnsi="Book Antiqua" w:cs="Times New Roman"/>
          <w:color w:val="000000" w:themeColor="text1"/>
          <w:kern w:val="0"/>
          <w:sz w:val="24"/>
          <w:szCs w:val="24"/>
          <w:vertAlign w:val="superscript"/>
        </w:rPr>
        <w:t>17,23]</w:t>
      </w:r>
      <w:r w:rsidR="002878A3" w:rsidRPr="00115F98">
        <w:rPr>
          <w:rFonts w:ascii="Book Antiqua" w:hAnsi="Book Antiqua" w:cs="Times New Roman"/>
          <w:color w:val="000000" w:themeColor="text1"/>
          <w:kern w:val="0"/>
          <w:sz w:val="24"/>
          <w:szCs w:val="24"/>
        </w:rPr>
        <w:t>, and the remaining studies specified the time of PPI exposure</w:t>
      </w:r>
      <w:r w:rsidR="002878A3" w:rsidRPr="00115F98">
        <w:rPr>
          <w:rFonts w:ascii="Book Antiqua" w:eastAsia="等线"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(≥2 weeks;</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&gt;30cDDDs;</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≥4</w:t>
      </w:r>
      <w:r w:rsidR="00E13D7E" w:rsidRPr="00115F98">
        <w:rPr>
          <w:rFonts w:ascii="Book Antiqua" w:hAnsi="Book Antiqua" w:cs="Times New Roman"/>
          <w:color w:val="000000" w:themeColor="text1"/>
          <w:kern w:val="0"/>
          <w:sz w:val="24"/>
          <w:szCs w:val="24"/>
        </w:rPr>
        <w:t xml:space="preserve"> </w:t>
      </w:r>
      <w:proofErr w:type="spellStart"/>
      <w:r w:rsidR="002878A3" w:rsidRPr="00115F98">
        <w:rPr>
          <w:rFonts w:ascii="Book Antiqua" w:hAnsi="Book Antiqua" w:cs="Times New Roman"/>
          <w:color w:val="000000" w:themeColor="text1"/>
          <w:kern w:val="0"/>
          <w:sz w:val="24"/>
          <w:szCs w:val="24"/>
        </w:rPr>
        <w:t>wk</w:t>
      </w:r>
      <w:proofErr w:type="spellEnd"/>
      <w:r w:rsidR="002878A3" w:rsidRPr="00115F98">
        <w:rPr>
          <w:rFonts w:ascii="Book Antiqua" w:hAnsi="Book Antiqua" w:cs="Times New Roman"/>
          <w:color w:val="000000" w:themeColor="text1"/>
          <w:kern w:val="0"/>
          <w:sz w:val="24"/>
          <w:szCs w:val="24"/>
        </w:rPr>
        <w:t>; &gt;90 d) (time-based definition)</w:t>
      </w:r>
      <w:r w:rsidR="00414223" w:rsidRPr="00115F98">
        <w:rPr>
          <w:rFonts w:ascii="Book Antiqua" w:eastAsia="Times New Roman" w:hAnsi="Book Antiqua" w:cs="Times New Roman"/>
          <w:color w:val="000000" w:themeColor="text1"/>
          <w:kern w:val="0"/>
          <w:sz w:val="24"/>
          <w:szCs w:val="24"/>
          <w:vertAlign w:val="superscript"/>
        </w:rPr>
        <w:t>[</w:t>
      </w:r>
      <w:r w:rsidR="00414223" w:rsidRPr="00115F98">
        <w:rPr>
          <w:rFonts w:ascii="Book Antiqua" w:hAnsi="Book Antiqua" w:cs="Times New Roman"/>
          <w:color w:val="000000" w:themeColor="text1"/>
          <w:kern w:val="0"/>
          <w:sz w:val="24"/>
          <w:szCs w:val="24"/>
          <w:vertAlign w:val="superscript"/>
        </w:rPr>
        <w:t>14,16,24,25]</w:t>
      </w:r>
      <w:r w:rsidR="002878A3" w:rsidRPr="00115F98">
        <w:rPr>
          <w:rFonts w:ascii="Book Antiqua" w:hAnsi="Book Antiqua" w:cs="Times New Roman"/>
          <w:color w:val="000000" w:themeColor="text1"/>
          <w:kern w:val="0"/>
          <w:sz w:val="24"/>
          <w:szCs w:val="24"/>
        </w:rPr>
        <w:t xml:space="preserve">. </w:t>
      </w:r>
      <w:r w:rsidR="002878A3" w:rsidRPr="00115F98">
        <w:rPr>
          <w:rFonts w:ascii="Book Antiqua" w:eastAsia="等线" w:hAnsi="Book Antiqua" w:cs="Times New Roman"/>
          <w:color w:val="000000" w:themeColor="text1"/>
          <w:kern w:val="0"/>
          <w:sz w:val="24"/>
          <w:szCs w:val="24"/>
        </w:rPr>
        <w:t>Five</w:t>
      </w:r>
      <w:r w:rsidR="002878A3" w:rsidRPr="00115F98">
        <w:rPr>
          <w:rFonts w:ascii="Book Antiqua" w:hAnsi="Book Antiqua" w:cs="Times New Roman"/>
          <w:color w:val="000000" w:themeColor="text1"/>
          <w:kern w:val="0"/>
          <w:sz w:val="24"/>
          <w:szCs w:val="24"/>
        </w:rPr>
        <w:t xml:space="preserve"> studies provided the follow-up time, and the approximate follow-up time ranged from 4 </w:t>
      </w:r>
      <w:proofErr w:type="spellStart"/>
      <w:r w:rsidR="002878A3" w:rsidRPr="00115F98">
        <w:rPr>
          <w:rFonts w:ascii="Book Antiqua" w:hAnsi="Book Antiqua" w:cs="Times New Roman"/>
          <w:color w:val="000000" w:themeColor="text1"/>
          <w:kern w:val="0"/>
          <w:sz w:val="24"/>
          <w:szCs w:val="24"/>
        </w:rPr>
        <w:t>mo</w:t>
      </w:r>
      <w:proofErr w:type="spellEnd"/>
      <w:r w:rsidR="002878A3" w:rsidRPr="00115F98">
        <w:rPr>
          <w:rFonts w:ascii="Book Antiqua" w:hAnsi="Book Antiqua" w:cs="Times New Roman"/>
          <w:color w:val="000000" w:themeColor="text1"/>
          <w:kern w:val="0"/>
          <w:sz w:val="24"/>
          <w:szCs w:val="24"/>
        </w:rPr>
        <w:t xml:space="preserve"> to 3 years.</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All the included studies adjusted for various confounding factors except for two abstracts, which reported adjusted OR values but lacked details regarding the variables used for the adjustment</w:t>
      </w:r>
      <w:r w:rsidR="007A2AAB" w:rsidRPr="00115F98">
        <w:rPr>
          <w:rFonts w:ascii="Book Antiqua" w:eastAsia="Times New Roman" w:hAnsi="Book Antiqua" w:cs="Times New Roman"/>
          <w:color w:val="000000" w:themeColor="text1"/>
          <w:kern w:val="0"/>
          <w:sz w:val="24"/>
          <w:szCs w:val="24"/>
          <w:vertAlign w:val="superscript"/>
        </w:rPr>
        <w:t>[</w:t>
      </w:r>
      <w:r w:rsidR="007A2AAB" w:rsidRPr="00115F98">
        <w:rPr>
          <w:rFonts w:ascii="Book Antiqua" w:hAnsi="Book Antiqua" w:cs="Times New Roman"/>
          <w:color w:val="000000" w:themeColor="text1"/>
          <w:kern w:val="0"/>
          <w:sz w:val="24"/>
          <w:szCs w:val="24"/>
          <w:vertAlign w:val="superscript"/>
        </w:rPr>
        <w:t>23,25]</w:t>
      </w:r>
      <w:r w:rsidR="002878A3" w:rsidRPr="00115F98">
        <w:rPr>
          <w:rFonts w:ascii="Book Antiqua" w:hAnsi="Book Antiqua" w:cs="Times New Roman"/>
          <w:color w:val="000000" w:themeColor="text1"/>
          <w:kern w:val="0"/>
          <w:sz w:val="24"/>
          <w:szCs w:val="24"/>
        </w:rPr>
        <w:t xml:space="preserve">. We assessed the quality of six full-text studies. </w:t>
      </w:r>
      <w:r w:rsidR="002878A3" w:rsidRPr="00115F98">
        <w:rPr>
          <w:rFonts w:ascii="Book Antiqua" w:eastAsia="等线" w:hAnsi="Book Antiqua" w:cs="Times New Roman"/>
          <w:color w:val="000000" w:themeColor="text1"/>
          <w:kern w:val="0"/>
          <w:sz w:val="24"/>
          <w:szCs w:val="24"/>
        </w:rPr>
        <w:t>Four</w:t>
      </w:r>
      <w:r w:rsidR="002878A3" w:rsidRPr="00115F98">
        <w:rPr>
          <w:rFonts w:ascii="Book Antiqua" w:hAnsi="Book Antiqua" w:cs="Times New Roman"/>
          <w:color w:val="000000" w:themeColor="text1"/>
          <w:kern w:val="0"/>
          <w:sz w:val="24"/>
          <w:szCs w:val="24"/>
        </w:rPr>
        <w:t xml:space="preserve"> studies scored 9 points</w:t>
      </w:r>
      <w:r w:rsidR="00002715" w:rsidRPr="00115F98">
        <w:rPr>
          <w:rFonts w:ascii="Book Antiqua" w:eastAsia="Times New Roman" w:hAnsi="Book Antiqua" w:cs="Times New Roman"/>
          <w:color w:val="000000" w:themeColor="text1"/>
          <w:kern w:val="0"/>
          <w:sz w:val="24"/>
          <w:szCs w:val="24"/>
          <w:vertAlign w:val="superscript"/>
        </w:rPr>
        <w:t>[</w:t>
      </w:r>
      <w:r w:rsidR="00002715" w:rsidRPr="00115F98">
        <w:rPr>
          <w:rFonts w:ascii="Book Antiqua" w:hAnsi="Book Antiqua" w:cs="Times New Roman"/>
          <w:color w:val="000000" w:themeColor="text1"/>
          <w:kern w:val="0"/>
          <w:sz w:val="24"/>
          <w:szCs w:val="24"/>
          <w:vertAlign w:val="superscript"/>
        </w:rPr>
        <w:t>13,14,16,17]</w:t>
      </w:r>
      <w:r w:rsidR="002878A3" w:rsidRPr="00115F98">
        <w:rPr>
          <w:rFonts w:ascii="Book Antiqua" w:hAnsi="Book Antiqua" w:cs="Times New Roman"/>
          <w:color w:val="000000" w:themeColor="text1"/>
          <w:kern w:val="0"/>
          <w:sz w:val="24"/>
          <w:szCs w:val="24"/>
        </w:rPr>
        <w:t xml:space="preserve">, and </w:t>
      </w:r>
      <w:r w:rsidR="007434B9">
        <w:rPr>
          <w:rFonts w:ascii="Book Antiqua" w:hAnsi="Book Antiqua" w:cs="Times New Roman"/>
          <w:color w:val="000000" w:themeColor="text1"/>
          <w:kern w:val="0"/>
          <w:sz w:val="24"/>
          <w:szCs w:val="24"/>
        </w:rPr>
        <w:t>two</w:t>
      </w:r>
      <w:r w:rsidR="007434B9" w:rsidRPr="00115F98">
        <w:rPr>
          <w:rFonts w:ascii="Book Antiqua" w:hAnsi="Book Antiqua" w:cs="Times New Roman"/>
          <w:color w:val="000000" w:themeColor="text1"/>
          <w:kern w:val="0"/>
          <w:sz w:val="24"/>
          <w:szCs w:val="24"/>
        </w:rPr>
        <w:t xml:space="preserve"> </w:t>
      </w:r>
      <w:r w:rsidR="002878A3" w:rsidRPr="00115F98">
        <w:rPr>
          <w:rFonts w:ascii="Book Antiqua" w:hAnsi="Book Antiqua" w:cs="Times New Roman"/>
          <w:color w:val="000000" w:themeColor="text1"/>
          <w:kern w:val="0"/>
          <w:sz w:val="24"/>
          <w:szCs w:val="24"/>
        </w:rPr>
        <w:t>case-control studies scored 8 points (1 point was deducted for using hospital controls as a control group)</w:t>
      </w:r>
      <w:r w:rsidR="00FC6B76" w:rsidRPr="00115F98">
        <w:rPr>
          <w:rFonts w:ascii="Book Antiqua" w:eastAsia="Times New Roman" w:hAnsi="Book Antiqua" w:cs="Times New Roman"/>
          <w:color w:val="000000" w:themeColor="text1"/>
          <w:kern w:val="0"/>
          <w:sz w:val="24"/>
          <w:szCs w:val="24"/>
          <w:vertAlign w:val="superscript"/>
        </w:rPr>
        <w:t>[</w:t>
      </w:r>
      <w:r w:rsidR="00FC6B76" w:rsidRPr="00115F98">
        <w:rPr>
          <w:rFonts w:ascii="Book Antiqua" w:hAnsi="Book Antiqua" w:cs="Times New Roman"/>
          <w:color w:val="000000" w:themeColor="text1"/>
          <w:kern w:val="0"/>
          <w:sz w:val="24"/>
          <w:szCs w:val="24"/>
          <w:vertAlign w:val="superscript"/>
        </w:rPr>
        <w:t>15,18]</w:t>
      </w:r>
      <w:r w:rsidR="002878A3" w:rsidRPr="00115F98">
        <w:rPr>
          <w:rFonts w:ascii="Book Antiqua" w:hAnsi="Book Antiqua" w:cs="Times New Roman"/>
          <w:color w:val="000000" w:themeColor="text1"/>
          <w:kern w:val="0"/>
          <w:sz w:val="24"/>
          <w:szCs w:val="24"/>
        </w:rPr>
        <w:t>. All these studies</w:t>
      </w:r>
      <w:r w:rsidR="002878A3" w:rsidRPr="00115F98">
        <w:rPr>
          <w:rFonts w:ascii="Book Antiqua" w:hAnsi="Book Antiqua"/>
          <w:color w:val="000000" w:themeColor="text1"/>
          <w:sz w:val="24"/>
          <w:szCs w:val="24"/>
        </w:rPr>
        <w:t xml:space="preserve"> </w:t>
      </w:r>
      <w:r w:rsidR="002878A3" w:rsidRPr="00115F98">
        <w:rPr>
          <w:rFonts w:ascii="Book Antiqua" w:hAnsi="Book Antiqua" w:cs="Times New Roman"/>
          <w:color w:val="000000" w:themeColor="text1"/>
          <w:kern w:val="0"/>
          <w:sz w:val="24"/>
          <w:szCs w:val="24"/>
        </w:rPr>
        <w:t>were considered high quality because of their relatively low risk of bias.</w:t>
      </w:r>
    </w:p>
    <w:p w14:paraId="7D455C4F" w14:textId="77777777" w:rsidR="00E13D7E" w:rsidRPr="00115F98"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p>
    <w:p w14:paraId="7A462EED"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HE risk in PPI users</w:t>
      </w:r>
    </w:p>
    <w:p w14:paraId="71832FE2" w14:textId="63CCD673" w:rsidR="002878A3" w:rsidRPr="00115F98" w:rsidRDefault="002878A3" w:rsidP="00E13D7E">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115F98">
        <w:rPr>
          <w:rFonts w:ascii="Book Antiqua" w:hAnsi="Book Antiqua" w:cs="Times New Roman"/>
          <w:color w:val="000000" w:themeColor="text1"/>
          <w:kern w:val="0"/>
          <w:sz w:val="24"/>
          <w:szCs w:val="24"/>
        </w:rPr>
        <w:t xml:space="preserve">Figure 2 </w:t>
      </w:r>
      <w:r w:rsidRPr="00115F98">
        <w:rPr>
          <w:rFonts w:ascii="Book Antiqua" w:eastAsia="等线" w:hAnsi="Book Antiqua" w:cs="Times New Roman"/>
          <w:color w:val="000000" w:themeColor="text1"/>
          <w:kern w:val="0"/>
          <w:sz w:val="24"/>
          <w:szCs w:val="24"/>
        </w:rPr>
        <w:t>demonstrates</w:t>
      </w:r>
      <w:r w:rsidRPr="00115F98">
        <w:rPr>
          <w:rFonts w:ascii="Book Antiqua" w:hAnsi="Book Antiqua" w:cs="Times New Roman"/>
          <w:color w:val="000000" w:themeColor="text1"/>
          <w:kern w:val="0"/>
          <w:sz w:val="24"/>
          <w:szCs w:val="24"/>
        </w:rPr>
        <w:t xml:space="preserve"> that the risk of HE was elevated in PPI users. </w:t>
      </w:r>
      <w:r w:rsidRPr="00115F98">
        <w:rPr>
          <w:rFonts w:ascii="Book Antiqua" w:eastAsia="等线" w:hAnsi="Book Antiqua" w:cs="Times New Roman"/>
          <w:color w:val="000000" w:themeColor="text1"/>
          <w:kern w:val="0"/>
          <w:sz w:val="24"/>
          <w:szCs w:val="24"/>
        </w:rPr>
        <w:t>The pooled</w:t>
      </w:r>
      <w:r w:rsidRPr="00115F98">
        <w:rPr>
          <w:rFonts w:ascii="Book Antiqua" w:hAnsi="Book Antiqua" w:cs="Times New Roman"/>
          <w:color w:val="000000" w:themeColor="text1"/>
          <w:kern w:val="0"/>
          <w:sz w:val="24"/>
          <w:szCs w:val="24"/>
        </w:rPr>
        <w:t xml:space="preserve"> RR</w:t>
      </w:r>
      <w:r w:rsidR="007434B9">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was 2.08</w:t>
      </w:r>
      <w:r w:rsidRPr="00115F98">
        <w:rPr>
          <w:rFonts w:ascii="Book Antiqua" w:eastAsia="等线"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7434B9" w:rsidRPr="00115F98">
        <w:rPr>
          <w:rFonts w:ascii="Book Antiqua" w:hAnsi="Book Antiqua" w:cs="Times New Roman"/>
          <w:color w:val="000000" w:themeColor="text1"/>
          <w:kern w:val="0"/>
          <w:sz w:val="24"/>
          <w:szCs w:val="24"/>
        </w:rPr>
        <w:t>95%CI</w:t>
      </w:r>
      <w:r w:rsidR="007434B9">
        <w:rPr>
          <w:rFonts w:ascii="Book Antiqua" w:hAnsi="Book Antiqua" w:cs="Times New Roman"/>
          <w:color w:val="000000" w:themeColor="text1"/>
          <w:kern w:val="0"/>
          <w:sz w:val="24"/>
          <w:szCs w:val="24"/>
        </w:rPr>
        <w:t>:</w:t>
      </w:r>
      <w:r w:rsidR="007434B9"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1.62</w:t>
      </w:r>
      <w:r w:rsidR="00115F98"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2.68, Cochran </w:t>
      </w:r>
      <w:r w:rsidRPr="00115F98">
        <w:rPr>
          <w:rFonts w:ascii="Book Antiqua" w:hAnsi="Book Antiqua" w:cs="Times New Roman"/>
          <w:i/>
          <w:color w:val="000000" w:themeColor="text1"/>
          <w:kern w:val="0"/>
          <w:sz w:val="24"/>
          <w:szCs w:val="24"/>
        </w:rPr>
        <w:t>Q</w:t>
      </w:r>
      <w:r w:rsidRPr="00115F98">
        <w:rPr>
          <w:rFonts w:ascii="Book Antiqua" w:hAnsi="Book Antiqua" w:cs="Times New Roman"/>
          <w:color w:val="000000" w:themeColor="text1"/>
          <w:kern w:val="0"/>
          <w:sz w:val="24"/>
          <w:szCs w:val="24"/>
        </w:rPr>
        <w:t xml:space="preserve"> test </w:t>
      </w:r>
      <w:r w:rsidRPr="00115F98">
        <w:rPr>
          <w:rFonts w:ascii="Book Antiqua" w:hAnsi="Book Antiqua" w:cs="Times New Roman"/>
          <w:i/>
          <w:color w:val="000000" w:themeColor="text1"/>
          <w:kern w:val="0"/>
          <w:sz w:val="24"/>
          <w:szCs w:val="24"/>
        </w:rPr>
        <w:t>P</w:t>
      </w:r>
      <w:r w:rsidR="00115F98" w:rsidRPr="00115F98">
        <w:rPr>
          <w:rFonts w:ascii="Book Antiqua" w:hAnsi="Book Antiqua" w:cs="Times New Roman"/>
          <w:i/>
          <w:color w:val="000000" w:themeColor="text1"/>
          <w:kern w:val="0"/>
          <w:sz w:val="24"/>
          <w:szCs w:val="24"/>
        </w:rPr>
        <w:t xml:space="preserve"> &lt; </w:t>
      </w:r>
      <w:r w:rsidRPr="00115F98">
        <w:rPr>
          <w:rFonts w:ascii="Book Antiqua" w:hAnsi="Book Antiqua" w:cs="Times New Roman"/>
          <w:color w:val="000000" w:themeColor="text1"/>
          <w:kern w:val="0"/>
          <w:sz w:val="24"/>
          <w:szCs w:val="24"/>
        </w:rPr>
        <w:t xml:space="preserve">0.001, </w:t>
      </w:r>
      <w:r w:rsidRPr="00115F98">
        <w:rPr>
          <w:rFonts w:ascii="Book Antiqua" w:hAnsi="Book Antiqua" w:cs="Times New Roman"/>
          <w:i/>
          <w:color w:val="000000" w:themeColor="text1"/>
          <w:kern w:val="0"/>
          <w:sz w:val="24"/>
          <w:szCs w:val="24"/>
        </w:rPr>
        <w:t>I</w:t>
      </w:r>
      <w:r w:rsidRPr="00115F98">
        <w:rPr>
          <w:rFonts w:ascii="Book Antiqua" w:hAnsi="Book Antiqua" w:cs="Times New Roman"/>
          <w:i/>
          <w:color w:val="000000" w:themeColor="text1"/>
          <w:kern w:val="0"/>
          <w:sz w:val="24"/>
          <w:szCs w:val="24"/>
          <w:vertAlign w:val="superscript"/>
        </w:rPr>
        <w:t>2</w:t>
      </w:r>
      <w:r w:rsidR="00E13D7E" w:rsidRPr="00115F98">
        <w:rPr>
          <w:rFonts w:ascii="Book Antiqua" w:hAnsi="Book Antiqua" w:cs="Times New Roman"/>
          <w:color w:val="000000" w:themeColor="text1"/>
          <w:kern w:val="0"/>
          <w:sz w:val="24"/>
          <w:szCs w:val="24"/>
          <w:vertAlign w:val="superscript"/>
        </w:rPr>
        <w:t xml:space="preserve"> </w:t>
      </w:r>
      <w:r w:rsidRPr="00115F98">
        <w:rPr>
          <w:rFonts w:ascii="Book Antiqua" w:hAnsi="Book Antiqua" w:cs="Times New Roman"/>
          <w:color w:val="000000" w:themeColor="text1"/>
          <w:kern w:val="0"/>
          <w:sz w:val="24"/>
          <w:szCs w:val="24"/>
        </w:rPr>
        <w:t>=</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80%</w:t>
      </w:r>
      <w:r w:rsidR="007434B9">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 indicating </w:t>
      </w:r>
      <w:r w:rsidRPr="00115F98">
        <w:rPr>
          <w:rFonts w:ascii="Book Antiqua" w:eastAsia="等线" w:hAnsi="Book Antiqua" w:cs="Times New Roman"/>
          <w:color w:val="000000" w:themeColor="text1"/>
          <w:kern w:val="0"/>
          <w:sz w:val="24"/>
          <w:szCs w:val="24"/>
        </w:rPr>
        <w:t xml:space="preserve">that compared with patients who did not use PPIs, </w:t>
      </w:r>
      <w:r w:rsidRPr="00115F98">
        <w:rPr>
          <w:rFonts w:ascii="Book Antiqua" w:hAnsi="Book Antiqua" w:cs="Times New Roman"/>
          <w:color w:val="000000" w:themeColor="text1"/>
          <w:kern w:val="0"/>
          <w:sz w:val="24"/>
          <w:szCs w:val="24"/>
        </w:rPr>
        <w:t xml:space="preserve">PPI users had </w:t>
      </w:r>
      <w:r w:rsidRPr="00115F98">
        <w:rPr>
          <w:rFonts w:ascii="Book Antiqua" w:eastAsia="等线" w:hAnsi="Book Antiqua" w:cs="Times New Roman"/>
          <w:color w:val="000000" w:themeColor="text1"/>
          <w:kern w:val="0"/>
          <w:sz w:val="24"/>
          <w:szCs w:val="24"/>
        </w:rPr>
        <w:t xml:space="preserve">a </w:t>
      </w:r>
      <w:r w:rsidRPr="00115F98">
        <w:rPr>
          <w:rFonts w:ascii="Book Antiqua" w:hAnsi="Book Antiqua" w:cs="Times New Roman"/>
          <w:color w:val="000000" w:themeColor="text1"/>
          <w:kern w:val="0"/>
          <w:sz w:val="24"/>
          <w:szCs w:val="24"/>
        </w:rPr>
        <w:t>2.08-fold higher risk of developing HE, with significant heterogeneity.</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There was no</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significant difference based on study design in the effect on the risk of HE (</w:t>
      </w:r>
      <w:r w:rsidR="00E13D7E" w:rsidRPr="00115F98">
        <w:rPr>
          <w:rFonts w:ascii="Book Antiqua" w:hAnsi="Book Antiqua" w:cs="Times New Roman"/>
          <w:i/>
          <w:color w:val="000000" w:themeColor="text1"/>
          <w:kern w:val="0"/>
          <w:sz w:val="24"/>
          <w:szCs w:val="24"/>
        </w:rPr>
        <w:t>χ</w:t>
      </w:r>
      <w:r w:rsidRPr="00115F98">
        <w:rPr>
          <w:rFonts w:ascii="Book Antiqua" w:hAnsi="Book Antiqua" w:cs="Times New Roman"/>
          <w:i/>
          <w:color w:val="000000" w:themeColor="text1"/>
          <w:kern w:val="0"/>
          <w:sz w:val="24"/>
          <w:szCs w:val="24"/>
          <w:vertAlign w:val="superscript"/>
        </w:rPr>
        <w:t>2</w:t>
      </w:r>
      <w:r w:rsidR="00E13D7E" w:rsidRPr="00115F98">
        <w:rPr>
          <w:rFonts w:ascii="Book Antiqua" w:hAnsi="Book Antiqua" w:cs="Times New Roman"/>
          <w:color w:val="000000" w:themeColor="text1"/>
          <w:kern w:val="0"/>
          <w:sz w:val="24"/>
          <w:szCs w:val="24"/>
          <w:vertAlign w:val="superscript"/>
        </w:rPr>
        <w:t xml:space="preserve"> </w:t>
      </w:r>
      <w:r w:rsidRPr="00115F98">
        <w:rPr>
          <w:rFonts w:ascii="Book Antiqua" w:hAnsi="Book Antiqua" w:cs="Times New Roman"/>
          <w:color w:val="000000" w:themeColor="text1"/>
          <w:kern w:val="0"/>
          <w:sz w:val="24"/>
          <w:szCs w:val="24"/>
        </w:rPr>
        <w:t>=</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2.96 and </w:t>
      </w:r>
      <w:r w:rsidRPr="00115F98">
        <w:rPr>
          <w:rFonts w:ascii="Book Antiqua" w:hAnsi="Book Antiqua" w:cs="Times New Roman"/>
          <w:i/>
          <w:color w:val="000000" w:themeColor="text1"/>
          <w:kern w:val="0"/>
          <w:sz w:val="24"/>
          <w:szCs w:val="24"/>
        </w:rPr>
        <w:t>P</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0.09). The </w:t>
      </w:r>
      <w:r w:rsidRPr="00115F98">
        <w:rPr>
          <w:rFonts w:ascii="Book Antiqua" w:eastAsia="等线" w:hAnsi="Book Antiqua" w:cs="Times New Roman"/>
          <w:color w:val="000000" w:themeColor="text1"/>
          <w:kern w:val="0"/>
          <w:sz w:val="24"/>
          <w:szCs w:val="24"/>
        </w:rPr>
        <w:t>pooled</w:t>
      </w:r>
      <w:r w:rsidRPr="00115F98">
        <w:rPr>
          <w:rFonts w:ascii="Book Antiqua" w:hAnsi="Book Antiqua" w:cs="Times New Roman"/>
          <w:color w:val="000000" w:themeColor="text1"/>
          <w:kern w:val="0"/>
          <w:sz w:val="24"/>
          <w:szCs w:val="24"/>
        </w:rPr>
        <w:t xml:space="preserve"> RR for cohort studies was 1.67 (</w:t>
      </w:r>
      <w:r w:rsidR="007434B9" w:rsidRPr="00115F98">
        <w:rPr>
          <w:rFonts w:ascii="Book Antiqua" w:hAnsi="Book Antiqua" w:cs="Times New Roman"/>
          <w:color w:val="000000" w:themeColor="text1"/>
          <w:kern w:val="0"/>
          <w:sz w:val="24"/>
          <w:szCs w:val="24"/>
        </w:rPr>
        <w:t>95%CI</w:t>
      </w:r>
      <w:r w:rsidR="007434B9">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1.30</w:t>
      </w:r>
      <w:r w:rsidR="00115F98"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2.14, Cochran </w:t>
      </w:r>
      <w:r w:rsidRPr="00115F98">
        <w:rPr>
          <w:rFonts w:ascii="Book Antiqua" w:hAnsi="Book Antiqua" w:cs="Times New Roman"/>
          <w:i/>
          <w:color w:val="000000" w:themeColor="text1"/>
          <w:kern w:val="0"/>
          <w:sz w:val="24"/>
          <w:szCs w:val="24"/>
        </w:rPr>
        <w:t>Q</w:t>
      </w:r>
      <w:r w:rsidRPr="00115F98">
        <w:rPr>
          <w:rFonts w:ascii="Book Antiqua" w:hAnsi="Book Antiqua" w:cs="Times New Roman"/>
          <w:color w:val="000000" w:themeColor="text1"/>
          <w:kern w:val="0"/>
          <w:sz w:val="24"/>
          <w:szCs w:val="24"/>
        </w:rPr>
        <w:t xml:space="preserve"> test </w:t>
      </w:r>
      <w:r w:rsidR="00E13D7E" w:rsidRPr="00115F98">
        <w:rPr>
          <w:rFonts w:ascii="Book Antiqua" w:hAnsi="Book Antiqua" w:cs="Times New Roman"/>
          <w:i/>
          <w:color w:val="000000" w:themeColor="text1"/>
          <w:kern w:val="0"/>
          <w:sz w:val="24"/>
          <w:szCs w:val="24"/>
        </w:rPr>
        <w:t>P</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E13D7E"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0.03, </w:t>
      </w:r>
      <w:r w:rsidR="00115F98" w:rsidRPr="00115F98">
        <w:rPr>
          <w:rFonts w:ascii="Book Antiqua" w:hAnsi="Book Antiqua" w:cs="Times New Roman"/>
          <w:i/>
          <w:color w:val="000000" w:themeColor="text1"/>
          <w:kern w:val="0"/>
          <w:sz w:val="24"/>
          <w:szCs w:val="24"/>
        </w:rPr>
        <w:t>I</w:t>
      </w:r>
      <w:r w:rsidR="00115F98" w:rsidRPr="00115F98">
        <w:rPr>
          <w:rFonts w:ascii="Book Antiqua" w:hAnsi="Book Antiqua" w:cs="Times New Roman"/>
          <w:i/>
          <w:color w:val="000000" w:themeColor="text1"/>
          <w:kern w:val="0"/>
          <w:sz w:val="24"/>
          <w:szCs w:val="24"/>
          <w:vertAlign w:val="superscript"/>
        </w:rPr>
        <w:t>2</w:t>
      </w:r>
      <w:r w:rsidR="00115F98" w:rsidRPr="00115F98">
        <w:rPr>
          <w:rFonts w:ascii="Book Antiqua" w:hAnsi="Book Antiqua" w:cs="Times New Roman"/>
          <w:i/>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115F98"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67%</w:t>
      </w:r>
      <w:r w:rsidR="007434B9">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while the OR for case-control studies was 2.58</w:t>
      </w:r>
      <w:r w:rsidRPr="00115F98">
        <w:rPr>
          <w:rFonts w:ascii="Book Antiqua" w:eastAsia="等线"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7434B9" w:rsidRPr="00115F98">
        <w:rPr>
          <w:rFonts w:ascii="Book Antiqua" w:hAnsi="Book Antiqua" w:cs="Times New Roman"/>
          <w:color w:val="000000" w:themeColor="text1"/>
          <w:kern w:val="0"/>
          <w:sz w:val="24"/>
          <w:szCs w:val="24"/>
        </w:rPr>
        <w:t>95%CI</w:t>
      </w:r>
      <w:r w:rsidR="007434B9">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1.68</w:t>
      </w:r>
      <w:r w:rsidR="00115F98"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3.94).</w:t>
      </w:r>
      <w:r w:rsidRPr="00115F98">
        <w:rPr>
          <w:rFonts w:ascii="Book Antiqua" w:eastAsia="等线" w:hAnsi="Book Antiqua" w:cs="Times New Roman"/>
          <w:color w:val="000000" w:themeColor="text1"/>
          <w:kern w:val="0"/>
          <w:sz w:val="24"/>
          <w:szCs w:val="24"/>
        </w:rPr>
        <w:t xml:space="preserve"> In the sensitivity analysis with conference abstracts excluded, the pooled</w:t>
      </w:r>
      <w:r w:rsidRPr="00115F98">
        <w:rPr>
          <w:rFonts w:ascii="Book Antiqua" w:hAnsi="Book Antiqua" w:cs="Times New Roman"/>
          <w:color w:val="000000" w:themeColor="text1"/>
          <w:kern w:val="0"/>
          <w:sz w:val="24"/>
          <w:szCs w:val="24"/>
        </w:rPr>
        <w:t xml:space="preserve"> RR was 2.14 (</w:t>
      </w:r>
      <w:r w:rsidR="007434B9" w:rsidRPr="00115F98">
        <w:rPr>
          <w:rFonts w:ascii="Book Antiqua" w:hAnsi="Book Antiqua" w:cs="Times New Roman"/>
          <w:color w:val="000000" w:themeColor="text1"/>
          <w:kern w:val="0"/>
          <w:sz w:val="24"/>
          <w:szCs w:val="24"/>
        </w:rPr>
        <w:t>95%CI</w:t>
      </w:r>
      <w:r w:rsidR="007434B9">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1.54</w:t>
      </w:r>
      <w:r w:rsidR="00115F98"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2.97, Cochran </w:t>
      </w:r>
      <w:r w:rsidR="00E13D7E" w:rsidRPr="00115F98">
        <w:rPr>
          <w:rFonts w:ascii="Book Antiqua" w:hAnsi="Book Antiqua" w:cs="Times New Roman"/>
          <w:i/>
          <w:color w:val="000000" w:themeColor="text1"/>
          <w:kern w:val="0"/>
          <w:sz w:val="24"/>
          <w:szCs w:val="24"/>
        </w:rPr>
        <w:t>Q</w:t>
      </w:r>
      <w:r w:rsidRPr="00115F98">
        <w:rPr>
          <w:rFonts w:ascii="Book Antiqua" w:hAnsi="Book Antiqua" w:cs="Times New Roman"/>
          <w:color w:val="000000" w:themeColor="text1"/>
          <w:kern w:val="0"/>
          <w:sz w:val="24"/>
          <w:szCs w:val="24"/>
        </w:rPr>
        <w:t xml:space="preserve"> test </w:t>
      </w:r>
      <w:r w:rsidR="00E13D7E" w:rsidRPr="00115F98">
        <w:rPr>
          <w:rFonts w:ascii="Book Antiqua" w:hAnsi="Book Antiqua" w:cs="Times New Roman"/>
          <w:i/>
          <w:color w:val="000000" w:themeColor="text1"/>
          <w:kern w:val="0"/>
          <w:sz w:val="24"/>
          <w:szCs w:val="24"/>
        </w:rPr>
        <w:t>P</w:t>
      </w:r>
      <w:r w:rsidRPr="00115F98">
        <w:rPr>
          <w:rFonts w:ascii="Book Antiqua" w:hAnsi="Book Antiqua" w:cs="Times New Roman"/>
          <w:color w:val="000000" w:themeColor="text1"/>
          <w:kern w:val="0"/>
          <w:sz w:val="24"/>
          <w:szCs w:val="24"/>
        </w:rPr>
        <w:t xml:space="preserve"> =</w:t>
      </w:r>
      <w:r w:rsidR="00115F98"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0.02, </w:t>
      </w:r>
      <w:r w:rsidR="00115F98" w:rsidRPr="00115F98">
        <w:rPr>
          <w:rFonts w:ascii="Book Antiqua" w:hAnsi="Book Antiqua" w:cs="Times New Roman"/>
          <w:i/>
          <w:color w:val="000000" w:themeColor="text1"/>
          <w:kern w:val="0"/>
          <w:sz w:val="24"/>
          <w:szCs w:val="24"/>
        </w:rPr>
        <w:t>I</w:t>
      </w:r>
      <w:r w:rsidR="00115F98" w:rsidRPr="00115F98">
        <w:rPr>
          <w:rFonts w:ascii="Book Antiqua" w:hAnsi="Book Antiqua" w:cs="Times New Roman"/>
          <w:i/>
          <w:color w:val="000000" w:themeColor="text1"/>
          <w:kern w:val="0"/>
          <w:sz w:val="24"/>
          <w:szCs w:val="24"/>
          <w:vertAlign w:val="superscript"/>
        </w:rPr>
        <w:t>2</w:t>
      </w:r>
      <w:r w:rsidR="00115F98" w:rsidRPr="00115F98">
        <w:rPr>
          <w:rFonts w:ascii="Book Antiqua" w:hAnsi="Book Antiqua" w:cs="Times New Roman"/>
          <w:i/>
          <w:color w:val="000000" w:themeColor="text1"/>
          <w:kern w:val="0"/>
          <w:sz w:val="24"/>
          <w:szCs w:val="24"/>
        </w:rPr>
        <w:t xml:space="preserve"> </w:t>
      </w:r>
      <w:r w:rsidRPr="00115F98">
        <w:rPr>
          <w:rFonts w:ascii="Book Antiqua" w:hAnsi="Book Antiqua" w:cs="Times New Roman"/>
          <w:color w:val="000000" w:themeColor="text1"/>
          <w:kern w:val="0"/>
          <w:sz w:val="24"/>
          <w:szCs w:val="24"/>
        </w:rPr>
        <w:t>=</w:t>
      </w:r>
      <w:r w:rsidR="00115F98"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63%</w:t>
      </w:r>
      <w:r w:rsidR="007434B9">
        <w:rPr>
          <w:rFonts w:ascii="Book Antiqua" w:hAnsi="Book Antiqua" w:cs="Times New Roman"/>
          <w:color w:val="000000" w:themeColor="text1"/>
          <w:kern w:val="0"/>
          <w:sz w:val="24"/>
          <w:szCs w:val="24"/>
        </w:rPr>
        <w:t>)</w:t>
      </w:r>
      <w:r w:rsidR="004058EE">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(Figure 3). Two cohort studies excluded patients who had previous HE episodes</w:t>
      </w:r>
      <w:r w:rsidR="0010316F" w:rsidRPr="00115F98">
        <w:rPr>
          <w:rFonts w:ascii="Book Antiqua" w:eastAsia="Times New Roman" w:hAnsi="Book Antiqua" w:cs="Times New Roman"/>
          <w:color w:val="000000" w:themeColor="text1"/>
          <w:kern w:val="0"/>
          <w:sz w:val="24"/>
          <w:szCs w:val="24"/>
          <w:vertAlign w:val="superscript"/>
        </w:rPr>
        <w:t>[</w:t>
      </w:r>
      <w:r w:rsidR="0010316F" w:rsidRPr="00115F98">
        <w:rPr>
          <w:rFonts w:ascii="Book Antiqua" w:hAnsi="Book Antiqua" w:cs="Times New Roman"/>
          <w:color w:val="000000" w:themeColor="text1"/>
          <w:kern w:val="0"/>
          <w:sz w:val="24"/>
          <w:szCs w:val="24"/>
          <w:vertAlign w:val="superscript"/>
        </w:rPr>
        <w:t>17,24]</w:t>
      </w:r>
      <w:r w:rsidRPr="00115F98">
        <w:rPr>
          <w:rFonts w:ascii="Book Antiqua"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rPr>
        <w:t xml:space="preserve"> and</w:t>
      </w:r>
      <w:r w:rsidRPr="00115F98">
        <w:rPr>
          <w:rFonts w:ascii="Book Antiqua" w:hAnsi="Book Antiqua" w:cs="Times New Roman"/>
          <w:color w:val="000000" w:themeColor="text1"/>
          <w:kern w:val="0"/>
          <w:sz w:val="24"/>
          <w:szCs w:val="24"/>
        </w:rPr>
        <w:t xml:space="preserve"> the remaining two cohort studies</w:t>
      </w:r>
      <w:r w:rsidRPr="00115F98">
        <w:rPr>
          <w:rFonts w:ascii="Book Antiqua" w:hAnsi="Book Antiqua" w:cs="Times New Roman"/>
          <w:color w:val="000000" w:themeColor="text1"/>
          <w:kern w:val="0"/>
          <w:sz w:val="24"/>
          <w:szCs w:val="24"/>
          <w:vertAlign w:val="superscript"/>
        </w:rPr>
        <w:t xml:space="preserve"> </w:t>
      </w:r>
      <w:r w:rsidRPr="00115F98">
        <w:rPr>
          <w:rFonts w:ascii="Book Antiqua" w:hAnsi="Book Antiqua" w:cs="Times New Roman"/>
          <w:color w:val="000000" w:themeColor="text1"/>
          <w:kern w:val="0"/>
          <w:sz w:val="24"/>
          <w:szCs w:val="24"/>
        </w:rPr>
        <w:t>provided supplementary data focusing on patients without past HE episodes</w:t>
      </w:r>
      <w:r w:rsidR="00C46AF4" w:rsidRPr="00115F98">
        <w:rPr>
          <w:rFonts w:ascii="Book Antiqua" w:eastAsia="Times New Roman" w:hAnsi="Book Antiqua" w:cs="Times New Roman"/>
          <w:color w:val="000000" w:themeColor="text1"/>
          <w:kern w:val="0"/>
          <w:sz w:val="24"/>
          <w:szCs w:val="24"/>
          <w:vertAlign w:val="superscript"/>
        </w:rPr>
        <w:t>[</w:t>
      </w:r>
      <w:r w:rsidR="00C46AF4" w:rsidRPr="00115F98">
        <w:rPr>
          <w:rFonts w:ascii="Book Antiqua" w:hAnsi="Book Antiqua" w:cs="Times New Roman"/>
          <w:color w:val="000000" w:themeColor="text1"/>
          <w:kern w:val="0"/>
          <w:sz w:val="24"/>
          <w:szCs w:val="24"/>
          <w:vertAlign w:val="superscript"/>
        </w:rPr>
        <w:t>13,14]</w:t>
      </w:r>
      <w:r w:rsidRPr="00115F98">
        <w:rPr>
          <w:rFonts w:ascii="Book Antiqua" w:hAnsi="Book Antiqua" w:cs="Times New Roman"/>
          <w:color w:val="000000" w:themeColor="text1"/>
          <w:kern w:val="0"/>
          <w:sz w:val="24"/>
          <w:szCs w:val="24"/>
        </w:rPr>
        <w:t>. In the sensitivity analysis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kern w:val="0"/>
          <w:sz w:val="24"/>
          <w:szCs w:val="24"/>
        </w:rPr>
        <w:t>of patients without prior HE episodes, the pooled RR was 1.93 (</w:t>
      </w:r>
      <w:r w:rsidR="007434B9" w:rsidRPr="00115F98">
        <w:rPr>
          <w:rFonts w:ascii="Book Antiqua" w:hAnsi="Book Antiqua" w:cs="Times New Roman"/>
          <w:color w:val="000000" w:themeColor="text1"/>
          <w:kern w:val="0"/>
          <w:sz w:val="24"/>
          <w:szCs w:val="24"/>
        </w:rPr>
        <w:t>95%CI</w:t>
      </w:r>
      <w:r w:rsidR="007434B9">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1.33</w:t>
      </w:r>
      <w:r w:rsidR="00115F98" w:rsidRPr="00115F98">
        <w:rPr>
          <w:rFonts w:ascii="Book Antiqua" w:hAnsi="Book Antiqua" w:cs="Times New Roman"/>
          <w:color w:val="000000" w:themeColor="text1"/>
          <w:kern w:val="0"/>
          <w:sz w:val="24"/>
          <w:szCs w:val="24"/>
        </w:rPr>
        <w:t>-</w:t>
      </w:r>
      <w:r w:rsidRPr="00115F98">
        <w:rPr>
          <w:rFonts w:ascii="Book Antiqua" w:hAnsi="Book Antiqua" w:cs="Times New Roman"/>
          <w:color w:val="000000" w:themeColor="text1"/>
          <w:kern w:val="0"/>
          <w:sz w:val="24"/>
          <w:szCs w:val="24"/>
        </w:rPr>
        <w:t xml:space="preserve">2.80, Cochran </w:t>
      </w:r>
      <w:r w:rsidR="00E13D7E" w:rsidRPr="00115F98">
        <w:rPr>
          <w:rFonts w:ascii="Book Antiqua" w:hAnsi="Book Antiqua" w:cs="Times New Roman"/>
          <w:i/>
          <w:color w:val="000000" w:themeColor="text1"/>
          <w:kern w:val="0"/>
          <w:sz w:val="24"/>
          <w:szCs w:val="24"/>
        </w:rPr>
        <w:t>Q</w:t>
      </w:r>
      <w:r w:rsidRPr="00115F98">
        <w:rPr>
          <w:rFonts w:ascii="Book Antiqua" w:hAnsi="Book Antiqua" w:cs="Times New Roman"/>
          <w:color w:val="000000" w:themeColor="text1"/>
          <w:kern w:val="0"/>
          <w:sz w:val="24"/>
          <w:szCs w:val="24"/>
        </w:rPr>
        <w:t xml:space="preserve"> test </w:t>
      </w:r>
      <w:r w:rsidR="00E13D7E" w:rsidRPr="00115F98">
        <w:rPr>
          <w:rFonts w:ascii="Book Antiqua" w:hAnsi="Book Antiqua" w:cs="Times New Roman"/>
          <w:i/>
          <w:color w:val="000000" w:themeColor="text1"/>
          <w:kern w:val="0"/>
          <w:sz w:val="24"/>
          <w:szCs w:val="24"/>
        </w:rPr>
        <w:t>P</w:t>
      </w:r>
      <w:r w:rsidRPr="00115F98">
        <w:rPr>
          <w:rFonts w:ascii="Book Antiqua" w:hAnsi="Book Antiqua" w:cs="Times New Roman"/>
          <w:color w:val="000000" w:themeColor="text1"/>
          <w:kern w:val="0"/>
          <w:sz w:val="24"/>
          <w:szCs w:val="24"/>
        </w:rPr>
        <w:t xml:space="preserve"> =</w:t>
      </w:r>
      <w:r w:rsidR="00115F98"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0.001, </w:t>
      </w:r>
      <w:r w:rsidR="00115F98" w:rsidRPr="00115F98">
        <w:rPr>
          <w:rFonts w:ascii="Book Antiqua" w:hAnsi="Book Antiqua" w:cs="Times New Roman"/>
          <w:i/>
          <w:color w:val="000000" w:themeColor="text1"/>
          <w:kern w:val="0"/>
          <w:sz w:val="24"/>
          <w:szCs w:val="24"/>
        </w:rPr>
        <w:t>I</w:t>
      </w:r>
      <w:r w:rsidR="00115F98" w:rsidRPr="00115F98">
        <w:rPr>
          <w:rFonts w:ascii="Book Antiqua" w:hAnsi="Book Antiqua" w:cs="Times New Roman"/>
          <w:i/>
          <w:color w:val="000000" w:themeColor="text1"/>
          <w:kern w:val="0"/>
          <w:sz w:val="24"/>
          <w:szCs w:val="24"/>
          <w:vertAlign w:val="superscript"/>
        </w:rPr>
        <w:t>2</w:t>
      </w:r>
      <w:r w:rsidRPr="00115F98">
        <w:rPr>
          <w:rFonts w:ascii="Book Antiqua" w:hAnsi="Book Antiqua" w:cs="Times New Roman"/>
          <w:color w:val="000000" w:themeColor="text1"/>
          <w:kern w:val="0"/>
          <w:sz w:val="24"/>
          <w:szCs w:val="24"/>
        </w:rPr>
        <w:t xml:space="preserve"> =</w:t>
      </w:r>
      <w:r w:rsidR="00115F98" w:rsidRPr="00115F98">
        <w:rPr>
          <w:rFonts w:ascii="Book Antiqua"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81%</w:t>
      </w:r>
      <w:r w:rsidR="007434B9">
        <w:rPr>
          <w:rFonts w:ascii="Book Antiqua"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(Figure 4).</w:t>
      </w:r>
    </w:p>
    <w:p w14:paraId="381B3A5C" w14:textId="77777777" w:rsidR="00115F98" w:rsidRPr="00115F98" w:rsidRDefault="00115F98" w:rsidP="00E13D7E">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50D0DF9F"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Subgroup and stratified analyses</w:t>
      </w:r>
    </w:p>
    <w:p w14:paraId="781FAD9A" w14:textId="0F3F999B" w:rsidR="002878A3" w:rsidRDefault="002878A3"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115F98">
        <w:rPr>
          <w:rFonts w:ascii="Book Antiqua" w:eastAsia="等线" w:hAnsi="Book Antiqua" w:cs="Times New Roman"/>
          <w:color w:val="000000" w:themeColor="text1"/>
          <w:kern w:val="0"/>
          <w:sz w:val="24"/>
          <w:szCs w:val="24"/>
        </w:rPr>
        <w:t>To explore the source of heterogeneity, we conducted subgroup and stratified analyses.</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Before performing this meta-analysis, we estimated that the sources of heterogeneity (if any) would mainly be differences in study designs and definitions of PPI use. We performed stratification analyses based on these two factors. The results showed that the heterogeneity was significantly reduced </w:t>
      </w:r>
      <w:r w:rsidR="007434B9">
        <w:rPr>
          <w:rFonts w:ascii="Book Antiqua" w:eastAsia="等线" w:hAnsi="Book Antiqua" w:cs="Times New Roman"/>
          <w:color w:val="000000" w:themeColor="text1"/>
          <w:kern w:val="0"/>
          <w:sz w:val="24"/>
          <w:szCs w:val="24"/>
        </w:rPr>
        <w:t xml:space="preserve">by </w:t>
      </w:r>
      <w:r w:rsidRPr="00115F98">
        <w:rPr>
          <w:rFonts w:ascii="Book Antiqua" w:eastAsia="等线" w:hAnsi="Book Antiqua" w:cs="Times New Roman"/>
          <w:color w:val="000000" w:themeColor="text1"/>
          <w:kern w:val="0"/>
          <w:sz w:val="24"/>
          <w:szCs w:val="24"/>
        </w:rPr>
        <w:t>each stratum, and the elevated risk of HE in the PPI group still existed (Figure 5).</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Furthermore, we performed subgroup analyses based on the study location, type of advanced liver disease</w:t>
      </w:r>
      <w:r w:rsidR="007434B9">
        <w:rPr>
          <w:rFonts w:ascii="Book Antiqua" w:eastAsia="等线"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rPr>
        <w:t xml:space="preserve"> and outcomes analyzed, and the results were consistent among the different subgroups (Figures </w:t>
      </w:r>
      <w:r w:rsidR="005D1240" w:rsidRPr="00115F98">
        <w:rPr>
          <w:rFonts w:ascii="Book Antiqua" w:eastAsia="等线" w:hAnsi="Book Antiqua" w:cs="Times New Roman"/>
          <w:color w:val="000000" w:themeColor="text1"/>
          <w:kern w:val="0"/>
          <w:sz w:val="24"/>
          <w:szCs w:val="24"/>
        </w:rPr>
        <w:t>6</w:t>
      </w:r>
      <w:r w:rsidRPr="00115F98">
        <w:rPr>
          <w:rFonts w:ascii="Book Antiqua" w:eastAsia="等线" w:hAnsi="Book Antiqua" w:cs="Times New Roman"/>
          <w:color w:val="000000" w:themeColor="text1"/>
          <w:kern w:val="0"/>
          <w:sz w:val="24"/>
          <w:szCs w:val="24"/>
        </w:rPr>
        <w:t>-</w:t>
      </w:r>
      <w:r w:rsidR="005D1240" w:rsidRPr="00115F98">
        <w:rPr>
          <w:rFonts w:ascii="Book Antiqua" w:eastAsia="等线" w:hAnsi="Book Antiqua" w:cs="Times New Roman"/>
          <w:color w:val="000000" w:themeColor="text1"/>
          <w:kern w:val="0"/>
          <w:sz w:val="24"/>
          <w:szCs w:val="24"/>
        </w:rPr>
        <w:t>8</w:t>
      </w:r>
      <w:r w:rsidRPr="00115F98">
        <w:rPr>
          <w:rFonts w:ascii="Book Antiqua" w:eastAsia="等线" w:hAnsi="Book Antiqua" w:cs="Times New Roman"/>
          <w:color w:val="000000" w:themeColor="text1"/>
          <w:kern w:val="0"/>
          <w:sz w:val="24"/>
          <w:szCs w:val="24"/>
        </w:rPr>
        <w:t>).</w:t>
      </w:r>
    </w:p>
    <w:p w14:paraId="0DA1C9FA" w14:textId="77777777" w:rsidR="00115F98" w:rsidRPr="00115F98" w:rsidRDefault="00115F98"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p>
    <w:p w14:paraId="7253DACA" w14:textId="77777777" w:rsidR="002878A3" w:rsidRPr="00115F98"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115F98">
        <w:rPr>
          <w:rFonts w:ascii="Book Antiqua" w:hAnsi="Book Antiqua" w:cs="Times New Roman"/>
          <w:b/>
          <w:i/>
          <w:color w:val="000000" w:themeColor="text1"/>
          <w:kern w:val="0"/>
          <w:sz w:val="24"/>
          <w:szCs w:val="24"/>
        </w:rPr>
        <w:t>Publication bias</w:t>
      </w:r>
    </w:p>
    <w:p w14:paraId="15FD5C50" w14:textId="444BE23A" w:rsidR="002878A3" w:rsidRDefault="002878A3"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115F98">
        <w:rPr>
          <w:rFonts w:ascii="Book Antiqua" w:eastAsia="等线" w:hAnsi="Book Antiqua" w:cs="Times New Roman"/>
          <w:color w:val="000000" w:themeColor="text1"/>
          <w:kern w:val="0"/>
          <w:sz w:val="24"/>
          <w:szCs w:val="24"/>
        </w:rPr>
        <w:t>According to the Cochrane Collaboration Handbook</w:t>
      </w:r>
      <w:r w:rsidR="00A71D09" w:rsidRPr="00115F98">
        <w:rPr>
          <w:rFonts w:ascii="Book Antiqua" w:eastAsia="Times New Roman" w:hAnsi="Book Antiqua" w:cs="Times New Roman"/>
          <w:color w:val="000000" w:themeColor="text1"/>
          <w:kern w:val="0"/>
          <w:sz w:val="24"/>
          <w:szCs w:val="24"/>
          <w:vertAlign w:val="superscript"/>
        </w:rPr>
        <w:t>[</w:t>
      </w:r>
      <w:r w:rsidR="00A71D09" w:rsidRPr="00115F98">
        <w:rPr>
          <w:rFonts w:ascii="Book Antiqua" w:hAnsi="Book Antiqua" w:cs="Times New Roman"/>
          <w:color w:val="000000" w:themeColor="text1"/>
          <w:kern w:val="0"/>
          <w:sz w:val="24"/>
          <w:szCs w:val="24"/>
          <w:vertAlign w:val="superscript"/>
        </w:rPr>
        <w:t>22]</w:t>
      </w:r>
      <w:r w:rsidRPr="00115F98">
        <w:rPr>
          <w:rFonts w:ascii="Book Antiqua" w:eastAsia="等线" w:hAnsi="Book Antiqua" w:cs="Times New Roman"/>
          <w:color w:val="000000" w:themeColor="text1"/>
          <w:kern w:val="0"/>
          <w:sz w:val="24"/>
          <w:szCs w:val="24"/>
        </w:rPr>
        <w:t xml:space="preserve">, testing for publication bias is not recommended if the number of included studies is fewer than </w:t>
      </w:r>
      <w:r w:rsidR="007434B9">
        <w:rPr>
          <w:rFonts w:ascii="Book Antiqua" w:eastAsia="等线" w:hAnsi="Book Antiqua" w:cs="Times New Roman"/>
          <w:color w:val="000000" w:themeColor="text1"/>
          <w:kern w:val="0"/>
          <w:sz w:val="24"/>
          <w:szCs w:val="24"/>
        </w:rPr>
        <w:t>ten</w:t>
      </w:r>
      <w:r w:rsidRPr="00115F98">
        <w:rPr>
          <w:rFonts w:ascii="Book Antiqua" w:eastAsia="等线" w:hAnsi="Book Antiqua" w:cs="Times New Roman"/>
          <w:color w:val="000000" w:themeColor="text1"/>
          <w:kern w:val="0"/>
          <w:sz w:val="24"/>
          <w:szCs w:val="24"/>
        </w:rPr>
        <w:t>. True asymmetry and opportunity are indistinguishable</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because of the low</w:t>
      </w:r>
      <w:r w:rsidR="00115F98">
        <w:rPr>
          <w:rFonts w:ascii="Book Antiqua" w:eastAsia="等线" w:hAnsi="Book Antiqua" w:cs="Times New Roman"/>
          <w:color w:val="000000" w:themeColor="text1"/>
          <w:kern w:val="0"/>
          <w:sz w:val="24"/>
          <w:szCs w:val="24"/>
        </w:rPr>
        <w:t xml:space="preserve"> </w:t>
      </w:r>
      <w:r w:rsidRPr="00115F98">
        <w:rPr>
          <w:rFonts w:ascii="Book Antiqua" w:eastAsia="等线" w:hAnsi="Book Antiqua" w:cs="Times New Roman"/>
          <w:color w:val="000000" w:themeColor="text1"/>
          <w:kern w:val="0"/>
          <w:sz w:val="24"/>
          <w:szCs w:val="24"/>
        </w:rPr>
        <w:t xml:space="preserve">test efficiency. However, a funnel plot generated from the nine studies revealed that it was visually asymmetrical (Figure </w:t>
      </w:r>
      <w:r w:rsidR="005D1240" w:rsidRPr="00115F98">
        <w:rPr>
          <w:rFonts w:ascii="Book Antiqua" w:eastAsia="等线" w:hAnsi="Book Antiqua" w:cs="Times New Roman"/>
          <w:color w:val="000000" w:themeColor="text1"/>
          <w:kern w:val="0"/>
          <w:sz w:val="24"/>
          <w:szCs w:val="24"/>
        </w:rPr>
        <w:t>9</w:t>
      </w:r>
      <w:r w:rsidRPr="00115F98">
        <w:rPr>
          <w:rFonts w:ascii="Book Antiqua" w:eastAsia="等线" w:hAnsi="Book Antiqua" w:cs="Times New Roman"/>
          <w:color w:val="000000" w:themeColor="text1"/>
          <w:kern w:val="0"/>
          <w:sz w:val="24"/>
          <w:szCs w:val="24"/>
        </w:rPr>
        <w:t>).</w:t>
      </w:r>
    </w:p>
    <w:p w14:paraId="16ED04CE" w14:textId="77777777" w:rsidR="00115F98" w:rsidRPr="00115F98" w:rsidRDefault="00115F98"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p>
    <w:p w14:paraId="33CB3651" w14:textId="6D2014A4" w:rsidR="002878A3" w:rsidRPr="00115F98" w:rsidRDefault="00115F98"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115F98">
        <w:rPr>
          <w:rFonts w:ascii="Book Antiqua" w:hAnsi="Book Antiqua" w:cs="Times New Roman"/>
          <w:b/>
          <w:color w:val="000000" w:themeColor="text1"/>
          <w:kern w:val="0"/>
          <w:sz w:val="24"/>
          <w:szCs w:val="24"/>
        </w:rPr>
        <w:t>DISCUSSION</w:t>
      </w:r>
    </w:p>
    <w:p w14:paraId="15EF7F52" w14:textId="2E32ACDA" w:rsidR="002878A3" w:rsidRPr="00115F98" w:rsidRDefault="00475732"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115F98">
        <w:rPr>
          <w:rFonts w:ascii="Book Antiqua" w:eastAsia="等线" w:hAnsi="Book Antiqua" w:cs="Times New Roman"/>
          <w:color w:val="000000" w:themeColor="text1"/>
          <w:kern w:val="0"/>
          <w:sz w:val="24"/>
          <w:szCs w:val="24"/>
        </w:rPr>
        <w:t>In this meta-analysis</w:t>
      </w:r>
      <w:r w:rsidR="002878A3" w:rsidRPr="00115F98">
        <w:rPr>
          <w:rFonts w:ascii="Book Antiqua" w:eastAsia="等线" w:hAnsi="Book Antiqua" w:cs="Times New Roman"/>
          <w:color w:val="000000" w:themeColor="text1"/>
          <w:kern w:val="0"/>
          <w:sz w:val="24"/>
          <w:szCs w:val="24"/>
        </w:rPr>
        <w:t>, we found that PPI use was associated with a 2.08-fold higher risk of progression to HE. After excluding conference abstracts, the pooled results from the high-quality observational studies showed similar RR values and 95%CIs. There was a high degree of heterogeneity among studies, and the results of the subgroup analyses suggested that the heterogeneity may be the result of differences in the study designs and definitions of PPI use. The elevated risk of HE for PPI users was consistent regardless of the study design, definition of PPI use, study location, type of advanced liver disease, and outcomes analyzed. Previous studies revealed that HE was a predictor</w:t>
      </w:r>
      <w:r w:rsidR="002878A3" w:rsidRPr="00115F98">
        <w:rPr>
          <w:rFonts w:ascii="Book Antiqua" w:hAnsi="Book Antiqua" w:cs="Times New Roman"/>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of PPI therapy</w:t>
      </w:r>
      <w:r w:rsidR="008C5F0C" w:rsidRPr="00115F98">
        <w:rPr>
          <w:rFonts w:ascii="Book Antiqua" w:eastAsia="Times New Roman" w:hAnsi="Book Antiqua" w:cs="Times New Roman"/>
          <w:color w:val="000000" w:themeColor="text1"/>
          <w:kern w:val="0"/>
          <w:sz w:val="24"/>
          <w:szCs w:val="24"/>
          <w:vertAlign w:val="superscript"/>
        </w:rPr>
        <w:t>[</w:t>
      </w:r>
      <w:r w:rsidR="008C5F0C" w:rsidRPr="00115F98">
        <w:rPr>
          <w:rFonts w:ascii="Book Antiqua" w:hAnsi="Book Antiqua" w:cs="Times New Roman"/>
          <w:color w:val="000000" w:themeColor="text1"/>
          <w:kern w:val="0"/>
          <w:sz w:val="24"/>
          <w:szCs w:val="24"/>
          <w:vertAlign w:val="superscript"/>
        </w:rPr>
        <w:t>26,27]</w:t>
      </w:r>
      <w:r w:rsidR="002878A3" w:rsidRPr="00115F98">
        <w:rPr>
          <w:rFonts w:ascii="Book Antiqua" w:eastAsia="等线" w:hAnsi="Book Antiqua" w:cs="Times New Roman"/>
          <w:color w:val="000000" w:themeColor="text1"/>
          <w:kern w:val="0"/>
          <w:sz w:val="24"/>
          <w:szCs w:val="24"/>
        </w:rPr>
        <w:t xml:space="preserve">, which suggests that </w:t>
      </w:r>
      <w:r w:rsidR="002878A3" w:rsidRPr="00115F98">
        <w:rPr>
          <w:rFonts w:ascii="Book Antiqua" w:eastAsia="等线" w:hAnsi="Book Antiqua" w:cs="Times New Roman"/>
          <w:color w:val="000000" w:themeColor="text1"/>
          <w:kern w:val="0"/>
          <w:sz w:val="24"/>
          <w:szCs w:val="24"/>
        </w:rPr>
        <w:lastRenderedPageBreak/>
        <w:t>the elevated risk of HE for PPI users may be affected by confounding by indication. However,</w:t>
      </w:r>
      <w:r w:rsidR="002878A3" w:rsidRPr="00115F98">
        <w:rPr>
          <w:rFonts w:ascii="Book Antiqua" w:hAnsi="Book Antiqua" w:cs="Times New Roman"/>
          <w:color w:val="000000" w:themeColor="text1"/>
          <w:sz w:val="24"/>
          <w:szCs w:val="24"/>
        </w:rPr>
        <w:t xml:space="preserve"> the </w:t>
      </w:r>
      <w:r w:rsidR="002878A3" w:rsidRPr="00115F98">
        <w:rPr>
          <w:rFonts w:ascii="Book Antiqua" w:eastAsia="等线" w:hAnsi="Book Antiqua" w:cs="Times New Roman"/>
          <w:color w:val="000000" w:themeColor="text1"/>
          <w:kern w:val="0"/>
          <w:sz w:val="24"/>
          <w:szCs w:val="24"/>
        </w:rPr>
        <w:t>sensitivity analysis focusing on patients without past HE episodes showed a similar result. In addition, two of the included studies increased the persuasiveness of evidence by reporting significant dose-response relationships between PPI use and the risk of HE occurrence in patients with cirrhosis</w:t>
      </w:r>
      <w:r w:rsidR="00F86819" w:rsidRPr="00115F98">
        <w:rPr>
          <w:rFonts w:ascii="Book Antiqua" w:eastAsia="Times New Roman" w:hAnsi="Book Antiqua" w:cs="Times New Roman"/>
          <w:color w:val="000000" w:themeColor="text1"/>
          <w:kern w:val="0"/>
          <w:sz w:val="24"/>
          <w:szCs w:val="24"/>
          <w:vertAlign w:val="superscript"/>
        </w:rPr>
        <w:t>[</w:t>
      </w:r>
      <w:r w:rsidR="00F86819" w:rsidRPr="00115F98">
        <w:rPr>
          <w:rFonts w:ascii="Book Antiqua" w:hAnsi="Book Antiqua" w:cs="Times New Roman"/>
          <w:color w:val="000000" w:themeColor="text1"/>
          <w:kern w:val="0"/>
          <w:sz w:val="24"/>
          <w:szCs w:val="24"/>
          <w:vertAlign w:val="superscript"/>
        </w:rPr>
        <w:t>13,16]</w:t>
      </w:r>
      <w:r w:rsidR="002878A3" w:rsidRPr="00115F98">
        <w:rPr>
          <w:rFonts w:ascii="Book Antiqua" w:eastAsia="等线" w:hAnsi="Book Antiqua" w:cs="Times New Roman"/>
          <w:color w:val="000000" w:themeColor="text1"/>
          <w:kern w:val="0"/>
          <w:sz w:val="24"/>
          <w:szCs w:val="24"/>
        </w:rPr>
        <w:t>. It is worth noting that the pooled</w:t>
      </w:r>
      <w:r w:rsidR="002878A3" w:rsidRPr="00115F98">
        <w:rPr>
          <w:rFonts w:ascii="Book Antiqua" w:hAnsi="Book Antiqua" w:cs="Times New Roman"/>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effect size</w:t>
      </w:r>
      <w:r w:rsidR="002878A3" w:rsidRPr="00115F98">
        <w:rPr>
          <w:rFonts w:ascii="Book Antiqua" w:hAnsi="Book Antiqua" w:cs="Times New Roman"/>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of the case-control design was greater than that of the cohort design. Case-control designs can</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generate an exaggerated risk estimate because they are susceptible to various biases</w:t>
      </w:r>
      <w:r w:rsidR="00270EF1" w:rsidRPr="00115F98">
        <w:rPr>
          <w:rFonts w:ascii="Book Antiqua" w:eastAsia="Times New Roman" w:hAnsi="Book Antiqua" w:cs="Times New Roman"/>
          <w:color w:val="000000" w:themeColor="text1"/>
          <w:kern w:val="0"/>
          <w:sz w:val="24"/>
          <w:szCs w:val="24"/>
          <w:vertAlign w:val="superscript"/>
        </w:rPr>
        <w:t>[</w:t>
      </w:r>
      <w:r w:rsidR="00270EF1" w:rsidRPr="00115F98">
        <w:rPr>
          <w:rFonts w:ascii="Book Antiqua" w:hAnsi="Book Antiqua" w:cs="Times New Roman"/>
          <w:color w:val="000000" w:themeColor="text1"/>
          <w:kern w:val="0"/>
          <w:sz w:val="24"/>
          <w:szCs w:val="24"/>
          <w:vertAlign w:val="superscript"/>
        </w:rPr>
        <w:t>28]</w:t>
      </w:r>
      <w:r w:rsidR="002878A3" w:rsidRPr="00115F98">
        <w:rPr>
          <w:rFonts w:ascii="Book Antiqua" w:eastAsia="等线" w:hAnsi="Book Antiqua" w:cs="Times New Roman"/>
          <w:color w:val="000000" w:themeColor="text1"/>
          <w:kern w:val="0"/>
          <w:sz w:val="24"/>
          <w:szCs w:val="24"/>
        </w:rPr>
        <w:t xml:space="preserve">. </w:t>
      </w:r>
      <w:r w:rsidR="007760A4" w:rsidRPr="00115F98">
        <w:rPr>
          <w:rFonts w:ascii="Book Antiqua" w:eastAsia="等线" w:hAnsi="Book Antiqua" w:cs="Times New Roman"/>
          <w:color w:val="000000" w:themeColor="text1"/>
          <w:kern w:val="0"/>
          <w:sz w:val="24"/>
          <w:szCs w:val="24"/>
        </w:rPr>
        <w:t>Furthermore, ORs may overestimate the true effect of an exposure on the outcome of interest</w:t>
      </w:r>
      <w:r w:rsidR="007760A4" w:rsidRPr="00115F98">
        <w:rPr>
          <w:rFonts w:ascii="Book Antiqua" w:eastAsia="等线" w:hAnsi="Book Antiqua" w:cs="Times New Roman"/>
          <w:color w:val="000000" w:themeColor="text1"/>
          <w:kern w:val="0"/>
          <w:sz w:val="24"/>
          <w:szCs w:val="24"/>
          <w:vertAlign w:val="superscript"/>
        </w:rPr>
        <w:t>[</w:t>
      </w:r>
      <w:r w:rsidR="00A35CED" w:rsidRPr="00115F98">
        <w:rPr>
          <w:rFonts w:ascii="Book Antiqua" w:eastAsia="等线" w:hAnsi="Book Antiqua" w:cs="Times New Roman"/>
          <w:color w:val="000000" w:themeColor="text1"/>
          <w:kern w:val="0"/>
          <w:sz w:val="24"/>
          <w:szCs w:val="24"/>
          <w:vertAlign w:val="superscript"/>
        </w:rPr>
        <w:t>29</w:t>
      </w:r>
      <w:r w:rsidR="007760A4" w:rsidRPr="00115F98">
        <w:rPr>
          <w:rFonts w:ascii="Book Antiqua" w:eastAsia="等线" w:hAnsi="Book Antiqua" w:cs="Times New Roman"/>
          <w:color w:val="000000" w:themeColor="text1"/>
          <w:kern w:val="0"/>
          <w:sz w:val="24"/>
          <w:szCs w:val="24"/>
          <w:vertAlign w:val="superscript"/>
        </w:rPr>
        <w:t>]</w:t>
      </w:r>
      <w:r w:rsidR="007760A4" w:rsidRPr="00115F98">
        <w:rPr>
          <w:rFonts w:ascii="Book Antiqua" w:eastAsia="等线" w:hAnsi="Book Antiqua" w:cs="Times New Roman"/>
          <w:color w:val="000000" w:themeColor="text1"/>
          <w:kern w:val="0"/>
          <w:sz w:val="24"/>
          <w:szCs w:val="24"/>
        </w:rPr>
        <w:t>.</w:t>
      </w:r>
      <w:r w:rsidR="00CA6A79" w:rsidRPr="00115F98">
        <w:rPr>
          <w:rFonts w:ascii="Book Antiqua" w:eastAsia="等线" w:hAnsi="Book Antiqua" w:cs="Times New Roman"/>
          <w:color w:val="000000" w:themeColor="text1"/>
          <w:kern w:val="0"/>
          <w:sz w:val="24"/>
          <w:szCs w:val="24"/>
        </w:rPr>
        <w:t xml:space="preserve"> </w:t>
      </w:r>
      <w:r w:rsidR="002878A3" w:rsidRPr="00115F98">
        <w:rPr>
          <w:rFonts w:ascii="Book Antiqua" w:eastAsia="等线" w:hAnsi="Book Antiqua" w:cs="Times New Roman"/>
          <w:color w:val="000000" w:themeColor="text1"/>
          <w:kern w:val="0"/>
          <w:sz w:val="24"/>
          <w:szCs w:val="24"/>
        </w:rPr>
        <w:t xml:space="preserve">We also found that the </w:t>
      </w:r>
      <w:bookmarkStart w:id="43" w:name="_Hlk535346605"/>
      <w:r w:rsidR="002878A3" w:rsidRPr="00115F98">
        <w:rPr>
          <w:rFonts w:ascii="Book Antiqua" w:eastAsia="等线" w:hAnsi="Book Antiqua" w:cs="Times New Roman"/>
          <w:color w:val="000000" w:themeColor="text1"/>
          <w:kern w:val="0"/>
          <w:sz w:val="24"/>
          <w:szCs w:val="24"/>
        </w:rPr>
        <w:t>pooled risk estimates</w:t>
      </w:r>
      <w:bookmarkEnd w:id="43"/>
      <w:r w:rsidR="002878A3" w:rsidRPr="00115F98">
        <w:rPr>
          <w:rFonts w:ascii="Book Antiqua" w:eastAsia="等线" w:hAnsi="Book Antiqua" w:cs="Times New Roman"/>
          <w:color w:val="000000" w:themeColor="text1"/>
          <w:kern w:val="0"/>
          <w:sz w:val="24"/>
          <w:szCs w:val="24"/>
        </w:rPr>
        <w:t xml:space="preserve"> differed </w:t>
      </w:r>
      <w:bookmarkStart w:id="44" w:name="_Hlk535333880"/>
      <w:r w:rsidR="002878A3" w:rsidRPr="00115F98">
        <w:rPr>
          <w:rFonts w:ascii="Book Antiqua" w:eastAsia="等线" w:hAnsi="Book Antiqua" w:cs="Times New Roman"/>
          <w:color w:val="000000" w:themeColor="text1"/>
          <w:kern w:val="0"/>
          <w:sz w:val="24"/>
          <w:szCs w:val="24"/>
        </w:rPr>
        <w:t xml:space="preserve">based </w:t>
      </w:r>
      <w:bookmarkEnd w:id="44"/>
      <w:r w:rsidR="002878A3" w:rsidRPr="00115F98">
        <w:rPr>
          <w:rFonts w:ascii="Book Antiqua" w:eastAsia="等线" w:hAnsi="Book Antiqua" w:cs="Times New Roman"/>
          <w:color w:val="000000" w:themeColor="text1"/>
          <w:kern w:val="0"/>
          <w:sz w:val="24"/>
          <w:szCs w:val="24"/>
        </w:rPr>
        <w:t>on study location and type of advanced liver disease. These</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differences may be mainly due to different study designs.</w:t>
      </w:r>
      <w:r w:rsidR="002878A3" w:rsidRPr="00115F98">
        <w:rPr>
          <w:rFonts w:ascii="Book Antiqua" w:hAnsi="Book Antiqua"/>
          <w:color w:val="000000" w:themeColor="text1"/>
          <w:sz w:val="24"/>
          <w:szCs w:val="24"/>
        </w:rPr>
        <w:t xml:space="preserve"> </w:t>
      </w:r>
      <w:r w:rsidR="00B52FEE" w:rsidRPr="00115F98">
        <w:rPr>
          <w:rFonts w:ascii="Book Antiqua" w:hAnsi="Book Antiqua"/>
          <w:color w:val="000000" w:themeColor="text1"/>
          <w:sz w:val="24"/>
          <w:szCs w:val="24"/>
        </w:rPr>
        <w:t xml:space="preserve">In addition, infection and eradication status of </w:t>
      </w:r>
      <w:r w:rsidR="00B52FEE" w:rsidRPr="00E10932">
        <w:rPr>
          <w:rFonts w:ascii="Book Antiqua" w:hAnsi="Book Antiqua"/>
          <w:i/>
          <w:color w:val="000000" w:themeColor="text1"/>
          <w:sz w:val="24"/>
          <w:szCs w:val="24"/>
        </w:rPr>
        <w:t>H. pylori</w:t>
      </w:r>
      <w:r w:rsidR="00B52FEE" w:rsidRPr="00115F98">
        <w:rPr>
          <w:rFonts w:ascii="Book Antiqua" w:hAnsi="Book Antiqua"/>
          <w:color w:val="000000" w:themeColor="text1"/>
          <w:sz w:val="24"/>
          <w:szCs w:val="24"/>
        </w:rPr>
        <w:t xml:space="preserve"> and the degree of gastric atrophy may affect expression of proton pump</w:t>
      </w:r>
      <w:r w:rsidR="00E25C36" w:rsidRPr="00115F98">
        <w:rPr>
          <w:rFonts w:ascii="Book Antiqua" w:eastAsia="Times New Roman" w:hAnsi="Book Antiqua" w:cs="Times New Roman"/>
          <w:color w:val="000000" w:themeColor="text1"/>
          <w:kern w:val="0"/>
          <w:sz w:val="24"/>
          <w:szCs w:val="24"/>
          <w:vertAlign w:val="superscript"/>
        </w:rPr>
        <w:t>[</w:t>
      </w:r>
      <w:r w:rsidR="00E25C36" w:rsidRPr="00115F98">
        <w:rPr>
          <w:rFonts w:ascii="Book Antiqua" w:hAnsi="Book Antiqua" w:cs="Times New Roman"/>
          <w:color w:val="000000" w:themeColor="text1"/>
          <w:kern w:val="0"/>
          <w:sz w:val="24"/>
          <w:szCs w:val="24"/>
          <w:vertAlign w:val="superscript"/>
        </w:rPr>
        <w:t>30,31]</w:t>
      </w:r>
      <w:r w:rsidR="00B52FEE" w:rsidRPr="00115F98">
        <w:rPr>
          <w:rFonts w:ascii="Book Antiqua" w:hAnsi="Book Antiqua"/>
          <w:color w:val="000000" w:themeColor="text1"/>
          <w:sz w:val="24"/>
          <w:szCs w:val="24"/>
        </w:rPr>
        <w:t xml:space="preserve">. These factors largely influence gastric acid secretion and the effect of PPIs, thus causing differences in risk estimates in different locations. However, the impact of these factors cannot be analyzed because the data </w:t>
      </w:r>
      <w:r w:rsidR="00075E23">
        <w:rPr>
          <w:rFonts w:ascii="Book Antiqua" w:hAnsi="Book Antiqua"/>
          <w:color w:val="000000" w:themeColor="text1"/>
          <w:sz w:val="24"/>
          <w:szCs w:val="24"/>
        </w:rPr>
        <w:t>were</w:t>
      </w:r>
      <w:r w:rsidR="00075E23" w:rsidRPr="00115F98">
        <w:rPr>
          <w:rFonts w:ascii="Book Antiqua" w:hAnsi="Book Antiqua"/>
          <w:color w:val="000000" w:themeColor="text1"/>
          <w:sz w:val="24"/>
          <w:szCs w:val="24"/>
        </w:rPr>
        <w:t xml:space="preserve"> </w:t>
      </w:r>
      <w:r w:rsidR="00B52FEE" w:rsidRPr="00115F98">
        <w:rPr>
          <w:rFonts w:ascii="Book Antiqua" w:hAnsi="Book Antiqua"/>
          <w:color w:val="000000" w:themeColor="text1"/>
          <w:sz w:val="24"/>
          <w:szCs w:val="24"/>
        </w:rPr>
        <w:t>not available.</w:t>
      </w:r>
      <w:r w:rsidR="006019F1" w:rsidRPr="00115F98">
        <w:rPr>
          <w:rFonts w:ascii="Book Antiqua" w:eastAsia="等线" w:hAnsi="Book Antiqua" w:cs="Times New Roman"/>
          <w:color w:val="000000" w:themeColor="text1"/>
          <w:kern w:val="0"/>
          <w:sz w:val="24"/>
          <w:szCs w:val="24"/>
        </w:rPr>
        <w:t xml:space="preserve"> </w:t>
      </w:r>
      <w:r w:rsidR="00B645FE" w:rsidRPr="00115F98">
        <w:rPr>
          <w:rFonts w:ascii="Book Antiqua" w:hAnsi="Book Antiqua"/>
          <w:color w:val="000000" w:themeColor="text1"/>
          <w:sz w:val="24"/>
          <w:szCs w:val="24"/>
        </w:rPr>
        <w:t xml:space="preserve">The study by Lin </w:t>
      </w:r>
      <w:r w:rsidR="00B645FE" w:rsidRPr="00115F98">
        <w:rPr>
          <w:rFonts w:ascii="Book Antiqua" w:hAnsi="Book Antiqua"/>
          <w:i/>
          <w:color w:val="000000" w:themeColor="text1"/>
          <w:sz w:val="24"/>
          <w:szCs w:val="24"/>
        </w:rPr>
        <w:t>et al</w:t>
      </w:r>
      <w:r w:rsidR="0038544D" w:rsidRPr="00115F98">
        <w:rPr>
          <w:rFonts w:ascii="Book Antiqua" w:eastAsia="等线" w:hAnsi="Book Antiqua" w:cs="Times New Roman"/>
          <w:color w:val="000000" w:themeColor="text1"/>
          <w:kern w:val="0"/>
          <w:sz w:val="24"/>
          <w:szCs w:val="24"/>
          <w:vertAlign w:val="superscript"/>
        </w:rPr>
        <w:t>[</w:t>
      </w:r>
      <w:r w:rsidR="005F7E8B" w:rsidRPr="00115F98">
        <w:rPr>
          <w:rFonts w:ascii="Book Antiqua" w:eastAsia="等线" w:hAnsi="Book Antiqua" w:cs="Times New Roman"/>
          <w:color w:val="000000" w:themeColor="text1"/>
          <w:kern w:val="0"/>
          <w:sz w:val="24"/>
          <w:szCs w:val="24"/>
          <w:vertAlign w:val="superscript"/>
        </w:rPr>
        <w:t>18</w:t>
      </w:r>
      <w:r w:rsidR="0038544D" w:rsidRPr="00115F98">
        <w:rPr>
          <w:rFonts w:ascii="Book Antiqua" w:eastAsia="等线" w:hAnsi="Book Antiqua" w:cs="Times New Roman"/>
          <w:color w:val="000000" w:themeColor="text1"/>
          <w:kern w:val="0"/>
          <w:sz w:val="24"/>
          <w:szCs w:val="24"/>
          <w:vertAlign w:val="superscript"/>
        </w:rPr>
        <w:t>]</w:t>
      </w:r>
      <w:r w:rsidR="00115F98" w:rsidRPr="00115F98">
        <w:rPr>
          <w:rFonts w:ascii="Book Antiqua" w:eastAsia="等线" w:hAnsi="Book Antiqua" w:cs="Times New Roman"/>
          <w:color w:val="000000" w:themeColor="text1"/>
          <w:kern w:val="0"/>
          <w:sz w:val="24"/>
          <w:szCs w:val="24"/>
        </w:rPr>
        <w:t xml:space="preserve"> </w:t>
      </w:r>
      <w:r w:rsidR="00B645FE" w:rsidRPr="00115F98">
        <w:rPr>
          <w:rFonts w:ascii="Book Antiqua" w:hAnsi="Book Antiqua"/>
          <w:color w:val="000000" w:themeColor="text1"/>
          <w:sz w:val="24"/>
          <w:szCs w:val="24"/>
        </w:rPr>
        <w:t>was aimed to assess the role of PPI in a particular setting</w:t>
      </w:r>
      <w:r w:rsidR="00115F98">
        <w:rPr>
          <w:rFonts w:ascii="Book Antiqua" w:hAnsi="Book Antiqua"/>
          <w:color w:val="000000" w:themeColor="text1"/>
          <w:sz w:val="24"/>
          <w:szCs w:val="24"/>
        </w:rPr>
        <w:t xml:space="preserve"> </w:t>
      </w:r>
      <w:r w:rsidR="00B645FE" w:rsidRPr="00115F98">
        <w:rPr>
          <w:rFonts w:ascii="Book Antiqua" w:hAnsi="Book Antiqua"/>
          <w:color w:val="000000" w:themeColor="text1"/>
          <w:sz w:val="24"/>
          <w:szCs w:val="24"/>
        </w:rPr>
        <w:t xml:space="preserve">(ACLF), </w:t>
      </w:r>
      <w:r w:rsidR="00075E23">
        <w:rPr>
          <w:rFonts w:ascii="Book Antiqua" w:hAnsi="Book Antiqua"/>
          <w:color w:val="000000" w:themeColor="text1"/>
          <w:sz w:val="24"/>
          <w:szCs w:val="24"/>
        </w:rPr>
        <w:t xml:space="preserve">and </w:t>
      </w:r>
      <w:r w:rsidR="00B645FE" w:rsidRPr="00115F98">
        <w:rPr>
          <w:rFonts w:ascii="Book Antiqua" w:hAnsi="Book Antiqua"/>
          <w:color w:val="000000" w:themeColor="text1"/>
          <w:sz w:val="24"/>
          <w:szCs w:val="24"/>
        </w:rPr>
        <w:t xml:space="preserve">sensitivity analysis by excluding the study showed </w:t>
      </w:r>
      <w:r w:rsidR="00075E23">
        <w:rPr>
          <w:rFonts w:ascii="Book Antiqua" w:hAnsi="Book Antiqua"/>
          <w:color w:val="000000" w:themeColor="text1"/>
          <w:sz w:val="24"/>
          <w:szCs w:val="24"/>
        </w:rPr>
        <w:t xml:space="preserve">that </w:t>
      </w:r>
      <w:r w:rsidR="00B645FE" w:rsidRPr="00115F98">
        <w:rPr>
          <w:rFonts w:ascii="Book Antiqua" w:hAnsi="Book Antiqua"/>
          <w:color w:val="000000" w:themeColor="text1"/>
          <w:sz w:val="24"/>
          <w:szCs w:val="24"/>
        </w:rPr>
        <w:t xml:space="preserve">the pooled risk estimate was slightly altered. </w:t>
      </w:r>
      <w:r w:rsidR="002878A3" w:rsidRPr="00115F98">
        <w:rPr>
          <w:rFonts w:ascii="Book Antiqua" w:eastAsia="等线" w:hAnsi="Book Antiqua" w:cs="Times New Roman"/>
          <w:color w:val="000000" w:themeColor="text1"/>
          <w:kern w:val="0"/>
          <w:sz w:val="24"/>
          <w:szCs w:val="24"/>
        </w:rPr>
        <w:t>With respect to the outcomes analyzed, seven studies reported the results of HE grades 1-4, and three studies reported the results of HE grades 2-4. The results of these two outcomes were similar. Only one high-quality prospective cohort study evaluated the association between PPI use and minimal HE, and the risk estimate was higher than those for the other two groups.</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Because the diagnosis of minimal HE is difficult,</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most of the retrospective studies lack data for minimal HE. However, the incidence of minimal HE has been reported to range from 20</w:t>
      </w:r>
      <w:r w:rsidR="00115F98">
        <w:rPr>
          <w:rFonts w:ascii="Book Antiqua" w:eastAsia="等线" w:hAnsi="Book Antiqua" w:cs="Times New Roman"/>
          <w:color w:val="000000" w:themeColor="text1"/>
          <w:kern w:val="0"/>
          <w:sz w:val="24"/>
          <w:szCs w:val="24"/>
        </w:rPr>
        <w:t>%</w:t>
      </w:r>
      <w:r w:rsidR="002878A3" w:rsidRPr="00115F98">
        <w:rPr>
          <w:rFonts w:ascii="Book Antiqua" w:eastAsia="等线" w:hAnsi="Book Antiqua" w:cs="Times New Roman"/>
          <w:color w:val="000000" w:themeColor="text1"/>
          <w:kern w:val="0"/>
          <w:sz w:val="24"/>
          <w:szCs w:val="24"/>
        </w:rPr>
        <w:t xml:space="preserve"> to 80% in patients with liver cirrhosis</w:t>
      </w:r>
      <w:r w:rsidR="00E3569A" w:rsidRPr="00115F98">
        <w:rPr>
          <w:rFonts w:ascii="Book Antiqua" w:eastAsia="Times New Roman" w:hAnsi="Book Antiqua" w:cs="Times New Roman"/>
          <w:color w:val="000000" w:themeColor="text1"/>
          <w:kern w:val="0"/>
          <w:sz w:val="24"/>
          <w:szCs w:val="24"/>
          <w:vertAlign w:val="superscript"/>
        </w:rPr>
        <w:t>[</w:t>
      </w:r>
      <w:r w:rsidR="00E3569A" w:rsidRPr="00115F98">
        <w:rPr>
          <w:rFonts w:ascii="Book Antiqua" w:hAnsi="Book Antiqua" w:cs="Times New Roman"/>
          <w:color w:val="000000" w:themeColor="text1"/>
          <w:kern w:val="0"/>
          <w:sz w:val="24"/>
          <w:szCs w:val="24"/>
          <w:vertAlign w:val="superscript"/>
        </w:rPr>
        <w:t>2]</w:t>
      </w:r>
      <w:r w:rsidR="002878A3" w:rsidRPr="00115F98">
        <w:rPr>
          <w:rFonts w:ascii="Book Antiqua" w:eastAsia="等线" w:hAnsi="Book Antiqua" w:cs="Times New Roman"/>
          <w:color w:val="000000" w:themeColor="text1"/>
          <w:kern w:val="0"/>
          <w:sz w:val="24"/>
          <w:szCs w:val="24"/>
        </w:rPr>
        <w:t>. The lack of data regarding minimal HE may lead to an underestimation of the risk of overall HE (minimal HE and HE grades 1-4) in PPI users.</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Even so, the risk of HE was still high in our meta-analysis,</w:t>
      </w:r>
      <w:r w:rsidR="002878A3" w:rsidRPr="00115F98">
        <w:rPr>
          <w:rFonts w:ascii="Book Antiqua" w:hAnsi="Book Antiqua"/>
          <w:color w:val="000000" w:themeColor="text1"/>
          <w:sz w:val="24"/>
          <w:szCs w:val="24"/>
        </w:rPr>
        <w:t xml:space="preserve"> </w:t>
      </w:r>
      <w:r w:rsidR="002878A3" w:rsidRPr="00115F98">
        <w:rPr>
          <w:rFonts w:ascii="Book Antiqua" w:eastAsia="等线" w:hAnsi="Book Antiqua" w:cs="Times New Roman"/>
          <w:color w:val="000000" w:themeColor="text1"/>
          <w:kern w:val="0"/>
          <w:sz w:val="24"/>
          <w:szCs w:val="24"/>
        </w:rPr>
        <w:t>which increases our confidence in our conclusion.</w:t>
      </w:r>
    </w:p>
    <w:p w14:paraId="1FF4219E" w14:textId="6214629F" w:rsidR="002878A3" w:rsidRPr="00115F98" w:rsidRDefault="002878A3" w:rsidP="00115F98">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115F98">
        <w:rPr>
          <w:rFonts w:ascii="Book Antiqua" w:eastAsia="等线" w:hAnsi="Book Antiqua" w:cs="Times New Roman"/>
          <w:color w:val="000000" w:themeColor="text1"/>
          <w:kern w:val="0"/>
          <w:sz w:val="24"/>
          <w:szCs w:val="24"/>
        </w:rPr>
        <w:lastRenderedPageBreak/>
        <w:t>Previous studies showed that PPIs were used by as many as 46</w:t>
      </w:r>
      <w:r w:rsidR="00115F98">
        <w:rPr>
          <w:rFonts w:ascii="Book Antiqua" w:eastAsia="等线" w:hAnsi="Book Antiqua" w:cs="Times New Roman"/>
          <w:color w:val="000000" w:themeColor="text1"/>
          <w:kern w:val="0"/>
          <w:sz w:val="24"/>
          <w:szCs w:val="24"/>
        </w:rPr>
        <w:t>%</w:t>
      </w:r>
      <w:r w:rsidRPr="00115F98">
        <w:rPr>
          <w:rFonts w:ascii="Book Antiqua" w:eastAsia="等线" w:hAnsi="Book Antiqua" w:cs="Times New Roman"/>
          <w:color w:val="000000" w:themeColor="text1"/>
          <w:kern w:val="0"/>
          <w:sz w:val="24"/>
          <w:szCs w:val="24"/>
        </w:rPr>
        <w:t>-78% of cirrhotic patients</w:t>
      </w:r>
      <w:r w:rsidR="001E326D" w:rsidRPr="00115F98">
        <w:rPr>
          <w:rFonts w:ascii="Book Antiqua" w:eastAsia="Times New Roman" w:hAnsi="Book Antiqua" w:cs="Times New Roman"/>
          <w:color w:val="000000" w:themeColor="text1"/>
          <w:kern w:val="0"/>
          <w:sz w:val="24"/>
          <w:szCs w:val="24"/>
          <w:vertAlign w:val="superscript"/>
        </w:rPr>
        <w:t>[</w:t>
      </w:r>
      <w:r w:rsidR="001E326D" w:rsidRPr="00115F98">
        <w:rPr>
          <w:rFonts w:ascii="Book Antiqua" w:hAnsi="Book Antiqua" w:cs="Times New Roman"/>
          <w:color w:val="000000" w:themeColor="text1"/>
          <w:kern w:val="0"/>
          <w:sz w:val="24"/>
          <w:szCs w:val="24"/>
          <w:vertAlign w:val="superscript"/>
        </w:rPr>
        <w:t>5,7]</w:t>
      </w:r>
      <w:r w:rsidRPr="00115F98">
        <w:rPr>
          <w:rFonts w:ascii="Book Antiqua" w:eastAsia="等线" w:hAnsi="Book Antiqua" w:cs="Times New Roman"/>
          <w:color w:val="000000" w:themeColor="text1"/>
          <w:kern w:val="0"/>
          <w:sz w:val="24"/>
          <w:szCs w:val="24"/>
        </w:rPr>
        <w:t>, and the data from the six studies we included reported that the PPI use rate was 40%-76.3% in patients with advanced liver disease</w:t>
      </w:r>
      <w:r w:rsidR="00B34713" w:rsidRPr="00115F98">
        <w:rPr>
          <w:rFonts w:ascii="Book Antiqua" w:eastAsia="Times New Roman" w:hAnsi="Book Antiqua" w:cs="Times New Roman"/>
          <w:color w:val="000000" w:themeColor="text1"/>
          <w:kern w:val="0"/>
          <w:sz w:val="24"/>
          <w:szCs w:val="24"/>
          <w:vertAlign w:val="superscript"/>
        </w:rPr>
        <w:t>[</w:t>
      </w:r>
      <w:r w:rsidR="00B34713" w:rsidRPr="00115F98">
        <w:rPr>
          <w:rFonts w:ascii="Book Antiqua" w:hAnsi="Book Antiqua" w:cs="Times New Roman"/>
          <w:color w:val="000000" w:themeColor="text1"/>
          <w:kern w:val="0"/>
          <w:sz w:val="24"/>
          <w:szCs w:val="24"/>
          <w:vertAlign w:val="superscript"/>
        </w:rPr>
        <w:t>13-18]</w:t>
      </w:r>
      <w:r w:rsidRPr="00115F98">
        <w:rPr>
          <w:rFonts w:ascii="Book Antiqua" w:eastAsia="等线" w:hAnsi="Book Antiqua" w:cs="Times New Roman"/>
          <w:color w:val="000000" w:themeColor="text1"/>
          <w:kern w:val="0"/>
          <w:sz w:val="24"/>
          <w:szCs w:val="24"/>
        </w:rPr>
        <w:t>.</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The above data indicate that </w:t>
      </w:r>
      <w:r w:rsidRPr="00115F98">
        <w:rPr>
          <w:rFonts w:ascii="Book Antiqua" w:hAnsi="Book Antiqua" w:cs="Times New Roman"/>
          <w:color w:val="000000" w:themeColor="text1"/>
          <w:sz w:val="24"/>
          <w:szCs w:val="24"/>
        </w:rPr>
        <w:t>PPIs are very commonly used by patients with advanced liver disease. PPIs are often overused in clinical practice. Data from five studies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we included showed</w:t>
      </w:r>
      <w:r w:rsidRPr="00115F98">
        <w:rPr>
          <w:rFonts w:ascii="Book Antiqua" w:eastAsia="等线" w:hAnsi="Book Antiqua" w:cs="Times New Roman"/>
          <w:color w:val="000000" w:themeColor="text1"/>
          <w:sz w:val="24"/>
          <w:szCs w:val="24"/>
        </w:rPr>
        <w:t xml:space="preserve"> that</w:t>
      </w:r>
      <w:r w:rsidRPr="00115F98">
        <w:rPr>
          <w:rFonts w:ascii="Book Antiqua" w:hAnsi="Book Antiqua" w:cs="Times New Roman"/>
          <w:color w:val="000000" w:themeColor="text1"/>
          <w:sz w:val="24"/>
          <w:szCs w:val="24"/>
        </w:rPr>
        <w:t xml:space="preserve"> the indication for PPI use was unclear or</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appropriate in 44%-62.2% of the patients</w:t>
      </w:r>
      <w:r w:rsidR="004C4662" w:rsidRPr="00115F98">
        <w:rPr>
          <w:rFonts w:ascii="Book Antiqua" w:eastAsia="Times New Roman" w:hAnsi="Book Antiqua" w:cs="Times New Roman"/>
          <w:color w:val="000000" w:themeColor="text1"/>
          <w:kern w:val="0"/>
          <w:sz w:val="24"/>
          <w:szCs w:val="24"/>
          <w:vertAlign w:val="superscript"/>
        </w:rPr>
        <w:t>[</w:t>
      </w:r>
      <w:r w:rsidR="004C4662" w:rsidRPr="00115F98">
        <w:rPr>
          <w:rFonts w:ascii="Book Antiqua" w:hAnsi="Book Antiqua" w:cs="Times New Roman"/>
          <w:color w:val="000000" w:themeColor="text1"/>
          <w:kern w:val="0"/>
          <w:sz w:val="24"/>
          <w:szCs w:val="24"/>
          <w:vertAlign w:val="superscript"/>
        </w:rPr>
        <w:t>13-15,17,18]</w:t>
      </w:r>
      <w:r w:rsidRPr="00115F98">
        <w:rPr>
          <w:rFonts w:ascii="Book Antiqua" w:hAnsi="Book Antiqua" w:cs="Times New Roman"/>
          <w:color w:val="000000" w:themeColor="text1"/>
          <w:sz w:val="24"/>
          <w:szCs w:val="24"/>
        </w:rPr>
        <w:t>.</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Inappropriate use of PPIs may put patients at an elevated risk of HE.</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Although PPIs are generally considered safe, we should strictly adhere to the indications for PPI use in patients with advanced liver disease.</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The</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accumulated evidence also confirmed that PPIs were associated with diverse</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adverse effects and even an elevated mortality rate</w:t>
      </w:r>
      <w:r w:rsidR="00971A4F" w:rsidRPr="00115F98">
        <w:rPr>
          <w:rFonts w:ascii="Book Antiqua" w:eastAsia="Times New Roman" w:hAnsi="Book Antiqua" w:cs="Times New Roman"/>
          <w:color w:val="000000" w:themeColor="text1"/>
          <w:kern w:val="0"/>
          <w:sz w:val="24"/>
          <w:szCs w:val="24"/>
          <w:vertAlign w:val="superscript"/>
        </w:rPr>
        <w:t>[</w:t>
      </w:r>
      <w:r w:rsidR="00971A4F" w:rsidRPr="00115F98">
        <w:rPr>
          <w:rFonts w:ascii="Book Antiqua" w:hAnsi="Book Antiqua" w:cs="Times New Roman"/>
          <w:color w:val="000000" w:themeColor="text1"/>
          <w:kern w:val="0"/>
          <w:sz w:val="24"/>
          <w:szCs w:val="24"/>
          <w:vertAlign w:val="superscript"/>
        </w:rPr>
        <w:t>7,32,33]</w:t>
      </w:r>
      <w:r w:rsidRPr="00115F98">
        <w:rPr>
          <w:rFonts w:ascii="Book Antiqua" w:hAnsi="Book Antiqua" w:cs="Times New Roman"/>
          <w:color w:val="000000" w:themeColor="text1"/>
          <w:sz w:val="24"/>
          <w:szCs w:val="24"/>
        </w:rPr>
        <w:t>.</w:t>
      </w:r>
    </w:p>
    <w:p w14:paraId="73BA600B" w14:textId="603FDD08" w:rsidR="002878A3" w:rsidRPr="00115F98" w:rsidRDefault="002878A3" w:rsidP="00115F98">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proofErr w:type="spellStart"/>
      <w:r w:rsidRPr="00115F98">
        <w:rPr>
          <w:rFonts w:ascii="Book Antiqua" w:hAnsi="Book Antiqua" w:cs="Times New Roman"/>
          <w:color w:val="000000" w:themeColor="text1"/>
          <w:sz w:val="24"/>
          <w:szCs w:val="24"/>
        </w:rPr>
        <w:t>Bian</w:t>
      </w:r>
      <w:proofErr w:type="spellEnd"/>
      <w:r w:rsidRPr="00115F98">
        <w:rPr>
          <w:rFonts w:ascii="Book Antiqua" w:hAnsi="Book Antiqua"/>
          <w:color w:val="000000" w:themeColor="text1"/>
          <w:sz w:val="24"/>
          <w:szCs w:val="24"/>
        </w:rPr>
        <w:t xml:space="preserve"> </w:t>
      </w:r>
      <w:r w:rsidRPr="00115F98">
        <w:rPr>
          <w:rFonts w:ascii="Book Antiqua" w:hAnsi="Book Antiqua" w:cs="Times New Roman"/>
          <w:i/>
          <w:color w:val="000000" w:themeColor="text1"/>
          <w:sz w:val="24"/>
          <w:szCs w:val="24"/>
        </w:rPr>
        <w:t>et al</w:t>
      </w:r>
      <w:bookmarkStart w:id="45" w:name="_Hlk535320528"/>
      <w:r w:rsidR="00CE4F68" w:rsidRPr="00115F98">
        <w:rPr>
          <w:rFonts w:ascii="Book Antiqua" w:eastAsia="Times New Roman" w:hAnsi="Book Antiqua" w:cs="Times New Roman"/>
          <w:color w:val="000000" w:themeColor="text1"/>
          <w:kern w:val="0"/>
          <w:sz w:val="24"/>
          <w:szCs w:val="24"/>
          <w:vertAlign w:val="superscript"/>
        </w:rPr>
        <w:t>[</w:t>
      </w:r>
      <w:r w:rsidR="00CE4F68" w:rsidRPr="00115F98">
        <w:rPr>
          <w:rFonts w:ascii="Book Antiqua" w:hAnsi="Book Antiqua" w:cs="Times New Roman"/>
          <w:color w:val="000000" w:themeColor="text1"/>
          <w:kern w:val="0"/>
          <w:sz w:val="24"/>
          <w:szCs w:val="24"/>
          <w:vertAlign w:val="superscript"/>
        </w:rPr>
        <w:t>19]</w:t>
      </w:r>
      <w:r w:rsidRPr="00115F98">
        <w:rPr>
          <w:rFonts w:ascii="Book Antiqua" w:hAnsi="Book Antiqua" w:cs="Times New Roman"/>
          <w:color w:val="000000" w:themeColor="text1"/>
          <w:sz w:val="24"/>
          <w:szCs w:val="24"/>
        </w:rPr>
        <w:t xml:space="preserve"> performed a meta-analysis</w:t>
      </w:r>
      <w:bookmarkEnd w:id="45"/>
      <w:r w:rsidRPr="00115F98">
        <w:rPr>
          <w:rFonts w:ascii="Book Antiqua" w:hAnsi="Book Antiqua" w:cs="Times New Roman"/>
          <w:color w:val="000000" w:themeColor="text1"/>
          <w:sz w:val="24"/>
          <w:szCs w:val="24"/>
        </w:rPr>
        <w:t xml:space="preserve"> evaluating the association between PPIs and HE. However, there were some shortcomings that limited the reliability of their conclusions. </w:t>
      </w:r>
      <w:r w:rsidRPr="00115F98">
        <w:rPr>
          <w:rFonts w:ascii="Book Antiqua" w:eastAsia="等线" w:hAnsi="Book Antiqua" w:cs="Times New Roman"/>
          <w:color w:val="000000" w:themeColor="text1"/>
          <w:sz w:val="24"/>
          <w:szCs w:val="24"/>
        </w:rPr>
        <w:t>First</w:t>
      </w:r>
      <w:r w:rsidRPr="00115F98">
        <w:rPr>
          <w:rFonts w:ascii="Book Antiqua" w:hAnsi="Book Antiqua" w:cs="Times New Roman"/>
          <w:color w:val="000000" w:themeColor="text1"/>
          <w:sz w:val="24"/>
          <w:szCs w:val="24"/>
        </w:rPr>
        <w:t>, the deadline for the search was December 2016,</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 xml:space="preserve">and only three retrospective studies were included. </w:t>
      </w:r>
      <w:r w:rsidRPr="00115F98">
        <w:rPr>
          <w:rFonts w:ascii="Book Antiqua" w:eastAsia="等线" w:hAnsi="Book Antiqua" w:cs="Times New Roman"/>
          <w:color w:val="000000" w:themeColor="text1"/>
          <w:sz w:val="24"/>
          <w:szCs w:val="24"/>
        </w:rPr>
        <w:t>Second</w:t>
      </w:r>
      <w:r w:rsidRPr="00115F98">
        <w:rPr>
          <w:rFonts w:ascii="Book Antiqua" w:hAnsi="Book Antiqua" w:cs="Times New Roman"/>
          <w:color w:val="000000" w:themeColor="text1"/>
          <w:sz w:val="24"/>
          <w:szCs w:val="24"/>
        </w:rPr>
        <w:t>,</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the heterogeneity among studies was substantial.</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Limited by the small number of included studies,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they did not perform subgroup</w:t>
      </w:r>
      <w:r w:rsidR="00075E23">
        <w:rPr>
          <w:rFonts w:ascii="Book Antiqua"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or sensitivity analysis.</w:t>
      </w:r>
      <w:r w:rsidRPr="00115F98">
        <w:rPr>
          <w:rFonts w:ascii="Book Antiqua" w:hAnsi="Book Antiqua"/>
          <w:color w:val="000000" w:themeColor="text1"/>
          <w:sz w:val="24"/>
          <w:szCs w:val="24"/>
        </w:rPr>
        <w:t xml:space="preserve"> </w:t>
      </w:r>
      <w:r w:rsidRPr="00115F98">
        <w:rPr>
          <w:rFonts w:ascii="Book Antiqua" w:eastAsia="等线" w:hAnsi="Book Antiqua" w:cs="Times New Roman"/>
          <w:color w:val="000000" w:themeColor="text1"/>
          <w:sz w:val="24"/>
          <w:szCs w:val="24"/>
        </w:rPr>
        <w:t>Third</w:t>
      </w:r>
      <w:r w:rsidRPr="00115F98">
        <w:rPr>
          <w:rFonts w:ascii="Book Antiqua" w:hAnsi="Book Antiqua" w:cs="Times New Roman"/>
          <w:color w:val="000000" w:themeColor="text1"/>
          <w:sz w:val="24"/>
          <w:szCs w:val="24"/>
        </w:rPr>
        <w:t>,</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they did not investigate in detail the characteristics of the included studies or evaluate the research quality.</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Considering the shortcomings of the previous meta-analysis, this meta-analysis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included</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 xml:space="preserve">more high-quality studies, conducted subgroup and sensitivity </w:t>
      </w:r>
      <w:r w:rsidR="00075E23" w:rsidRPr="00115F98">
        <w:rPr>
          <w:rFonts w:ascii="Book Antiqua" w:hAnsi="Book Antiqua" w:cs="Times New Roman"/>
          <w:color w:val="000000" w:themeColor="text1"/>
          <w:sz w:val="24"/>
          <w:szCs w:val="24"/>
        </w:rPr>
        <w:t>analys</w:t>
      </w:r>
      <w:r w:rsidR="00075E23">
        <w:rPr>
          <w:rFonts w:ascii="Book Antiqua" w:hAnsi="Book Antiqua" w:cs="Times New Roman"/>
          <w:color w:val="000000" w:themeColor="text1"/>
          <w:sz w:val="24"/>
          <w:szCs w:val="24"/>
        </w:rPr>
        <w:t>e</w:t>
      </w:r>
      <w:r w:rsidR="00075E23" w:rsidRPr="00115F98">
        <w:rPr>
          <w:rFonts w:ascii="Book Antiqua" w:hAnsi="Book Antiqua" w:cs="Times New Roman"/>
          <w:color w:val="000000" w:themeColor="text1"/>
          <w:sz w:val="24"/>
          <w:szCs w:val="24"/>
        </w:rPr>
        <w:t>s</w:t>
      </w:r>
      <w:r w:rsidRPr="00115F98">
        <w:rPr>
          <w:rFonts w:ascii="Book Antiqua" w:hAnsi="Book Antiqua" w:cs="Times New Roman"/>
          <w:color w:val="000000" w:themeColor="text1"/>
          <w:sz w:val="24"/>
          <w:szCs w:val="24"/>
        </w:rPr>
        <w:t xml:space="preserve">, and obtained more reliable results. </w:t>
      </w:r>
      <w:proofErr w:type="spellStart"/>
      <w:r w:rsidRPr="00115F98">
        <w:rPr>
          <w:rFonts w:ascii="Book Antiqua" w:hAnsi="Book Antiqua" w:cs="Times New Roman"/>
          <w:color w:val="000000" w:themeColor="text1"/>
          <w:sz w:val="24"/>
          <w:szCs w:val="24"/>
        </w:rPr>
        <w:t>Weersink</w:t>
      </w:r>
      <w:proofErr w:type="spellEnd"/>
      <w:r w:rsidRPr="00115F98">
        <w:rPr>
          <w:rFonts w:ascii="Book Antiqua" w:hAnsi="Book Antiqua"/>
          <w:color w:val="000000" w:themeColor="text1"/>
          <w:sz w:val="24"/>
          <w:szCs w:val="24"/>
        </w:rPr>
        <w:t xml:space="preserve"> </w:t>
      </w:r>
      <w:r w:rsidRPr="00115F98">
        <w:rPr>
          <w:rFonts w:ascii="Book Antiqua" w:hAnsi="Book Antiqua" w:cs="Times New Roman"/>
          <w:i/>
          <w:color w:val="000000" w:themeColor="text1"/>
          <w:sz w:val="24"/>
          <w:szCs w:val="24"/>
        </w:rPr>
        <w:t>et al</w:t>
      </w:r>
      <w:r w:rsidR="004C189E" w:rsidRPr="00115F98">
        <w:rPr>
          <w:rFonts w:ascii="Book Antiqua" w:eastAsia="Times New Roman" w:hAnsi="Book Antiqua" w:cs="Times New Roman"/>
          <w:color w:val="000000" w:themeColor="text1"/>
          <w:kern w:val="0"/>
          <w:sz w:val="24"/>
          <w:szCs w:val="24"/>
          <w:vertAlign w:val="superscript"/>
        </w:rPr>
        <w:t>[</w:t>
      </w:r>
      <w:r w:rsidR="006A1C10" w:rsidRPr="00115F98">
        <w:rPr>
          <w:rFonts w:ascii="Book Antiqua" w:hAnsi="Book Antiqua" w:cs="Times New Roman"/>
          <w:color w:val="000000" w:themeColor="text1"/>
          <w:kern w:val="0"/>
          <w:sz w:val="24"/>
          <w:szCs w:val="24"/>
          <w:vertAlign w:val="superscript"/>
        </w:rPr>
        <w:t>34</w:t>
      </w:r>
      <w:r w:rsidR="004C189E" w:rsidRPr="00115F98">
        <w:rPr>
          <w:rFonts w:ascii="Book Antiqua" w:hAnsi="Book Antiqua" w:cs="Times New Roman"/>
          <w:color w:val="000000" w:themeColor="text1"/>
          <w:kern w:val="0"/>
          <w:sz w:val="24"/>
          <w:szCs w:val="24"/>
          <w:vertAlign w:val="superscript"/>
        </w:rPr>
        <w:t>]</w:t>
      </w:r>
      <w:r w:rsidRPr="00115F98">
        <w:rPr>
          <w:rFonts w:ascii="Book Antiqua" w:hAnsi="Book Antiqua" w:cs="Times New Roman"/>
          <w:color w:val="000000" w:themeColor="text1"/>
          <w:sz w:val="24"/>
          <w:szCs w:val="24"/>
        </w:rPr>
        <w:t xml:space="preserve"> systematically reviewed the safety of PPIs in patients with cirrhosis and suggested </w:t>
      </w:r>
      <w:r w:rsidRPr="00115F98">
        <w:rPr>
          <w:rFonts w:ascii="Book Antiqua" w:eastAsia="等线" w:hAnsi="Book Antiqua" w:cs="Times New Roman"/>
          <w:color w:val="000000" w:themeColor="text1"/>
          <w:sz w:val="24"/>
          <w:szCs w:val="24"/>
        </w:rPr>
        <w:t xml:space="preserve">that </w:t>
      </w:r>
      <w:r w:rsidRPr="00115F98">
        <w:rPr>
          <w:rFonts w:ascii="Book Antiqua" w:hAnsi="Book Antiqua" w:cs="Times New Roman"/>
          <w:color w:val="000000" w:themeColor="text1"/>
          <w:sz w:val="24"/>
          <w:szCs w:val="24"/>
        </w:rPr>
        <w:t>the use of PPIs in patients with</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cirrhosis should be carefully considered because of the risk of HE. The results of our quantitative analyses were consistent with the results of theirs,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although four studies included in their analysis were excluded in this</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meta-analysis</w:t>
      </w:r>
      <w:r w:rsidRPr="00115F98">
        <w:rPr>
          <w:rFonts w:ascii="Book Antiqua" w:eastAsia="等线" w:hAnsi="Book Antiqua" w:cs="Times New Roman"/>
          <w:color w:val="000000" w:themeColor="text1"/>
          <w:sz w:val="24"/>
          <w:szCs w:val="24"/>
        </w:rPr>
        <w:t xml:space="preserve"> </w:t>
      </w:r>
      <w:r w:rsidRPr="00115F98">
        <w:rPr>
          <w:rFonts w:ascii="Book Antiqua" w:hAnsi="Book Antiqua" w:cs="Times New Roman"/>
          <w:color w:val="000000" w:themeColor="text1"/>
          <w:sz w:val="24"/>
          <w:szCs w:val="24"/>
        </w:rPr>
        <w:t>(no relevant data or incomplete data).</w:t>
      </w:r>
    </w:p>
    <w:p w14:paraId="5B9F2E27" w14:textId="1EF9355F" w:rsidR="001C3612" w:rsidRPr="00115F98" w:rsidRDefault="002878A3" w:rsidP="00115F98">
      <w:pPr>
        <w:autoSpaceDE w:val="0"/>
        <w:autoSpaceDN w:val="0"/>
        <w:adjustRightInd w:val="0"/>
        <w:snapToGrid w:val="0"/>
        <w:spacing w:line="360" w:lineRule="auto"/>
        <w:ind w:firstLineChars="100" w:firstLine="240"/>
        <w:rPr>
          <w:rFonts w:ascii="Book Antiqua" w:eastAsia="Times New Roman" w:hAnsi="Book Antiqua" w:cs="Times New Roman"/>
          <w:color w:val="000000" w:themeColor="text1"/>
          <w:kern w:val="0"/>
          <w:sz w:val="24"/>
          <w:szCs w:val="24"/>
        </w:rPr>
      </w:pPr>
      <w:r w:rsidRPr="00115F98">
        <w:rPr>
          <w:rFonts w:ascii="Book Antiqua" w:hAnsi="Book Antiqua" w:cs="Times New Roman"/>
          <w:color w:val="000000" w:themeColor="text1"/>
          <w:sz w:val="24"/>
          <w:szCs w:val="24"/>
        </w:rPr>
        <w:t>The impact of PPIs on the development of HE may be explained by changes in intestinal flora and bacterial translocation.</w:t>
      </w:r>
      <w:r w:rsidRPr="00115F98">
        <w:rPr>
          <w:rFonts w:ascii="Book Antiqua" w:hAnsi="Book Antiqua"/>
          <w:color w:val="000000" w:themeColor="text1"/>
          <w:sz w:val="24"/>
          <w:szCs w:val="24"/>
        </w:rPr>
        <w:t xml:space="preserve"> </w:t>
      </w:r>
      <w:r w:rsidRPr="00115F98">
        <w:rPr>
          <w:rFonts w:ascii="Book Antiqua" w:hAnsi="Book Antiqua" w:cs="Times New Roman"/>
          <w:color w:val="000000" w:themeColor="text1"/>
          <w:sz w:val="24"/>
          <w:szCs w:val="24"/>
        </w:rPr>
        <w:t>Previous studies have reported a close association between PPI use and SIBO</w:t>
      </w:r>
      <w:r w:rsidR="00D86304" w:rsidRPr="00115F98">
        <w:rPr>
          <w:rFonts w:ascii="Book Antiqua" w:eastAsia="Times New Roman" w:hAnsi="Book Antiqua" w:cs="Times New Roman"/>
          <w:color w:val="000000" w:themeColor="text1"/>
          <w:kern w:val="0"/>
          <w:sz w:val="24"/>
          <w:szCs w:val="24"/>
          <w:vertAlign w:val="superscript"/>
        </w:rPr>
        <w:t>[</w:t>
      </w:r>
      <w:r w:rsidR="00967D66" w:rsidRPr="00115F98">
        <w:rPr>
          <w:rFonts w:ascii="Book Antiqua" w:hAnsi="Book Antiqua" w:cs="Times New Roman"/>
          <w:color w:val="000000" w:themeColor="text1"/>
          <w:kern w:val="0"/>
          <w:sz w:val="24"/>
          <w:szCs w:val="24"/>
          <w:vertAlign w:val="superscript"/>
        </w:rPr>
        <w:t>35,36</w:t>
      </w:r>
      <w:r w:rsidR="00D86304" w:rsidRPr="00115F98">
        <w:rPr>
          <w:rFonts w:ascii="Book Antiqua" w:hAnsi="Book Antiqua" w:cs="Times New Roman"/>
          <w:color w:val="000000" w:themeColor="text1"/>
          <w:kern w:val="0"/>
          <w:sz w:val="24"/>
          <w:szCs w:val="24"/>
          <w:vertAlign w:val="superscript"/>
        </w:rPr>
        <w:t>]</w:t>
      </w:r>
      <w:r w:rsidRPr="00115F98">
        <w:rPr>
          <w:rFonts w:ascii="Book Antiqua" w:hAnsi="Book Antiqua" w:cs="Times New Roman"/>
          <w:color w:val="000000" w:themeColor="text1"/>
          <w:sz w:val="24"/>
          <w:szCs w:val="24"/>
        </w:rPr>
        <w:t xml:space="preserve">. </w:t>
      </w:r>
      <w:r w:rsidRPr="00115F98">
        <w:rPr>
          <w:rFonts w:ascii="Book Antiqua" w:eastAsia="Times New Roman" w:hAnsi="Book Antiqua" w:cs="Times New Roman"/>
          <w:color w:val="000000" w:themeColor="text1"/>
          <w:kern w:val="0"/>
          <w:sz w:val="24"/>
          <w:szCs w:val="24"/>
        </w:rPr>
        <w:t xml:space="preserve">Moreover, recent studies showed that </w:t>
      </w:r>
      <w:r w:rsidRPr="00115F98">
        <w:rPr>
          <w:rFonts w:ascii="Book Antiqua" w:eastAsia="Times New Roman" w:hAnsi="Book Antiqua" w:cs="Times New Roman"/>
          <w:color w:val="000000" w:themeColor="text1"/>
          <w:kern w:val="0"/>
          <w:sz w:val="24"/>
          <w:szCs w:val="24"/>
        </w:rPr>
        <w:lastRenderedPageBreak/>
        <w:t>PPI use was associated with</w:t>
      </w:r>
      <w:r w:rsidRPr="00115F98">
        <w:rPr>
          <w:rFonts w:ascii="Book Antiqua" w:hAnsi="Book Antiqua" w:cs="Times New Roman"/>
          <w:color w:val="000000" w:themeColor="text1"/>
          <w:sz w:val="24"/>
          <w:szCs w:val="24"/>
        </w:rPr>
        <w:t xml:space="preserve"> a </w:t>
      </w:r>
      <w:r w:rsidRPr="00115F98">
        <w:rPr>
          <w:rFonts w:ascii="Book Antiqua" w:eastAsia="Times New Roman" w:hAnsi="Book Antiqua" w:cs="Times New Roman"/>
          <w:color w:val="000000" w:themeColor="text1"/>
          <w:kern w:val="0"/>
          <w:sz w:val="24"/>
          <w:szCs w:val="24"/>
        </w:rPr>
        <w:t>less healthy gut microbiome, lower microbial diversity</w:t>
      </w:r>
      <w:r w:rsidR="00075E23">
        <w:rPr>
          <w:rFonts w:ascii="Book Antiqua" w:eastAsia="Times New Roman" w:hAnsi="Book Antiqua" w:cs="Times New Roman"/>
          <w:color w:val="000000" w:themeColor="text1"/>
          <w:kern w:val="0"/>
          <w:sz w:val="24"/>
          <w:szCs w:val="24"/>
        </w:rPr>
        <w:t>,</w:t>
      </w:r>
      <w:r w:rsidRPr="00115F98">
        <w:rPr>
          <w:rFonts w:ascii="Book Antiqua" w:eastAsia="Times New Roman" w:hAnsi="Book Antiqua" w:cs="Times New Roman"/>
          <w:color w:val="000000" w:themeColor="text1"/>
          <w:kern w:val="0"/>
          <w:sz w:val="24"/>
          <w:szCs w:val="24"/>
        </w:rPr>
        <w:t xml:space="preserve"> and increased prevalence of </w:t>
      </w:r>
      <w:proofErr w:type="spellStart"/>
      <w:r w:rsidRPr="00115F98">
        <w:rPr>
          <w:rFonts w:ascii="Book Antiqua" w:eastAsia="Times New Roman" w:hAnsi="Book Antiqua" w:cs="Times New Roman"/>
          <w:color w:val="000000" w:themeColor="text1"/>
          <w:kern w:val="0"/>
          <w:sz w:val="24"/>
          <w:szCs w:val="24"/>
        </w:rPr>
        <w:t>Streptococcaceae</w:t>
      </w:r>
      <w:proofErr w:type="spellEnd"/>
      <w:r w:rsidR="00D64D74" w:rsidRPr="00115F98">
        <w:rPr>
          <w:rFonts w:ascii="Book Antiqua" w:eastAsia="Times New Roman" w:hAnsi="Book Antiqua" w:cs="Times New Roman"/>
          <w:color w:val="000000" w:themeColor="text1"/>
          <w:kern w:val="0"/>
          <w:sz w:val="24"/>
          <w:szCs w:val="24"/>
          <w:vertAlign w:val="superscript"/>
        </w:rPr>
        <w:t>[</w:t>
      </w:r>
      <w:r w:rsidR="00D64D74" w:rsidRPr="00115F98">
        <w:rPr>
          <w:rFonts w:ascii="Book Antiqua" w:hAnsi="Book Antiqua" w:cs="Times New Roman"/>
          <w:color w:val="000000" w:themeColor="text1"/>
          <w:kern w:val="0"/>
          <w:sz w:val="24"/>
          <w:szCs w:val="24"/>
          <w:vertAlign w:val="superscript"/>
        </w:rPr>
        <w:t>37,38]</w:t>
      </w:r>
      <w:r w:rsidRPr="00115F98">
        <w:rPr>
          <w:rFonts w:ascii="Book Antiqua" w:eastAsia="Times New Roman" w:hAnsi="Book Antiqua" w:cs="Times New Roman"/>
          <w:color w:val="000000" w:themeColor="text1"/>
          <w:kern w:val="0"/>
          <w:sz w:val="24"/>
          <w:szCs w:val="24"/>
        </w:rPr>
        <w:t>.</w:t>
      </w:r>
      <w:r w:rsidRPr="00115F98">
        <w:rPr>
          <w:rFonts w:ascii="Book Antiqua" w:hAnsi="Book Antiqua" w:cs="Times New Roman"/>
          <w:color w:val="000000" w:themeColor="text1"/>
          <w:sz w:val="24"/>
          <w:szCs w:val="24"/>
        </w:rPr>
        <w:t xml:space="preserve"> </w:t>
      </w:r>
      <w:r w:rsidRPr="00115F98">
        <w:rPr>
          <w:rFonts w:ascii="Book Antiqua" w:eastAsia="Times New Roman" w:hAnsi="Book Antiqua" w:cs="Times New Roman"/>
          <w:color w:val="000000" w:themeColor="text1"/>
          <w:kern w:val="0"/>
          <w:sz w:val="24"/>
          <w:szCs w:val="24"/>
        </w:rPr>
        <w:t>Changes in gut flora have been found to be associated with the development of HE</w:t>
      </w:r>
      <w:r w:rsidR="006C0E50" w:rsidRPr="00115F98">
        <w:rPr>
          <w:rFonts w:ascii="Book Antiqua" w:eastAsia="Times New Roman" w:hAnsi="Book Antiqua" w:cs="Times New Roman"/>
          <w:color w:val="000000" w:themeColor="text1"/>
          <w:kern w:val="0"/>
          <w:sz w:val="24"/>
          <w:szCs w:val="24"/>
          <w:vertAlign w:val="superscript"/>
        </w:rPr>
        <w:t>[</w:t>
      </w:r>
      <w:r w:rsidR="006C0E50" w:rsidRPr="00115F98">
        <w:rPr>
          <w:rFonts w:ascii="Book Antiqua" w:hAnsi="Book Antiqua" w:cs="Times New Roman"/>
          <w:color w:val="000000" w:themeColor="text1"/>
          <w:kern w:val="0"/>
          <w:sz w:val="24"/>
          <w:szCs w:val="24"/>
          <w:vertAlign w:val="superscript"/>
        </w:rPr>
        <w:t>39,40]</w:t>
      </w:r>
      <w:r w:rsidRPr="00115F98">
        <w:rPr>
          <w:rFonts w:ascii="Book Antiqua" w:eastAsia="Times New Roman" w:hAnsi="Book Antiqua" w:cs="Times New Roman"/>
          <w:color w:val="000000" w:themeColor="text1"/>
          <w:kern w:val="0"/>
          <w:sz w:val="24"/>
          <w:szCs w:val="24"/>
        </w:rPr>
        <w:t xml:space="preserve">. </w:t>
      </w:r>
      <w:r w:rsidRPr="00115F98">
        <w:rPr>
          <w:rFonts w:ascii="Book Antiqua" w:hAnsi="Book Antiqua" w:cs="Times New Roman"/>
          <w:color w:val="000000" w:themeColor="text1"/>
          <w:kern w:val="0"/>
          <w:sz w:val="24"/>
          <w:szCs w:val="24"/>
        </w:rPr>
        <w:t xml:space="preserve">On the other hand, PPI use may predispose </w:t>
      </w:r>
      <w:r w:rsidRPr="00115F98">
        <w:rPr>
          <w:rFonts w:ascii="Book Antiqua" w:eastAsia="等线" w:hAnsi="Book Antiqua" w:cs="Times New Roman"/>
          <w:color w:val="000000" w:themeColor="text1"/>
          <w:kern w:val="0"/>
          <w:sz w:val="24"/>
          <w:szCs w:val="24"/>
        </w:rPr>
        <w:t xml:space="preserve">patients </w:t>
      </w:r>
      <w:r w:rsidRPr="00115F98">
        <w:rPr>
          <w:rFonts w:ascii="Book Antiqua" w:hAnsi="Book Antiqua" w:cs="Times New Roman"/>
          <w:color w:val="000000" w:themeColor="text1"/>
          <w:kern w:val="0"/>
          <w:sz w:val="24"/>
          <w:szCs w:val="24"/>
        </w:rPr>
        <w:t xml:space="preserve">to bacterial infections </w:t>
      </w:r>
      <w:r w:rsidRPr="00115F98">
        <w:rPr>
          <w:rFonts w:ascii="Book Antiqua" w:eastAsia="Times New Roman" w:hAnsi="Book Antiqua" w:cs="Times New Roman"/>
          <w:color w:val="000000" w:themeColor="text1"/>
          <w:kern w:val="0"/>
          <w:sz w:val="24"/>
          <w:szCs w:val="24"/>
        </w:rPr>
        <w:t>by increasing bacterial proliferation and altering gastrointestinal motility</w:t>
      </w:r>
      <w:r w:rsidR="005A6D52" w:rsidRPr="00115F98">
        <w:rPr>
          <w:rFonts w:ascii="Book Antiqua" w:eastAsia="Times New Roman" w:hAnsi="Book Antiqua" w:cs="Times New Roman"/>
          <w:color w:val="000000" w:themeColor="text1"/>
          <w:kern w:val="0"/>
          <w:sz w:val="24"/>
          <w:szCs w:val="24"/>
          <w:vertAlign w:val="superscript"/>
        </w:rPr>
        <w:t>[</w:t>
      </w:r>
      <w:r w:rsidR="004B6AA4" w:rsidRPr="00115F98">
        <w:rPr>
          <w:rFonts w:ascii="Book Antiqua" w:hAnsi="Book Antiqua" w:cs="Times New Roman"/>
          <w:color w:val="000000" w:themeColor="text1"/>
          <w:kern w:val="0"/>
          <w:sz w:val="24"/>
          <w:szCs w:val="24"/>
          <w:vertAlign w:val="superscript"/>
        </w:rPr>
        <w:t>40-43</w:t>
      </w:r>
      <w:r w:rsidR="005A6D52" w:rsidRPr="00115F98">
        <w:rPr>
          <w:rFonts w:ascii="Book Antiqua" w:hAnsi="Book Antiqua" w:cs="Times New Roman"/>
          <w:color w:val="000000" w:themeColor="text1"/>
          <w:kern w:val="0"/>
          <w:sz w:val="24"/>
          <w:szCs w:val="24"/>
          <w:vertAlign w:val="superscript"/>
        </w:rPr>
        <w:t>]</w:t>
      </w:r>
      <w:r w:rsidRPr="00115F98">
        <w:rPr>
          <w:rFonts w:ascii="Book Antiqua" w:eastAsia="Times New Roman" w:hAnsi="Book Antiqua" w:cs="Times New Roman"/>
          <w:color w:val="000000" w:themeColor="text1"/>
          <w:kern w:val="0"/>
          <w:sz w:val="24"/>
          <w:szCs w:val="24"/>
        </w:rPr>
        <w:t>.</w:t>
      </w:r>
      <w:r w:rsidRPr="00115F98">
        <w:rPr>
          <w:rFonts w:ascii="Book Antiqua" w:hAnsi="Book Antiqua" w:cs="Times New Roman"/>
          <w:color w:val="000000" w:themeColor="text1"/>
          <w:sz w:val="24"/>
          <w:szCs w:val="24"/>
        </w:rPr>
        <w:t xml:space="preserve"> </w:t>
      </w:r>
      <w:r w:rsidRPr="00115F98">
        <w:rPr>
          <w:rFonts w:ascii="Book Antiqua" w:eastAsia="Times New Roman" w:hAnsi="Book Antiqua" w:cs="Times New Roman"/>
          <w:color w:val="000000" w:themeColor="text1"/>
          <w:kern w:val="0"/>
          <w:sz w:val="24"/>
          <w:szCs w:val="24"/>
        </w:rPr>
        <w:t>Therefore, PPIs may increase the production and absorption of nitrogenous substances, thereby increasing the risk of HE.</w:t>
      </w:r>
      <w:r w:rsidR="0000524C" w:rsidRPr="00115F98">
        <w:rPr>
          <w:rFonts w:ascii="Book Antiqua" w:hAnsi="Book Antiqua"/>
          <w:color w:val="000000" w:themeColor="text1"/>
          <w:sz w:val="24"/>
          <w:szCs w:val="24"/>
        </w:rPr>
        <w:t xml:space="preserve"> </w:t>
      </w:r>
      <w:r w:rsidR="0000524C" w:rsidRPr="00115F98">
        <w:rPr>
          <w:rFonts w:ascii="Book Antiqua" w:eastAsia="Times New Roman" w:hAnsi="Book Antiqua" w:cs="Times New Roman"/>
          <w:color w:val="000000" w:themeColor="text1"/>
          <w:kern w:val="0"/>
          <w:sz w:val="24"/>
          <w:szCs w:val="24"/>
        </w:rPr>
        <w:t>HE in patients with ACLF seems to be different from that of acute decompensation in the clinical and pathophysiological aspect</w:t>
      </w:r>
      <w:r w:rsidR="00075E23">
        <w:rPr>
          <w:rFonts w:ascii="Book Antiqua" w:eastAsia="Times New Roman" w:hAnsi="Book Antiqua" w:cs="Times New Roman"/>
          <w:color w:val="000000" w:themeColor="text1"/>
          <w:kern w:val="0"/>
          <w:sz w:val="24"/>
          <w:szCs w:val="24"/>
        </w:rPr>
        <w:t>s</w:t>
      </w:r>
      <w:r w:rsidR="0000524C" w:rsidRPr="00115F98">
        <w:rPr>
          <w:rFonts w:ascii="Book Antiqua" w:eastAsia="Times New Roman" w:hAnsi="Book Antiqua" w:cs="Times New Roman"/>
          <w:color w:val="000000" w:themeColor="text1"/>
          <w:kern w:val="0"/>
          <w:sz w:val="24"/>
          <w:szCs w:val="24"/>
        </w:rPr>
        <w:t xml:space="preserve">, </w:t>
      </w:r>
      <w:r w:rsidR="00075E23">
        <w:rPr>
          <w:rFonts w:ascii="Book Antiqua" w:eastAsia="Times New Roman" w:hAnsi="Book Antiqua" w:cs="Times New Roman"/>
          <w:color w:val="000000" w:themeColor="text1"/>
          <w:kern w:val="0"/>
          <w:sz w:val="24"/>
          <w:szCs w:val="24"/>
        </w:rPr>
        <w:t xml:space="preserve">and </w:t>
      </w:r>
      <w:r w:rsidR="0000524C" w:rsidRPr="00115F98">
        <w:rPr>
          <w:rFonts w:ascii="Book Antiqua" w:eastAsia="Times New Roman" w:hAnsi="Book Antiqua" w:cs="Times New Roman"/>
          <w:color w:val="000000" w:themeColor="text1"/>
          <w:kern w:val="0"/>
          <w:sz w:val="24"/>
          <w:szCs w:val="24"/>
        </w:rPr>
        <w:t>the mechanism and classification are still unknown</w:t>
      </w:r>
      <w:r w:rsidR="001D7B5B" w:rsidRPr="00115F98">
        <w:rPr>
          <w:rFonts w:ascii="Book Antiqua" w:eastAsia="Times New Roman" w:hAnsi="Book Antiqua" w:cs="Times New Roman"/>
          <w:color w:val="000000" w:themeColor="text1"/>
          <w:kern w:val="0"/>
          <w:sz w:val="24"/>
          <w:szCs w:val="24"/>
          <w:vertAlign w:val="superscript"/>
        </w:rPr>
        <w:t>[</w:t>
      </w:r>
      <w:r w:rsidR="001D7B5B" w:rsidRPr="00115F98">
        <w:rPr>
          <w:rFonts w:ascii="Book Antiqua" w:hAnsi="Book Antiqua" w:cs="Times New Roman"/>
          <w:color w:val="000000" w:themeColor="text1"/>
          <w:kern w:val="0"/>
          <w:sz w:val="24"/>
          <w:szCs w:val="24"/>
          <w:vertAlign w:val="superscript"/>
        </w:rPr>
        <w:t>44]</w:t>
      </w:r>
      <w:r w:rsidR="0000524C" w:rsidRPr="00115F98">
        <w:rPr>
          <w:rFonts w:ascii="Book Antiqua" w:eastAsia="Times New Roman" w:hAnsi="Book Antiqua" w:cs="Times New Roman"/>
          <w:color w:val="000000" w:themeColor="text1"/>
          <w:kern w:val="0"/>
          <w:sz w:val="24"/>
          <w:szCs w:val="24"/>
        </w:rPr>
        <w:t>. Systemic inflammation, impaired intestinal mucosal immunity</w:t>
      </w:r>
      <w:r w:rsidR="00075E23">
        <w:rPr>
          <w:rFonts w:ascii="Book Antiqua" w:eastAsia="Times New Roman" w:hAnsi="Book Antiqua" w:cs="Times New Roman"/>
          <w:color w:val="000000" w:themeColor="text1"/>
          <w:kern w:val="0"/>
          <w:sz w:val="24"/>
          <w:szCs w:val="24"/>
        </w:rPr>
        <w:t>,</w:t>
      </w:r>
      <w:r w:rsidR="0000524C" w:rsidRPr="00115F98">
        <w:rPr>
          <w:rFonts w:ascii="Book Antiqua" w:eastAsia="Times New Roman" w:hAnsi="Book Antiqua" w:cs="Times New Roman"/>
          <w:color w:val="000000" w:themeColor="text1"/>
          <w:kern w:val="0"/>
          <w:sz w:val="24"/>
          <w:szCs w:val="24"/>
        </w:rPr>
        <w:t xml:space="preserve"> and changes of intestinal microbiota may increase the risk of bacterial translocation in patients with ACLF</w:t>
      </w:r>
      <w:r w:rsidR="002C4EBB" w:rsidRPr="00115F98">
        <w:rPr>
          <w:rFonts w:ascii="Book Antiqua" w:eastAsia="Times New Roman" w:hAnsi="Book Antiqua" w:cs="Times New Roman"/>
          <w:color w:val="000000" w:themeColor="text1"/>
          <w:kern w:val="0"/>
          <w:sz w:val="24"/>
          <w:szCs w:val="24"/>
          <w:vertAlign w:val="superscript"/>
        </w:rPr>
        <w:t>[</w:t>
      </w:r>
      <w:r w:rsidR="002C4EBB" w:rsidRPr="00115F98">
        <w:rPr>
          <w:rFonts w:ascii="Book Antiqua" w:hAnsi="Book Antiqua" w:cs="Times New Roman"/>
          <w:color w:val="000000" w:themeColor="text1"/>
          <w:kern w:val="0"/>
          <w:sz w:val="24"/>
          <w:szCs w:val="24"/>
          <w:vertAlign w:val="superscript"/>
        </w:rPr>
        <w:t>45]</w:t>
      </w:r>
      <w:r w:rsidR="0000524C" w:rsidRPr="00115F98">
        <w:rPr>
          <w:rFonts w:ascii="Book Antiqua" w:eastAsia="Times New Roman" w:hAnsi="Book Antiqua" w:cs="Times New Roman"/>
          <w:color w:val="000000" w:themeColor="text1"/>
          <w:kern w:val="0"/>
          <w:sz w:val="24"/>
          <w:szCs w:val="24"/>
        </w:rPr>
        <w:t>. Using PPI in ACLF patients appears to further increase the risk of HE, which requires further research.</w:t>
      </w:r>
      <w:r w:rsidR="004A499B" w:rsidRPr="00115F98">
        <w:rPr>
          <w:rFonts w:ascii="Book Antiqua" w:hAnsi="Book Antiqua" w:cs="Times New Roman"/>
          <w:color w:val="000000" w:themeColor="text1"/>
          <w:kern w:val="0"/>
          <w:sz w:val="24"/>
          <w:szCs w:val="24"/>
        </w:rPr>
        <w:t xml:space="preserve"> </w:t>
      </w:r>
      <w:r w:rsidR="00346DCB" w:rsidRPr="00115F98">
        <w:rPr>
          <w:rFonts w:ascii="Book Antiqua" w:hAnsi="Book Antiqua" w:cs="Times New Roman"/>
          <w:color w:val="000000" w:themeColor="text1"/>
          <w:sz w:val="24"/>
          <w:szCs w:val="24"/>
        </w:rPr>
        <w:t xml:space="preserve">Tsai </w:t>
      </w:r>
      <w:r w:rsidR="00346DCB" w:rsidRPr="00115F98">
        <w:rPr>
          <w:rFonts w:ascii="Book Antiqua" w:hAnsi="Book Antiqua" w:cs="Times New Roman"/>
          <w:i/>
          <w:color w:val="000000" w:themeColor="text1"/>
          <w:sz w:val="24"/>
          <w:szCs w:val="24"/>
        </w:rPr>
        <w:t>et al</w:t>
      </w:r>
      <w:r w:rsidR="003467CE" w:rsidRPr="00115F98">
        <w:rPr>
          <w:rFonts w:ascii="Book Antiqua" w:eastAsia="Times New Roman" w:hAnsi="Book Antiqua" w:cs="Times New Roman"/>
          <w:color w:val="000000" w:themeColor="text1"/>
          <w:kern w:val="0"/>
          <w:sz w:val="24"/>
          <w:szCs w:val="24"/>
          <w:vertAlign w:val="superscript"/>
        </w:rPr>
        <w:t>[</w:t>
      </w:r>
      <w:r w:rsidR="003467CE" w:rsidRPr="00115F98">
        <w:rPr>
          <w:rFonts w:ascii="Book Antiqua" w:hAnsi="Book Antiqua" w:cs="Times New Roman"/>
          <w:color w:val="000000" w:themeColor="text1"/>
          <w:kern w:val="0"/>
          <w:sz w:val="24"/>
          <w:szCs w:val="24"/>
          <w:vertAlign w:val="superscript"/>
        </w:rPr>
        <w:t>16]</w:t>
      </w:r>
      <w:r w:rsidR="003467CE" w:rsidRPr="00115F98">
        <w:rPr>
          <w:rFonts w:ascii="Book Antiqua" w:hAnsi="Book Antiqua" w:cs="Times New Roman"/>
          <w:color w:val="000000" w:themeColor="text1"/>
          <w:sz w:val="24"/>
          <w:szCs w:val="24"/>
        </w:rPr>
        <w:t xml:space="preserve"> </w:t>
      </w:r>
      <w:r w:rsidR="00346DCB" w:rsidRPr="00115F98">
        <w:rPr>
          <w:rFonts w:ascii="Book Antiqua" w:hAnsi="Book Antiqua" w:cs="Times New Roman"/>
          <w:color w:val="000000" w:themeColor="text1"/>
          <w:sz w:val="24"/>
          <w:szCs w:val="24"/>
        </w:rPr>
        <w:t xml:space="preserve">found that </w:t>
      </w:r>
      <w:proofErr w:type="spellStart"/>
      <w:r w:rsidR="00346DCB" w:rsidRPr="00115F98">
        <w:rPr>
          <w:rFonts w:ascii="Book Antiqua" w:hAnsi="Book Antiqua" w:cs="Times New Roman"/>
          <w:color w:val="000000" w:themeColor="text1"/>
          <w:sz w:val="24"/>
          <w:szCs w:val="24"/>
        </w:rPr>
        <w:t>rabeprazole</w:t>
      </w:r>
      <w:proofErr w:type="spellEnd"/>
      <w:r w:rsidR="00346DCB" w:rsidRPr="00115F98">
        <w:rPr>
          <w:rFonts w:ascii="Book Antiqua" w:hAnsi="Book Antiqua" w:cs="Times New Roman"/>
          <w:color w:val="000000" w:themeColor="text1"/>
          <w:sz w:val="24"/>
          <w:szCs w:val="24"/>
        </w:rPr>
        <w:t xml:space="preserve"> was not associated with an increased risk of HE. One reason may be that the sample size of </w:t>
      </w:r>
      <w:proofErr w:type="spellStart"/>
      <w:r w:rsidR="00346DCB" w:rsidRPr="00115F98">
        <w:rPr>
          <w:rFonts w:ascii="Book Antiqua" w:hAnsi="Book Antiqua" w:cs="Times New Roman"/>
          <w:color w:val="000000" w:themeColor="text1"/>
          <w:sz w:val="24"/>
          <w:szCs w:val="24"/>
        </w:rPr>
        <w:t>rabeprazole</w:t>
      </w:r>
      <w:proofErr w:type="spellEnd"/>
      <w:r w:rsidR="00346DCB" w:rsidRPr="00115F98">
        <w:rPr>
          <w:rFonts w:ascii="Book Antiqua" w:hAnsi="Book Antiqua" w:cs="Times New Roman"/>
          <w:color w:val="000000" w:themeColor="text1"/>
          <w:sz w:val="24"/>
          <w:szCs w:val="24"/>
        </w:rPr>
        <w:t xml:space="preserve"> users is too small, and another may be the metabolic difference among different types of PPIs. PPs are mainly metabolized in the liver by liver metabolizing isozyme CYP2C19. Based on different combinations of wild-type gene and mutated alleles, CYP2C19 genotypes can be classified as </w:t>
      </w:r>
      <w:r w:rsidR="00075E23" w:rsidRPr="00115F98">
        <w:rPr>
          <w:rFonts w:ascii="Book Antiqua" w:hAnsi="Book Antiqua" w:cs="Times New Roman"/>
          <w:color w:val="000000" w:themeColor="text1"/>
          <w:sz w:val="24"/>
          <w:szCs w:val="24"/>
        </w:rPr>
        <w:t>ultra</w:t>
      </w:r>
      <w:r w:rsidR="00075E23">
        <w:rPr>
          <w:rFonts w:ascii="Book Antiqua" w:hAnsi="Book Antiqua" w:cs="Times New Roman"/>
          <w:color w:val="000000" w:themeColor="text1"/>
          <w:sz w:val="24"/>
          <w:szCs w:val="24"/>
        </w:rPr>
        <w:t>-</w:t>
      </w:r>
      <w:r w:rsidR="00346DCB" w:rsidRPr="00115F98">
        <w:rPr>
          <w:rFonts w:ascii="Book Antiqua" w:hAnsi="Book Antiqua" w:cs="Times New Roman"/>
          <w:color w:val="000000" w:themeColor="text1"/>
          <w:sz w:val="24"/>
          <w:szCs w:val="24"/>
        </w:rPr>
        <w:t>rapid metabolizer, rapid metaboli</w:t>
      </w:r>
      <w:r w:rsidR="00E13D7E" w:rsidRPr="00115F98">
        <w:rPr>
          <w:rFonts w:ascii="Book Antiqua" w:hAnsi="Book Antiqua" w:cs="Times New Roman"/>
          <w:color w:val="000000" w:themeColor="text1"/>
          <w:sz w:val="24"/>
          <w:szCs w:val="24"/>
        </w:rPr>
        <w:t>z</w:t>
      </w:r>
      <w:r w:rsidR="00346DCB" w:rsidRPr="00115F98">
        <w:rPr>
          <w:rFonts w:ascii="Book Antiqua" w:hAnsi="Book Antiqua" w:cs="Times New Roman"/>
          <w:color w:val="000000" w:themeColor="text1"/>
          <w:sz w:val="24"/>
          <w:szCs w:val="24"/>
        </w:rPr>
        <w:t>er, intermediate metaboli</w:t>
      </w:r>
      <w:r w:rsidR="00E13D7E" w:rsidRPr="00115F98">
        <w:rPr>
          <w:rFonts w:ascii="Book Antiqua" w:hAnsi="Book Antiqua" w:cs="Times New Roman"/>
          <w:color w:val="000000" w:themeColor="text1"/>
          <w:sz w:val="24"/>
          <w:szCs w:val="24"/>
        </w:rPr>
        <w:t>z</w:t>
      </w:r>
      <w:r w:rsidR="00346DCB" w:rsidRPr="00115F98">
        <w:rPr>
          <w:rFonts w:ascii="Book Antiqua" w:hAnsi="Book Antiqua" w:cs="Times New Roman"/>
          <w:color w:val="000000" w:themeColor="text1"/>
          <w:sz w:val="24"/>
          <w:szCs w:val="24"/>
        </w:rPr>
        <w:t>er</w:t>
      </w:r>
      <w:r w:rsidR="00075E23">
        <w:rPr>
          <w:rFonts w:ascii="Book Antiqua" w:hAnsi="Book Antiqua" w:cs="Times New Roman"/>
          <w:color w:val="000000" w:themeColor="text1"/>
          <w:sz w:val="24"/>
          <w:szCs w:val="24"/>
        </w:rPr>
        <w:t>,</w:t>
      </w:r>
      <w:r w:rsidR="00346DCB" w:rsidRPr="00115F98">
        <w:rPr>
          <w:rFonts w:ascii="Book Antiqua" w:hAnsi="Book Antiqua" w:cs="Times New Roman"/>
          <w:color w:val="000000" w:themeColor="text1"/>
          <w:sz w:val="24"/>
          <w:szCs w:val="24"/>
        </w:rPr>
        <w:t xml:space="preserve"> and poor metabolizer</w:t>
      </w:r>
      <w:r w:rsidR="00AD0C65" w:rsidRPr="00115F98">
        <w:rPr>
          <w:rFonts w:ascii="Book Antiqua" w:eastAsia="Times New Roman" w:hAnsi="Book Antiqua" w:cs="Times New Roman"/>
          <w:color w:val="000000" w:themeColor="text1"/>
          <w:kern w:val="0"/>
          <w:sz w:val="24"/>
          <w:szCs w:val="24"/>
          <w:vertAlign w:val="superscript"/>
        </w:rPr>
        <w:t>[</w:t>
      </w:r>
      <w:r w:rsidR="00AD0C65" w:rsidRPr="00115F98">
        <w:rPr>
          <w:rFonts w:ascii="Book Antiqua" w:hAnsi="Book Antiqua" w:cs="Times New Roman"/>
          <w:color w:val="000000" w:themeColor="text1"/>
          <w:kern w:val="0"/>
          <w:sz w:val="24"/>
          <w:szCs w:val="24"/>
          <w:vertAlign w:val="superscript"/>
        </w:rPr>
        <w:t>46,47]</w:t>
      </w:r>
      <w:r w:rsidR="00346DCB" w:rsidRPr="00115F98">
        <w:rPr>
          <w:rFonts w:ascii="Book Antiqua" w:hAnsi="Book Antiqua" w:cs="Times New Roman"/>
          <w:color w:val="000000" w:themeColor="text1"/>
          <w:sz w:val="24"/>
          <w:szCs w:val="24"/>
        </w:rPr>
        <w:t>. Different genotypes can influence pharmacokinetics and acid-suppressive effect. In addition, individual PPI has its own unique metabolic pathway</w:t>
      </w:r>
      <w:r w:rsidR="002F71A7" w:rsidRPr="00115F98">
        <w:rPr>
          <w:rFonts w:ascii="Book Antiqua" w:eastAsia="Times New Roman" w:hAnsi="Book Antiqua" w:cs="Times New Roman"/>
          <w:color w:val="000000" w:themeColor="text1"/>
          <w:kern w:val="0"/>
          <w:sz w:val="24"/>
          <w:szCs w:val="24"/>
          <w:vertAlign w:val="superscript"/>
        </w:rPr>
        <w:t>[</w:t>
      </w:r>
      <w:r w:rsidR="002F71A7" w:rsidRPr="00115F98">
        <w:rPr>
          <w:rFonts w:ascii="Book Antiqua" w:hAnsi="Book Antiqua" w:cs="Times New Roman"/>
          <w:color w:val="000000" w:themeColor="text1"/>
          <w:kern w:val="0"/>
          <w:sz w:val="24"/>
          <w:szCs w:val="24"/>
          <w:vertAlign w:val="superscript"/>
        </w:rPr>
        <w:t>47]</w:t>
      </w:r>
      <w:r w:rsidR="00346DCB" w:rsidRPr="00115F98">
        <w:rPr>
          <w:rFonts w:ascii="Book Antiqua" w:hAnsi="Book Antiqua" w:cs="Times New Roman"/>
          <w:color w:val="000000" w:themeColor="text1"/>
          <w:sz w:val="24"/>
          <w:szCs w:val="24"/>
        </w:rPr>
        <w:t>. These metabolic differences of PPIs may affect the occurrence of HE, and this deserves further research.</w:t>
      </w:r>
    </w:p>
    <w:p w14:paraId="22A9AEEB" w14:textId="59813987" w:rsidR="002878A3" w:rsidRPr="00115F98" w:rsidRDefault="002878A3" w:rsidP="00E13D7E">
      <w:pPr>
        <w:autoSpaceDE w:val="0"/>
        <w:autoSpaceDN w:val="0"/>
        <w:adjustRightInd w:val="0"/>
        <w:snapToGrid w:val="0"/>
        <w:spacing w:line="360" w:lineRule="auto"/>
        <w:ind w:firstLineChars="100" w:firstLine="240"/>
        <w:rPr>
          <w:rFonts w:ascii="Book Antiqua" w:eastAsia="等线" w:hAnsi="Book Antiqua" w:cs="Times New Roman"/>
          <w:color w:val="000000" w:themeColor="text1"/>
          <w:sz w:val="24"/>
          <w:szCs w:val="24"/>
        </w:rPr>
      </w:pPr>
      <w:r w:rsidRPr="00115F98">
        <w:rPr>
          <w:rFonts w:ascii="Book Antiqua" w:eastAsia="Times New Roman" w:hAnsi="Book Antiqua" w:cs="Times New Roman"/>
          <w:color w:val="000000" w:themeColor="text1"/>
          <w:kern w:val="0"/>
          <w:sz w:val="24"/>
          <w:szCs w:val="24"/>
        </w:rPr>
        <w:t>Our meta-analysis has some limitations.</w:t>
      </w:r>
      <w:r w:rsidRPr="00115F98">
        <w:rPr>
          <w:rFonts w:ascii="Book Antiqua" w:eastAsia="等线" w:hAnsi="Book Antiqua" w:cs="Times New Roman"/>
          <w:color w:val="000000" w:themeColor="text1"/>
          <w:sz w:val="24"/>
          <w:szCs w:val="24"/>
        </w:rPr>
        <w:t xml:space="preserve"> First,</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the number of studies included was small, and only six studies were included after the conference abstracts were excluded. Furthermore, only one study was a prospective cohort study,</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and the rest were retrospective cohort studies or case-control studies. Although these studies were of high quality, their inherent limitations based on</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design</w:t>
      </w:r>
      <w:r w:rsidRPr="00115F98">
        <w:rPr>
          <w:rFonts w:ascii="Book Antiqua" w:hAnsi="Book Antiqua" w:cs="Times New Roman"/>
          <w:color w:val="000000" w:themeColor="text1"/>
          <w:sz w:val="24"/>
          <w:szCs w:val="24"/>
        </w:rPr>
        <w:t xml:space="preserve"> </w:t>
      </w:r>
      <w:r w:rsidR="00075E23" w:rsidRPr="00115F98">
        <w:rPr>
          <w:rFonts w:ascii="Book Antiqua" w:eastAsia="等线" w:hAnsi="Book Antiqua" w:cs="Times New Roman"/>
          <w:color w:val="000000" w:themeColor="text1"/>
          <w:sz w:val="24"/>
          <w:szCs w:val="24"/>
        </w:rPr>
        <w:t>inhibit</w:t>
      </w:r>
      <w:r w:rsidR="00075E23">
        <w:rPr>
          <w:rFonts w:ascii="Book Antiqua" w:eastAsia="等线" w:hAnsi="Book Antiqua" w:cs="Times New Roman"/>
          <w:color w:val="000000" w:themeColor="text1"/>
          <w:sz w:val="24"/>
          <w:szCs w:val="24"/>
        </w:rPr>
        <w:t>ed</w:t>
      </w:r>
      <w:r w:rsidR="00075E23" w:rsidRP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our ability to establish clear causality. Second,</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the heterogeneity among the included studies was significant. However,</w:t>
      </w:r>
      <w:r w:rsidRPr="00115F98">
        <w:rPr>
          <w:rFonts w:ascii="Book Antiqua" w:eastAsia="等线" w:hAnsi="Book Antiqua" w:cs="Times New Roman"/>
          <w:color w:val="000000" w:themeColor="text1"/>
          <w:kern w:val="0"/>
          <w:sz w:val="24"/>
          <w:szCs w:val="24"/>
        </w:rPr>
        <w:t xml:space="preserve"> we performed subgroup analyses and </w:t>
      </w:r>
      <w:r w:rsidRPr="00115F98">
        <w:rPr>
          <w:rFonts w:ascii="Book Antiqua" w:eastAsia="等线" w:hAnsi="Book Antiqua" w:cs="Times New Roman"/>
          <w:color w:val="000000" w:themeColor="text1"/>
          <w:kern w:val="0"/>
          <w:sz w:val="24"/>
          <w:szCs w:val="24"/>
        </w:rPr>
        <w:lastRenderedPageBreak/>
        <w:t>found that the heterogeneity may stem from the differences in study designs and definitions of PPI use.</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kern w:val="0"/>
          <w:sz w:val="24"/>
          <w:szCs w:val="24"/>
        </w:rPr>
        <w:t>When the heterogeneity was significantly reduced in the stratification analyses, the risk of HE was still present.</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kern w:val="0"/>
          <w:sz w:val="24"/>
          <w:szCs w:val="24"/>
        </w:rPr>
        <w:t xml:space="preserve">Limited by the small number of studies, some subgroups only consisted of one or two studies. </w:t>
      </w:r>
      <w:r w:rsidRPr="00115F98">
        <w:rPr>
          <w:rFonts w:ascii="Book Antiqua" w:eastAsia="等线" w:hAnsi="Book Antiqua" w:cs="Times New Roman"/>
          <w:color w:val="000000" w:themeColor="text1"/>
          <w:sz w:val="24"/>
          <w:szCs w:val="24"/>
        </w:rPr>
        <w:t>Third,</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our findings may have been affected by publication bias.</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Additional data from one study and three abstracts may be relevant, but we were unable to obtain the data even after attempting to contact the authors. Fourth, the definitions of PPI use differed substantially among the different studies. The studies included in our analysis defined a patient as a PPI user if the patient was using PPIs or had used PPIs for a short period of time in the past. During the progression of liver disease, the actual use of PPIs by individuals is unknown. However, the potential impact of this unknown factor can affect both the PPI and non-PPI groups. Fifth,</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 xml:space="preserve">although we performed the meta-analysis using adjusted estimates, the variables used for adjustment varied among the studies. We cannot exclude the possibility that these differences and other unknown factors may play roles in the </w:t>
      </w:r>
      <w:r w:rsidRPr="00115F98">
        <w:rPr>
          <w:rFonts w:ascii="Book Antiqua" w:eastAsia="等线" w:hAnsi="Book Antiqua" w:cs="Times New Roman"/>
          <w:color w:val="000000" w:themeColor="text1"/>
          <w:kern w:val="0"/>
          <w:sz w:val="24"/>
          <w:szCs w:val="24"/>
        </w:rPr>
        <w:t>progression to HE.</w:t>
      </w:r>
      <w:r w:rsidR="0046698A" w:rsidRPr="00115F98">
        <w:rPr>
          <w:rFonts w:ascii="Book Antiqua" w:hAnsi="Book Antiqua"/>
          <w:color w:val="000000" w:themeColor="text1"/>
          <w:sz w:val="24"/>
          <w:szCs w:val="24"/>
        </w:rPr>
        <w:t xml:space="preserve"> </w:t>
      </w:r>
      <w:r w:rsidR="0046698A" w:rsidRPr="00115F98">
        <w:rPr>
          <w:rFonts w:ascii="Book Antiqua" w:eastAsia="等线" w:hAnsi="Book Antiqua" w:cs="Times New Roman"/>
          <w:color w:val="000000" w:themeColor="text1"/>
          <w:kern w:val="0"/>
          <w:sz w:val="24"/>
          <w:szCs w:val="24"/>
        </w:rPr>
        <w:t>The incidence of minimal HE was not assessed in most included studies, which might underestimate the risk of overall HE in PPI users.</w:t>
      </w:r>
      <w:r w:rsidRPr="00115F98">
        <w:rPr>
          <w:rFonts w:ascii="Book Antiqua" w:hAnsi="Book Antiqua" w:cs="Times New Roman"/>
          <w:color w:val="000000" w:themeColor="text1"/>
          <w:sz w:val="24"/>
          <w:szCs w:val="24"/>
        </w:rPr>
        <w:t xml:space="preserve"> </w:t>
      </w:r>
      <w:r w:rsidR="00516D70" w:rsidRPr="00115F98">
        <w:rPr>
          <w:rFonts w:ascii="Book Antiqua" w:hAnsi="Book Antiqua" w:cs="Times New Roman"/>
          <w:color w:val="000000" w:themeColor="text1"/>
          <w:sz w:val="24"/>
          <w:szCs w:val="24"/>
        </w:rPr>
        <w:t xml:space="preserve">Some studies included special patients, which may lead to selection bias. </w:t>
      </w:r>
      <w:r w:rsidRPr="00115F98">
        <w:rPr>
          <w:rFonts w:ascii="Book Antiqua" w:eastAsia="等线" w:hAnsi="Book Antiqua" w:cs="Times New Roman"/>
          <w:color w:val="000000" w:themeColor="text1"/>
          <w:kern w:val="0"/>
          <w:sz w:val="24"/>
          <w:szCs w:val="24"/>
        </w:rPr>
        <w:t>Finally,</w:t>
      </w:r>
      <w:r w:rsidRPr="00115F98">
        <w:rPr>
          <w:rFonts w:ascii="Book Antiqua" w:eastAsia="等线" w:hAnsi="Book Antiqua" w:cs="Times New Roman"/>
          <w:color w:val="000000" w:themeColor="text1"/>
          <w:sz w:val="24"/>
          <w:szCs w:val="24"/>
        </w:rPr>
        <w:t xml:space="preserve"> due to insufficient data,</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 xml:space="preserve">we were unable to explore the association between the risk of HE and the type of PPI, </w:t>
      </w:r>
      <w:r w:rsidR="006F0DFA" w:rsidRPr="00115F98">
        <w:rPr>
          <w:rFonts w:ascii="Book Antiqua" w:eastAsia="等线" w:hAnsi="Book Antiqua" w:cs="Times New Roman"/>
          <w:color w:val="000000" w:themeColor="text1"/>
          <w:sz w:val="24"/>
          <w:szCs w:val="24"/>
        </w:rPr>
        <w:t xml:space="preserve">indication for PPI treatment, </w:t>
      </w:r>
      <w:r w:rsidRPr="00115F98">
        <w:rPr>
          <w:rFonts w:ascii="Book Antiqua" w:eastAsia="等线" w:hAnsi="Book Antiqua" w:cs="Times New Roman"/>
          <w:color w:val="000000" w:themeColor="text1"/>
          <w:sz w:val="24"/>
          <w:szCs w:val="24"/>
        </w:rPr>
        <w:t>time of PPI treatment,</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or method of PPI administration (oral/intravenous). We cannot predict whether the risk of HE changes after discontinuing the use of PPIs. These problems urgently need to be addressed in future studies.</w:t>
      </w:r>
    </w:p>
    <w:p w14:paraId="62A82438" w14:textId="19CF7EF5" w:rsidR="002878A3" w:rsidRPr="00115F98" w:rsidRDefault="002878A3" w:rsidP="00E13D7E">
      <w:pPr>
        <w:autoSpaceDE w:val="0"/>
        <w:autoSpaceDN w:val="0"/>
        <w:adjustRightInd w:val="0"/>
        <w:snapToGrid w:val="0"/>
        <w:spacing w:line="360" w:lineRule="auto"/>
        <w:ind w:firstLineChars="100" w:firstLine="240"/>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In conclusion, the results of this meta</w:t>
      </w:r>
      <w:r w:rsidR="00115F98">
        <w:rPr>
          <w:rFonts w:ascii="Book Antiqua" w:eastAsia="等线" w:hAnsi="Book Antiqua" w:cs="Times New Roman"/>
          <w:color w:val="000000" w:themeColor="text1"/>
          <w:sz w:val="24"/>
          <w:szCs w:val="24"/>
        </w:rPr>
        <w:t>-</w:t>
      </w:r>
      <w:r w:rsidRPr="00115F98">
        <w:rPr>
          <w:rFonts w:ascii="Book Antiqua" w:eastAsia="等线" w:hAnsi="Book Antiqua" w:cs="Times New Roman"/>
          <w:color w:val="000000" w:themeColor="text1"/>
          <w:sz w:val="24"/>
          <w:szCs w:val="24"/>
        </w:rPr>
        <w:t>analysis of observational studies suggest that PPI use is significantly associated with</w:t>
      </w:r>
      <w:r w:rsidRPr="00115F98">
        <w:rPr>
          <w:rFonts w:ascii="Book Antiqua"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the risk of progression to HE.</w:t>
      </w:r>
      <w:r w:rsidRPr="00115F98">
        <w:rPr>
          <w:rFonts w:ascii="Book Antiqua" w:hAnsi="Book Antiqua" w:cs="Times New Roman"/>
          <w:color w:val="000000" w:themeColor="text1"/>
          <w:sz w:val="24"/>
          <w:szCs w:val="24"/>
        </w:rPr>
        <w:t xml:space="preserve"> Among patients with advanced liver disease</w:t>
      </w:r>
      <w:r w:rsidRPr="00115F98">
        <w:rPr>
          <w:rFonts w:ascii="Book Antiqua" w:eastAsia="等线" w:hAnsi="Book Antiqua" w:cs="Times New Roman"/>
          <w:color w:val="000000" w:themeColor="text1"/>
          <w:sz w:val="24"/>
          <w:szCs w:val="24"/>
        </w:rPr>
        <w:t xml:space="preserve">, compared with nonusers, PPI users have a higher risk of HE. This important finding suggests that clinicians need to strictly adhere to the indications for PPI use in patients with </w:t>
      </w:r>
      <w:r w:rsidRPr="00115F98">
        <w:rPr>
          <w:rFonts w:ascii="Book Antiqua" w:eastAsia="等线" w:hAnsi="Book Antiqua" w:cs="Times New Roman"/>
          <w:color w:val="000000" w:themeColor="text1"/>
          <w:kern w:val="0"/>
          <w:sz w:val="24"/>
          <w:szCs w:val="24"/>
        </w:rPr>
        <w:t>advanced liver disease.</w:t>
      </w:r>
      <w:r w:rsidRPr="00115F98">
        <w:rPr>
          <w:rFonts w:ascii="Book Antiqua" w:eastAsia="等线" w:hAnsi="Book Antiqua" w:cs="Times New Roman"/>
          <w:color w:val="000000" w:themeColor="text1"/>
          <w:sz w:val="24"/>
          <w:szCs w:val="24"/>
        </w:rPr>
        <w:t xml:space="preserve"> Future large prospective studies and mechanistic studies are required to better un</w:t>
      </w:r>
      <w:bookmarkStart w:id="46" w:name="_Hlk6491982"/>
      <w:r w:rsidRPr="00115F98">
        <w:rPr>
          <w:rFonts w:ascii="Book Antiqua" w:eastAsia="等线" w:hAnsi="Book Antiqua" w:cs="Times New Roman"/>
          <w:color w:val="000000" w:themeColor="text1"/>
          <w:sz w:val="24"/>
          <w:szCs w:val="24"/>
        </w:rPr>
        <w:t>derstand the association between PPI use an</w:t>
      </w:r>
      <w:bookmarkEnd w:id="46"/>
      <w:r w:rsidRPr="00115F98">
        <w:rPr>
          <w:rFonts w:ascii="Book Antiqua" w:eastAsia="等线" w:hAnsi="Book Antiqua" w:cs="Times New Roman"/>
          <w:color w:val="000000" w:themeColor="text1"/>
          <w:sz w:val="24"/>
          <w:szCs w:val="24"/>
        </w:rPr>
        <w:t>d the risk of HE.</w:t>
      </w:r>
    </w:p>
    <w:p w14:paraId="0A288A77" w14:textId="5054AD41" w:rsidR="00D3451A" w:rsidRPr="00115F98" w:rsidRDefault="00D3451A"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401DAAA9" w14:textId="4BFD3F78" w:rsidR="00D3451A" w:rsidRPr="00115F98" w:rsidRDefault="00D3451A" w:rsidP="001C4059">
      <w:pPr>
        <w:adjustRightInd w:val="0"/>
        <w:snapToGrid w:val="0"/>
        <w:spacing w:line="360" w:lineRule="auto"/>
        <w:rPr>
          <w:rFonts w:ascii="Book Antiqua" w:hAnsi="Book Antiqua"/>
          <w:b/>
          <w:color w:val="000000" w:themeColor="text1"/>
          <w:sz w:val="24"/>
          <w:szCs w:val="24"/>
        </w:rPr>
      </w:pPr>
      <w:bookmarkStart w:id="47" w:name="_Hlk5627588"/>
      <w:r w:rsidRPr="00115F98">
        <w:rPr>
          <w:rFonts w:ascii="Book Antiqua" w:hAnsi="Book Antiqua" w:cs="Garamond-Bold"/>
          <w:b/>
          <w:bCs/>
          <w:color w:val="000000" w:themeColor="text1"/>
          <w:sz w:val="24"/>
          <w:szCs w:val="24"/>
        </w:rPr>
        <w:t>ARTICLE HIGHLIGHTS</w:t>
      </w:r>
    </w:p>
    <w:p w14:paraId="23849850" w14:textId="3509DEC5" w:rsidR="008D38FD" w:rsidRPr="00115F98" w:rsidRDefault="008D38FD"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background</w:t>
      </w:r>
    </w:p>
    <w:p w14:paraId="5337858F" w14:textId="4D88DCD7" w:rsidR="0040102F" w:rsidRDefault="0040102F"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Given their safety profile, proton pump inhibitors (PPIs) are commonly prescribed for patients with advanced liver disease. Recent studies have reported that using PPIs may increase the risk of hepatic encephalopathy (HE) by increasing the gastric pH</w:t>
      </w:r>
      <w:r w:rsidR="00075E23">
        <w:rPr>
          <w:rFonts w:ascii="Book Antiqua" w:eastAsia="等线" w:hAnsi="Book Antiqua" w:cs="Times New Roman"/>
          <w:color w:val="000000" w:themeColor="text1"/>
          <w:sz w:val="24"/>
          <w:szCs w:val="24"/>
        </w:rPr>
        <w:t xml:space="preserve"> and </w:t>
      </w:r>
      <w:r w:rsidRPr="00115F98">
        <w:rPr>
          <w:rFonts w:ascii="Book Antiqua" w:eastAsia="等线" w:hAnsi="Book Antiqua" w:cs="Times New Roman"/>
          <w:color w:val="000000" w:themeColor="text1"/>
          <w:sz w:val="24"/>
          <w:szCs w:val="24"/>
        </w:rPr>
        <w:t xml:space="preserve">bacterial translocation and changing intestinal flora. About the association between PPI use and </w:t>
      </w:r>
      <w:r w:rsidR="00115F98">
        <w:rPr>
          <w:rFonts w:ascii="Book Antiqua" w:eastAsia="等线" w:hAnsi="Book Antiqua" w:cs="Times New Roman"/>
          <w:color w:val="000000" w:themeColor="text1"/>
          <w:sz w:val="24"/>
          <w:szCs w:val="24"/>
        </w:rPr>
        <w:t>HE</w:t>
      </w:r>
      <w:r w:rsidRPr="00115F98">
        <w:rPr>
          <w:rFonts w:ascii="Book Antiqua" w:eastAsia="等线" w:hAnsi="Book Antiqua" w:cs="Times New Roman"/>
          <w:color w:val="000000" w:themeColor="text1"/>
          <w:sz w:val="24"/>
          <w:szCs w:val="24"/>
        </w:rPr>
        <w:t>, evidence-based conclusions need to be drawn.</w:t>
      </w:r>
    </w:p>
    <w:p w14:paraId="329C6EA5" w14:textId="77777777" w:rsidR="00115F98" w:rsidRPr="00115F98"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0A18887A" w14:textId="17B9EFF7"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motivation</w:t>
      </w:r>
    </w:p>
    <w:p w14:paraId="3FA0A873" w14:textId="364D716E" w:rsidR="00F95785" w:rsidRDefault="00116B26"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PPIs are often overused in patients with advanced liver disease. Systematically reviewing the existing evidence on the association between PPI use and the risk of HE could help regulate clinical practice.</w:t>
      </w:r>
    </w:p>
    <w:p w14:paraId="5405595C" w14:textId="77777777" w:rsidR="00115F98" w:rsidRPr="00115F98"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07D1A74B" w14:textId="74AC4EB8"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objectives</w:t>
      </w:r>
    </w:p>
    <w:p w14:paraId="33D55202" w14:textId="6C41F470" w:rsidR="00032FE5" w:rsidRDefault="00750BB4"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 xml:space="preserve">The aim of this meta-analysis was to analyze data on the association between PPI use and the risk of HE in patients with advanced liver disease. </w:t>
      </w:r>
    </w:p>
    <w:p w14:paraId="394B5A9C" w14:textId="77777777" w:rsidR="00115F98" w:rsidRPr="00115F98"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2B3CACD7" w14:textId="18185371"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methods</w:t>
      </w:r>
    </w:p>
    <w:p w14:paraId="69AE2CE1" w14:textId="387B8FA8" w:rsidR="00764581" w:rsidRDefault="00723B5D"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Electronic databases</w:t>
      </w:r>
      <w:r w:rsidR="00592C04" w:rsidRP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(PubMed, EMBASE</w:t>
      </w:r>
      <w:r w:rsidR="00075E23">
        <w:rPr>
          <w:rFonts w:ascii="Book Antiqua" w:eastAsia="等线" w:hAnsi="Book Antiqua" w:cs="Times New Roman"/>
          <w:color w:val="000000" w:themeColor="text1"/>
          <w:sz w:val="24"/>
          <w:szCs w:val="24"/>
        </w:rPr>
        <w:t>,</w:t>
      </w:r>
      <w:r w:rsidRPr="00115F98">
        <w:rPr>
          <w:rFonts w:ascii="Book Antiqua" w:eastAsia="等线" w:hAnsi="Book Antiqua" w:cs="Times New Roman"/>
          <w:color w:val="000000" w:themeColor="text1"/>
          <w:sz w:val="24"/>
          <w:szCs w:val="24"/>
        </w:rPr>
        <w:t xml:space="preserve"> and the Cochrane Library) were searched for relevant articles meeting the inclusion criteria. We conducted a meta-analysis of all comparative studies that evaluated the association between PPI use and the risk of HE. The primary outcome was pool</w:t>
      </w:r>
      <w:r w:rsidR="00075E23">
        <w:rPr>
          <w:rFonts w:ascii="Book Antiqua" w:eastAsia="等线" w:hAnsi="Book Antiqua" w:cs="Times New Roman"/>
          <w:color w:val="000000" w:themeColor="text1"/>
          <w:sz w:val="24"/>
          <w:szCs w:val="24"/>
        </w:rPr>
        <w:t xml:space="preserve">ed </w:t>
      </w:r>
      <w:r w:rsidRPr="00115F98">
        <w:rPr>
          <w:rFonts w:ascii="Book Antiqua" w:eastAsia="等线" w:hAnsi="Book Antiqua" w:cs="Times New Roman"/>
          <w:color w:val="000000" w:themeColor="text1"/>
          <w:sz w:val="24"/>
          <w:szCs w:val="24"/>
        </w:rPr>
        <w:t xml:space="preserve">risk estimates of HE in </w:t>
      </w:r>
      <w:r w:rsidR="00075E23">
        <w:rPr>
          <w:rFonts w:ascii="Book Antiqua" w:eastAsia="等线" w:hAnsi="Book Antiqua" w:cs="Times New Roman"/>
          <w:color w:val="000000" w:themeColor="text1"/>
          <w:sz w:val="24"/>
          <w:szCs w:val="24"/>
        </w:rPr>
        <w:t xml:space="preserve">the </w:t>
      </w:r>
      <w:r w:rsidRPr="00115F98">
        <w:rPr>
          <w:rFonts w:ascii="Book Antiqua" w:eastAsia="等线" w:hAnsi="Book Antiqua" w:cs="Times New Roman"/>
          <w:color w:val="000000" w:themeColor="text1"/>
          <w:sz w:val="24"/>
          <w:szCs w:val="24"/>
        </w:rPr>
        <w:t>PPI group and non-PPI group</w:t>
      </w:r>
      <w:r w:rsidR="00075E23">
        <w:rPr>
          <w:rFonts w:ascii="Book Antiqua" w:eastAsia="等线" w:hAnsi="Book Antiqua" w:cs="Times New Roman"/>
          <w:color w:val="000000" w:themeColor="text1"/>
          <w:sz w:val="24"/>
          <w:szCs w:val="24"/>
        </w:rPr>
        <w:t>s</w:t>
      </w:r>
      <w:r w:rsidRPr="00115F98">
        <w:rPr>
          <w:rFonts w:ascii="Book Antiqua" w:eastAsia="等线" w:hAnsi="Book Antiqua" w:cs="Times New Roman"/>
          <w:color w:val="000000" w:themeColor="text1"/>
          <w:sz w:val="24"/>
          <w:szCs w:val="24"/>
        </w:rPr>
        <w:t>. Subgroup analyses by different clinical and methodological characteristics were also performed.</w:t>
      </w:r>
    </w:p>
    <w:p w14:paraId="18735271" w14:textId="77777777" w:rsidR="00115F98" w:rsidRPr="00115F98"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6141395F" w14:textId="77777777"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results</w:t>
      </w:r>
    </w:p>
    <w:p w14:paraId="273EB193" w14:textId="77430050" w:rsidR="0009778C" w:rsidRPr="00115F98" w:rsidRDefault="0009778C"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 xml:space="preserve">We finally included </w:t>
      </w:r>
      <w:r w:rsidR="00075E23">
        <w:rPr>
          <w:rFonts w:ascii="Book Antiqua" w:eastAsia="等线" w:hAnsi="Book Antiqua" w:cs="Times New Roman"/>
          <w:color w:val="000000" w:themeColor="text1"/>
          <w:sz w:val="24"/>
          <w:szCs w:val="24"/>
        </w:rPr>
        <w:t>nine</w:t>
      </w:r>
      <w:r w:rsidR="00075E23" w:rsidRP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observational studies</w:t>
      </w:r>
      <w:r w:rsidR="00115F98">
        <w:rPr>
          <w:rFonts w:ascii="Book Antiqua" w:eastAsia="等线" w:hAnsi="Book Antiqua" w:cs="Times New Roman"/>
          <w:color w:val="000000" w:themeColor="text1"/>
          <w:sz w:val="24"/>
          <w:szCs w:val="24"/>
        </w:rPr>
        <w:t xml:space="preserve"> </w:t>
      </w:r>
      <w:r w:rsidRPr="00115F98">
        <w:rPr>
          <w:rFonts w:ascii="Book Antiqua" w:eastAsia="等线" w:hAnsi="Book Antiqua" w:cs="Times New Roman"/>
          <w:color w:val="000000" w:themeColor="text1"/>
          <w:sz w:val="24"/>
          <w:szCs w:val="24"/>
        </w:rPr>
        <w:t>(five case-control studies and four cohort studies). This analysis showed that PPI use was associated with an increased risk of developing HE regardless of the study design. The sensitivity analysis excluding conference abstracts or focusing on patients without prior HE showed a similar result. The results of subgroup analyses suggested that the heterogeneity may come from different study designs and definitions of PPI use.</w:t>
      </w:r>
    </w:p>
    <w:p w14:paraId="38484648" w14:textId="77777777" w:rsidR="00115F98" w:rsidRDefault="00115F98" w:rsidP="001C4059">
      <w:pPr>
        <w:adjustRightInd w:val="0"/>
        <w:snapToGrid w:val="0"/>
        <w:spacing w:line="360" w:lineRule="auto"/>
        <w:rPr>
          <w:rFonts w:ascii="Book Antiqua" w:hAnsi="Book Antiqua" w:cs="Garamond-Bold"/>
          <w:b/>
          <w:bCs/>
          <w:i/>
          <w:color w:val="000000" w:themeColor="text1"/>
          <w:sz w:val="24"/>
          <w:szCs w:val="24"/>
        </w:rPr>
      </w:pPr>
    </w:p>
    <w:p w14:paraId="4092CF47" w14:textId="6036FB01"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conclusions</w:t>
      </w:r>
    </w:p>
    <w:p w14:paraId="142F1DEC" w14:textId="36A05E90" w:rsidR="00B65FCA" w:rsidRDefault="00244BC3"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 xml:space="preserve">Compared with </w:t>
      </w:r>
      <w:r w:rsidR="00075E23">
        <w:rPr>
          <w:rFonts w:ascii="Book Antiqua" w:eastAsia="等线" w:hAnsi="Book Antiqua" w:cs="Times New Roman"/>
          <w:color w:val="000000" w:themeColor="text1"/>
          <w:sz w:val="24"/>
          <w:szCs w:val="24"/>
        </w:rPr>
        <w:t xml:space="preserve">the </w:t>
      </w:r>
      <w:r w:rsidRPr="00115F98">
        <w:rPr>
          <w:rFonts w:ascii="Book Antiqua" w:eastAsia="等线" w:hAnsi="Book Antiqua" w:cs="Times New Roman"/>
          <w:color w:val="000000" w:themeColor="text1"/>
          <w:sz w:val="24"/>
          <w:szCs w:val="24"/>
        </w:rPr>
        <w:t xml:space="preserve">non-PPI group, </w:t>
      </w:r>
      <w:r w:rsidR="00075E23">
        <w:rPr>
          <w:rFonts w:ascii="Book Antiqua" w:eastAsia="等线" w:hAnsi="Book Antiqua" w:cs="Times New Roman"/>
          <w:color w:val="000000" w:themeColor="text1"/>
          <w:sz w:val="24"/>
          <w:szCs w:val="24"/>
        </w:rPr>
        <w:t xml:space="preserve">the </w:t>
      </w:r>
      <w:r w:rsidRPr="00115F98">
        <w:rPr>
          <w:rFonts w:ascii="Book Antiqua" w:eastAsia="等线" w:hAnsi="Book Antiqua" w:cs="Times New Roman"/>
          <w:color w:val="000000" w:themeColor="text1"/>
          <w:sz w:val="24"/>
          <w:szCs w:val="24"/>
        </w:rPr>
        <w:t>PPI group ha</w:t>
      </w:r>
      <w:r w:rsidR="008527CE" w:rsidRPr="00115F98">
        <w:rPr>
          <w:rFonts w:ascii="Book Antiqua" w:eastAsia="等线" w:hAnsi="Book Antiqua" w:cs="Times New Roman"/>
          <w:color w:val="000000" w:themeColor="text1"/>
          <w:sz w:val="24"/>
          <w:szCs w:val="24"/>
        </w:rPr>
        <w:t>s</w:t>
      </w:r>
      <w:r w:rsidRPr="00115F98">
        <w:rPr>
          <w:rFonts w:ascii="Book Antiqua" w:eastAsia="等线" w:hAnsi="Book Antiqua" w:cs="Times New Roman"/>
          <w:color w:val="000000" w:themeColor="text1"/>
          <w:sz w:val="24"/>
          <w:szCs w:val="24"/>
        </w:rPr>
        <w:t xml:space="preserve"> an elevated risk of HE in patients with advanced liver disease. This finding reminds clinicians that they should strictly adhere to the indications for PPI treatment in patients with advanced liver disease.</w:t>
      </w:r>
    </w:p>
    <w:p w14:paraId="39DE6707" w14:textId="77777777" w:rsidR="00115F98" w:rsidRPr="00115F98" w:rsidRDefault="00115F98"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6616C4D3" w14:textId="77777777" w:rsidR="00B65FCA" w:rsidRPr="00115F98" w:rsidRDefault="00B65FCA" w:rsidP="001C4059">
      <w:pPr>
        <w:adjustRightInd w:val="0"/>
        <w:snapToGrid w:val="0"/>
        <w:spacing w:line="360" w:lineRule="auto"/>
        <w:rPr>
          <w:rFonts w:ascii="Book Antiqua" w:hAnsi="Book Antiqua" w:cs="Garamond-Bold"/>
          <w:b/>
          <w:bCs/>
          <w:i/>
          <w:color w:val="000000" w:themeColor="text1"/>
          <w:sz w:val="24"/>
          <w:szCs w:val="24"/>
        </w:rPr>
      </w:pPr>
      <w:r w:rsidRPr="00115F98">
        <w:rPr>
          <w:rFonts w:ascii="Book Antiqua" w:hAnsi="Book Antiqua" w:cs="Garamond-Bold"/>
          <w:b/>
          <w:bCs/>
          <w:i/>
          <w:color w:val="000000" w:themeColor="text1"/>
          <w:sz w:val="24"/>
          <w:szCs w:val="24"/>
        </w:rPr>
        <w:t>Research perspectives</w:t>
      </w:r>
    </w:p>
    <w:p w14:paraId="04458F42" w14:textId="41589A98" w:rsidR="00B65FCA" w:rsidRPr="00115F98" w:rsidRDefault="00C424DD" w:rsidP="001C4059">
      <w:pPr>
        <w:adjustRightInd w:val="0"/>
        <w:snapToGrid w:val="0"/>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t xml:space="preserve">To further explore the association between PPI therapy and the risk of HE, future studies need to refine the impact of </w:t>
      </w:r>
      <w:r w:rsidR="00BC3666" w:rsidRPr="00115F98">
        <w:rPr>
          <w:rFonts w:ascii="Book Antiqua" w:eastAsia="等线" w:hAnsi="Book Antiqua" w:cs="Times New Roman"/>
          <w:color w:val="000000" w:themeColor="text1"/>
          <w:sz w:val="24"/>
          <w:szCs w:val="24"/>
        </w:rPr>
        <w:t xml:space="preserve">the </w:t>
      </w:r>
      <w:r w:rsidRPr="00115F98">
        <w:rPr>
          <w:rFonts w:ascii="Book Antiqua" w:eastAsia="等线" w:hAnsi="Book Antiqua" w:cs="Times New Roman"/>
          <w:color w:val="000000" w:themeColor="text1"/>
          <w:sz w:val="24"/>
          <w:szCs w:val="24"/>
        </w:rPr>
        <w:t>PPI types, time of PPI administration</w:t>
      </w:r>
      <w:r w:rsidR="00075E23">
        <w:rPr>
          <w:rFonts w:ascii="Book Antiqua" w:eastAsia="等线" w:hAnsi="Book Antiqua" w:cs="Times New Roman"/>
          <w:color w:val="000000" w:themeColor="text1"/>
          <w:sz w:val="24"/>
          <w:szCs w:val="24"/>
        </w:rPr>
        <w:t>,</w:t>
      </w:r>
      <w:r w:rsidRPr="00115F98">
        <w:rPr>
          <w:rFonts w:ascii="Book Antiqua" w:eastAsia="等线" w:hAnsi="Book Antiqua" w:cs="Times New Roman"/>
          <w:color w:val="000000" w:themeColor="text1"/>
          <w:sz w:val="24"/>
          <w:szCs w:val="24"/>
        </w:rPr>
        <w:t xml:space="preserve"> and method of PPI administration on HE. In addition, more high-quality prospective studies and mechanistic studies are required to better understand the association between PPI use and the risk of HE.</w:t>
      </w:r>
    </w:p>
    <w:bookmarkEnd w:id="47"/>
    <w:p w14:paraId="5B876F07" w14:textId="76D66FA5"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64DF5B2E" w14:textId="2AEF5E1A" w:rsidR="00435DDD" w:rsidRPr="00115F98" w:rsidRDefault="00CE499C"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115F98">
        <w:rPr>
          <w:rFonts w:ascii="Book Antiqua" w:hAnsi="Book Antiqua" w:cs="Times New Roman"/>
          <w:b/>
          <w:color w:val="000000" w:themeColor="text1"/>
          <w:kern w:val="0"/>
          <w:sz w:val="24"/>
          <w:szCs w:val="24"/>
        </w:rPr>
        <w:t>REFERENCES</w:t>
      </w:r>
    </w:p>
    <w:p w14:paraId="380BB8D7" w14:textId="77777777" w:rsidR="000A1B63" w:rsidRPr="00A71493" w:rsidRDefault="000A1B63" w:rsidP="000A1B63">
      <w:pPr>
        <w:spacing w:line="360" w:lineRule="auto"/>
        <w:rPr>
          <w:rFonts w:ascii="Book Antiqua" w:hAnsi="Book Antiqua"/>
          <w:sz w:val="24"/>
          <w:szCs w:val="24"/>
        </w:rPr>
      </w:pPr>
      <w:bookmarkStart w:id="48" w:name="OLE_LINK66"/>
      <w:r w:rsidRPr="00A71493">
        <w:rPr>
          <w:rFonts w:ascii="Book Antiqua" w:hAnsi="Book Antiqua"/>
          <w:sz w:val="24"/>
          <w:szCs w:val="24"/>
        </w:rPr>
        <w:t xml:space="preserve">1 </w:t>
      </w:r>
      <w:proofErr w:type="spellStart"/>
      <w:r w:rsidRPr="00A71493">
        <w:rPr>
          <w:rFonts w:ascii="Book Antiqua" w:hAnsi="Book Antiqua"/>
          <w:b/>
          <w:sz w:val="24"/>
          <w:szCs w:val="24"/>
        </w:rPr>
        <w:t>Wijdicks</w:t>
      </w:r>
      <w:proofErr w:type="spellEnd"/>
      <w:r w:rsidRPr="00A71493">
        <w:rPr>
          <w:rFonts w:ascii="Book Antiqua" w:hAnsi="Book Antiqua"/>
          <w:b/>
          <w:sz w:val="24"/>
          <w:szCs w:val="24"/>
        </w:rPr>
        <w:t xml:space="preserve"> EF</w:t>
      </w:r>
      <w:r w:rsidRPr="00A71493">
        <w:rPr>
          <w:rFonts w:ascii="Book Antiqua" w:hAnsi="Book Antiqua"/>
          <w:sz w:val="24"/>
          <w:szCs w:val="24"/>
        </w:rPr>
        <w:t xml:space="preserve">. Hepatic Encephalopathy. </w:t>
      </w:r>
      <w:r w:rsidRPr="00A71493">
        <w:rPr>
          <w:rFonts w:ascii="Book Antiqua" w:hAnsi="Book Antiqua"/>
          <w:i/>
          <w:sz w:val="24"/>
          <w:szCs w:val="24"/>
        </w:rPr>
        <w:t xml:space="preserve">N </w:t>
      </w:r>
      <w:proofErr w:type="spellStart"/>
      <w:r w:rsidRPr="00A71493">
        <w:rPr>
          <w:rFonts w:ascii="Book Antiqua" w:hAnsi="Book Antiqua"/>
          <w:i/>
          <w:sz w:val="24"/>
          <w:szCs w:val="24"/>
        </w:rPr>
        <w:t>Engl</w:t>
      </w:r>
      <w:proofErr w:type="spellEnd"/>
      <w:r w:rsidRPr="00A71493">
        <w:rPr>
          <w:rFonts w:ascii="Book Antiqua" w:hAnsi="Book Antiqua"/>
          <w:i/>
          <w:sz w:val="24"/>
          <w:szCs w:val="24"/>
        </w:rPr>
        <w:t xml:space="preserve"> J Med</w:t>
      </w:r>
      <w:r w:rsidRPr="00A71493">
        <w:rPr>
          <w:rFonts w:ascii="Book Antiqua" w:hAnsi="Book Antiqua"/>
          <w:sz w:val="24"/>
          <w:szCs w:val="24"/>
        </w:rPr>
        <w:t xml:space="preserve"> 2016; </w:t>
      </w:r>
      <w:r w:rsidRPr="00A71493">
        <w:rPr>
          <w:rFonts w:ascii="Book Antiqua" w:hAnsi="Book Antiqua"/>
          <w:b/>
          <w:sz w:val="24"/>
          <w:szCs w:val="24"/>
        </w:rPr>
        <w:t>375</w:t>
      </w:r>
      <w:r w:rsidRPr="00A71493">
        <w:rPr>
          <w:rFonts w:ascii="Book Antiqua" w:hAnsi="Book Antiqua"/>
          <w:sz w:val="24"/>
          <w:szCs w:val="24"/>
        </w:rPr>
        <w:t>: 1660-1670 [PMID: 27783916 DOI: 10.1056/NEJMra1600561]</w:t>
      </w:r>
    </w:p>
    <w:p w14:paraId="34BEE7FF"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 </w:t>
      </w:r>
      <w:proofErr w:type="spellStart"/>
      <w:r w:rsidRPr="00A71493">
        <w:rPr>
          <w:rFonts w:ascii="Book Antiqua" w:hAnsi="Book Antiqua"/>
          <w:b/>
          <w:sz w:val="24"/>
          <w:szCs w:val="24"/>
        </w:rPr>
        <w:t>Vilstrup</w:t>
      </w:r>
      <w:proofErr w:type="spellEnd"/>
      <w:r w:rsidRPr="00A71493">
        <w:rPr>
          <w:rFonts w:ascii="Book Antiqua" w:hAnsi="Book Antiqua"/>
          <w:b/>
          <w:sz w:val="24"/>
          <w:szCs w:val="24"/>
        </w:rPr>
        <w:t xml:space="preserve"> H</w:t>
      </w:r>
      <w:r w:rsidRPr="00A71493">
        <w:rPr>
          <w:rFonts w:ascii="Book Antiqua" w:hAnsi="Book Antiqua"/>
          <w:sz w:val="24"/>
          <w:szCs w:val="24"/>
        </w:rPr>
        <w:t xml:space="preserve">, </w:t>
      </w:r>
      <w:proofErr w:type="spellStart"/>
      <w:r w:rsidRPr="00A71493">
        <w:rPr>
          <w:rFonts w:ascii="Book Antiqua" w:hAnsi="Book Antiqua"/>
          <w:sz w:val="24"/>
          <w:szCs w:val="24"/>
        </w:rPr>
        <w:t>Amodio</w:t>
      </w:r>
      <w:proofErr w:type="spellEnd"/>
      <w:r w:rsidRPr="00A71493">
        <w:rPr>
          <w:rFonts w:ascii="Book Antiqua" w:hAnsi="Book Antiqua"/>
          <w:sz w:val="24"/>
          <w:szCs w:val="24"/>
        </w:rPr>
        <w:t xml:space="preserve"> P, Bajaj J, Cordoba J, </w:t>
      </w:r>
      <w:proofErr w:type="spellStart"/>
      <w:r w:rsidRPr="00A71493">
        <w:rPr>
          <w:rFonts w:ascii="Book Antiqua" w:hAnsi="Book Antiqua"/>
          <w:sz w:val="24"/>
          <w:szCs w:val="24"/>
        </w:rPr>
        <w:t>Ferenci</w:t>
      </w:r>
      <w:proofErr w:type="spellEnd"/>
      <w:r w:rsidRPr="00A71493">
        <w:rPr>
          <w:rFonts w:ascii="Book Antiqua" w:hAnsi="Book Antiqua"/>
          <w:sz w:val="24"/>
          <w:szCs w:val="24"/>
        </w:rPr>
        <w:t xml:space="preserve"> P, Mullen KD, </w:t>
      </w:r>
      <w:proofErr w:type="spellStart"/>
      <w:r w:rsidRPr="00A71493">
        <w:rPr>
          <w:rFonts w:ascii="Book Antiqua" w:hAnsi="Book Antiqua"/>
          <w:sz w:val="24"/>
          <w:szCs w:val="24"/>
        </w:rPr>
        <w:t>Weissenborn</w:t>
      </w:r>
      <w:proofErr w:type="spellEnd"/>
      <w:r w:rsidRPr="00A71493">
        <w:rPr>
          <w:rFonts w:ascii="Book Antiqua" w:hAnsi="Book Antiqua"/>
          <w:sz w:val="24"/>
          <w:szCs w:val="24"/>
        </w:rPr>
        <w:t xml:space="preserve"> K, Wong P. Hepatic encephalopathy in chronic liver disease: 2014 Practice Guideline by the American Association for the Study of Liver Diseases and the European Association for the Study of the Liver. </w:t>
      </w:r>
      <w:r w:rsidRPr="00A71493">
        <w:rPr>
          <w:rFonts w:ascii="Book Antiqua" w:hAnsi="Book Antiqua"/>
          <w:i/>
          <w:sz w:val="24"/>
          <w:szCs w:val="24"/>
        </w:rPr>
        <w:t>Hepatology</w:t>
      </w:r>
      <w:r w:rsidRPr="00A71493">
        <w:rPr>
          <w:rFonts w:ascii="Book Antiqua" w:hAnsi="Book Antiqua"/>
          <w:sz w:val="24"/>
          <w:szCs w:val="24"/>
        </w:rPr>
        <w:t xml:space="preserve"> 2014; </w:t>
      </w:r>
      <w:r w:rsidRPr="00A71493">
        <w:rPr>
          <w:rFonts w:ascii="Book Antiqua" w:hAnsi="Book Antiqua"/>
          <w:b/>
          <w:sz w:val="24"/>
          <w:szCs w:val="24"/>
        </w:rPr>
        <w:t>60</w:t>
      </w:r>
      <w:r w:rsidRPr="00A71493">
        <w:rPr>
          <w:rFonts w:ascii="Book Antiqua" w:hAnsi="Book Antiqua"/>
          <w:sz w:val="24"/>
          <w:szCs w:val="24"/>
        </w:rPr>
        <w:t>: 715-735 [PMID: 25042402 DOI: 10.1002/hep.27210]</w:t>
      </w:r>
    </w:p>
    <w:p w14:paraId="1AD6FDF3"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 </w:t>
      </w:r>
      <w:r w:rsidRPr="00A71493">
        <w:rPr>
          <w:rFonts w:ascii="Book Antiqua" w:hAnsi="Book Antiqua"/>
          <w:b/>
          <w:sz w:val="24"/>
          <w:szCs w:val="24"/>
        </w:rPr>
        <w:t>Prakash R</w:t>
      </w:r>
      <w:r w:rsidRPr="00A71493">
        <w:rPr>
          <w:rFonts w:ascii="Book Antiqua" w:hAnsi="Book Antiqua"/>
          <w:sz w:val="24"/>
          <w:szCs w:val="24"/>
        </w:rPr>
        <w:t xml:space="preserve">, Mullen KD. Mechanisms, diagnosis and management of hepatic encephalopathy. </w:t>
      </w:r>
      <w:r w:rsidRPr="00A71493">
        <w:rPr>
          <w:rFonts w:ascii="Book Antiqua" w:hAnsi="Book Antiqua"/>
          <w:i/>
          <w:sz w:val="24"/>
          <w:szCs w:val="24"/>
        </w:rPr>
        <w:t xml:space="preserve">Nat Rev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2010; </w:t>
      </w:r>
      <w:r w:rsidRPr="00A71493">
        <w:rPr>
          <w:rFonts w:ascii="Book Antiqua" w:hAnsi="Book Antiqua"/>
          <w:b/>
          <w:sz w:val="24"/>
          <w:szCs w:val="24"/>
        </w:rPr>
        <w:t>7</w:t>
      </w:r>
      <w:r w:rsidRPr="00A71493">
        <w:rPr>
          <w:rFonts w:ascii="Book Antiqua" w:hAnsi="Book Antiqua"/>
          <w:sz w:val="24"/>
          <w:szCs w:val="24"/>
        </w:rPr>
        <w:t>: 515-525 [PMID: 20703237 DOI: 10.1038/nrgastro.2010.116]</w:t>
      </w:r>
    </w:p>
    <w:p w14:paraId="44D924B9"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 </w:t>
      </w:r>
      <w:proofErr w:type="spellStart"/>
      <w:r w:rsidRPr="00A71493">
        <w:rPr>
          <w:rFonts w:ascii="Book Antiqua" w:hAnsi="Book Antiqua"/>
          <w:b/>
          <w:sz w:val="24"/>
          <w:szCs w:val="24"/>
        </w:rPr>
        <w:t>Barrison</w:t>
      </w:r>
      <w:proofErr w:type="spellEnd"/>
      <w:r w:rsidRPr="00A71493">
        <w:rPr>
          <w:rFonts w:ascii="Book Antiqua" w:hAnsi="Book Antiqua"/>
          <w:b/>
          <w:sz w:val="24"/>
          <w:szCs w:val="24"/>
        </w:rPr>
        <w:t xml:space="preserve"> AF</w:t>
      </w:r>
      <w:r w:rsidRPr="00A71493">
        <w:rPr>
          <w:rFonts w:ascii="Book Antiqua" w:hAnsi="Book Antiqua"/>
          <w:sz w:val="24"/>
          <w:szCs w:val="24"/>
        </w:rPr>
        <w:t xml:space="preserve">, </w:t>
      </w:r>
      <w:proofErr w:type="spellStart"/>
      <w:r w:rsidRPr="00A71493">
        <w:rPr>
          <w:rFonts w:ascii="Book Antiqua" w:hAnsi="Book Antiqua"/>
          <w:sz w:val="24"/>
          <w:szCs w:val="24"/>
        </w:rPr>
        <w:t>Jarboe</w:t>
      </w:r>
      <w:proofErr w:type="spellEnd"/>
      <w:r w:rsidRPr="00A71493">
        <w:rPr>
          <w:rFonts w:ascii="Book Antiqua" w:hAnsi="Book Antiqua"/>
          <w:sz w:val="24"/>
          <w:szCs w:val="24"/>
        </w:rPr>
        <w:t xml:space="preserve"> LA, Weinberg BM, </w:t>
      </w:r>
      <w:proofErr w:type="spellStart"/>
      <w:r w:rsidRPr="00A71493">
        <w:rPr>
          <w:rFonts w:ascii="Book Antiqua" w:hAnsi="Book Antiqua"/>
          <w:sz w:val="24"/>
          <w:szCs w:val="24"/>
        </w:rPr>
        <w:t>Nimmagadda</w:t>
      </w:r>
      <w:proofErr w:type="spellEnd"/>
      <w:r w:rsidRPr="00A71493">
        <w:rPr>
          <w:rFonts w:ascii="Book Antiqua" w:hAnsi="Book Antiqua"/>
          <w:sz w:val="24"/>
          <w:szCs w:val="24"/>
        </w:rPr>
        <w:t xml:space="preserve"> K, Sullivan LM, Wolfe MM. Patterns of proton pump inhibitor use in clinical practice. </w:t>
      </w:r>
      <w:r w:rsidRPr="00A71493">
        <w:rPr>
          <w:rFonts w:ascii="Book Antiqua" w:hAnsi="Book Antiqua"/>
          <w:i/>
          <w:sz w:val="24"/>
          <w:szCs w:val="24"/>
        </w:rPr>
        <w:t>Am J Med</w:t>
      </w:r>
      <w:r w:rsidRPr="00A71493">
        <w:rPr>
          <w:rFonts w:ascii="Book Antiqua" w:hAnsi="Book Antiqua"/>
          <w:sz w:val="24"/>
          <w:szCs w:val="24"/>
        </w:rPr>
        <w:t xml:space="preserve"> 2001; </w:t>
      </w:r>
      <w:r w:rsidRPr="00A71493">
        <w:rPr>
          <w:rFonts w:ascii="Book Antiqua" w:hAnsi="Book Antiqua"/>
          <w:b/>
          <w:sz w:val="24"/>
          <w:szCs w:val="24"/>
        </w:rPr>
        <w:t>111</w:t>
      </w:r>
      <w:r w:rsidRPr="00A71493">
        <w:rPr>
          <w:rFonts w:ascii="Book Antiqua" w:hAnsi="Book Antiqua"/>
          <w:sz w:val="24"/>
          <w:szCs w:val="24"/>
        </w:rPr>
        <w:t>: 469-473 [PMID: 11690573 DOI: 10.1016/S0002-9343(01)00901-9]</w:t>
      </w:r>
    </w:p>
    <w:p w14:paraId="5962B80E"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5 </w:t>
      </w:r>
      <w:r w:rsidRPr="00A71493">
        <w:rPr>
          <w:rFonts w:ascii="Book Antiqua" w:hAnsi="Book Antiqua"/>
          <w:b/>
          <w:sz w:val="24"/>
          <w:szCs w:val="24"/>
        </w:rPr>
        <w:t>Chavez-Tapia NC</w:t>
      </w:r>
      <w:r w:rsidRPr="00A71493">
        <w:rPr>
          <w:rFonts w:ascii="Book Antiqua" w:hAnsi="Book Antiqua"/>
          <w:sz w:val="24"/>
          <w:szCs w:val="24"/>
        </w:rPr>
        <w:t>, Tellez-Avila FI, Garcia-</w:t>
      </w:r>
      <w:proofErr w:type="spellStart"/>
      <w:r w:rsidRPr="00A71493">
        <w:rPr>
          <w:rFonts w:ascii="Book Antiqua" w:hAnsi="Book Antiqua"/>
          <w:sz w:val="24"/>
          <w:szCs w:val="24"/>
        </w:rPr>
        <w:t>Leiva</w:t>
      </w:r>
      <w:proofErr w:type="spellEnd"/>
      <w:r w:rsidRPr="00A71493">
        <w:rPr>
          <w:rFonts w:ascii="Book Antiqua" w:hAnsi="Book Antiqua"/>
          <w:sz w:val="24"/>
          <w:szCs w:val="24"/>
        </w:rPr>
        <w:t xml:space="preserve"> J, </w:t>
      </w:r>
      <w:proofErr w:type="spellStart"/>
      <w:r w:rsidRPr="00A71493">
        <w:rPr>
          <w:rFonts w:ascii="Book Antiqua" w:hAnsi="Book Antiqua"/>
          <w:sz w:val="24"/>
          <w:szCs w:val="24"/>
        </w:rPr>
        <w:t>Valdovinos</w:t>
      </w:r>
      <w:proofErr w:type="spellEnd"/>
      <w:r w:rsidRPr="00A71493">
        <w:rPr>
          <w:rFonts w:ascii="Book Antiqua" w:hAnsi="Book Antiqua"/>
          <w:sz w:val="24"/>
          <w:szCs w:val="24"/>
        </w:rPr>
        <w:t xml:space="preserve"> MA. </w:t>
      </w:r>
      <w:bookmarkStart w:id="49" w:name="OLE_LINK53"/>
      <w:bookmarkStart w:id="50" w:name="OLE_LINK54"/>
      <w:r w:rsidRPr="00A71493">
        <w:rPr>
          <w:rFonts w:ascii="Book Antiqua" w:hAnsi="Book Antiqua"/>
          <w:sz w:val="24"/>
          <w:szCs w:val="24"/>
        </w:rPr>
        <w:t xml:space="preserve">Use and overuse of proton pump inhibitors in cirrhotic patients. </w:t>
      </w:r>
      <w:bookmarkEnd w:id="49"/>
      <w:bookmarkEnd w:id="50"/>
      <w:r w:rsidRPr="00A71493">
        <w:rPr>
          <w:rFonts w:ascii="Book Antiqua" w:hAnsi="Book Antiqua"/>
          <w:i/>
          <w:sz w:val="24"/>
          <w:szCs w:val="24"/>
        </w:rPr>
        <w:t xml:space="preserve">Med </w:t>
      </w:r>
      <w:proofErr w:type="spellStart"/>
      <w:r w:rsidRPr="00A71493">
        <w:rPr>
          <w:rFonts w:ascii="Book Antiqua" w:hAnsi="Book Antiqua"/>
          <w:i/>
          <w:sz w:val="24"/>
          <w:szCs w:val="24"/>
        </w:rPr>
        <w:t>Sci</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Monit</w:t>
      </w:r>
      <w:proofErr w:type="spellEnd"/>
      <w:r w:rsidRPr="00A71493">
        <w:rPr>
          <w:rFonts w:ascii="Book Antiqua" w:hAnsi="Book Antiqua"/>
          <w:sz w:val="24"/>
          <w:szCs w:val="24"/>
        </w:rPr>
        <w:t xml:space="preserve"> 2008; </w:t>
      </w:r>
      <w:r w:rsidRPr="00A71493">
        <w:rPr>
          <w:rFonts w:ascii="Book Antiqua" w:hAnsi="Book Antiqua"/>
          <w:b/>
          <w:sz w:val="24"/>
          <w:szCs w:val="24"/>
        </w:rPr>
        <w:t>14</w:t>
      </w:r>
      <w:r w:rsidRPr="00A71493">
        <w:rPr>
          <w:rFonts w:ascii="Book Antiqua" w:hAnsi="Book Antiqua"/>
          <w:sz w:val="24"/>
          <w:szCs w:val="24"/>
        </w:rPr>
        <w:t>: CR468-CR472 [PMID: 18758417</w:t>
      </w:r>
      <w:r>
        <w:rPr>
          <w:rFonts w:ascii="Book Antiqua" w:hAnsi="Book Antiqua"/>
          <w:sz w:val="24"/>
          <w:szCs w:val="24"/>
        </w:rPr>
        <w:t xml:space="preserve"> DOI: </w:t>
      </w:r>
      <w:r w:rsidRPr="00A71493">
        <w:rPr>
          <w:rFonts w:ascii="Book Antiqua" w:hAnsi="Book Antiqua"/>
          <w:sz w:val="24"/>
          <w:szCs w:val="24"/>
        </w:rPr>
        <w:t>10.1016/j.mehy.2008.04.015]</w:t>
      </w:r>
    </w:p>
    <w:p w14:paraId="3B3BCBAD"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6 </w:t>
      </w:r>
      <w:proofErr w:type="spellStart"/>
      <w:r w:rsidRPr="00A71493">
        <w:rPr>
          <w:rFonts w:ascii="Book Antiqua" w:hAnsi="Book Antiqua"/>
          <w:b/>
          <w:sz w:val="24"/>
          <w:szCs w:val="24"/>
        </w:rPr>
        <w:t>Kalaitzakis</w:t>
      </w:r>
      <w:proofErr w:type="spellEnd"/>
      <w:r w:rsidRPr="00A71493">
        <w:rPr>
          <w:rFonts w:ascii="Book Antiqua" w:hAnsi="Book Antiqua"/>
          <w:b/>
          <w:sz w:val="24"/>
          <w:szCs w:val="24"/>
        </w:rPr>
        <w:t xml:space="preserve"> E</w:t>
      </w:r>
      <w:r w:rsidRPr="00A71493">
        <w:rPr>
          <w:rFonts w:ascii="Book Antiqua" w:hAnsi="Book Antiqua"/>
          <w:sz w:val="24"/>
          <w:szCs w:val="24"/>
        </w:rPr>
        <w:t xml:space="preserve">, </w:t>
      </w:r>
      <w:proofErr w:type="spellStart"/>
      <w:r w:rsidRPr="00A71493">
        <w:rPr>
          <w:rFonts w:ascii="Book Antiqua" w:hAnsi="Book Antiqua"/>
          <w:sz w:val="24"/>
          <w:szCs w:val="24"/>
        </w:rPr>
        <w:t>Björnsson</w:t>
      </w:r>
      <w:proofErr w:type="spellEnd"/>
      <w:r w:rsidRPr="00A71493">
        <w:rPr>
          <w:rFonts w:ascii="Book Antiqua" w:hAnsi="Book Antiqua"/>
          <w:sz w:val="24"/>
          <w:szCs w:val="24"/>
        </w:rPr>
        <w:t xml:space="preserve"> E. Inadequate use of proton-pump inhibitors in patients with liver cirrhosis. </w:t>
      </w:r>
      <w:proofErr w:type="spellStart"/>
      <w:r w:rsidRPr="00A71493">
        <w:rPr>
          <w:rFonts w:ascii="Book Antiqua" w:hAnsi="Book Antiqua"/>
          <w:i/>
          <w:sz w:val="24"/>
          <w:szCs w:val="24"/>
        </w:rPr>
        <w:t>Eur</w:t>
      </w:r>
      <w:proofErr w:type="spellEnd"/>
      <w:r w:rsidRPr="00A71493">
        <w:rPr>
          <w:rFonts w:ascii="Book Antiqua" w:hAnsi="Book Antiqua"/>
          <w:i/>
          <w:sz w:val="24"/>
          <w:szCs w:val="24"/>
        </w:rPr>
        <w:t xml:space="preserve"> J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2008; </w:t>
      </w:r>
      <w:r w:rsidRPr="00A71493">
        <w:rPr>
          <w:rFonts w:ascii="Book Antiqua" w:hAnsi="Book Antiqua"/>
          <w:b/>
          <w:sz w:val="24"/>
          <w:szCs w:val="24"/>
        </w:rPr>
        <w:t>20</w:t>
      </w:r>
      <w:r w:rsidRPr="00A71493">
        <w:rPr>
          <w:rFonts w:ascii="Book Antiqua" w:hAnsi="Book Antiqua"/>
          <w:sz w:val="24"/>
          <w:szCs w:val="24"/>
        </w:rPr>
        <w:t>: 512-518 [PMID: 18467910 DOI: 10.1097/MEG.0b013e3282f4aa01]</w:t>
      </w:r>
    </w:p>
    <w:p w14:paraId="0001767B"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7 </w:t>
      </w:r>
      <w:proofErr w:type="spellStart"/>
      <w:r w:rsidRPr="00A71493">
        <w:rPr>
          <w:rFonts w:ascii="Book Antiqua" w:hAnsi="Book Antiqua"/>
          <w:b/>
          <w:sz w:val="24"/>
          <w:szCs w:val="24"/>
        </w:rPr>
        <w:t>Dultz</w:t>
      </w:r>
      <w:proofErr w:type="spellEnd"/>
      <w:r w:rsidRPr="00A71493">
        <w:rPr>
          <w:rFonts w:ascii="Book Antiqua" w:hAnsi="Book Antiqua"/>
          <w:b/>
          <w:sz w:val="24"/>
          <w:szCs w:val="24"/>
        </w:rPr>
        <w:t xml:space="preserve"> G</w:t>
      </w:r>
      <w:r w:rsidRPr="00A71493">
        <w:rPr>
          <w:rFonts w:ascii="Book Antiqua" w:hAnsi="Book Antiqua"/>
          <w:sz w:val="24"/>
          <w:szCs w:val="24"/>
        </w:rPr>
        <w:t xml:space="preserve">, </w:t>
      </w:r>
      <w:proofErr w:type="spellStart"/>
      <w:r w:rsidRPr="00A71493">
        <w:rPr>
          <w:rFonts w:ascii="Book Antiqua" w:hAnsi="Book Antiqua"/>
          <w:sz w:val="24"/>
          <w:szCs w:val="24"/>
        </w:rPr>
        <w:t>Piiper</w:t>
      </w:r>
      <w:proofErr w:type="spellEnd"/>
      <w:r w:rsidRPr="00A71493">
        <w:rPr>
          <w:rFonts w:ascii="Book Antiqua" w:hAnsi="Book Antiqua"/>
          <w:sz w:val="24"/>
          <w:szCs w:val="24"/>
        </w:rPr>
        <w:t xml:space="preserve"> A, </w:t>
      </w:r>
      <w:proofErr w:type="spellStart"/>
      <w:r w:rsidRPr="00A71493">
        <w:rPr>
          <w:rFonts w:ascii="Book Antiqua" w:hAnsi="Book Antiqua"/>
          <w:sz w:val="24"/>
          <w:szCs w:val="24"/>
        </w:rPr>
        <w:t>Zeuzem</w:t>
      </w:r>
      <w:proofErr w:type="spellEnd"/>
      <w:r w:rsidRPr="00A71493">
        <w:rPr>
          <w:rFonts w:ascii="Book Antiqua" w:hAnsi="Book Antiqua"/>
          <w:sz w:val="24"/>
          <w:szCs w:val="24"/>
        </w:rPr>
        <w:t xml:space="preserve"> S, </w:t>
      </w:r>
      <w:proofErr w:type="spellStart"/>
      <w:r w:rsidRPr="00A71493">
        <w:rPr>
          <w:rFonts w:ascii="Book Antiqua" w:hAnsi="Book Antiqua"/>
          <w:sz w:val="24"/>
          <w:szCs w:val="24"/>
        </w:rPr>
        <w:t>Kronenberger</w:t>
      </w:r>
      <w:proofErr w:type="spellEnd"/>
      <w:r w:rsidRPr="00A71493">
        <w:rPr>
          <w:rFonts w:ascii="Book Antiqua" w:hAnsi="Book Antiqua"/>
          <w:sz w:val="24"/>
          <w:szCs w:val="24"/>
        </w:rPr>
        <w:t xml:space="preserve"> B, </w:t>
      </w:r>
      <w:proofErr w:type="spellStart"/>
      <w:r w:rsidRPr="00A71493">
        <w:rPr>
          <w:rFonts w:ascii="Book Antiqua" w:hAnsi="Book Antiqua"/>
          <w:sz w:val="24"/>
          <w:szCs w:val="24"/>
        </w:rPr>
        <w:t>Waidmann</w:t>
      </w:r>
      <w:proofErr w:type="spellEnd"/>
      <w:r w:rsidRPr="00A71493">
        <w:rPr>
          <w:rFonts w:ascii="Book Antiqua" w:hAnsi="Book Antiqua"/>
          <w:sz w:val="24"/>
          <w:szCs w:val="24"/>
        </w:rPr>
        <w:t xml:space="preserve"> O. Proton pump inhibitor treatment is associated with the severity of liver disease and increased mortality in patients with cirrhosis.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2015; </w:t>
      </w:r>
      <w:r w:rsidRPr="00A71493">
        <w:rPr>
          <w:rFonts w:ascii="Book Antiqua" w:hAnsi="Book Antiqua"/>
          <w:b/>
          <w:sz w:val="24"/>
          <w:szCs w:val="24"/>
        </w:rPr>
        <w:t>41</w:t>
      </w:r>
      <w:r w:rsidRPr="00A71493">
        <w:rPr>
          <w:rFonts w:ascii="Book Antiqua" w:hAnsi="Book Antiqua"/>
          <w:sz w:val="24"/>
          <w:szCs w:val="24"/>
        </w:rPr>
        <w:t>: 459-466 [PMID: 25523381 DOI: 10.1111/apt.13061]</w:t>
      </w:r>
    </w:p>
    <w:p w14:paraId="532AFCDD"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8 </w:t>
      </w:r>
      <w:r w:rsidRPr="00A71493">
        <w:rPr>
          <w:rFonts w:ascii="Book Antiqua" w:hAnsi="Book Antiqua"/>
          <w:b/>
          <w:sz w:val="24"/>
          <w:szCs w:val="24"/>
        </w:rPr>
        <w:t>Lewis SJ</w:t>
      </w:r>
      <w:r w:rsidRPr="00A71493">
        <w:rPr>
          <w:rFonts w:ascii="Book Antiqua" w:hAnsi="Book Antiqua"/>
          <w:sz w:val="24"/>
          <w:szCs w:val="24"/>
        </w:rPr>
        <w:t xml:space="preserve">, Franco S, Young G, O'Keefe SJ. Altered bowel function and duodenal bacterial overgrowth in patients treated with omeprazole.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1996; </w:t>
      </w:r>
      <w:r w:rsidRPr="00A71493">
        <w:rPr>
          <w:rFonts w:ascii="Book Antiqua" w:hAnsi="Book Antiqua"/>
          <w:b/>
          <w:sz w:val="24"/>
          <w:szCs w:val="24"/>
        </w:rPr>
        <w:t>10</w:t>
      </w:r>
      <w:r w:rsidRPr="00A71493">
        <w:rPr>
          <w:rFonts w:ascii="Book Antiqua" w:hAnsi="Book Antiqua"/>
          <w:sz w:val="24"/>
          <w:szCs w:val="24"/>
        </w:rPr>
        <w:t>: 557-561 [PMID: 8853759 DOI: 10.1046/j.1365-2036.1996.d01-506.x]</w:t>
      </w:r>
    </w:p>
    <w:p w14:paraId="33337C42"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9 </w:t>
      </w:r>
      <w:proofErr w:type="spellStart"/>
      <w:r w:rsidRPr="00A71493">
        <w:rPr>
          <w:rFonts w:ascii="Book Antiqua" w:hAnsi="Book Antiqua"/>
          <w:b/>
          <w:sz w:val="24"/>
          <w:szCs w:val="24"/>
        </w:rPr>
        <w:t>Tergast</w:t>
      </w:r>
      <w:proofErr w:type="spellEnd"/>
      <w:r w:rsidRPr="00A71493">
        <w:rPr>
          <w:rFonts w:ascii="Book Antiqua" w:hAnsi="Book Antiqua"/>
          <w:b/>
          <w:sz w:val="24"/>
          <w:szCs w:val="24"/>
        </w:rPr>
        <w:t xml:space="preserve"> TL</w:t>
      </w:r>
      <w:r w:rsidRPr="00A71493">
        <w:rPr>
          <w:rFonts w:ascii="Book Antiqua" w:hAnsi="Book Antiqua"/>
          <w:sz w:val="24"/>
          <w:szCs w:val="24"/>
        </w:rPr>
        <w:t xml:space="preserve">, </w:t>
      </w:r>
      <w:proofErr w:type="spellStart"/>
      <w:r w:rsidRPr="00A71493">
        <w:rPr>
          <w:rFonts w:ascii="Book Antiqua" w:hAnsi="Book Antiqua"/>
          <w:sz w:val="24"/>
          <w:szCs w:val="24"/>
        </w:rPr>
        <w:t>Wranke</w:t>
      </w:r>
      <w:proofErr w:type="spellEnd"/>
      <w:r w:rsidRPr="00A71493">
        <w:rPr>
          <w:rFonts w:ascii="Book Antiqua" w:hAnsi="Book Antiqua"/>
          <w:sz w:val="24"/>
          <w:szCs w:val="24"/>
        </w:rPr>
        <w:t xml:space="preserve"> A, Laser H, </w:t>
      </w:r>
      <w:proofErr w:type="spellStart"/>
      <w:r w:rsidRPr="00A71493">
        <w:rPr>
          <w:rFonts w:ascii="Book Antiqua" w:hAnsi="Book Antiqua"/>
          <w:sz w:val="24"/>
          <w:szCs w:val="24"/>
        </w:rPr>
        <w:t>Gerbel</w:t>
      </w:r>
      <w:proofErr w:type="spellEnd"/>
      <w:r w:rsidRPr="00A71493">
        <w:rPr>
          <w:rFonts w:ascii="Book Antiqua" w:hAnsi="Book Antiqua"/>
          <w:sz w:val="24"/>
          <w:szCs w:val="24"/>
        </w:rPr>
        <w:t xml:space="preserve"> S, </w:t>
      </w:r>
      <w:proofErr w:type="spellStart"/>
      <w:r w:rsidRPr="00A71493">
        <w:rPr>
          <w:rFonts w:ascii="Book Antiqua" w:hAnsi="Book Antiqua"/>
          <w:sz w:val="24"/>
          <w:szCs w:val="24"/>
        </w:rPr>
        <w:t>Manns</w:t>
      </w:r>
      <w:proofErr w:type="spellEnd"/>
      <w:r w:rsidRPr="00A71493">
        <w:rPr>
          <w:rFonts w:ascii="Book Antiqua" w:hAnsi="Book Antiqua"/>
          <w:sz w:val="24"/>
          <w:szCs w:val="24"/>
        </w:rPr>
        <w:t xml:space="preserve"> MP, </w:t>
      </w:r>
      <w:proofErr w:type="spellStart"/>
      <w:r w:rsidRPr="00A71493">
        <w:rPr>
          <w:rFonts w:ascii="Book Antiqua" w:hAnsi="Book Antiqua"/>
          <w:sz w:val="24"/>
          <w:szCs w:val="24"/>
        </w:rPr>
        <w:t>Cornberg</w:t>
      </w:r>
      <w:proofErr w:type="spellEnd"/>
      <w:r w:rsidRPr="00A71493">
        <w:rPr>
          <w:rFonts w:ascii="Book Antiqua" w:hAnsi="Book Antiqua"/>
          <w:sz w:val="24"/>
          <w:szCs w:val="24"/>
        </w:rPr>
        <w:t xml:space="preserve"> M, </w:t>
      </w:r>
      <w:proofErr w:type="spellStart"/>
      <w:r w:rsidRPr="00A71493">
        <w:rPr>
          <w:rFonts w:ascii="Book Antiqua" w:hAnsi="Book Antiqua"/>
          <w:sz w:val="24"/>
          <w:szCs w:val="24"/>
        </w:rPr>
        <w:t>Maasoumy</w:t>
      </w:r>
      <w:proofErr w:type="spellEnd"/>
      <w:r w:rsidRPr="00A71493">
        <w:rPr>
          <w:rFonts w:ascii="Book Antiqua" w:hAnsi="Book Antiqua"/>
          <w:sz w:val="24"/>
          <w:szCs w:val="24"/>
        </w:rPr>
        <w:t xml:space="preserve"> B. Dose-dependent impact of proton pump inhibitors on the clinical course of spontaneous bacterial peritonitis. </w:t>
      </w:r>
      <w:r w:rsidRPr="00A71493">
        <w:rPr>
          <w:rFonts w:ascii="Book Antiqua" w:hAnsi="Book Antiqua"/>
          <w:i/>
          <w:sz w:val="24"/>
          <w:szCs w:val="24"/>
        </w:rPr>
        <w:t xml:space="preserve">Liver </w:t>
      </w:r>
      <w:proofErr w:type="spellStart"/>
      <w:r w:rsidRPr="00A71493">
        <w:rPr>
          <w:rFonts w:ascii="Book Antiqua" w:hAnsi="Book Antiqua"/>
          <w:i/>
          <w:sz w:val="24"/>
          <w:szCs w:val="24"/>
        </w:rPr>
        <w:t>Int</w:t>
      </w:r>
      <w:proofErr w:type="spellEnd"/>
      <w:r w:rsidRPr="00A71493">
        <w:rPr>
          <w:rFonts w:ascii="Book Antiqua" w:hAnsi="Book Antiqua"/>
          <w:sz w:val="24"/>
          <w:szCs w:val="24"/>
        </w:rPr>
        <w:t xml:space="preserve"> 2018; </w:t>
      </w:r>
      <w:r w:rsidRPr="00A71493">
        <w:rPr>
          <w:rFonts w:ascii="Book Antiqua" w:hAnsi="Book Antiqua"/>
          <w:b/>
          <w:sz w:val="24"/>
          <w:szCs w:val="24"/>
        </w:rPr>
        <w:t>38</w:t>
      </w:r>
      <w:r w:rsidRPr="00A71493">
        <w:rPr>
          <w:rFonts w:ascii="Book Antiqua" w:hAnsi="Book Antiqua"/>
          <w:sz w:val="24"/>
          <w:szCs w:val="24"/>
        </w:rPr>
        <w:t>: 1602-1613 [PMID: 29675988 DOI: 10.1111/liv.13862]</w:t>
      </w:r>
    </w:p>
    <w:p w14:paraId="5932CCBD"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10 </w:t>
      </w:r>
      <w:proofErr w:type="spellStart"/>
      <w:r w:rsidRPr="00A71493">
        <w:rPr>
          <w:rFonts w:ascii="Book Antiqua" w:hAnsi="Book Antiqua"/>
          <w:b/>
          <w:sz w:val="24"/>
          <w:szCs w:val="24"/>
        </w:rPr>
        <w:t>Lázaro</w:t>
      </w:r>
      <w:proofErr w:type="spellEnd"/>
      <w:r w:rsidRPr="00A71493">
        <w:rPr>
          <w:rFonts w:ascii="Book Antiqua" w:hAnsi="Book Antiqua"/>
          <w:b/>
          <w:sz w:val="24"/>
          <w:szCs w:val="24"/>
        </w:rPr>
        <w:t>-Pacheco IB</w:t>
      </w:r>
      <w:r w:rsidRPr="00A71493">
        <w:rPr>
          <w:rFonts w:ascii="Book Antiqua" w:hAnsi="Book Antiqua"/>
          <w:sz w:val="24"/>
          <w:szCs w:val="24"/>
        </w:rPr>
        <w:t xml:space="preserve">, </w:t>
      </w:r>
      <w:proofErr w:type="spellStart"/>
      <w:r w:rsidRPr="00A71493">
        <w:rPr>
          <w:rFonts w:ascii="Book Antiqua" w:hAnsi="Book Antiqua"/>
          <w:sz w:val="24"/>
          <w:szCs w:val="24"/>
        </w:rPr>
        <w:t>Servín-Caamaño</w:t>
      </w:r>
      <w:proofErr w:type="spellEnd"/>
      <w:r w:rsidRPr="00A71493">
        <w:rPr>
          <w:rFonts w:ascii="Book Antiqua" w:hAnsi="Book Antiqua"/>
          <w:sz w:val="24"/>
          <w:szCs w:val="24"/>
        </w:rPr>
        <w:t xml:space="preserve"> AI, Pérez-Hernández JL, Rojas-</w:t>
      </w:r>
      <w:proofErr w:type="spellStart"/>
      <w:r w:rsidRPr="00A71493">
        <w:rPr>
          <w:rFonts w:ascii="Book Antiqua" w:hAnsi="Book Antiqua"/>
          <w:sz w:val="24"/>
          <w:szCs w:val="24"/>
        </w:rPr>
        <w:t>Loureiro</w:t>
      </w:r>
      <w:proofErr w:type="spellEnd"/>
      <w:r w:rsidRPr="00A71493">
        <w:rPr>
          <w:rFonts w:ascii="Book Antiqua" w:hAnsi="Book Antiqua"/>
          <w:sz w:val="24"/>
          <w:szCs w:val="24"/>
        </w:rPr>
        <w:t xml:space="preserve"> G, </w:t>
      </w:r>
      <w:proofErr w:type="spellStart"/>
      <w:r w:rsidRPr="00A71493">
        <w:rPr>
          <w:rFonts w:ascii="Book Antiqua" w:hAnsi="Book Antiqua"/>
          <w:sz w:val="24"/>
          <w:szCs w:val="24"/>
        </w:rPr>
        <w:t>Servín</w:t>
      </w:r>
      <w:proofErr w:type="spellEnd"/>
      <w:r w:rsidRPr="00A71493">
        <w:rPr>
          <w:rFonts w:ascii="Book Antiqua" w:hAnsi="Book Antiqua"/>
          <w:sz w:val="24"/>
          <w:szCs w:val="24"/>
        </w:rPr>
        <w:t xml:space="preserve">-Abad L, </w:t>
      </w:r>
      <w:proofErr w:type="spellStart"/>
      <w:r w:rsidRPr="00A71493">
        <w:rPr>
          <w:rFonts w:ascii="Book Antiqua" w:hAnsi="Book Antiqua"/>
          <w:sz w:val="24"/>
          <w:szCs w:val="24"/>
        </w:rPr>
        <w:t>Tijera</w:t>
      </w:r>
      <w:proofErr w:type="spellEnd"/>
      <w:r w:rsidRPr="00A71493">
        <w:rPr>
          <w:rFonts w:ascii="Book Antiqua" w:hAnsi="Book Antiqua"/>
          <w:sz w:val="24"/>
          <w:szCs w:val="24"/>
        </w:rPr>
        <w:t xml:space="preserve"> FH. PROTON PUMP INHIBITORS INCREASE THE OVERALL RISK OF DEVELOPING BACTERIAL INFECTIONS IN PATIENTS WITH CIRRHOSIS. </w:t>
      </w:r>
      <w:proofErr w:type="spellStart"/>
      <w:r w:rsidRPr="00A71493">
        <w:rPr>
          <w:rFonts w:ascii="Book Antiqua" w:hAnsi="Book Antiqua"/>
          <w:i/>
          <w:sz w:val="24"/>
          <w:szCs w:val="24"/>
        </w:rPr>
        <w:t>Arq</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Gastroenterol</w:t>
      </w:r>
      <w:proofErr w:type="spellEnd"/>
      <w:r w:rsidRPr="00A71493">
        <w:rPr>
          <w:rFonts w:ascii="Book Antiqua" w:hAnsi="Book Antiqua"/>
          <w:sz w:val="24"/>
          <w:szCs w:val="24"/>
        </w:rPr>
        <w:t xml:space="preserve"> 2018; </w:t>
      </w:r>
      <w:r w:rsidRPr="00A71493">
        <w:rPr>
          <w:rFonts w:ascii="Book Antiqua" w:hAnsi="Book Antiqua"/>
          <w:b/>
          <w:sz w:val="24"/>
          <w:szCs w:val="24"/>
        </w:rPr>
        <w:t>55</w:t>
      </w:r>
      <w:r w:rsidRPr="00A71493">
        <w:rPr>
          <w:rFonts w:ascii="Book Antiqua" w:hAnsi="Book Antiqua"/>
          <w:sz w:val="24"/>
          <w:szCs w:val="24"/>
        </w:rPr>
        <w:t>: 28-32 [PMID: 29561973 DOI: 10.1590/S0004-2803.201800000-09]</w:t>
      </w:r>
    </w:p>
    <w:p w14:paraId="0CE5438F"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11 </w:t>
      </w:r>
      <w:r w:rsidRPr="00A71493">
        <w:rPr>
          <w:rFonts w:ascii="Book Antiqua" w:hAnsi="Book Antiqua"/>
          <w:b/>
          <w:sz w:val="24"/>
          <w:szCs w:val="24"/>
        </w:rPr>
        <w:t>Miura K</w:t>
      </w:r>
      <w:r w:rsidRPr="00A71493">
        <w:rPr>
          <w:rFonts w:ascii="Book Antiqua" w:hAnsi="Book Antiqua"/>
          <w:sz w:val="24"/>
          <w:szCs w:val="24"/>
        </w:rPr>
        <w:t xml:space="preserve">, Tanaka A, Yamamoto T, Adachi M, </w:t>
      </w:r>
      <w:proofErr w:type="spellStart"/>
      <w:r w:rsidRPr="00A71493">
        <w:rPr>
          <w:rFonts w:ascii="Book Antiqua" w:hAnsi="Book Antiqua"/>
          <w:sz w:val="24"/>
          <w:szCs w:val="24"/>
        </w:rPr>
        <w:t>Takikawa</w:t>
      </w:r>
      <w:proofErr w:type="spellEnd"/>
      <w:r w:rsidRPr="00A71493">
        <w:rPr>
          <w:rFonts w:ascii="Book Antiqua" w:hAnsi="Book Antiqua"/>
          <w:sz w:val="24"/>
          <w:szCs w:val="24"/>
        </w:rPr>
        <w:t xml:space="preserve"> H. Proton pump inhibitor use is associated with spontaneous bacterial peritonitis in patients with liver cirrhosis. </w:t>
      </w:r>
      <w:r w:rsidRPr="00A71493">
        <w:rPr>
          <w:rFonts w:ascii="Book Antiqua" w:hAnsi="Book Antiqua"/>
          <w:i/>
          <w:sz w:val="24"/>
          <w:szCs w:val="24"/>
        </w:rPr>
        <w:t>Intern Med</w:t>
      </w:r>
      <w:r w:rsidRPr="00A71493">
        <w:rPr>
          <w:rFonts w:ascii="Book Antiqua" w:hAnsi="Book Antiqua"/>
          <w:sz w:val="24"/>
          <w:szCs w:val="24"/>
        </w:rPr>
        <w:t xml:space="preserve"> 2014; </w:t>
      </w:r>
      <w:r w:rsidRPr="00A71493">
        <w:rPr>
          <w:rFonts w:ascii="Book Antiqua" w:hAnsi="Book Antiqua"/>
          <w:b/>
          <w:sz w:val="24"/>
          <w:szCs w:val="24"/>
        </w:rPr>
        <w:t>53</w:t>
      </w:r>
      <w:r w:rsidRPr="00A71493">
        <w:rPr>
          <w:rFonts w:ascii="Book Antiqua" w:hAnsi="Book Antiqua"/>
          <w:sz w:val="24"/>
          <w:szCs w:val="24"/>
        </w:rPr>
        <w:t>: 1037-1042 [PMID: 24827481 DOI: 10.2169/internalmedicine.53.2021]</w:t>
      </w:r>
    </w:p>
    <w:p w14:paraId="525D70B5"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highlight w:val="yellow"/>
        </w:rPr>
        <w:t xml:space="preserve">12 </w:t>
      </w:r>
      <w:proofErr w:type="spellStart"/>
      <w:r w:rsidRPr="00A71493">
        <w:rPr>
          <w:rFonts w:ascii="Book Antiqua" w:hAnsi="Book Antiqua"/>
          <w:b/>
          <w:sz w:val="24"/>
          <w:szCs w:val="24"/>
          <w:highlight w:val="yellow"/>
        </w:rPr>
        <w:t>Bulsiewicz</w:t>
      </w:r>
      <w:proofErr w:type="spellEnd"/>
      <w:r w:rsidRPr="00A71493">
        <w:rPr>
          <w:rFonts w:ascii="Book Antiqua" w:hAnsi="Book Antiqua"/>
          <w:b/>
          <w:sz w:val="24"/>
          <w:szCs w:val="24"/>
          <w:highlight w:val="yellow"/>
        </w:rPr>
        <w:t xml:space="preserve"> WJ,</w:t>
      </w:r>
      <w:r w:rsidRPr="00A71493">
        <w:rPr>
          <w:rFonts w:ascii="Book Antiqua" w:hAnsi="Book Antiqua"/>
          <w:sz w:val="24"/>
          <w:szCs w:val="24"/>
          <w:highlight w:val="yellow"/>
        </w:rPr>
        <w:t xml:space="preserve"> Scherer JR, </w:t>
      </w:r>
      <w:proofErr w:type="spellStart"/>
      <w:r w:rsidRPr="00A71493">
        <w:rPr>
          <w:rFonts w:ascii="Book Antiqua" w:hAnsi="Book Antiqua"/>
          <w:sz w:val="24"/>
          <w:szCs w:val="24"/>
          <w:highlight w:val="yellow"/>
        </w:rPr>
        <w:t>Feinglass</w:t>
      </w:r>
      <w:proofErr w:type="spellEnd"/>
      <w:r w:rsidRPr="00A71493">
        <w:rPr>
          <w:rFonts w:ascii="Book Antiqua" w:hAnsi="Book Antiqua"/>
          <w:sz w:val="24"/>
          <w:szCs w:val="24"/>
          <w:highlight w:val="yellow"/>
        </w:rPr>
        <w:t xml:space="preserve"> JM, </w:t>
      </w:r>
      <w:proofErr w:type="spellStart"/>
      <w:r w:rsidRPr="00A71493">
        <w:rPr>
          <w:rFonts w:ascii="Book Antiqua" w:hAnsi="Book Antiqua"/>
          <w:sz w:val="24"/>
          <w:szCs w:val="24"/>
          <w:highlight w:val="yellow"/>
        </w:rPr>
        <w:t>Howden</w:t>
      </w:r>
      <w:proofErr w:type="spellEnd"/>
      <w:r w:rsidRPr="00A71493">
        <w:rPr>
          <w:rFonts w:ascii="Book Antiqua" w:hAnsi="Book Antiqua"/>
          <w:sz w:val="24"/>
          <w:szCs w:val="24"/>
          <w:highlight w:val="yellow"/>
        </w:rPr>
        <w:t xml:space="preserve"> CW, </w:t>
      </w:r>
      <w:proofErr w:type="spellStart"/>
      <w:r w:rsidRPr="00A71493">
        <w:rPr>
          <w:rFonts w:ascii="Book Antiqua" w:hAnsi="Book Antiqua"/>
          <w:sz w:val="24"/>
          <w:szCs w:val="24"/>
          <w:highlight w:val="yellow"/>
        </w:rPr>
        <w:t>Flamm</w:t>
      </w:r>
      <w:proofErr w:type="spellEnd"/>
      <w:r w:rsidRPr="00A71493">
        <w:rPr>
          <w:rFonts w:ascii="Book Antiqua" w:hAnsi="Book Antiqua"/>
          <w:sz w:val="24"/>
          <w:szCs w:val="24"/>
          <w:highlight w:val="yellow"/>
        </w:rPr>
        <w:t xml:space="preserve"> SL. Proton pump inhibitor (PPI) use is independently associated with spontaneous bacterial peritonitis (SBP) in </w:t>
      </w:r>
      <w:proofErr w:type="spellStart"/>
      <w:r w:rsidRPr="00A71493">
        <w:rPr>
          <w:rFonts w:ascii="Book Antiqua" w:hAnsi="Book Antiqua"/>
          <w:sz w:val="24"/>
          <w:szCs w:val="24"/>
          <w:highlight w:val="yellow"/>
        </w:rPr>
        <w:t>cirrhotics</w:t>
      </w:r>
      <w:proofErr w:type="spellEnd"/>
      <w:r w:rsidRPr="00A71493">
        <w:rPr>
          <w:rFonts w:ascii="Book Antiqua" w:hAnsi="Book Antiqua"/>
          <w:sz w:val="24"/>
          <w:szCs w:val="24"/>
          <w:highlight w:val="yellow"/>
        </w:rPr>
        <w:t xml:space="preserve"> with ascites. </w:t>
      </w:r>
      <w:r w:rsidRPr="00A71493">
        <w:rPr>
          <w:rFonts w:ascii="Book Antiqua" w:hAnsi="Book Antiqua"/>
          <w:i/>
          <w:sz w:val="24"/>
          <w:szCs w:val="24"/>
          <w:highlight w:val="yellow"/>
        </w:rPr>
        <w:t>Gastroenterology</w:t>
      </w:r>
      <w:r w:rsidRPr="00A71493">
        <w:rPr>
          <w:rFonts w:ascii="Book Antiqua" w:hAnsi="Book Antiqua"/>
          <w:sz w:val="24"/>
          <w:szCs w:val="24"/>
          <w:highlight w:val="yellow"/>
        </w:rPr>
        <w:t xml:space="preserve"> 2009; </w:t>
      </w:r>
      <w:r w:rsidRPr="00A71493">
        <w:rPr>
          <w:rFonts w:ascii="Book Antiqua" w:hAnsi="Book Antiqua"/>
          <w:b/>
          <w:sz w:val="24"/>
          <w:szCs w:val="24"/>
          <w:highlight w:val="yellow"/>
        </w:rPr>
        <w:t>136</w:t>
      </w:r>
      <w:r w:rsidRPr="00A71493">
        <w:rPr>
          <w:rFonts w:ascii="Book Antiqua" w:hAnsi="Book Antiqua"/>
          <w:sz w:val="24"/>
          <w:szCs w:val="24"/>
          <w:highlight w:val="yellow"/>
        </w:rPr>
        <w:t>: A11 [DOI: 10.1016/S0016-5085(09)60053-6]</w:t>
      </w:r>
    </w:p>
    <w:p w14:paraId="65B9AC97"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13 </w:t>
      </w:r>
      <w:r w:rsidRPr="00A71493">
        <w:rPr>
          <w:rFonts w:ascii="Book Antiqua" w:hAnsi="Book Antiqua"/>
          <w:b/>
          <w:sz w:val="24"/>
          <w:szCs w:val="24"/>
        </w:rPr>
        <w:t>Sturm L</w:t>
      </w:r>
      <w:r w:rsidRPr="00A71493">
        <w:rPr>
          <w:rFonts w:ascii="Book Antiqua" w:hAnsi="Book Antiqua"/>
          <w:sz w:val="24"/>
          <w:szCs w:val="24"/>
        </w:rPr>
        <w:t xml:space="preserve">, </w:t>
      </w:r>
      <w:proofErr w:type="spellStart"/>
      <w:r w:rsidRPr="00A71493">
        <w:rPr>
          <w:rFonts w:ascii="Book Antiqua" w:hAnsi="Book Antiqua"/>
          <w:sz w:val="24"/>
          <w:szCs w:val="24"/>
        </w:rPr>
        <w:t>Bettinger</w:t>
      </w:r>
      <w:proofErr w:type="spellEnd"/>
      <w:r w:rsidRPr="00A71493">
        <w:rPr>
          <w:rFonts w:ascii="Book Antiqua" w:hAnsi="Book Antiqua"/>
          <w:sz w:val="24"/>
          <w:szCs w:val="24"/>
        </w:rPr>
        <w:t xml:space="preserve"> D, </w:t>
      </w:r>
      <w:proofErr w:type="spellStart"/>
      <w:r w:rsidRPr="00A71493">
        <w:rPr>
          <w:rFonts w:ascii="Book Antiqua" w:hAnsi="Book Antiqua"/>
          <w:sz w:val="24"/>
          <w:szCs w:val="24"/>
        </w:rPr>
        <w:t>Giesler</w:t>
      </w:r>
      <w:proofErr w:type="spellEnd"/>
      <w:r w:rsidRPr="00A71493">
        <w:rPr>
          <w:rFonts w:ascii="Book Antiqua" w:hAnsi="Book Antiqua"/>
          <w:sz w:val="24"/>
          <w:szCs w:val="24"/>
        </w:rPr>
        <w:t xml:space="preserve"> M, </w:t>
      </w:r>
      <w:proofErr w:type="spellStart"/>
      <w:r w:rsidRPr="00A71493">
        <w:rPr>
          <w:rFonts w:ascii="Book Antiqua" w:hAnsi="Book Antiqua"/>
          <w:sz w:val="24"/>
          <w:szCs w:val="24"/>
        </w:rPr>
        <w:t>Boettler</w:t>
      </w:r>
      <w:proofErr w:type="spellEnd"/>
      <w:r w:rsidRPr="00A71493">
        <w:rPr>
          <w:rFonts w:ascii="Book Antiqua" w:hAnsi="Book Antiqua"/>
          <w:sz w:val="24"/>
          <w:szCs w:val="24"/>
        </w:rPr>
        <w:t xml:space="preserve"> T, Schmidt A, </w:t>
      </w:r>
      <w:proofErr w:type="spellStart"/>
      <w:r w:rsidRPr="00A71493">
        <w:rPr>
          <w:rFonts w:ascii="Book Antiqua" w:hAnsi="Book Antiqua"/>
          <w:sz w:val="24"/>
          <w:szCs w:val="24"/>
        </w:rPr>
        <w:t>Buettner</w:t>
      </w:r>
      <w:proofErr w:type="spellEnd"/>
      <w:r w:rsidRPr="00A71493">
        <w:rPr>
          <w:rFonts w:ascii="Book Antiqua" w:hAnsi="Book Antiqua"/>
          <w:sz w:val="24"/>
          <w:szCs w:val="24"/>
        </w:rPr>
        <w:t xml:space="preserve"> N, </w:t>
      </w:r>
      <w:proofErr w:type="spellStart"/>
      <w:r w:rsidRPr="00A71493">
        <w:rPr>
          <w:rFonts w:ascii="Book Antiqua" w:hAnsi="Book Antiqua"/>
          <w:sz w:val="24"/>
          <w:szCs w:val="24"/>
        </w:rPr>
        <w:t>Thimme</w:t>
      </w:r>
      <w:proofErr w:type="spellEnd"/>
      <w:r w:rsidRPr="00A71493">
        <w:rPr>
          <w:rFonts w:ascii="Book Antiqua" w:hAnsi="Book Antiqua"/>
          <w:sz w:val="24"/>
          <w:szCs w:val="24"/>
        </w:rPr>
        <w:t xml:space="preserve"> R, </w:t>
      </w:r>
      <w:proofErr w:type="spellStart"/>
      <w:r w:rsidRPr="00A71493">
        <w:rPr>
          <w:rFonts w:ascii="Book Antiqua" w:hAnsi="Book Antiqua"/>
          <w:sz w:val="24"/>
          <w:szCs w:val="24"/>
        </w:rPr>
        <w:t>Schultheiss</w:t>
      </w:r>
      <w:proofErr w:type="spellEnd"/>
      <w:r w:rsidRPr="00A71493">
        <w:rPr>
          <w:rFonts w:ascii="Book Antiqua" w:hAnsi="Book Antiqua"/>
          <w:sz w:val="24"/>
          <w:szCs w:val="24"/>
        </w:rPr>
        <w:t xml:space="preserve"> M. Treatment with proton pump inhibitors increases the risk for development of hepatic encephalopathy after implantation of </w:t>
      </w:r>
      <w:proofErr w:type="spellStart"/>
      <w:r w:rsidRPr="00A71493">
        <w:rPr>
          <w:rFonts w:ascii="Book Antiqua" w:hAnsi="Book Antiqua"/>
          <w:sz w:val="24"/>
          <w:szCs w:val="24"/>
        </w:rPr>
        <w:t>transjugular</w:t>
      </w:r>
      <w:proofErr w:type="spellEnd"/>
      <w:r w:rsidRPr="00A71493">
        <w:rPr>
          <w:rFonts w:ascii="Book Antiqua" w:hAnsi="Book Antiqua"/>
          <w:sz w:val="24"/>
          <w:szCs w:val="24"/>
        </w:rPr>
        <w:t xml:space="preserve"> intrahepatic portosystemic shunt (TIPS). </w:t>
      </w:r>
      <w:r w:rsidRPr="00A71493">
        <w:rPr>
          <w:rFonts w:ascii="Book Antiqua" w:hAnsi="Book Antiqua"/>
          <w:i/>
          <w:sz w:val="24"/>
          <w:szCs w:val="24"/>
        </w:rPr>
        <w:t xml:space="preserve">United European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J</w:t>
      </w:r>
      <w:r w:rsidRPr="00A71493">
        <w:rPr>
          <w:rFonts w:ascii="Book Antiqua" w:hAnsi="Book Antiqua"/>
          <w:sz w:val="24"/>
          <w:szCs w:val="24"/>
        </w:rPr>
        <w:t xml:space="preserve"> 2018; </w:t>
      </w:r>
      <w:r w:rsidRPr="00A71493">
        <w:rPr>
          <w:rFonts w:ascii="Book Antiqua" w:hAnsi="Book Antiqua"/>
          <w:b/>
          <w:sz w:val="24"/>
          <w:szCs w:val="24"/>
        </w:rPr>
        <w:t>6</w:t>
      </w:r>
      <w:r w:rsidRPr="00A71493">
        <w:rPr>
          <w:rFonts w:ascii="Book Antiqua" w:hAnsi="Book Antiqua"/>
          <w:sz w:val="24"/>
          <w:szCs w:val="24"/>
        </w:rPr>
        <w:t>: 1380-1390 [PMID: 30386611 DOI: 10.1177/2050640618795928]</w:t>
      </w:r>
    </w:p>
    <w:p w14:paraId="1F1EF8B8" w14:textId="77777777" w:rsidR="000A1B63" w:rsidRDefault="000A1B63" w:rsidP="000A1B63">
      <w:pPr>
        <w:spacing w:line="360" w:lineRule="auto"/>
        <w:rPr>
          <w:rFonts w:ascii="Book Antiqua" w:hAnsi="Book Antiqua"/>
          <w:b/>
          <w:sz w:val="24"/>
          <w:szCs w:val="24"/>
        </w:rPr>
      </w:pPr>
      <w:r w:rsidRPr="0085307E">
        <w:rPr>
          <w:rFonts w:ascii="Book Antiqua" w:hAnsi="Book Antiqua"/>
          <w:sz w:val="24"/>
          <w:szCs w:val="24"/>
        </w:rPr>
        <w:t xml:space="preserve">14 </w:t>
      </w:r>
      <w:proofErr w:type="spellStart"/>
      <w:r w:rsidRPr="0085307E">
        <w:rPr>
          <w:rFonts w:ascii="Book Antiqua" w:hAnsi="Book Antiqua"/>
          <w:b/>
          <w:sz w:val="24"/>
          <w:szCs w:val="24"/>
        </w:rPr>
        <w:t>Nardelli</w:t>
      </w:r>
      <w:proofErr w:type="spellEnd"/>
      <w:r w:rsidRPr="0085307E">
        <w:rPr>
          <w:rFonts w:ascii="Book Antiqua" w:hAnsi="Book Antiqua"/>
          <w:b/>
          <w:sz w:val="24"/>
          <w:szCs w:val="24"/>
        </w:rPr>
        <w:t xml:space="preserve"> S</w:t>
      </w:r>
      <w:r w:rsidRPr="0085307E">
        <w:rPr>
          <w:rFonts w:ascii="Book Antiqua" w:hAnsi="Book Antiqua"/>
          <w:sz w:val="24"/>
          <w:szCs w:val="24"/>
        </w:rPr>
        <w:t xml:space="preserve">, </w:t>
      </w:r>
      <w:proofErr w:type="spellStart"/>
      <w:r w:rsidRPr="0085307E">
        <w:rPr>
          <w:rFonts w:ascii="Book Antiqua" w:hAnsi="Book Antiqua"/>
          <w:sz w:val="24"/>
          <w:szCs w:val="24"/>
        </w:rPr>
        <w:t>Gioia</w:t>
      </w:r>
      <w:proofErr w:type="spellEnd"/>
      <w:r w:rsidRPr="0085307E">
        <w:rPr>
          <w:rFonts w:ascii="Book Antiqua" w:hAnsi="Book Antiqua"/>
          <w:sz w:val="24"/>
          <w:szCs w:val="24"/>
        </w:rPr>
        <w:t xml:space="preserve"> S, </w:t>
      </w:r>
      <w:proofErr w:type="spellStart"/>
      <w:r w:rsidRPr="0085307E">
        <w:rPr>
          <w:rFonts w:ascii="Book Antiqua" w:hAnsi="Book Antiqua"/>
          <w:sz w:val="24"/>
          <w:szCs w:val="24"/>
        </w:rPr>
        <w:t>Ridola</w:t>
      </w:r>
      <w:proofErr w:type="spellEnd"/>
      <w:r w:rsidRPr="0085307E">
        <w:rPr>
          <w:rFonts w:ascii="Book Antiqua" w:hAnsi="Book Antiqua"/>
          <w:sz w:val="24"/>
          <w:szCs w:val="24"/>
        </w:rPr>
        <w:t xml:space="preserve"> L, </w:t>
      </w:r>
      <w:proofErr w:type="spellStart"/>
      <w:r w:rsidRPr="0085307E">
        <w:rPr>
          <w:rFonts w:ascii="Book Antiqua" w:hAnsi="Book Antiqua"/>
          <w:sz w:val="24"/>
          <w:szCs w:val="24"/>
        </w:rPr>
        <w:t>Farcomeni</w:t>
      </w:r>
      <w:proofErr w:type="spellEnd"/>
      <w:r w:rsidRPr="0085307E">
        <w:rPr>
          <w:rFonts w:ascii="Book Antiqua" w:hAnsi="Book Antiqua"/>
          <w:sz w:val="24"/>
          <w:szCs w:val="24"/>
        </w:rPr>
        <w:t xml:space="preserve"> A, </w:t>
      </w:r>
      <w:proofErr w:type="spellStart"/>
      <w:r w:rsidRPr="0085307E">
        <w:rPr>
          <w:rFonts w:ascii="Book Antiqua" w:hAnsi="Book Antiqua"/>
          <w:sz w:val="24"/>
          <w:szCs w:val="24"/>
        </w:rPr>
        <w:t>Merli</w:t>
      </w:r>
      <w:proofErr w:type="spellEnd"/>
      <w:r w:rsidRPr="0085307E">
        <w:rPr>
          <w:rFonts w:ascii="Book Antiqua" w:hAnsi="Book Antiqua"/>
          <w:sz w:val="24"/>
          <w:szCs w:val="24"/>
        </w:rPr>
        <w:t xml:space="preserve"> M, </w:t>
      </w:r>
      <w:proofErr w:type="spellStart"/>
      <w:r w:rsidRPr="0085307E">
        <w:rPr>
          <w:rFonts w:ascii="Book Antiqua" w:hAnsi="Book Antiqua"/>
          <w:sz w:val="24"/>
          <w:szCs w:val="24"/>
        </w:rPr>
        <w:t>Riggio</w:t>
      </w:r>
      <w:proofErr w:type="spellEnd"/>
      <w:r w:rsidRPr="0085307E">
        <w:rPr>
          <w:rFonts w:ascii="Book Antiqua" w:hAnsi="Book Antiqua"/>
          <w:sz w:val="24"/>
          <w:szCs w:val="24"/>
        </w:rPr>
        <w:t xml:space="preserve"> O. Proton</w:t>
      </w:r>
      <w:r w:rsidRPr="0085307E">
        <w:rPr>
          <w:rFonts w:ascii="Book Antiqua" w:hAnsi="Book Antiqua"/>
          <w:bCs/>
          <w:sz w:val="24"/>
          <w:szCs w:val="24"/>
        </w:rPr>
        <w:t xml:space="preserve"> Pump Inhibitors Are Associated With Minimal </w:t>
      </w:r>
      <w:r w:rsidRPr="0085307E">
        <w:rPr>
          <w:rFonts w:ascii="Book Antiqua" w:hAnsi="Book Antiqua"/>
          <w:sz w:val="24"/>
          <w:szCs w:val="24"/>
        </w:rPr>
        <w:t>and</w:t>
      </w:r>
      <w:r w:rsidRPr="0085307E">
        <w:rPr>
          <w:rFonts w:ascii="Book Antiqua" w:hAnsi="Book Antiqua"/>
          <w:bCs/>
          <w:sz w:val="24"/>
          <w:szCs w:val="24"/>
        </w:rPr>
        <w:t xml:space="preserve"> Overt Hepatic Encephalopathy </w:t>
      </w:r>
      <w:r w:rsidRPr="0085307E">
        <w:rPr>
          <w:rFonts w:ascii="Book Antiqua" w:hAnsi="Book Antiqua"/>
          <w:sz w:val="24"/>
          <w:szCs w:val="24"/>
        </w:rPr>
        <w:t>and</w:t>
      </w:r>
      <w:r w:rsidRPr="0085307E">
        <w:rPr>
          <w:rFonts w:ascii="Book Antiqua" w:hAnsi="Book Antiqua"/>
          <w:bCs/>
          <w:sz w:val="24"/>
          <w:szCs w:val="24"/>
        </w:rPr>
        <w:t xml:space="preserve"> Increased Mortality </w:t>
      </w:r>
      <w:r w:rsidRPr="0085307E">
        <w:rPr>
          <w:rFonts w:ascii="Book Antiqua" w:hAnsi="Book Antiqua"/>
          <w:sz w:val="24"/>
          <w:szCs w:val="24"/>
        </w:rPr>
        <w:t>in</w:t>
      </w:r>
      <w:r w:rsidRPr="0085307E">
        <w:rPr>
          <w:rFonts w:ascii="Book Antiqua" w:hAnsi="Book Antiqua"/>
          <w:bCs/>
          <w:sz w:val="24"/>
          <w:szCs w:val="24"/>
        </w:rPr>
        <w:t xml:space="preserve"> Patients With Cirrhosis</w:t>
      </w:r>
      <w:r w:rsidRPr="0085307E">
        <w:rPr>
          <w:rFonts w:ascii="Book Antiqua" w:hAnsi="Book Antiqua"/>
          <w:sz w:val="24"/>
          <w:szCs w:val="24"/>
        </w:rPr>
        <w:t xml:space="preserve">. </w:t>
      </w:r>
      <w:r w:rsidRPr="0085307E">
        <w:rPr>
          <w:rFonts w:ascii="Book Antiqua" w:hAnsi="Book Antiqua"/>
          <w:i/>
          <w:sz w:val="24"/>
          <w:szCs w:val="24"/>
        </w:rPr>
        <w:t>Hepatology</w:t>
      </w:r>
      <w:r w:rsidRPr="0085307E">
        <w:rPr>
          <w:rFonts w:ascii="Book Antiqua" w:hAnsi="Book Antiqua"/>
          <w:sz w:val="24"/>
          <w:szCs w:val="24"/>
        </w:rPr>
        <w:t xml:space="preserve"> 2018</w:t>
      </w:r>
      <w:r w:rsidRPr="0085307E">
        <w:rPr>
          <w:rFonts w:ascii="Book Antiqua" w:hAnsi="Book Antiqua"/>
          <w:bCs/>
          <w:sz w:val="24"/>
          <w:szCs w:val="24"/>
        </w:rPr>
        <w:t xml:space="preserve"> </w:t>
      </w:r>
      <w:r w:rsidRPr="0085307E">
        <w:rPr>
          <w:rFonts w:ascii="Book Antiqua" w:hAnsi="Book Antiqua"/>
          <w:sz w:val="24"/>
          <w:szCs w:val="24"/>
        </w:rPr>
        <w:t>[PMID: 30289992 DOI: 10.1002/hep.30304]</w:t>
      </w:r>
    </w:p>
    <w:p w14:paraId="023878D9"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15 </w:t>
      </w:r>
      <w:r w:rsidRPr="00A71493">
        <w:rPr>
          <w:rFonts w:ascii="Book Antiqua" w:hAnsi="Book Antiqua"/>
          <w:b/>
          <w:sz w:val="24"/>
          <w:szCs w:val="24"/>
        </w:rPr>
        <w:t>Zhu J</w:t>
      </w:r>
      <w:r w:rsidRPr="00A71493">
        <w:rPr>
          <w:rFonts w:ascii="Book Antiqua" w:hAnsi="Book Antiqua"/>
          <w:sz w:val="24"/>
          <w:szCs w:val="24"/>
        </w:rPr>
        <w:t xml:space="preserve">, Qi X, Yu H, Yoshida EM, Mendez-Sanchez N, Zhang X, Wang R, Deng H, Li J, Han D, </w:t>
      </w:r>
      <w:proofErr w:type="spellStart"/>
      <w:r w:rsidRPr="00A71493">
        <w:rPr>
          <w:rFonts w:ascii="Book Antiqua" w:hAnsi="Book Antiqua"/>
          <w:sz w:val="24"/>
          <w:szCs w:val="24"/>
        </w:rPr>
        <w:t>Guo</w:t>
      </w:r>
      <w:proofErr w:type="spellEnd"/>
      <w:r w:rsidRPr="00A71493">
        <w:rPr>
          <w:rFonts w:ascii="Book Antiqua" w:hAnsi="Book Antiqua"/>
          <w:sz w:val="24"/>
          <w:szCs w:val="24"/>
        </w:rPr>
        <w:t xml:space="preserve"> X. Association of proton pump inhibitors with the risk of hepatic encephalopathy during hospitalization for liver cirrhosis. </w:t>
      </w:r>
      <w:r w:rsidRPr="00A71493">
        <w:rPr>
          <w:rFonts w:ascii="Book Antiqua" w:hAnsi="Book Antiqua"/>
          <w:i/>
          <w:sz w:val="24"/>
          <w:szCs w:val="24"/>
        </w:rPr>
        <w:t xml:space="preserve">United European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J</w:t>
      </w:r>
      <w:r w:rsidRPr="00A71493">
        <w:rPr>
          <w:rFonts w:ascii="Book Antiqua" w:hAnsi="Book Antiqua"/>
          <w:sz w:val="24"/>
          <w:szCs w:val="24"/>
        </w:rPr>
        <w:t xml:space="preserve"> 2018; </w:t>
      </w:r>
      <w:r w:rsidRPr="00A71493">
        <w:rPr>
          <w:rFonts w:ascii="Book Antiqua" w:hAnsi="Book Antiqua"/>
          <w:b/>
          <w:sz w:val="24"/>
          <w:szCs w:val="24"/>
        </w:rPr>
        <w:t>6</w:t>
      </w:r>
      <w:r w:rsidRPr="00A71493">
        <w:rPr>
          <w:rFonts w:ascii="Book Antiqua" w:hAnsi="Book Antiqua"/>
          <w:sz w:val="24"/>
          <w:szCs w:val="24"/>
        </w:rPr>
        <w:t>: 1179-1187 [PMID: 30288280 DOI: 10.1177/2050640618773564]</w:t>
      </w:r>
    </w:p>
    <w:p w14:paraId="4B80D3AE"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16 </w:t>
      </w:r>
      <w:r w:rsidRPr="00A71493">
        <w:rPr>
          <w:rFonts w:ascii="Book Antiqua" w:hAnsi="Book Antiqua"/>
          <w:b/>
          <w:sz w:val="24"/>
          <w:szCs w:val="24"/>
        </w:rPr>
        <w:t>Tsai CF</w:t>
      </w:r>
      <w:r w:rsidRPr="00A71493">
        <w:rPr>
          <w:rFonts w:ascii="Book Antiqua" w:hAnsi="Book Antiqua"/>
          <w:sz w:val="24"/>
          <w:szCs w:val="24"/>
        </w:rPr>
        <w:t xml:space="preserve">, Chen MH, Wang YP, Chu CJ, Huang YH, Lin HC, </w:t>
      </w:r>
      <w:proofErr w:type="spellStart"/>
      <w:r w:rsidRPr="00A71493">
        <w:rPr>
          <w:rFonts w:ascii="Book Antiqua" w:hAnsi="Book Antiqua"/>
          <w:sz w:val="24"/>
          <w:szCs w:val="24"/>
        </w:rPr>
        <w:t>Hou</w:t>
      </w:r>
      <w:proofErr w:type="spellEnd"/>
      <w:r w:rsidRPr="00A71493">
        <w:rPr>
          <w:rFonts w:ascii="Book Antiqua" w:hAnsi="Book Antiqua"/>
          <w:sz w:val="24"/>
          <w:szCs w:val="24"/>
        </w:rPr>
        <w:t xml:space="preserve"> MC, Lee FY, Su TP, Lu CL. Proton Pump Inhibitors Increase Risk for Hepatic Encephalopathy in Patients With Cirrhosis in A Population Study. </w:t>
      </w:r>
      <w:r w:rsidRPr="00A71493">
        <w:rPr>
          <w:rFonts w:ascii="Book Antiqua" w:hAnsi="Book Antiqua"/>
          <w:i/>
          <w:sz w:val="24"/>
          <w:szCs w:val="24"/>
        </w:rPr>
        <w:t>Gastroenterology</w:t>
      </w:r>
      <w:r w:rsidRPr="00A71493">
        <w:rPr>
          <w:rFonts w:ascii="Book Antiqua" w:hAnsi="Book Antiqua"/>
          <w:sz w:val="24"/>
          <w:szCs w:val="24"/>
        </w:rPr>
        <w:t xml:space="preserve"> 2017; </w:t>
      </w:r>
      <w:r w:rsidRPr="00A71493">
        <w:rPr>
          <w:rFonts w:ascii="Book Antiqua" w:hAnsi="Book Antiqua"/>
          <w:b/>
          <w:sz w:val="24"/>
          <w:szCs w:val="24"/>
        </w:rPr>
        <w:t>152</w:t>
      </w:r>
      <w:r w:rsidRPr="00A71493">
        <w:rPr>
          <w:rFonts w:ascii="Book Antiqua" w:hAnsi="Book Antiqua"/>
          <w:sz w:val="24"/>
          <w:szCs w:val="24"/>
        </w:rPr>
        <w:t>: 134-141 [PMID: 27639806 DOI: 10.1053/j.gastro.2016.09.007]</w:t>
      </w:r>
    </w:p>
    <w:p w14:paraId="2845928E"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17 </w:t>
      </w:r>
      <w:r w:rsidRPr="00A71493">
        <w:rPr>
          <w:rFonts w:ascii="Book Antiqua" w:hAnsi="Book Antiqua"/>
          <w:b/>
          <w:sz w:val="24"/>
          <w:szCs w:val="24"/>
        </w:rPr>
        <w:t>Dam G</w:t>
      </w:r>
      <w:r w:rsidRPr="00A71493">
        <w:rPr>
          <w:rFonts w:ascii="Book Antiqua" w:hAnsi="Book Antiqua"/>
          <w:sz w:val="24"/>
          <w:szCs w:val="24"/>
        </w:rPr>
        <w:t xml:space="preserve">, </w:t>
      </w:r>
      <w:proofErr w:type="spellStart"/>
      <w:r w:rsidRPr="00A71493">
        <w:rPr>
          <w:rFonts w:ascii="Book Antiqua" w:hAnsi="Book Antiqua"/>
          <w:sz w:val="24"/>
          <w:szCs w:val="24"/>
        </w:rPr>
        <w:t>Vilstrup</w:t>
      </w:r>
      <w:proofErr w:type="spellEnd"/>
      <w:r w:rsidRPr="00A71493">
        <w:rPr>
          <w:rFonts w:ascii="Book Antiqua" w:hAnsi="Book Antiqua"/>
          <w:sz w:val="24"/>
          <w:szCs w:val="24"/>
        </w:rPr>
        <w:t xml:space="preserve"> H, Watson H, Jepsen P. Proton pump inhibitors as a risk factor for hepatic encephalopathy and spontaneous bacterial peritonitis in patients with cirrhosis with ascites. </w:t>
      </w:r>
      <w:r w:rsidRPr="00A71493">
        <w:rPr>
          <w:rFonts w:ascii="Book Antiqua" w:hAnsi="Book Antiqua"/>
          <w:i/>
          <w:sz w:val="24"/>
          <w:szCs w:val="24"/>
        </w:rPr>
        <w:t>Hepatology</w:t>
      </w:r>
      <w:r w:rsidRPr="00A71493">
        <w:rPr>
          <w:rFonts w:ascii="Book Antiqua" w:hAnsi="Book Antiqua"/>
          <w:sz w:val="24"/>
          <w:szCs w:val="24"/>
        </w:rPr>
        <w:t xml:space="preserve"> 2016; </w:t>
      </w:r>
      <w:r w:rsidRPr="00A71493">
        <w:rPr>
          <w:rFonts w:ascii="Book Antiqua" w:hAnsi="Book Antiqua"/>
          <w:b/>
          <w:sz w:val="24"/>
          <w:szCs w:val="24"/>
        </w:rPr>
        <w:t>64</w:t>
      </w:r>
      <w:r w:rsidRPr="00A71493">
        <w:rPr>
          <w:rFonts w:ascii="Book Antiqua" w:hAnsi="Book Antiqua"/>
          <w:sz w:val="24"/>
          <w:szCs w:val="24"/>
        </w:rPr>
        <w:t>: 1265-1272 [PMID: 27474889 DOI: 10.1002/hep.28737]</w:t>
      </w:r>
    </w:p>
    <w:p w14:paraId="101421FD"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18 </w:t>
      </w:r>
      <w:r w:rsidRPr="00A71493">
        <w:rPr>
          <w:rFonts w:ascii="Book Antiqua" w:hAnsi="Book Antiqua"/>
          <w:b/>
          <w:sz w:val="24"/>
          <w:szCs w:val="24"/>
        </w:rPr>
        <w:t>Lin ZN</w:t>
      </w:r>
      <w:r w:rsidRPr="00A71493">
        <w:rPr>
          <w:rFonts w:ascii="Book Antiqua" w:hAnsi="Book Antiqua"/>
          <w:sz w:val="24"/>
          <w:szCs w:val="24"/>
        </w:rPr>
        <w:t xml:space="preserve">, </w:t>
      </w:r>
      <w:proofErr w:type="spellStart"/>
      <w:r w:rsidRPr="00A71493">
        <w:rPr>
          <w:rFonts w:ascii="Book Antiqua" w:hAnsi="Book Antiqua"/>
          <w:sz w:val="24"/>
          <w:szCs w:val="24"/>
        </w:rPr>
        <w:t>Zuo</w:t>
      </w:r>
      <w:proofErr w:type="spellEnd"/>
      <w:r w:rsidRPr="00A71493">
        <w:rPr>
          <w:rFonts w:ascii="Book Antiqua" w:hAnsi="Book Antiqua"/>
          <w:sz w:val="24"/>
          <w:szCs w:val="24"/>
        </w:rPr>
        <w:t xml:space="preserve"> YQ, Hu P. Association of Proton Pump Inhibitor Therapy with Hepatic Encephalopathy in Hepatitis B Virus-related Acute-on-Chronic Liver Failure. </w:t>
      </w:r>
      <w:proofErr w:type="spellStart"/>
      <w:r w:rsidRPr="00A71493">
        <w:rPr>
          <w:rFonts w:ascii="Book Antiqua" w:hAnsi="Book Antiqua"/>
          <w:i/>
          <w:sz w:val="24"/>
          <w:szCs w:val="24"/>
        </w:rPr>
        <w:t>Hepat</w:t>
      </w:r>
      <w:proofErr w:type="spellEnd"/>
      <w:r w:rsidRPr="00A71493">
        <w:rPr>
          <w:rFonts w:ascii="Book Antiqua" w:hAnsi="Book Antiqua"/>
          <w:i/>
          <w:sz w:val="24"/>
          <w:szCs w:val="24"/>
        </w:rPr>
        <w:t xml:space="preserve"> Mon</w:t>
      </w:r>
      <w:r w:rsidRPr="00A71493">
        <w:rPr>
          <w:rFonts w:ascii="Book Antiqua" w:hAnsi="Book Antiqua"/>
          <w:sz w:val="24"/>
          <w:szCs w:val="24"/>
        </w:rPr>
        <w:t xml:space="preserve"> 2014; </w:t>
      </w:r>
      <w:r w:rsidRPr="00A71493">
        <w:rPr>
          <w:rFonts w:ascii="Book Antiqua" w:hAnsi="Book Antiqua"/>
          <w:b/>
          <w:sz w:val="24"/>
          <w:szCs w:val="24"/>
        </w:rPr>
        <w:t>14</w:t>
      </w:r>
      <w:r w:rsidRPr="00A71493">
        <w:rPr>
          <w:rFonts w:ascii="Book Antiqua" w:hAnsi="Book Antiqua"/>
          <w:sz w:val="24"/>
          <w:szCs w:val="24"/>
        </w:rPr>
        <w:t>: e16258 [PMID: 24748895 DOI: 10.5812/hepatmon.16258]</w:t>
      </w:r>
    </w:p>
    <w:p w14:paraId="6F689690"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19 </w:t>
      </w:r>
      <w:proofErr w:type="spellStart"/>
      <w:r w:rsidRPr="00A71493">
        <w:rPr>
          <w:rFonts w:ascii="Book Antiqua" w:hAnsi="Book Antiqua"/>
          <w:b/>
          <w:sz w:val="24"/>
          <w:szCs w:val="24"/>
        </w:rPr>
        <w:t>Bian</w:t>
      </w:r>
      <w:proofErr w:type="spellEnd"/>
      <w:r w:rsidRPr="00A71493">
        <w:rPr>
          <w:rFonts w:ascii="Book Antiqua" w:hAnsi="Book Antiqua"/>
          <w:b/>
          <w:sz w:val="24"/>
          <w:szCs w:val="24"/>
        </w:rPr>
        <w:t xml:space="preserve"> J</w:t>
      </w:r>
      <w:r w:rsidRPr="00A71493">
        <w:rPr>
          <w:rFonts w:ascii="Book Antiqua" w:hAnsi="Book Antiqua"/>
          <w:sz w:val="24"/>
          <w:szCs w:val="24"/>
        </w:rPr>
        <w:t xml:space="preserve">, Wang A, Lin J, Wu L, Huang H, Wang S, Yang X, Lu X, Xu Y, Zhao H. Association between proton pump inhibitors and hepatic encephalopathy: A meta-analysis. </w:t>
      </w:r>
      <w:r w:rsidRPr="00A71493">
        <w:rPr>
          <w:rFonts w:ascii="Book Antiqua" w:hAnsi="Book Antiqua"/>
          <w:i/>
          <w:sz w:val="24"/>
          <w:szCs w:val="24"/>
        </w:rPr>
        <w:t>Medicine (Baltimore)</w:t>
      </w:r>
      <w:r w:rsidRPr="00A71493">
        <w:rPr>
          <w:rFonts w:ascii="Book Antiqua" w:hAnsi="Book Antiqua"/>
          <w:sz w:val="24"/>
          <w:szCs w:val="24"/>
        </w:rPr>
        <w:t xml:space="preserve"> 2017; </w:t>
      </w:r>
      <w:r w:rsidRPr="00A71493">
        <w:rPr>
          <w:rFonts w:ascii="Book Antiqua" w:hAnsi="Book Antiqua"/>
          <w:b/>
          <w:sz w:val="24"/>
          <w:szCs w:val="24"/>
        </w:rPr>
        <w:t>96</w:t>
      </w:r>
      <w:r w:rsidRPr="00A71493">
        <w:rPr>
          <w:rFonts w:ascii="Book Antiqua" w:hAnsi="Book Antiqua"/>
          <w:sz w:val="24"/>
          <w:szCs w:val="24"/>
        </w:rPr>
        <w:t>: e6723 [PMID: 28445288 DOI: 10.1097/MD.0000000000006723]</w:t>
      </w:r>
    </w:p>
    <w:p w14:paraId="1A65003C"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20 </w:t>
      </w:r>
      <w:r w:rsidRPr="00A71493">
        <w:rPr>
          <w:rFonts w:ascii="Book Antiqua" w:hAnsi="Book Antiqua"/>
          <w:b/>
          <w:sz w:val="24"/>
          <w:szCs w:val="24"/>
        </w:rPr>
        <w:t>Stroup DF</w:t>
      </w:r>
      <w:r w:rsidRPr="00A71493">
        <w:rPr>
          <w:rFonts w:ascii="Book Antiqua" w:hAnsi="Book Antiqua"/>
          <w:sz w:val="24"/>
          <w:szCs w:val="24"/>
        </w:rPr>
        <w:t xml:space="preserve">, Berlin JA, Morton SC, </w:t>
      </w:r>
      <w:proofErr w:type="spellStart"/>
      <w:r w:rsidRPr="00A71493">
        <w:rPr>
          <w:rFonts w:ascii="Book Antiqua" w:hAnsi="Book Antiqua"/>
          <w:sz w:val="24"/>
          <w:szCs w:val="24"/>
        </w:rPr>
        <w:t>Olkin</w:t>
      </w:r>
      <w:proofErr w:type="spellEnd"/>
      <w:r w:rsidRPr="00A71493">
        <w:rPr>
          <w:rFonts w:ascii="Book Antiqua" w:hAnsi="Book Antiqua"/>
          <w:sz w:val="24"/>
          <w:szCs w:val="24"/>
        </w:rPr>
        <w:t xml:space="preserve"> I, Williamson GD, Rennie D, Moher D, Becker BJ, </w:t>
      </w:r>
      <w:proofErr w:type="spellStart"/>
      <w:r w:rsidRPr="00A71493">
        <w:rPr>
          <w:rFonts w:ascii="Book Antiqua" w:hAnsi="Book Antiqua"/>
          <w:sz w:val="24"/>
          <w:szCs w:val="24"/>
        </w:rPr>
        <w:t>Sipe</w:t>
      </w:r>
      <w:proofErr w:type="spellEnd"/>
      <w:r w:rsidRPr="00A71493">
        <w:rPr>
          <w:rFonts w:ascii="Book Antiqua" w:hAnsi="Book Antiqua"/>
          <w:sz w:val="24"/>
          <w:szCs w:val="24"/>
        </w:rPr>
        <w:t xml:space="preserve"> TA, Thacker SB. Meta-analysis of observational studies in epidemiology: A proposal for reporting. Meta-analysis Of Observational Studies in Epidemiology (MOOSE) group. </w:t>
      </w:r>
      <w:r w:rsidRPr="00A71493">
        <w:rPr>
          <w:rFonts w:ascii="Book Antiqua" w:hAnsi="Book Antiqua"/>
          <w:i/>
          <w:sz w:val="24"/>
          <w:szCs w:val="24"/>
        </w:rPr>
        <w:t>JAMA</w:t>
      </w:r>
      <w:r w:rsidRPr="00A71493">
        <w:rPr>
          <w:rFonts w:ascii="Book Antiqua" w:hAnsi="Book Antiqua"/>
          <w:sz w:val="24"/>
          <w:szCs w:val="24"/>
        </w:rPr>
        <w:t xml:space="preserve"> 2000; </w:t>
      </w:r>
      <w:r w:rsidRPr="00A71493">
        <w:rPr>
          <w:rFonts w:ascii="Book Antiqua" w:hAnsi="Book Antiqua"/>
          <w:b/>
          <w:sz w:val="24"/>
          <w:szCs w:val="24"/>
        </w:rPr>
        <w:t>283</w:t>
      </w:r>
      <w:r w:rsidRPr="00A71493">
        <w:rPr>
          <w:rFonts w:ascii="Book Antiqua" w:hAnsi="Book Antiqua"/>
          <w:sz w:val="24"/>
          <w:szCs w:val="24"/>
        </w:rPr>
        <w:t>: 2008-2012 [PMID: 10789670 DOI: 10.1001/jama.283.15.2008]</w:t>
      </w:r>
    </w:p>
    <w:p w14:paraId="2FC6C342"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21 </w:t>
      </w:r>
      <w:r w:rsidRPr="00A71493">
        <w:rPr>
          <w:rFonts w:ascii="Book Antiqua" w:hAnsi="Book Antiqua"/>
          <w:b/>
          <w:sz w:val="24"/>
          <w:szCs w:val="24"/>
        </w:rPr>
        <w:t>Davies HT</w:t>
      </w:r>
      <w:r w:rsidRPr="00A71493">
        <w:rPr>
          <w:rFonts w:ascii="Book Antiqua" w:hAnsi="Book Antiqua"/>
          <w:sz w:val="24"/>
          <w:szCs w:val="24"/>
        </w:rPr>
        <w:t xml:space="preserve">, Crombie IK, </w:t>
      </w:r>
      <w:proofErr w:type="spellStart"/>
      <w:r w:rsidRPr="00A71493">
        <w:rPr>
          <w:rFonts w:ascii="Book Antiqua" w:hAnsi="Book Antiqua"/>
          <w:sz w:val="24"/>
          <w:szCs w:val="24"/>
        </w:rPr>
        <w:t>Tavakoli</w:t>
      </w:r>
      <w:proofErr w:type="spellEnd"/>
      <w:r w:rsidRPr="00A71493">
        <w:rPr>
          <w:rFonts w:ascii="Book Antiqua" w:hAnsi="Book Antiqua"/>
          <w:sz w:val="24"/>
          <w:szCs w:val="24"/>
        </w:rPr>
        <w:t xml:space="preserve"> M. When can odds ratios mislead? </w:t>
      </w:r>
      <w:r w:rsidRPr="00A71493">
        <w:rPr>
          <w:rFonts w:ascii="Book Antiqua" w:hAnsi="Book Antiqua"/>
          <w:i/>
          <w:sz w:val="24"/>
          <w:szCs w:val="24"/>
        </w:rPr>
        <w:t>BMJ</w:t>
      </w:r>
      <w:r w:rsidRPr="00A71493">
        <w:rPr>
          <w:rFonts w:ascii="Book Antiqua" w:hAnsi="Book Antiqua"/>
          <w:sz w:val="24"/>
          <w:szCs w:val="24"/>
        </w:rPr>
        <w:t xml:space="preserve"> 1998; </w:t>
      </w:r>
      <w:r w:rsidRPr="00A71493">
        <w:rPr>
          <w:rFonts w:ascii="Book Antiqua" w:hAnsi="Book Antiqua"/>
          <w:b/>
          <w:sz w:val="24"/>
          <w:szCs w:val="24"/>
        </w:rPr>
        <w:t>316</w:t>
      </w:r>
      <w:r w:rsidRPr="00A71493">
        <w:rPr>
          <w:rFonts w:ascii="Book Antiqua" w:hAnsi="Book Antiqua"/>
          <w:sz w:val="24"/>
          <w:szCs w:val="24"/>
        </w:rPr>
        <w:t>: 989-991 [PMID: 9550961 DOI: 10.1136/bmj.316.7136.989]</w:t>
      </w:r>
    </w:p>
    <w:p w14:paraId="773D7D0F"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highlight w:val="yellow"/>
        </w:rPr>
        <w:t xml:space="preserve">22 </w:t>
      </w:r>
      <w:r w:rsidRPr="00A71493">
        <w:rPr>
          <w:rFonts w:ascii="Book Antiqua" w:hAnsi="Book Antiqua"/>
          <w:b/>
          <w:sz w:val="24"/>
          <w:szCs w:val="24"/>
          <w:highlight w:val="yellow"/>
        </w:rPr>
        <w:t>Higgins JPT,</w:t>
      </w:r>
      <w:r w:rsidRPr="00A71493">
        <w:rPr>
          <w:rFonts w:ascii="Book Antiqua" w:hAnsi="Book Antiqua"/>
          <w:sz w:val="24"/>
          <w:szCs w:val="24"/>
          <w:highlight w:val="yellow"/>
        </w:rPr>
        <w:t xml:space="preserve"> Green S (editors). </w:t>
      </w:r>
      <w:bookmarkStart w:id="51" w:name="OLE_LINK57"/>
      <w:bookmarkStart w:id="52" w:name="OLE_LINK58"/>
      <w:r w:rsidRPr="00A71493">
        <w:rPr>
          <w:rFonts w:ascii="Book Antiqua" w:hAnsi="Book Antiqua"/>
          <w:sz w:val="24"/>
          <w:szCs w:val="24"/>
          <w:highlight w:val="yellow"/>
        </w:rPr>
        <w:t>Cochrane Handbook for Systematic Reviews of Interventions Version 5.1.0</w:t>
      </w:r>
      <w:bookmarkEnd w:id="51"/>
      <w:bookmarkEnd w:id="52"/>
      <w:r w:rsidRPr="00A71493">
        <w:rPr>
          <w:rFonts w:ascii="Book Antiqua" w:hAnsi="Book Antiqua"/>
          <w:sz w:val="24"/>
          <w:szCs w:val="24"/>
          <w:highlight w:val="yellow"/>
        </w:rPr>
        <w:t xml:space="preserve"> [updated March 2011]. The Cochrane Collaboration, 2011. Available from: http://handbook.cochrane.org</w:t>
      </w:r>
    </w:p>
    <w:p w14:paraId="0CF3B099"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highlight w:val="yellow"/>
        </w:rPr>
        <w:t xml:space="preserve">23 </w:t>
      </w:r>
      <w:proofErr w:type="spellStart"/>
      <w:r w:rsidRPr="00A71493">
        <w:rPr>
          <w:rFonts w:ascii="Book Antiqua" w:hAnsi="Book Antiqua"/>
          <w:b/>
          <w:sz w:val="24"/>
          <w:szCs w:val="24"/>
          <w:highlight w:val="yellow"/>
        </w:rPr>
        <w:t>Shanab</w:t>
      </w:r>
      <w:proofErr w:type="spellEnd"/>
      <w:r w:rsidRPr="00A71493">
        <w:rPr>
          <w:rFonts w:ascii="Book Antiqua" w:hAnsi="Book Antiqua"/>
          <w:b/>
          <w:sz w:val="24"/>
          <w:szCs w:val="24"/>
          <w:highlight w:val="yellow"/>
        </w:rPr>
        <w:t xml:space="preserve"> AA,</w:t>
      </w:r>
      <w:r w:rsidRPr="00A71493">
        <w:rPr>
          <w:rFonts w:ascii="Book Antiqua" w:hAnsi="Book Antiqua"/>
          <w:sz w:val="24"/>
          <w:szCs w:val="24"/>
          <w:highlight w:val="yellow"/>
        </w:rPr>
        <w:t xml:space="preserve"> Smith A, Abbas M, </w:t>
      </w:r>
      <w:proofErr w:type="spellStart"/>
      <w:r w:rsidRPr="00A71493">
        <w:rPr>
          <w:rFonts w:ascii="Book Antiqua" w:hAnsi="Book Antiqua"/>
          <w:sz w:val="24"/>
          <w:szCs w:val="24"/>
          <w:highlight w:val="yellow"/>
        </w:rPr>
        <w:t>Iriarte</w:t>
      </w:r>
      <w:proofErr w:type="spellEnd"/>
      <w:r w:rsidRPr="00A71493">
        <w:rPr>
          <w:rFonts w:ascii="Book Antiqua" w:hAnsi="Book Antiqua"/>
          <w:sz w:val="24"/>
          <w:szCs w:val="24"/>
          <w:highlight w:val="yellow"/>
        </w:rPr>
        <w:t xml:space="preserve"> R, Nightingale P, </w:t>
      </w:r>
      <w:proofErr w:type="spellStart"/>
      <w:r w:rsidRPr="00A71493">
        <w:rPr>
          <w:rFonts w:ascii="Book Antiqua" w:hAnsi="Book Antiqua"/>
          <w:sz w:val="24"/>
          <w:szCs w:val="24"/>
          <w:highlight w:val="yellow"/>
        </w:rPr>
        <w:t>Gunson</w:t>
      </w:r>
      <w:proofErr w:type="spellEnd"/>
      <w:r w:rsidRPr="00A71493">
        <w:rPr>
          <w:rFonts w:ascii="Book Antiqua" w:hAnsi="Book Antiqua"/>
          <w:sz w:val="24"/>
          <w:szCs w:val="24"/>
          <w:highlight w:val="yellow"/>
        </w:rPr>
        <w:t xml:space="preserve"> B, Holt AP, </w:t>
      </w:r>
      <w:proofErr w:type="spellStart"/>
      <w:r w:rsidRPr="00A71493">
        <w:rPr>
          <w:rFonts w:ascii="Book Antiqua" w:hAnsi="Book Antiqua"/>
          <w:sz w:val="24"/>
          <w:szCs w:val="24"/>
          <w:highlight w:val="yellow"/>
        </w:rPr>
        <w:t>Rajoriya</w:t>
      </w:r>
      <w:proofErr w:type="spellEnd"/>
      <w:r w:rsidRPr="00A71493">
        <w:rPr>
          <w:rFonts w:ascii="Book Antiqua" w:hAnsi="Book Antiqua"/>
          <w:sz w:val="24"/>
          <w:szCs w:val="24"/>
          <w:highlight w:val="yellow"/>
        </w:rPr>
        <w:t xml:space="preserve"> N. </w:t>
      </w:r>
      <w:bookmarkStart w:id="53" w:name="OLE_LINK59"/>
      <w:bookmarkStart w:id="54" w:name="OLE_LINK60"/>
      <w:r w:rsidRPr="00A71493">
        <w:rPr>
          <w:rFonts w:ascii="Book Antiqua" w:hAnsi="Book Antiqua"/>
          <w:sz w:val="24"/>
          <w:szCs w:val="24"/>
          <w:highlight w:val="yellow"/>
        </w:rPr>
        <w:t>Proton pump inhibitors-a risk factor for hepatic encephalopathy in patients listed for liver transplantation?</w:t>
      </w:r>
      <w:r w:rsidRPr="00A71493">
        <w:rPr>
          <w:rFonts w:ascii="Book Antiqua" w:hAnsi="Book Antiqua"/>
          <w:i/>
          <w:sz w:val="24"/>
          <w:szCs w:val="24"/>
          <w:highlight w:val="yellow"/>
        </w:rPr>
        <w:t xml:space="preserve"> </w:t>
      </w:r>
      <w:bookmarkEnd w:id="53"/>
      <w:bookmarkEnd w:id="54"/>
      <w:r w:rsidRPr="00A71493">
        <w:rPr>
          <w:rFonts w:ascii="Book Antiqua" w:hAnsi="Book Antiqua"/>
          <w:i/>
          <w:sz w:val="24"/>
          <w:szCs w:val="24"/>
          <w:highlight w:val="yellow"/>
        </w:rPr>
        <w:t>Hepatology</w:t>
      </w:r>
      <w:r w:rsidRPr="00A71493">
        <w:rPr>
          <w:rFonts w:ascii="Book Antiqua" w:hAnsi="Book Antiqua"/>
          <w:sz w:val="24"/>
          <w:szCs w:val="24"/>
          <w:highlight w:val="yellow"/>
        </w:rPr>
        <w:t xml:space="preserve"> 2018; </w:t>
      </w:r>
      <w:r w:rsidRPr="00A71493">
        <w:rPr>
          <w:rFonts w:ascii="Book Antiqua" w:hAnsi="Book Antiqua"/>
          <w:b/>
          <w:sz w:val="24"/>
          <w:szCs w:val="24"/>
          <w:highlight w:val="yellow"/>
        </w:rPr>
        <w:t>68</w:t>
      </w:r>
      <w:r w:rsidRPr="00A71493">
        <w:rPr>
          <w:rFonts w:ascii="Book Antiqua" w:hAnsi="Book Antiqua"/>
          <w:sz w:val="24"/>
          <w:szCs w:val="24"/>
          <w:highlight w:val="yellow"/>
        </w:rPr>
        <w:t>: 1176A [DOI: 10.1002/hep.30257]</w:t>
      </w:r>
    </w:p>
    <w:p w14:paraId="7BCA92B4"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highlight w:val="yellow"/>
        </w:rPr>
        <w:t xml:space="preserve">24 </w:t>
      </w:r>
      <w:r w:rsidRPr="00A71493">
        <w:rPr>
          <w:rFonts w:ascii="Book Antiqua" w:hAnsi="Book Antiqua"/>
          <w:b/>
          <w:sz w:val="24"/>
          <w:szCs w:val="24"/>
          <w:highlight w:val="yellow"/>
        </w:rPr>
        <w:t>Tapper EB,</w:t>
      </w:r>
      <w:r w:rsidRPr="00A71493">
        <w:rPr>
          <w:rFonts w:ascii="Book Antiqua" w:hAnsi="Book Antiqua"/>
          <w:sz w:val="24"/>
          <w:szCs w:val="24"/>
          <w:highlight w:val="yellow"/>
        </w:rPr>
        <w:t xml:space="preserve"> Henderson J, </w:t>
      </w:r>
      <w:proofErr w:type="spellStart"/>
      <w:r w:rsidRPr="00A71493">
        <w:rPr>
          <w:rFonts w:ascii="Book Antiqua" w:hAnsi="Book Antiqua"/>
          <w:sz w:val="24"/>
          <w:szCs w:val="24"/>
          <w:highlight w:val="yellow"/>
        </w:rPr>
        <w:t>Baki</w:t>
      </w:r>
      <w:proofErr w:type="spellEnd"/>
      <w:r w:rsidRPr="00A71493">
        <w:rPr>
          <w:rFonts w:ascii="Book Antiqua" w:hAnsi="Book Antiqua"/>
          <w:sz w:val="24"/>
          <w:szCs w:val="24"/>
          <w:highlight w:val="yellow"/>
        </w:rPr>
        <w:t xml:space="preserve"> J, Parikh ND, </w:t>
      </w:r>
      <w:proofErr w:type="spellStart"/>
      <w:r w:rsidRPr="00A71493">
        <w:rPr>
          <w:rFonts w:ascii="Book Antiqua" w:hAnsi="Book Antiqua"/>
          <w:sz w:val="24"/>
          <w:szCs w:val="24"/>
          <w:highlight w:val="yellow"/>
        </w:rPr>
        <w:t>Lok</w:t>
      </w:r>
      <w:proofErr w:type="spellEnd"/>
      <w:r w:rsidRPr="00A71493">
        <w:rPr>
          <w:rFonts w:ascii="Book Antiqua" w:hAnsi="Book Antiqua"/>
          <w:sz w:val="24"/>
          <w:szCs w:val="24"/>
          <w:highlight w:val="yellow"/>
        </w:rPr>
        <w:t xml:space="preserve"> AS. </w:t>
      </w:r>
      <w:bookmarkStart w:id="55" w:name="OLE_LINK61"/>
      <w:bookmarkStart w:id="56" w:name="OLE_LINK62"/>
      <w:r w:rsidRPr="00A71493">
        <w:rPr>
          <w:rFonts w:ascii="Book Antiqua" w:hAnsi="Book Antiqua"/>
          <w:sz w:val="24"/>
          <w:szCs w:val="24"/>
          <w:highlight w:val="yellow"/>
        </w:rPr>
        <w:t xml:space="preserve">Incidence and predictors of hepatic encephalopathy in a population-based cohort of older </w:t>
      </w:r>
      <w:proofErr w:type="spellStart"/>
      <w:r w:rsidRPr="00A71493">
        <w:rPr>
          <w:rFonts w:ascii="Book Antiqua" w:hAnsi="Book Antiqua"/>
          <w:sz w:val="24"/>
          <w:szCs w:val="24"/>
          <w:highlight w:val="yellow"/>
        </w:rPr>
        <w:t>americans</w:t>
      </w:r>
      <w:proofErr w:type="spellEnd"/>
      <w:r w:rsidRPr="00A71493">
        <w:rPr>
          <w:rFonts w:ascii="Book Antiqua" w:hAnsi="Book Antiqua"/>
          <w:sz w:val="24"/>
          <w:szCs w:val="24"/>
          <w:highlight w:val="yellow"/>
        </w:rPr>
        <w:t xml:space="preserve"> with cirrhosis: Role of opiates, benzodiazepines and proton-pump inhibitors (PPIs)</w:t>
      </w:r>
      <w:bookmarkEnd w:id="55"/>
      <w:bookmarkEnd w:id="56"/>
      <w:r w:rsidRPr="00A71493">
        <w:rPr>
          <w:rFonts w:ascii="Book Antiqua" w:hAnsi="Book Antiqua"/>
          <w:sz w:val="24"/>
          <w:szCs w:val="24"/>
          <w:highlight w:val="yellow"/>
        </w:rPr>
        <w:t xml:space="preserve">. </w:t>
      </w:r>
      <w:r w:rsidRPr="00A71493">
        <w:rPr>
          <w:rFonts w:ascii="Book Antiqua" w:hAnsi="Book Antiqua"/>
          <w:i/>
          <w:sz w:val="24"/>
          <w:szCs w:val="24"/>
          <w:highlight w:val="yellow"/>
        </w:rPr>
        <w:t xml:space="preserve">Hepatology </w:t>
      </w:r>
      <w:r w:rsidRPr="00A71493">
        <w:rPr>
          <w:rFonts w:ascii="Book Antiqua" w:hAnsi="Book Antiqua"/>
          <w:sz w:val="24"/>
          <w:szCs w:val="24"/>
          <w:highlight w:val="yellow"/>
        </w:rPr>
        <w:t xml:space="preserve">2018; </w:t>
      </w:r>
      <w:r w:rsidRPr="00A71493">
        <w:rPr>
          <w:rFonts w:ascii="Book Antiqua" w:hAnsi="Book Antiqua"/>
          <w:b/>
          <w:sz w:val="24"/>
          <w:szCs w:val="24"/>
          <w:highlight w:val="yellow"/>
        </w:rPr>
        <w:t>68</w:t>
      </w:r>
      <w:r w:rsidRPr="00A71493">
        <w:rPr>
          <w:rFonts w:ascii="Book Antiqua" w:hAnsi="Book Antiqua"/>
          <w:sz w:val="24"/>
          <w:szCs w:val="24"/>
          <w:highlight w:val="yellow"/>
        </w:rPr>
        <w:t>: 138A [DOI: 10.1002/hep.30256]</w:t>
      </w:r>
    </w:p>
    <w:p w14:paraId="256AFB47" w14:textId="77777777" w:rsidR="000A1B63" w:rsidRPr="00A71493" w:rsidRDefault="000A1B63" w:rsidP="000A1B63">
      <w:pPr>
        <w:spacing w:line="360" w:lineRule="auto"/>
        <w:rPr>
          <w:rFonts w:ascii="Book Antiqua" w:hAnsi="Book Antiqua"/>
          <w:sz w:val="24"/>
          <w:szCs w:val="24"/>
        </w:rPr>
      </w:pPr>
      <w:r w:rsidRPr="00006E5A">
        <w:rPr>
          <w:rFonts w:ascii="Book Antiqua" w:hAnsi="Book Antiqua"/>
          <w:sz w:val="24"/>
          <w:szCs w:val="24"/>
          <w:highlight w:val="yellow"/>
        </w:rPr>
        <w:t xml:space="preserve">25 </w:t>
      </w:r>
      <w:proofErr w:type="spellStart"/>
      <w:r w:rsidRPr="00006E5A">
        <w:rPr>
          <w:rFonts w:ascii="Book Antiqua" w:hAnsi="Book Antiqua"/>
          <w:b/>
          <w:sz w:val="24"/>
          <w:szCs w:val="24"/>
          <w:highlight w:val="yellow"/>
        </w:rPr>
        <w:t>Matei</w:t>
      </w:r>
      <w:proofErr w:type="spellEnd"/>
      <w:r w:rsidRPr="00006E5A">
        <w:rPr>
          <w:rFonts w:ascii="Book Antiqua" w:hAnsi="Book Antiqua"/>
          <w:b/>
          <w:sz w:val="24"/>
          <w:szCs w:val="24"/>
          <w:highlight w:val="yellow"/>
        </w:rPr>
        <w:t xml:space="preserve"> D,</w:t>
      </w:r>
      <w:r w:rsidRPr="00006E5A">
        <w:rPr>
          <w:rFonts w:ascii="Book Antiqua" w:hAnsi="Book Antiqua"/>
          <w:sz w:val="24"/>
          <w:szCs w:val="24"/>
          <w:highlight w:val="yellow"/>
        </w:rPr>
        <w:t xml:space="preserve"> </w:t>
      </w:r>
      <w:proofErr w:type="spellStart"/>
      <w:r w:rsidRPr="00006E5A">
        <w:rPr>
          <w:rFonts w:ascii="Book Antiqua" w:hAnsi="Book Antiqua"/>
          <w:sz w:val="24"/>
          <w:szCs w:val="24"/>
          <w:highlight w:val="yellow"/>
        </w:rPr>
        <w:t>Pasca</w:t>
      </w:r>
      <w:proofErr w:type="spellEnd"/>
      <w:r w:rsidRPr="00006E5A">
        <w:rPr>
          <w:rFonts w:ascii="Book Antiqua" w:hAnsi="Book Antiqua"/>
          <w:sz w:val="24"/>
          <w:szCs w:val="24"/>
          <w:highlight w:val="yellow"/>
        </w:rPr>
        <w:t xml:space="preserve"> S, David A, </w:t>
      </w:r>
      <w:proofErr w:type="spellStart"/>
      <w:r w:rsidRPr="00006E5A">
        <w:rPr>
          <w:rFonts w:ascii="Book Antiqua" w:hAnsi="Book Antiqua"/>
          <w:sz w:val="24"/>
          <w:szCs w:val="24"/>
          <w:highlight w:val="yellow"/>
        </w:rPr>
        <w:t>Procopet</w:t>
      </w:r>
      <w:proofErr w:type="spellEnd"/>
      <w:r w:rsidRPr="00006E5A">
        <w:rPr>
          <w:rFonts w:ascii="Book Antiqua" w:hAnsi="Book Antiqua"/>
          <w:sz w:val="24"/>
          <w:szCs w:val="24"/>
          <w:highlight w:val="yellow"/>
        </w:rPr>
        <w:t xml:space="preserve"> B, </w:t>
      </w:r>
      <w:proofErr w:type="spellStart"/>
      <w:r w:rsidRPr="00006E5A">
        <w:rPr>
          <w:rFonts w:ascii="Book Antiqua" w:hAnsi="Book Antiqua"/>
          <w:sz w:val="24"/>
          <w:szCs w:val="24"/>
          <w:highlight w:val="yellow"/>
        </w:rPr>
        <w:t>Stefanescu</w:t>
      </w:r>
      <w:proofErr w:type="spellEnd"/>
      <w:r w:rsidRPr="00006E5A">
        <w:rPr>
          <w:rFonts w:ascii="Book Antiqua" w:hAnsi="Book Antiqua"/>
          <w:sz w:val="24"/>
          <w:szCs w:val="24"/>
          <w:highlight w:val="yellow"/>
        </w:rPr>
        <w:t xml:space="preserve"> H, </w:t>
      </w:r>
      <w:proofErr w:type="spellStart"/>
      <w:r w:rsidRPr="00006E5A">
        <w:rPr>
          <w:rFonts w:ascii="Book Antiqua" w:hAnsi="Book Antiqua"/>
          <w:sz w:val="24"/>
          <w:szCs w:val="24"/>
          <w:highlight w:val="yellow"/>
        </w:rPr>
        <w:t>Vesa</w:t>
      </w:r>
      <w:proofErr w:type="spellEnd"/>
      <w:r w:rsidRPr="00006E5A">
        <w:rPr>
          <w:rFonts w:ascii="Book Antiqua" w:hAnsi="Book Antiqua"/>
          <w:sz w:val="24"/>
          <w:szCs w:val="24"/>
          <w:highlight w:val="yellow"/>
        </w:rPr>
        <w:t xml:space="preserve"> S, </w:t>
      </w:r>
      <w:proofErr w:type="spellStart"/>
      <w:r w:rsidRPr="00006E5A">
        <w:rPr>
          <w:rFonts w:ascii="Book Antiqua" w:hAnsi="Book Antiqua"/>
          <w:sz w:val="24"/>
          <w:szCs w:val="24"/>
          <w:highlight w:val="yellow"/>
        </w:rPr>
        <w:t>Andreica</w:t>
      </w:r>
      <w:proofErr w:type="spellEnd"/>
      <w:r w:rsidRPr="00006E5A">
        <w:rPr>
          <w:rFonts w:ascii="Book Antiqua" w:hAnsi="Book Antiqua"/>
          <w:sz w:val="24"/>
          <w:szCs w:val="24"/>
          <w:highlight w:val="yellow"/>
        </w:rPr>
        <w:t xml:space="preserve"> V, </w:t>
      </w:r>
      <w:proofErr w:type="spellStart"/>
      <w:r w:rsidRPr="00006E5A">
        <w:rPr>
          <w:rFonts w:ascii="Book Antiqua" w:hAnsi="Book Antiqua"/>
          <w:sz w:val="24"/>
          <w:szCs w:val="24"/>
          <w:highlight w:val="yellow"/>
        </w:rPr>
        <w:t>Tantau</w:t>
      </w:r>
      <w:proofErr w:type="spellEnd"/>
      <w:r w:rsidRPr="00006E5A">
        <w:rPr>
          <w:rFonts w:ascii="Book Antiqua" w:hAnsi="Book Antiqua"/>
          <w:sz w:val="24"/>
          <w:szCs w:val="24"/>
          <w:highlight w:val="yellow"/>
        </w:rPr>
        <w:t xml:space="preserve"> M. </w:t>
      </w:r>
      <w:bookmarkStart w:id="57" w:name="OLE_LINK63"/>
      <w:bookmarkStart w:id="58" w:name="OLE_LINK64"/>
      <w:bookmarkStart w:id="59" w:name="OLE_LINK65"/>
      <w:r w:rsidRPr="00006E5A">
        <w:rPr>
          <w:rFonts w:ascii="Book Antiqua" w:hAnsi="Book Antiqua"/>
          <w:sz w:val="24"/>
          <w:szCs w:val="24"/>
          <w:highlight w:val="yellow"/>
        </w:rPr>
        <w:t>Proton pump inhibitors increase the risk for hepatic encephalopathy in patients with cirrhosis and ascites</w:t>
      </w:r>
      <w:bookmarkEnd w:id="57"/>
      <w:bookmarkEnd w:id="58"/>
      <w:bookmarkEnd w:id="59"/>
      <w:r w:rsidRPr="00006E5A">
        <w:rPr>
          <w:rFonts w:ascii="Book Antiqua" w:hAnsi="Book Antiqua"/>
          <w:sz w:val="24"/>
          <w:szCs w:val="24"/>
          <w:highlight w:val="yellow"/>
        </w:rPr>
        <w:t xml:space="preserve">. </w:t>
      </w:r>
      <w:r w:rsidRPr="00006E5A">
        <w:rPr>
          <w:rFonts w:ascii="Book Antiqua" w:hAnsi="Book Antiqua"/>
          <w:i/>
          <w:sz w:val="24"/>
          <w:szCs w:val="24"/>
          <w:highlight w:val="yellow"/>
        </w:rPr>
        <w:t xml:space="preserve">J </w:t>
      </w:r>
      <w:proofErr w:type="spellStart"/>
      <w:r w:rsidRPr="00006E5A">
        <w:rPr>
          <w:rFonts w:ascii="Book Antiqua" w:hAnsi="Book Antiqua"/>
          <w:i/>
          <w:sz w:val="24"/>
          <w:szCs w:val="24"/>
          <w:highlight w:val="yellow"/>
        </w:rPr>
        <w:t>Hepatol</w:t>
      </w:r>
      <w:proofErr w:type="spellEnd"/>
      <w:r w:rsidRPr="00006E5A">
        <w:rPr>
          <w:rFonts w:ascii="Book Antiqua" w:hAnsi="Book Antiqua"/>
          <w:sz w:val="24"/>
          <w:szCs w:val="24"/>
          <w:highlight w:val="yellow"/>
        </w:rPr>
        <w:t xml:space="preserve"> 2017; 66: S136</w:t>
      </w:r>
    </w:p>
    <w:p w14:paraId="14369E40"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26 </w:t>
      </w:r>
      <w:r w:rsidRPr="00A71493">
        <w:rPr>
          <w:rFonts w:ascii="Book Antiqua" w:hAnsi="Book Antiqua"/>
          <w:b/>
          <w:sz w:val="24"/>
          <w:szCs w:val="24"/>
        </w:rPr>
        <w:t>Cole HL</w:t>
      </w:r>
      <w:r w:rsidRPr="00A71493">
        <w:rPr>
          <w:rFonts w:ascii="Book Antiqua" w:hAnsi="Book Antiqua"/>
          <w:sz w:val="24"/>
          <w:szCs w:val="24"/>
        </w:rPr>
        <w:t xml:space="preserve">, Pennycook S, Hayes PC. The impact of proton pump inhibitor therapy on patients with liver disease.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2016; </w:t>
      </w:r>
      <w:r w:rsidRPr="00A71493">
        <w:rPr>
          <w:rFonts w:ascii="Book Antiqua" w:hAnsi="Book Antiqua"/>
          <w:b/>
          <w:sz w:val="24"/>
          <w:szCs w:val="24"/>
        </w:rPr>
        <w:t>44</w:t>
      </w:r>
      <w:r w:rsidRPr="00A71493">
        <w:rPr>
          <w:rFonts w:ascii="Book Antiqua" w:hAnsi="Book Antiqua"/>
          <w:sz w:val="24"/>
          <w:szCs w:val="24"/>
        </w:rPr>
        <w:t>: 1213-1223 [PMID: 27774677 DOI: 10.1111/apt.13827]</w:t>
      </w:r>
    </w:p>
    <w:p w14:paraId="0E61AD5B"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27 </w:t>
      </w:r>
      <w:r w:rsidRPr="00A71493">
        <w:rPr>
          <w:rFonts w:ascii="Book Antiqua" w:hAnsi="Book Antiqua"/>
          <w:b/>
          <w:sz w:val="24"/>
          <w:szCs w:val="24"/>
        </w:rPr>
        <w:t>Schiavon LL</w:t>
      </w:r>
      <w:r w:rsidRPr="00A71493">
        <w:rPr>
          <w:rFonts w:ascii="Book Antiqua" w:hAnsi="Book Antiqua"/>
          <w:sz w:val="24"/>
          <w:szCs w:val="24"/>
        </w:rPr>
        <w:t xml:space="preserve">, Silva TE, Fischer J, </w:t>
      </w:r>
      <w:proofErr w:type="spellStart"/>
      <w:r w:rsidRPr="00A71493">
        <w:rPr>
          <w:rFonts w:ascii="Book Antiqua" w:hAnsi="Book Antiqua"/>
          <w:sz w:val="24"/>
          <w:szCs w:val="24"/>
        </w:rPr>
        <w:t>Narciso</w:t>
      </w:r>
      <w:proofErr w:type="spellEnd"/>
      <w:r w:rsidRPr="00A71493">
        <w:rPr>
          <w:rFonts w:ascii="Book Antiqua" w:hAnsi="Book Antiqua"/>
          <w:sz w:val="24"/>
          <w:szCs w:val="24"/>
        </w:rPr>
        <w:t xml:space="preserve">-Schiavon JL. Letter: Proton pump inhibitors and prognosis of cirrhosis - searching for the balance point.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2017; </w:t>
      </w:r>
      <w:r w:rsidRPr="00A71493">
        <w:rPr>
          <w:rFonts w:ascii="Book Antiqua" w:hAnsi="Book Antiqua"/>
          <w:b/>
          <w:sz w:val="24"/>
          <w:szCs w:val="24"/>
        </w:rPr>
        <w:t>45</w:t>
      </w:r>
      <w:r w:rsidRPr="00A71493">
        <w:rPr>
          <w:rFonts w:ascii="Book Antiqua" w:hAnsi="Book Antiqua"/>
          <w:sz w:val="24"/>
          <w:szCs w:val="24"/>
        </w:rPr>
        <w:t>: 378-379 [PMID: 27933687 DOI: 10.1111/apt.13873]</w:t>
      </w:r>
    </w:p>
    <w:p w14:paraId="54444710"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28 </w:t>
      </w:r>
      <w:r w:rsidRPr="00A71493">
        <w:rPr>
          <w:rFonts w:ascii="Book Antiqua" w:hAnsi="Book Antiqua"/>
          <w:b/>
          <w:sz w:val="24"/>
          <w:szCs w:val="24"/>
        </w:rPr>
        <w:t>Schulz KF</w:t>
      </w:r>
      <w:r w:rsidRPr="00A71493">
        <w:rPr>
          <w:rFonts w:ascii="Book Antiqua" w:hAnsi="Book Antiqua"/>
          <w:sz w:val="24"/>
          <w:szCs w:val="24"/>
        </w:rPr>
        <w:t xml:space="preserve">, Grimes DA. Case-control studies: Research in reverse. </w:t>
      </w:r>
      <w:r w:rsidRPr="00A71493">
        <w:rPr>
          <w:rFonts w:ascii="Book Antiqua" w:hAnsi="Book Antiqua"/>
          <w:i/>
          <w:sz w:val="24"/>
          <w:szCs w:val="24"/>
        </w:rPr>
        <w:t>Lancet</w:t>
      </w:r>
      <w:r w:rsidRPr="00A71493">
        <w:rPr>
          <w:rFonts w:ascii="Book Antiqua" w:hAnsi="Book Antiqua"/>
          <w:sz w:val="24"/>
          <w:szCs w:val="24"/>
        </w:rPr>
        <w:t xml:space="preserve"> 2002; </w:t>
      </w:r>
      <w:r w:rsidRPr="00A71493">
        <w:rPr>
          <w:rFonts w:ascii="Book Antiqua" w:hAnsi="Book Antiqua"/>
          <w:b/>
          <w:sz w:val="24"/>
          <w:szCs w:val="24"/>
        </w:rPr>
        <w:t>359</w:t>
      </w:r>
      <w:r w:rsidRPr="00A71493">
        <w:rPr>
          <w:rFonts w:ascii="Book Antiqua" w:hAnsi="Book Antiqua"/>
          <w:sz w:val="24"/>
          <w:szCs w:val="24"/>
        </w:rPr>
        <w:t>: 431-434 [PMID: 11844534 DOI: 10.1016/S0140-6736(02)07605-5]</w:t>
      </w:r>
    </w:p>
    <w:p w14:paraId="5A6703D5"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29 </w:t>
      </w:r>
      <w:r w:rsidRPr="00A71493">
        <w:rPr>
          <w:rFonts w:ascii="Book Antiqua" w:hAnsi="Book Antiqua"/>
          <w:b/>
          <w:sz w:val="24"/>
          <w:szCs w:val="24"/>
        </w:rPr>
        <w:t>Schmidt CO</w:t>
      </w:r>
      <w:r w:rsidRPr="00A71493">
        <w:rPr>
          <w:rFonts w:ascii="Book Antiqua" w:hAnsi="Book Antiqua"/>
          <w:sz w:val="24"/>
          <w:szCs w:val="24"/>
        </w:rPr>
        <w:t xml:space="preserve">, </w:t>
      </w:r>
      <w:proofErr w:type="spellStart"/>
      <w:r w:rsidRPr="00A71493">
        <w:rPr>
          <w:rFonts w:ascii="Book Antiqua" w:hAnsi="Book Antiqua"/>
          <w:sz w:val="24"/>
          <w:szCs w:val="24"/>
        </w:rPr>
        <w:t>Kohlmann</w:t>
      </w:r>
      <w:proofErr w:type="spellEnd"/>
      <w:r w:rsidRPr="00A71493">
        <w:rPr>
          <w:rFonts w:ascii="Book Antiqua" w:hAnsi="Book Antiqua"/>
          <w:sz w:val="24"/>
          <w:szCs w:val="24"/>
        </w:rPr>
        <w:t xml:space="preserve"> T. When to use the odds ratio or the relative risk? </w:t>
      </w:r>
      <w:proofErr w:type="spellStart"/>
      <w:r w:rsidRPr="00A71493">
        <w:rPr>
          <w:rFonts w:ascii="Book Antiqua" w:hAnsi="Book Antiqua"/>
          <w:i/>
          <w:sz w:val="24"/>
          <w:szCs w:val="24"/>
        </w:rPr>
        <w:t>Int</w:t>
      </w:r>
      <w:proofErr w:type="spellEnd"/>
      <w:r w:rsidRPr="00A71493">
        <w:rPr>
          <w:rFonts w:ascii="Book Antiqua" w:hAnsi="Book Antiqua"/>
          <w:i/>
          <w:sz w:val="24"/>
          <w:szCs w:val="24"/>
        </w:rPr>
        <w:t xml:space="preserve"> J Public Health</w:t>
      </w:r>
      <w:r w:rsidRPr="00A71493">
        <w:rPr>
          <w:rFonts w:ascii="Book Antiqua" w:hAnsi="Book Antiqua"/>
          <w:sz w:val="24"/>
          <w:szCs w:val="24"/>
        </w:rPr>
        <w:t xml:space="preserve"> 2008; </w:t>
      </w:r>
      <w:r w:rsidRPr="00A71493">
        <w:rPr>
          <w:rFonts w:ascii="Book Antiqua" w:hAnsi="Book Antiqua"/>
          <w:b/>
          <w:sz w:val="24"/>
          <w:szCs w:val="24"/>
        </w:rPr>
        <w:t>53</w:t>
      </w:r>
      <w:r w:rsidRPr="00A71493">
        <w:rPr>
          <w:rFonts w:ascii="Book Antiqua" w:hAnsi="Book Antiqua"/>
          <w:sz w:val="24"/>
          <w:szCs w:val="24"/>
        </w:rPr>
        <w:t>: 165-167 [PMID: 19127890 DOI: 10.1007/s00038-008-7068-3]</w:t>
      </w:r>
    </w:p>
    <w:p w14:paraId="3D0AE61C"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30 </w:t>
      </w:r>
      <w:proofErr w:type="spellStart"/>
      <w:r w:rsidRPr="00A71493">
        <w:rPr>
          <w:rFonts w:ascii="Book Antiqua" w:hAnsi="Book Antiqua"/>
          <w:b/>
          <w:sz w:val="24"/>
          <w:szCs w:val="24"/>
        </w:rPr>
        <w:t>Osawa</w:t>
      </w:r>
      <w:proofErr w:type="spellEnd"/>
      <w:r w:rsidRPr="00A71493">
        <w:rPr>
          <w:rFonts w:ascii="Book Antiqua" w:hAnsi="Book Antiqua"/>
          <w:b/>
          <w:sz w:val="24"/>
          <w:szCs w:val="24"/>
        </w:rPr>
        <w:t xml:space="preserve"> H</w:t>
      </w:r>
      <w:r w:rsidRPr="00A71493">
        <w:rPr>
          <w:rFonts w:ascii="Book Antiqua" w:hAnsi="Book Antiqua"/>
          <w:sz w:val="24"/>
          <w:szCs w:val="24"/>
        </w:rPr>
        <w:t xml:space="preserve">, Kita H, Ohnishi H, Hoshino H, Mutoh H, </w:t>
      </w:r>
      <w:proofErr w:type="spellStart"/>
      <w:r w:rsidRPr="00A71493">
        <w:rPr>
          <w:rFonts w:ascii="Book Antiqua" w:hAnsi="Book Antiqua"/>
          <w:sz w:val="24"/>
          <w:szCs w:val="24"/>
        </w:rPr>
        <w:t>Ishino</w:t>
      </w:r>
      <w:proofErr w:type="spellEnd"/>
      <w:r w:rsidRPr="00A71493">
        <w:rPr>
          <w:rFonts w:ascii="Book Antiqua" w:hAnsi="Book Antiqua"/>
          <w:sz w:val="24"/>
          <w:szCs w:val="24"/>
        </w:rPr>
        <w:t xml:space="preserve"> Y, Watanabe E, Satoh K, Sugano K. Helicobacter pylori eradication induces marked increase in H+/K+-adenosine </w:t>
      </w:r>
      <w:proofErr w:type="spellStart"/>
      <w:r w:rsidRPr="00A71493">
        <w:rPr>
          <w:rFonts w:ascii="Book Antiqua" w:hAnsi="Book Antiqua"/>
          <w:sz w:val="24"/>
          <w:szCs w:val="24"/>
        </w:rPr>
        <w:t>triphosphatase</w:t>
      </w:r>
      <w:proofErr w:type="spellEnd"/>
      <w:r w:rsidRPr="00A71493">
        <w:rPr>
          <w:rFonts w:ascii="Book Antiqua" w:hAnsi="Book Antiqua"/>
          <w:sz w:val="24"/>
          <w:szCs w:val="24"/>
        </w:rPr>
        <w:t xml:space="preserve"> expression without altering parietal cell number in human gastric mucosa. </w:t>
      </w:r>
      <w:r w:rsidRPr="00A71493">
        <w:rPr>
          <w:rFonts w:ascii="Book Antiqua" w:hAnsi="Book Antiqua"/>
          <w:i/>
          <w:sz w:val="24"/>
          <w:szCs w:val="24"/>
        </w:rPr>
        <w:t>Gut</w:t>
      </w:r>
      <w:r w:rsidRPr="00A71493">
        <w:rPr>
          <w:rFonts w:ascii="Book Antiqua" w:hAnsi="Book Antiqua"/>
          <w:sz w:val="24"/>
          <w:szCs w:val="24"/>
        </w:rPr>
        <w:t xml:space="preserve"> 2006; </w:t>
      </w:r>
      <w:r w:rsidRPr="00A71493">
        <w:rPr>
          <w:rFonts w:ascii="Book Antiqua" w:hAnsi="Book Antiqua"/>
          <w:b/>
          <w:sz w:val="24"/>
          <w:szCs w:val="24"/>
        </w:rPr>
        <w:t>55</w:t>
      </w:r>
      <w:r w:rsidRPr="00A71493">
        <w:rPr>
          <w:rFonts w:ascii="Book Antiqua" w:hAnsi="Book Antiqua"/>
          <w:sz w:val="24"/>
          <w:szCs w:val="24"/>
        </w:rPr>
        <w:t>: 152-157 [PMID: 15872000 DOI: 10.1136/gut.2005.066464]</w:t>
      </w:r>
    </w:p>
    <w:p w14:paraId="662A90F1"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31 </w:t>
      </w:r>
      <w:proofErr w:type="spellStart"/>
      <w:r w:rsidRPr="00A71493">
        <w:rPr>
          <w:rFonts w:ascii="Book Antiqua" w:hAnsi="Book Antiqua"/>
          <w:b/>
          <w:sz w:val="24"/>
          <w:szCs w:val="24"/>
        </w:rPr>
        <w:t>Saha</w:t>
      </w:r>
      <w:proofErr w:type="spellEnd"/>
      <w:r w:rsidRPr="00A71493">
        <w:rPr>
          <w:rFonts w:ascii="Book Antiqua" w:hAnsi="Book Antiqua"/>
          <w:b/>
          <w:sz w:val="24"/>
          <w:szCs w:val="24"/>
        </w:rPr>
        <w:t xml:space="preserve"> A</w:t>
      </w:r>
      <w:r w:rsidRPr="00A71493">
        <w:rPr>
          <w:rFonts w:ascii="Book Antiqua" w:hAnsi="Book Antiqua"/>
          <w:sz w:val="24"/>
          <w:szCs w:val="24"/>
        </w:rPr>
        <w:t xml:space="preserve">, Hammond CE, Beeson C, Peek RM Jr, </w:t>
      </w:r>
      <w:proofErr w:type="spellStart"/>
      <w:r w:rsidRPr="00A71493">
        <w:rPr>
          <w:rFonts w:ascii="Book Antiqua" w:hAnsi="Book Antiqua"/>
          <w:sz w:val="24"/>
          <w:szCs w:val="24"/>
        </w:rPr>
        <w:t>Smolka</w:t>
      </w:r>
      <w:proofErr w:type="spellEnd"/>
      <w:r w:rsidRPr="00A71493">
        <w:rPr>
          <w:rFonts w:ascii="Book Antiqua" w:hAnsi="Book Antiqua"/>
          <w:sz w:val="24"/>
          <w:szCs w:val="24"/>
        </w:rPr>
        <w:t xml:space="preserve"> AJ. Helicobacter pylori represses proton pump expression and inhibits acid secretion in human gastric mucosa. </w:t>
      </w:r>
      <w:r w:rsidRPr="00A71493">
        <w:rPr>
          <w:rFonts w:ascii="Book Antiqua" w:hAnsi="Book Antiqua"/>
          <w:i/>
          <w:sz w:val="24"/>
          <w:szCs w:val="24"/>
        </w:rPr>
        <w:t>Gut</w:t>
      </w:r>
      <w:r w:rsidRPr="00A71493">
        <w:rPr>
          <w:rFonts w:ascii="Book Antiqua" w:hAnsi="Book Antiqua"/>
          <w:sz w:val="24"/>
          <w:szCs w:val="24"/>
        </w:rPr>
        <w:t xml:space="preserve"> 2010; </w:t>
      </w:r>
      <w:r w:rsidRPr="00A71493">
        <w:rPr>
          <w:rFonts w:ascii="Book Antiqua" w:hAnsi="Book Antiqua"/>
          <w:b/>
          <w:sz w:val="24"/>
          <w:szCs w:val="24"/>
        </w:rPr>
        <w:t>59</w:t>
      </w:r>
      <w:r w:rsidRPr="00A71493">
        <w:rPr>
          <w:rFonts w:ascii="Book Antiqua" w:hAnsi="Book Antiqua"/>
          <w:sz w:val="24"/>
          <w:szCs w:val="24"/>
        </w:rPr>
        <w:t>: 874-881 [PMID: 20581234 DOI: 10.1136/gut.2009.194795]</w:t>
      </w:r>
    </w:p>
    <w:p w14:paraId="0A07666A"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32 </w:t>
      </w:r>
      <w:proofErr w:type="spellStart"/>
      <w:r w:rsidRPr="00A71493">
        <w:rPr>
          <w:rFonts w:ascii="Book Antiqua" w:hAnsi="Book Antiqua"/>
          <w:b/>
          <w:sz w:val="24"/>
          <w:szCs w:val="24"/>
        </w:rPr>
        <w:t>Corleto</w:t>
      </w:r>
      <w:proofErr w:type="spellEnd"/>
      <w:r w:rsidRPr="00A71493">
        <w:rPr>
          <w:rFonts w:ascii="Book Antiqua" w:hAnsi="Book Antiqua"/>
          <w:b/>
          <w:sz w:val="24"/>
          <w:szCs w:val="24"/>
        </w:rPr>
        <w:t xml:space="preserve"> VD</w:t>
      </w:r>
      <w:r w:rsidRPr="00A71493">
        <w:rPr>
          <w:rFonts w:ascii="Book Antiqua" w:hAnsi="Book Antiqua"/>
          <w:sz w:val="24"/>
          <w:szCs w:val="24"/>
        </w:rPr>
        <w:t xml:space="preserve">, </w:t>
      </w:r>
      <w:proofErr w:type="spellStart"/>
      <w:r w:rsidRPr="00A71493">
        <w:rPr>
          <w:rFonts w:ascii="Book Antiqua" w:hAnsi="Book Antiqua"/>
          <w:sz w:val="24"/>
          <w:szCs w:val="24"/>
        </w:rPr>
        <w:t>Festa</w:t>
      </w:r>
      <w:proofErr w:type="spellEnd"/>
      <w:r w:rsidRPr="00A71493">
        <w:rPr>
          <w:rFonts w:ascii="Book Antiqua" w:hAnsi="Book Antiqua"/>
          <w:sz w:val="24"/>
          <w:szCs w:val="24"/>
        </w:rPr>
        <w:t xml:space="preserve"> S, Di Giulio E, </w:t>
      </w:r>
      <w:proofErr w:type="spellStart"/>
      <w:r w:rsidRPr="00A71493">
        <w:rPr>
          <w:rFonts w:ascii="Book Antiqua" w:hAnsi="Book Antiqua"/>
          <w:sz w:val="24"/>
          <w:szCs w:val="24"/>
        </w:rPr>
        <w:t>Annibale</w:t>
      </w:r>
      <w:proofErr w:type="spellEnd"/>
      <w:r w:rsidRPr="00A71493">
        <w:rPr>
          <w:rFonts w:ascii="Book Antiqua" w:hAnsi="Book Antiqua"/>
          <w:sz w:val="24"/>
          <w:szCs w:val="24"/>
        </w:rPr>
        <w:t xml:space="preserve"> B. Proton pump inhibitor therapy and potential long-term harm. </w:t>
      </w:r>
      <w:proofErr w:type="spellStart"/>
      <w:r w:rsidRPr="00A71493">
        <w:rPr>
          <w:rFonts w:ascii="Book Antiqua" w:hAnsi="Book Antiqua"/>
          <w:i/>
          <w:sz w:val="24"/>
          <w:szCs w:val="24"/>
        </w:rPr>
        <w:t>Curr</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Opin</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Endocrinol</w:t>
      </w:r>
      <w:proofErr w:type="spellEnd"/>
      <w:r w:rsidRPr="00A71493">
        <w:rPr>
          <w:rFonts w:ascii="Book Antiqua" w:hAnsi="Book Antiqua"/>
          <w:i/>
          <w:sz w:val="24"/>
          <w:szCs w:val="24"/>
        </w:rPr>
        <w:t xml:space="preserve"> Diabetes </w:t>
      </w:r>
      <w:proofErr w:type="spellStart"/>
      <w:r w:rsidRPr="00A71493">
        <w:rPr>
          <w:rFonts w:ascii="Book Antiqua" w:hAnsi="Book Antiqua"/>
          <w:i/>
          <w:sz w:val="24"/>
          <w:szCs w:val="24"/>
        </w:rPr>
        <w:t>Obes</w:t>
      </w:r>
      <w:proofErr w:type="spellEnd"/>
      <w:r w:rsidRPr="00A71493">
        <w:rPr>
          <w:rFonts w:ascii="Book Antiqua" w:hAnsi="Book Antiqua"/>
          <w:sz w:val="24"/>
          <w:szCs w:val="24"/>
        </w:rPr>
        <w:t xml:space="preserve"> 2014; </w:t>
      </w:r>
      <w:r w:rsidRPr="00A71493">
        <w:rPr>
          <w:rFonts w:ascii="Book Antiqua" w:hAnsi="Book Antiqua"/>
          <w:b/>
          <w:sz w:val="24"/>
          <w:szCs w:val="24"/>
        </w:rPr>
        <w:t>21</w:t>
      </w:r>
      <w:r w:rsidRPr="00A71493">
        <w:rPr>
          <w:rFonts w:ascii="Book Antiqua" w:hAnsi="Book Antiqua"/>
          <w:sz w:val="24"/>
          <w:szCs w:val="24"/>
        </w:rPr>
        <w:t>: 3-8 [PMID: 24310148 DOI: 10.1097/MED.0000000000000031]</w:t>
      </w:r>
    </w:p>
    <w:p w14:paraId="58F0A375"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33 </w:t>
      </w:r>
      <w:r w:rsidRPr="00A71493">
        <w:rPr>
          <w:rFonts w:ascii="Book Antiqua" w:hAnsi="Book Antiqua"/>
          <w:b/>
          <w:sz w:val="24"/>
          <w:szCs w:val="24"/>
        </w:rPr>
        <w:t>Tran-</w:t>
      </w:r>
      <w:proofErr w:type="spellStart"/>
      <w:r w:rsidRPr="00A71493">
        <w:rPr>
          <w:rFonts w:ascii="Book Antiqua" w:hAnsi="Book Antiqua"/>
          <w:b/>
          <w:sz w:val="24"/>
          <w:szCs w:val="24"/>
        </w:rPr>
        <w:t>Duy</w:t>
      </w:r>
      <w:proofErr w:type="spellEnd"/>
      <w:r w:rsidRPr="00A71493">
        <w:rPr>
          <w:rFonts w:ascii="Book Antiqua" w:hAnsi="Book Antiqua"/>
          <w:b/>
          <w:sz w:val="24"/>
          <w:szCs w:val="24"/>
        </w:rPr>
        <w:t xml:space="preserve"> A</w:t>
      </w:r>
      <w:r w:rsidRPr="00A71493">
        <w:rPr>
          <w:rFonts w:ascii="Book Antiqua" w:hAnsi="Book Antiqua"/>
          <w:sz w:val="24"/>
          <w:szCs w:val="24"/>
        </w:rPr>
        <w:t xml:space="preserve">, </w:t>
      </w:r>
      <w:proofErr w:type="spellStart"/>
      <w:r w:rsidRPr="00A71493">
        <w:rPr>
          <w:rFonts w:ascii="Book Antiqua" w:hAnsi="Book Antiqua"/>
          <w:sz w:val="24"/>
          <w:szCs w:val="24"/>
        </w:rPr>
        <w:t>Spaetgens</w:t>
      </w:r>
      <w:proofErr w:type="spellEnd"/>
      <w:r w:rsidRPr="00A71493">
        <w:rPr>
          <w:rFonts w:ascii="Book Antiqua" w:hAnsi="Book Antiqua"/>
          <w:sz w:val="24"/>
          <w:szCs w:val="24"/>
        </w:rPr>
        <w:t xml:space="preserve"> B, Hoes AW, de Wit NJ, </w:t>
      </w:r>
      <w:proofErr w:type="spellStart"/>
      <w:r w:rsidRPr="00A71493">
        <w:rPr>
          <w:rFonts w:ascii="Book Antiqua" w:hAnsi="Book Antiqua"/>
          <w:sz w:val="24"/>
          <w:szCs w:val="24"/>
        </w:rPr>
        <w:t>Stehouwer</w:t>
      </w:r>
      <w:proofErr w:type="spellEnd"/>
      <w:r w:rsidRPr="00A71493">
        <w:rPr>
          <w:rFonts w:ascii="Book Antiqua" w:hAnsi="Book Antiqua"/>
          <w:sz w:val="24"/>
          <w:szCs w:val="24"/>
        </w:rPr>
        <w:t xml:space="preserve"> CD. Use of Proton Pump Inhibitors and Risks of </w:t>
      </w:r>
      <w:proofErr w:type="spellStart"/>
      <w:r w:rsidRPr="00A71493">
        <w:rPr>
          <w:rFonts w:ascii="Book Antiqua" w:hAnsi="Book Antiqua"/>
          <w:sz w:val="24"/>
          <w:szCs w:val="24"/>
        </w:rPr>
        <w:t>Fundic</w:t>
      </w:r>
      <w:proofErr w:type="spellEnd"/>
      <w:r w:rsidRPr="00A71493">
        <w:rPr>
          <w:rFonts w:ascii="Book Antiqua" w:hAnsi="Book Antiqua"/>
          <w:sz w:val="24"/>
          <w:szCs w:val="24"/>
        </w:rPr>
        <w:t xml:space="preserve"> Gland Polyps and Gastric Cancer: Systematic Review and Meta-analysis. </w:t>
      </w:r>
      <w:proofErr w:type="spellStart"/>
      <w:r w:rsidRPr="00A71493">
        <w:rPr>
          <w:rFonts w:ascii="Book Antiqua" w:hAnsi="Book Antiqua"/>
          <w:i/>
          <w:sz w:val="24"/>
          <w:szCs w:val="24"/>
        </w:rPr>
        <w:t>Clin</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2016; </w:t>
      </w:r>
      <w:r w:rsidRPr="00A71493">
        <w:rPr>
          <w:rFonts w:ascii="Book Antiqua" w:hAnsi="Book Antiqua"/>
          <w:b/>
          <w:sz w:val="24"/>
          <w:szCs w:val="24"/>
        </w:rPr>
        <w:t>14</w:t>
      </w:r>
      <w:r w:rsidRPr="00A71493">
        <w:rPr>
          <w:rFonts w:ascii="Book Antiqua" w:hAnsi="Book Antiqua"/>
          <w:sz w:val="24"/>
          <w:szCs w:val="24"/>
        </w:rPr>
        <w:t>: 1706-1719.e5 [PMID: 27211501 DOI: 10.1016/j.cgh.2016.05.018]</w:t>
      </w:r>
    </w:p>
    <w:p w14:paraId="22BBAD20"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34 </w:t>
      </w:r>
      <w:proofErr w:type="spellStart"/>
      <w:r w:rsidRPr="00A71493">
        <w:rPr>
          <w:rFonts w:ascii="Book Antiqua" w:hAnsi="Book Antiqua"/>
          <w:b/>
          <w:sz w:val="24"/>
          <w:szCs w:val="24"/>
        </w:rPr>
        <w:t>Weersink</w:t>
      </w:r>
      <w:proofErr w:type="spellEnd"/>
      <w:r w:rsidRPr="00A71493">
        <w:rPr>
          <w:rFonts w:ascii="Book Antiqua" w:hAnsi="Book Antiqua"/>
          <w:b/>
          <w:sz w:val="24"/>
          <w:szCs w:val="24"/>
        </w:rPr>
        <w:t xml:space="preserve"> RA</w:t>
      </w:r>
      <w:r w:rsidRPr="00A71493">
        <w:rPr>
          <w:rFonts w:ascii="Book Antiqua" w:hAnsi="Book Antiqua"/>
          <w:sz w:val="24"/>
          <w:szCs w:val="24"/>
        </w:rPr>
        <w:t xml:space="preserve">, </w:t>
      </w:r>
      <w:proofErr w:type="spellStart"/>
      <w:r w:rsidRPr="00A71493">
        <w:rPr>
          <w:rFonts w:ascii="Book Antiqua" w:hAnsi="Book Antiqua"/>
          <w:sz w:val="24"/>
          <w:szCs w:val="24"/>
        </w:rPr>
        <w:t>Bouma</w:t>
      </w:r>
      <w:proofErr w:type="spellEnd"/>
      <w:r w:rsidRPr="00A71493">
        <w:rPr>
          <w:rFonts w:ascii="Book Antiqua" w:hAnsi="Book Antiqua"/>
          <w:sz w:val="24"/>
          <w:szCs w:val="24"/>
        </w:rPr>
        <w:t xml:space="preserve"> M, Burger DM, </w:t>
      </w:r>
      <w:proofErr w:type="spellStart"/>
      <w:r w:rsidRPr="00A71493">
        <w:rPr>
          <w:rFonts w:ascii="Book Antiqua" w:hAnsi="Book Antiqua"/>
          <w:sz w:val="24"/>
          <w:szCs w:val="24"/>
        </w:rPr>
        <w:t>Drenth</w:t>
      </w:r>
      <w:proofErr w:type="spellEnd"/>
      <w:r w:rsidRPr="00A71493">
        <w:rPr>
          <w:rFonts w:ascii="Book Antiqua" w:hAnsi="Book Antiqua"/>
          <w:sz w:val="24"/>
          <w:szCs w:val="24"/>
        </w:rPr>
        <w:t xml:space="preserve"> JPH, </w:t>
      </w:r>
      <w:proofErr w:type="spellStart"/>
      <w:r w:rsidRPr="00A71493">
        <w:rPr>
          <w:rFonts w:ascii="Book Antiqua" w:hAnsi="Book Antiqua"/>
          <w:sz w:val="24"/>
          <w:szCs w:val="24"/>
        </w:rPr>
        <w:t>Harkes-Idzinga</w:t>
      </w:r>
      <w:proofErr w:type="spellEnd"/>
      <w:r w:rsidRPr="00A71493">
        <w:rPr>
          <w:rFonts w:ascii="Book Antiqua" w:hAnsi="Book Antiqua"/>
          <w:sz w:val="24"/>
          <w:szCs w:val="24"/>
        </w:rPr>
        <w:t xml:space="preserve"> SF, </w:t>
      </w:r>
      <w:proofErr w:type="spellStart"/>
      <w:r w:rsidRPr="00A71493">
        <w:rPr>
          <w:rFonts w:ascii="Book Antiqua" w:hAnsi="Book Antiqua"/>
          <w:sz w:val="24"/>
          <w:szCs w:val="24"/>
        </w:rPr>
        <w:t>Hunfeld</w:t>
      </w:r>
      <w:proofErr w:type="spellEnd"/>
      <w:r w:rsidRPr="00A71493">
        <w:rPr>
          <w:rFonts w:ascii="Book Antiqua" w:hAnsi="Book Antiqua"/>
          <w:sz w:val="24"/>
          <w:szCs w:val="24"/>
        </w:rPr>
        <w:t xml:space="preserve"> NGM, </w:t>
      </w:r>
      <w:proofErr w:type="spellStart"/>
      <w:r w:rsidRPr="00A71493">
        <w:rPr>
          <w:rFonts w:ascii="Book Antiqua" w:hAnsi="Book Antiqua"/>
          <w:sz w:val="24"/>
          <w:szCs w:val="24"/>
        </w:rPr>
        <w:t>Metselaar</w:t>
      </w:r>
      <w:proofErr w:type="spellEnd"/>
      <w:r w:rsidRPr="00A71493">
        <w:rPr>
          <w:rFonts w:ascii="Book Antiqua" w:hAnsi="Book Antiqua"/>
          <w:sz w:val="24"/>
          <w:szCs w:val="24"/>
        </w:rPr>
        <w:t xml:space="preserve"> HJ, Monster-Simons MH, van </w:t>
      </w:r>
      <w:proofErr w:type="spellStart"/>
      <w:r w:rsidRPr="00A71493">
        <w:rPr>
          <w:rFonts w:ascii="Book Antiqua" w:hAnsi="Book Antiqua"/>
          <w:sz w:val="24"/>
          <w:szCs w:val="24"/>
        </w:rPr>
        <w:t>Putten</w:t>
      </w:r>
      <w:proofErr w:type="spellEnd"/>
      <w:r w:rsidRPr="00A71493">
        <w:rPr>
          <w:rFonts w:ascii="Book Antiqua" w:hAnsi="Book Antiqua"/>
          <w:sz w:val="24"/>
          <w:szCs w:val="24"/>
        </w:rPr>
        <w:t xml:space="preserve"> SAW, Taxis K, </w:t>
      </w:r>
      <w:proofErr w:type="spellStart"/>
      <w:r w:rsidRPr="00A71493">
        <w:rPr>
          <w:rFonts w:ascii="Book Antiqua" w:hAnsi="Book Antiqua"/>
          <w:sz w:val="24"/>
          <w:szCs w:val="24"/>
        </w:rPr>
        <w:t>Borgsteede</w:t>
      </w:r>
      <w:proofErr w:type="spellEnd"/>
      <w:r w:rsidRPr="00A71493">
        <w:rPr>
          <w:rFonts w:ascii="Book Antiqua" w:hAnsi="Book Antiqua"/>
          <w:sz w:val="24"/>
          <w:szCs w:val="24"/>
        </w:rPr>
        <w:t xml:space="preserve"> SD. Safe use of proton pump inhibitors in patients with cirrhosis. </w:t>
      </w:r>
      <w:r w:rsidRPr="00A71493">
        <w:rPr>
          <w:rFonts w:ascii="Book Antiqua" w:hAnsi="Book Antiqua"/>
          <w:i/>
          <w:sz w:val="24"/>
          <w:szCs w:val="24"/>
        </w:rPr>
        <w:t xml:space="preserve">Br J </w:t>
      </w:r>
      <w:proofErr w:type="spellStart"/>
      <w:r w:rsidRPr="00A71493">
        <w:rPr>
          <w:rFonts w:ascii="Book Antiqua" w:hAnsi="Book Antiqua"/>
          <w:i/>
          <w:sz w:val="24"/>
          <w:szCs w:val="24"/>
        </w:rPr>
        <w:t>Clin</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Pharmacol</w:t>
      </w:r>
      <w:proofErr w:type="spellEnd"/>
      <w:r w:rsidRPr="00A71493">
        <w:rPr>
          <w:rFonts w:ascii="Book Antiqua" w:hAnsi="Book Antiqua"/>
          <w:sz w:val="24"/>
          <w:szCs w:val="24"/>
        </w:rPr>
        <w:t xml:space="preserve"> 2018; </w:t>
      </w:r>
      <w:r w:rsidRPr="00A71493">
        <w:rPr>
          <w:rFonts w:ascii="Book Antiqua" w:hAnsi="Book Antiqua"/>
          <w:b/>
          <w:sz w:val="24"/>
          <w:szCs w:val="24"/>
        </w:rPr>
        <w:t>84</w:t>
      </w:r>
      <w:r w:rsidRPr="00A71493">
        <w:rPr>
          <w:rFonts w:ascii="Book Antiqua" w:hAnsi="Book Antiqua"/>
          <w:sz w:val="24"/>
          <w:szCs w:val="24"/>
        </w:rPr>
        <w:t>: 1806-1820 [PMID: 29688583 DOI: 10.1111/bcp.13615]</w:t>
      </w:r>
    </w:p>
    <w:p w14:paraId="14ED7480"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35 </w:t>
      </w:r>
      <w:r w:rsidRPr="00A71493">
        <w:rPr>
          <w:rFonts w:ascii="Book Antiqua" w:hAnsi="Book Antiqua"/>
          <w:b/>
          <w:sz w:val="24"/>
          <w:szCs w:val="24"/>
        </w:rPr>
        <w:t>Lo WK</w:t>
      </w:r>
      <w:r w:rsidRPr="00A71493">
        <w:rPr>
          <w:rFonts w:ascii="Book Antiqua" w:hAnsi="Book Antiqua"/>
          <w:sz w:val="24"/>
          <w:szCs w:val="24"/>
        </w:rPr>
        <w:t xml:space="preserve">, Chan WW. Proton pump inhibitor use and the risk of small intestinal bacterial overgrowth: A meta-analysis. </w:t>
      </w:r>
      <w:proofErr w:type="spellStart"/>
      <w:r w:rsidRPr="00A71493">
        <w:rPr>
          <w:rFonts w:ascii="Book Antiqua" w:hAnsi="Book Antiqua"/>
          <w:i/>
          <w:sz w:val="24"/>
          <w:szCs w:val="24"/>
        </w:rPr>
        <w:t>Clin</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Gastroenterol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2013; </w:t>
      </w:r>
      <w:r w:rsidRPr="00A71493">
        <w:rPr>
          <w:rFonts w:ascii="Book Antiqua" w:hAnsi="Book Antiqua"/>
          <w:b/>
          <w:sz w:val="24"/>
          <w:szCs w:val="24"/>
        </w:rPr>
        <w:t>11</w:t>
      </w:r>
      <w:r w:rsidRPr="00A71493">
        <w:rPr>
          <w:rFonts w:ascii="Book Antiqua" w:hAnsi="Book Antiqua"/>
          <w:sz w:val="24"/>
          <w:szCs w:val="24"/>
        </w:rPr>
        <w:t>: 483-490 [PMID: 23270866 DOI: 10.1016/j.cgh.2012.12.011]</w:t>
      </w:r>
    </w:p>
    <w:p w14:paraId="749B1E1A"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36 </w:t>
      </w:r>
      <w:r w:rsidRPr="00A71493">
        <w:rPr>
          <w:rFonts w:ascii="Book Antiqua" w:hAnsi="Book Antiqua"/>
          <w:b/>
          <w:sz w:val="24"/>
          <w:szCs w:val="24"/>
        </w:rPr>
        <w:t>Bajaj JS</w:t>
      </w:r>
      <w:r w:rsidRPr="00A71493">
        <w:rPr>
          <w:rFonts w:ascii="Book Antiqua" w:hAnsi="Book Antiqua"/>
          <w:sz w:val="24"/>
          <w:szCs w:val="24"/>
        </w:rPr>
        <w:t xml:space="preserve">, Cox IJ, </w:t>
      </w:r>
      <w:proofErr w:type="spellStart"/>
      <w:r w:rsidRPr="00A71493">
        <w:rPr>
          <w:rFonts w:ascii="Book Antiqua" w:hAnsi="Book Antiqua"/>
          <w:sz w:val="24"/>
          <w:szCs w:val="24"/>
        </w:rPr>
        <w:t>Betrapally</w:t>
      </w:r>
      <w:proofErr w:type="spellEnd"/>
      <w:r w:rsidRPr="00A71493">
        <w:rPr>
          <w:rFonts w:ascii="Book Antiqua" w:hAnsi="Book Antiqua"/>
          <w:sz w:val="24"/>
          <w:szCs w:val="24"/>
        </w:rPr>
        <w:t xml:space="preserve"> NS, </w:t>
      </w:r>
      <w:proofErr w:type="spellStart"/>
      <w:r w:rsidRPr="00A71493">
        <w:rPr>
          <w:rFonts w:ascii="Book Antiqua" w:hAnsi="Book Antiqua"/>
          <w:sz w:val="24"/>
          <w:szCs w:val="24"/>
        </w:rPr>
        <w:t>Heuman</w:t>
      </w:r>
      <w:proofErr w:type="spellEnd"/>
      <w:r w:rsidRPr="00A71493">
        <w:rPr>
          <w:rFonts w:ascii="Book Antiqua" w:hAnsi="Book Antiqua"/>
          <w:sz w:val="24"/>
          <w:szCs w:val="24"/>
        </w:rPr>
        <w:t xml:space="preserve"> DM, Schubert ML, </w:t>
      </w:r>
      <w:proofErr w:type="spellStart"/>
      <w:r w:rsidRPr="00A71493">
        <w:rPr>
          <w:rFonts w:ascii="Book Antiqua" w:hAnsi="Book Antiqua"/>
          <w:sz w:val="24"/>
          <w:szCs w:val="24"/>
        </w:rPr>
        <w:t>Ratneswaran</w:t>
      </w:r>
      <w:proofErr w:type="spellEnd"/>
      <w:r w:rsidRPr="00A71493">
        <w:rPr>
          <w:rFonts w:ascii="Book Antiqua" w:hAnsi="Book Antiqua"/>
          <w:sz w:val="24"/>
          <w:szCs w:val="24"/>
        </w:rPr>
        <w:t xml:space="preserve"> M, </w:t>
      </w:r>
      <w:proofErr w:type="spellStart"/>
      <w:r w:rsidRPr="00A71493">
        <w:rPr>
          <w:rFonts w:ascii="Book Antiqua" w:hAnsi="Book Antiqua"/>
          <w:sz w:val="24"/>
          <w:szCs w:val="24"/>
        </w:rPr>
        <w:t>Hylemon</w:t>
      </w:r>
      <w:proofErr w:type="spellEnd"/>
      <w:r w:rsidRPr="00A71493">
        <w:rPr>
          <w:rFonts w:ascii="Book Antiqua" w:hAnsi="Book Antiqua"/>
          <w:sz w:val="24"/>
          <w:szCs w:val="24"/>
        </w:rPr>
        <w:t xml:space="preserve"> PB, White MB, </w:t>
      </w:r>
      <w:proofErr w:type="spellStart"/>
      <w:r w:rsidRPr="00A71493">
        <w:rPr>
          <w:rFonts w:ascii="Book Antiqua" w:hAnsi="Book Antiqua"/>
          <w:sz w:val="24"/>
          <w:szCs w:val="24"/>
        </w:rPr>
        <w:t>Daita</w:t>
      </w:r>
      <w:proofErr w:type="spellEnd"/>
      <w:r w:rsidRPr="00A71493">
        <w:rPr>
          <w:rFonts w:ascii="Book Antiqua" w:hAnsi="Book Antiqua"/>
          <w:sz w:val="24"/>
          <w:szCs w:val="24"/>
        </w:rPr>
        <w:t xml:space="preserve"> K, Noble NA, </w:t>
      </w:r>
      <w:proofErr w:type="spellStart"/>
      <w:r w:rsidRPr="00A71493">
        <w:rPr>
          <w:rFonts w:ascii="Book Antiqua" w:hAnsi="Book Antiqua"/>
          <w:sz w:val="24"/>
          <w:szCs w:val="24"/>
        </w:rPr>
        <w:t>Sikaroodi</w:t>
      </w:r>
      <w:proofErr w:type="spellEnd"/>
      <w:r w:rsidRPr="00A71493">
        <w:rPr>
          <w:rFonts w:ascii="Book Antiqua" w:hAnsi="Book Antiqua"/>
          <w:sz w:val="24"/>
          <w:szCs w:val="24"/>
        </w:rPr>
        <w:t xml:space="preserve"> M, Williams R, Crossey MM, Taylor-Robinson SD, </w:t>
      </w:r>
      <w:proofErr w:type="spellStart"/>
      <w:r w:rsidRPr="00A71493">
        <w:rPr>
          <w:rFonts w:ascii="Book Antiqua" w:hAnsi="Book Antiqua"/>
          <w:sz w:val="24"/>
          <w:szCs w:val="24"/>
        </w:rPr>
        <w:t>Gillevet</w:t>
      </w:r>
      <w:proofErr w:type="spellEnd"/>
      <w:r w:rsidRPr="00A71493">
        <w:rPr>
          <w:rFonts w:ascii="Book Antiqua" w:hAnsi="Book Antiqua"/>
          <w:sz w:val="24"/>
          <w:szCs w:val="24"/>
        </w:rPr>
        <w:t xml:space="preserve"> PM. Systems biology analysis of omeprazole therapy in cirrhosis demonstrates significant shifts in gut microbiota composition and function. </w:t>
      </w:r>
      <w:r w:rsidRPr="00A71493">
        <w:rPr>
          <w:rFonts w:ascii="Book Antiqua" w:hAnsi="Book Antiqua"/>
          <w:i/>
          <w:sz w:val="24"/>
          <w:szCs w:val="24"/>
        </w:rPr>
        <w:t xml:space="preserve">Am J </w:t>
      </w:r>
      <w:proofErr w:type="spellStart"/>
      <w:r w:rsidRPr="00A71493">
        <w:rPr>
          <w:rFonts w:ascii="Book Antiqua" w:hAnsi="Book Antiqua"/>
          <w:i/>
          <w:sz w:val="24"/>
          <w:szCs w:val="24"/>
        </w:rPr>
        <w:t>Physiol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Gastrointest</w:t>
      </w:r>
      <w:proofErr w:type="spellEnd"/>
      <w:r w:rsidRPr="00A71493">
        <w:rPr>
          <w:rFonts w:ascii="Book Antiqua" w:hAnsi="Book Antiqua"/>
          <w:i/>
          <w:sz w:val="24"/>
          <w:szCs w:val="24"/>
        </w:rPr>
        <w:t xml:space="preserve"> Liver </w:t>
      </w:r>
      <w:proofErr w:type="spellStart"/>
      <w:r w:rsidRPr="00A71493">
        <w:rPr>
          <w:rFonts w:ascii="Book Antiqua" w:hAnsi="Book Antiqua"/>
          <w:i/>
          <w:sz w:val="24"/>
          <w:szCs w:val="24"/>
        </w:rPr>
        <w:t>Physiol</w:t>
      </w:r>
      <w:proofErr w:type="spellEnd"/>
      <w:r w:rsidRPr="00A71493">
        <w:rPr>
          <w:rFonts w:ascii="Book Antiqua" w:hAnsi="Book Antiqua"/>
          <w:sz w:val="24"/>
          <w:szCs w:val="24"/>
        </w:rPr>
        <w:t xml:space="preserve"> 2014; </w:t>
      </w:r>
      <w:r w:rsidRPr="00A71493">
        <w:rPr>
          <w:rFonts w:ascii="Book Antiqua" w:hAnsi="Book Antiqua"/>
          <w:b/>
          <w:sz w:val="24"/>
          <w:szCs w:val="24"/>
        </w:rPr>
        <w:t>307</w:t>
      </w:r>
      <w:r w:rsidRPr="00A71493">
        <w:rPr>
          <w:rFonts w:ascii="Book Antiqua" w:hAnsi="Book Antiqua"/>
          <w:sz w:val="24"/>
          <w:szCs w:val="24"/>
        </w:rPr>
        <w:t>: G951-G957 [PMID: 25258407 DOI: 10.1152/ajpgi.00268.2014]</w:t>
      </w:r>
    </w:p>
    <w:p w14:paraId="7DDEAFD9"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37 </w:t>
      </w:r>
      <w:proofErr w:type="spellStart"/>
      <w:r w:rsidRPr="00A71493">
        <w:rPr>
          <w:rFonts w:ascii="Book Antiqua" w:hAnsi="Book Antiqua"/>
          <w:b/>
          <w:sz w:val="24"/>
          <w:szCs w:val="24"/>
        </w:rPr>
        <w:t>Imhann</w:t>
      </w:r>
      <w:proofErr w:type="spellEnd"/>
      <w:r w:rsidRPr="00A71493">
        <w:rPr>
          <w:rFonts w:ascii="Book Antiqua" w:hAnsi="Book Antiqua"/>
          <w:b/>
          <w:sz w:val="24"/>
          <w:szCs w:val="24"/>
        </w:rPr>
        <w:t xml:space="preserve"> F</w:t>
      </w:r>
      <w:r w:rsidRPr="00A71493">
        <w:rPr>
          <w:rFonts w:ascii="Book Antiqua" w:hAnsi="Book Antiqua"/>
          <w:sz w:val="24"/>
          <w:szCs w:val="24"/>
        </w:rPr>
        <w:t xml:space="preserve">, Bonder MJ, </w:t>
      </w:r>
      <w:proofErr w:type="spellStart"/>
      <w:r w:rsidRPr="00A71493">
        <w:rPr>
          <w:rFonts w:ascii="Book Antiqua" w:hAnsi="Book Antiqua"/>
          <w:sz w:val="24"/>
          <w:szCs w:val="24"/>
        </w:rPr>
        <w:t>Vich</w:t>
      </w:r>
      <w:proofErr w:type="spellEnd"/>
      <w:r w:rsidRPr="00A71493">
        <w:rPr>
          <w:rFonts w:ascii="Book Antiqua" w:hAnsi="Book Antiqua"/>
          <w:sz w:val="24"/>
          <w:szCs w:val="24"/>
        </w:rPr>
        <w:t xml:space="preserve"> Vila A, Fu J, </w:t>
      </w:r>
      <w:proofErr w:type="spellStart"/>
      <w:r w:rsidRPr="00A71493">
        <w:rPr>
          <w:rFonts w:ascii="Book Antiqua" w:hAnsi="Book Antiqua"/>
          <w:sz w:val="24"/>
          <w:szCs w:val="24"/>
        </w:rPr>
        <w:t>Mujagic</w:t>
      </w:r>
      <w:proofErr w:type="spellEnd"/>
      <w:r w:rsidRPr="00A71493">
        <w:rPr>
          <w:rFonts w:ascii="Book Antiqua" w:hAnsi="Book Antiqua"/>
          <w:sz w:val="24"/>
          <w:szCs w:val="24"/>
        </w:rPr>
        <w:t xml:space="preserve"> Z, </w:t>
      </w:r>
      <w:proofErr w:type="spellStart"/>
      <w:r w:rsidRPr="00A71493">
        <w:rPr>
          <w:rFonts w:ascii="Book Antiqua" w:hAnsi="Book Antiqua"/>
          <w:sz w:val="24"/>
          <w:szCs w:val="24"/>
        </w:rPr>
        <w:t>Vork</w:t>
      </w:r>
      <w:proofErr w:type="spellEnd"/>
      <w:r w:rsidRPr="00A71493">
        <w:rPr>
          <w:rFonts w:ascii="Book Antiqua" w:hAnsi="Book Antiqua"/>
          <w:sz w:val="24"/>
          <w:szCs w:val="24"/>
        </w:rPr>
        <w:t xml:space="preserve"> L, </w:t>
      </w:r>
      <w:proofErr w:type="spellStart"/>
      <w:r w:rsidRPr="00A71493">
        <w:rPr>
          <w:rFonts w:ascii="Book Antiqua" w:hAnsi="Book Antiqua"/>
          <w:sz w:val="24"/>
          <w:szCs w:val="24"/>
        </w:rPr>
        <w:t>Tigchelaar</w:t>
      </w:r>
      <w:proofErr w:type="spellEnd"/>
      <w:r w:rsidRPr="00A71493">
        <w:rPr>
          <w:rFonts w:ascii="Book Antiqua" w:hAnsi="Book Antiqua"/>
          <w:sz w:val="24"/>
          <w:szCs w:val="24"/>
        </w:rPr>
        <w:t xml:space="preserve"> EF, </w:t>
      </w:r>
      <w:proofErr w:type="spellStart"/>
      <w:r w:rsidRPr="00A71493">
        <w:rPr>
          <w:rFonts w:ascii="Book Antiqua" w:hAnsi="Book Antiqua"/>
          <w:sz w:val="24"/>
          <w:szCs w:val="24"/>
        </w:rPr>
        <w:t>Jankipersadsing</w:t>
      </w:r>
      <w:proofErr w:type="spellEnd"/>
      <w:r w:rsidRPr="00A71493">
        <w:rPr>
          <w:rFonts w:ascii="Book Antiqua" w:hAnsi="Book Antiqua"/>
          <w:sz w:val="24"/>
          <w:szCs w:val="24"/>
        </w:rPr>
        <w:t xml:space="preserve"> SA, </w:t>
      </w:r>
      <w:proofErr w:type="spellStart"/>
      <w:r w:rsidRPr="00A71493">
        <w:rPr>
          <w:rFonts w:ascii="Book Antiqua" w:hAnsi="Book Antiqua"/>
          <w:sz w:val="24"/>
          <w:szCs w:val="24"/>
        </w:rPr>
        <w:t>Cenit</w:t>
      </w:r>
      <w:proofErr w:type="spellEnd"/>
      <w:r w:rsidRPr="00A71493">
        <w:rPr>
          <w:rFonts w:ascii="Book Antiqua" w:hAnsi="Book Antiqua"/>
          <w:sz w:val="24"/>
          <w:szCs w:val="24"/>
        </w:rPr>
        <w:t xml:space="preserve"> MC, </w:t>
      </w:r>
      <w:proofErr w:type="spellStart"/>
      <w:r w:rsidRPr="00A71493">
        <w:rPr>
          <w:rFonts w:ascii="Book Antiqua" w:hAnsi="Book Antiqua"/>
          <w:sz w:val="24"/>
          <w:szCs w:val="24"/>
        </w:rPr>
        <w:t>Harmsen</w:t>
      </w:r>
      <w:proofErr w:type="spellEnd"/>
      <w:r w:rsidRPr="00A71493">
        <w:rPr>
          <w:rFonts w:ascii="Book Antiqua" w:hAnsi="Book Antiqua"/>
          <w:sz w:val="24"/>
          <w:szCs w:val="24"/>
        </w:rPr>
        <w:t xml:space="preserve"> HJ, Dijkstra G, Franke L, Xavier RJ, </w:t>
      </w:r>
      <w:proofErr w:type="spellStart"/>
      <w:r w:rsidRPr="00A71493">
        <w:rPr>
          <w:rFonts w:ascii="Book Antiqua" w:hAnsi="Book Antiqua"/>
          <w:sz w:val="24"/>
          <w:szCs w:val="24"/>
        </w:rPr>
        <w:t>Jonkers</w:t>
      </w:r>
      <w:proofErr w:type="spellEnd"/>
      <w:r w:rsidRPr="00A71493">
        <w:rPr>
          <w:rFonts w:ascii="Book Antiqua" w:hAnsi="Book Antiqua"/>
          <w:sz w:val="24"/>
          <w:szCs w:val="24"/>
        </w:rPr>
        <w:t xml:space="preserve"> D, </w:t>
      </w:r>
      <w:proofErr w:type="spellStart"/>
      <w:r w:rsidRPr="00A71493">
        <w:rPr>
          <w:rFonts w:ascii="Book Antiqua" w:hAnsi="Book Antiqua"/>
          <w:sz w:val="24"/>
          <w:szCs w:val="24"/>
        </w:rPr>
        <w:t>Wijmenga</w:t>
      </w:r>
      <w:proofErr w:type="spellEnd"/>
      <w:r w:rsidRPr="00A71493">
        <w:rPr>
          <w:rFonts w:ascii="Book Antiqua" w:hAnsi="Book Antiqua"/>
          <w:sz w:val="24"/>
          <w:szCs w:val="24"/>
        </w:rPr>
        <w:t xml:space="preserve"> C, </w:t>
      </w:r>
      <w:proofErr w:type="spellStart"/>
      <w:r w:rsidRPr="00A71493">
        <w:rPr>
          <w:rFonts w:ascii="Book Antiqua" w:hAnsi="Book Antiqua"/>
          <w:sz w:val="24"/>
          <w:szCs w:val="24"/>
        </w:rPr>
        <w:t>Weersma</w:t>
      </w:r>
      <w:proofErr w:type="spellEnd"/>
      <w:r w:rsidRPr="00A71493">
        <w:rPr>
          <w:rFonts w:ascii="Book Antiqua" w:hAnsi="Book Antiqua"/>
          <w:sz w:val="24"/>
          <w:szCs w:val="24"/>
        </w:rPr>
        <w:t xml:space="preserve"> RK, </w:t>
      </w:r>
      <w:proofErr w:type="spellStart"/>
      <w:r w:rsidRPr="00A71493">
        <w:rPr>
          <w:rFonts w:ascii="Book Antiqua" w:hAnsi="Book Antiqua"/>
          <w:sz w:val="24"/>
          <w:szCs w:val="24"/>
        </w:rPr>
        <w:t>Zhernakova</w:t>
      </w:r>
      <w:proofErr w:type="spellEnd"/>
      <w:r w:rsidRPr="00A71493">
        <w:rPr>
          <w:rFonts w:ascii="Book Antiqua" w:hAnsi="Book Antiqua"/>
          <w:sz w:val="24"/>
          <w:szCs w:val="24"/>
        </w:rPr>
        <w:t xml:space="preserve"> A. Proton pump inhibitors affect the gut microbiome. </w:t>
      </w:r>
      <w:r w:rsidRPr="00A71493">
        <w:rPr>
          <w:rFonts w:ascii="Book Antiqua" w:hAnsi="Book Antiqua"/>
          <w:i/>
          <w:sz w:val="24"/>
          <w:szCs w:val="24"/>
        </w:rPr>
        <w:t>Gut</w:t>
      </w:r>
      <w:r w:rsidRPr="00A71493">
        <w:rPr>
          <w:rFonts w:ascii="Book Antiqua" w:hAnsi="Book Antiqua"/>
          <w:sz w:val="24"/>
          <w:szCs w:val="24"/>
        </w:rPr>
        <w:t xml:space="preserve"> 2016; </w:t>
      </w:r>
      <w:r w:rsidRPr="00A71493">
        <w:rPr>
          <w:rFonts w:ascii="Book Antiqua" w:hAnsi="Book Antiqua"/>
          <w:b/>
          <w:sz w:val="24"/>
          <w:szCs w:val="24"/>
        </w:rPr>
        <w:t>65</w:t>
      </w:r>
      <w:r w:rsidRPr="00A71493">
        <w:rPr>
          <w:rFonts w:ascii="Book Antiqua" w:hAnsi="Book Antiqua"/>
          <w:sz w:val="24"/>
          <w:szCs w:val="24"/>
        </w:rPr>
        <w:t>: 740-748 [PMID: 26657899 DOI: 10.1136/gutjnl-2015-310376]</w:t>
      </w:r>
    </w:p>
    <w:p w14:paraId="630D00F4"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38 </w:t>
      </w:r>
      <w:r w:rsidRPr="00A71493">
        <w:rPr>
          <w:rFonts w:ascii="Book Antiqua" w:hAnsi="Book Antiqua"/>
          <w:b/>
          <w:sz w:val="24"/>
          <w:szCs w:val="24"/>
        </w:rPr>
        <w:t>Jackson MA</w:t>
      </w:r>
      <w:r w:rsidRPr="00A71493">
        <w:rPr>
          <w:rFonts w:ascii="Book Antiqua" w:hAnsi="Book Antiqua"/>
          <w:sz w:val="24"/>
          <w:szCs w:val="24"/>
        </w:rPr>
        <w:t xml:space="preserve">, Goodrich JK, </w:t>
      </w:r>
      <w:proofErr w:type="spellStart"/>
      <w:r w:rsidRPr="00A71493">
        <w:rPr>
          <w:rFonts w:ascii="Book Antiqua" w:hAnsi="Book Antiqua"/>
          <w:sz w:val="24"/>
          <w:szCs w:val="24"/>
        </w:rPr>
        <w:t>Maxan</w:t>
      </w:r>
      <w:proofErr w:type="spellEnd"/>
      <w:r w:rsidRPr="00A71493">
        <w:rPr>
          <w:rFonts w:ascii="Book Antiqua" w:hAnsi="Book Antiqua"/>
          <w:sz w:val="24"/>
          <w:szCs w:val="24"/>
        </w:rPr>
        <w:t xml:space="preserve"> ME, </w:t>
      </w:r>
      <w:proofErr w:type="spellStart"/>
      <w:r w:rsidRPr="00A71493">
        <w:rPr>
          <w:rFonts w:ascii="Book Antiqua" w:hAnsi="Book Antiqua"/>
          <w:sz w:val="24"/>
          <w:szCs w:val="24"/>
        </w:rPr>
        <w:t>Freedberg</w:t>
      </w:r>
      <w:proofErr w:type="spellEnd"/>
      <w:r w:rsidRPr="00A71493">
        <w:rPr>
          <w:rFonts w:ascii="Book Antiqua" w:hAnsi="Book Antiqua"/>
          <w:sz w:val="24"/>
          <w:szCs w:val="24"/>
        </w:rPr>
        <w:t xml:space="preserve"> DE, Abrams JA, Poole AC, Sutter JL, Welter D, Ley RE, Bell JT, Spector TD, </w:t>
      </w:r>
      <w:proofErr w:type="spellStart"/>
      <w:r w:rsidRPr="00A71493">
        <w:rPr>
          <w:rFonts w:ascii="Book Antiqua" w:hAnsi="Book Antiqua"/>
          <w:sz w:val="24"/>
          <w:szCs w:val="24"/>
        </w:rPr>
        <w:t>Steves</w:t>
      </w:r>
      <w:proofErr w:type="spellEnd"/>
      <w:r w:rsidRPr="00A71493">
        <w:rPr>
          <w:rFonts w:ascii="Book Antiqua" w:hAnsi="Book Antiqua"/>
          <w:sz w:val="24"/>
          <w:szCs w:val="24"/>
        </w:rPr>
        <w:t xml:space="preserve"> CJ. Proton pump inhibitors alter the composition of the gut microbiota. </w:t>
      </w:r>
      <w:r w:rsidRPr="00A71493">
        <w:rPr>
          <w:rFonts w:ascii="Book Antiqua" w:hAnsi="Book Antiqua"/>
          <w:i/>
          <w:sz w:val="24"/>
          <w:szCs w:val="24"/>
        </w:rPr>
        <w:t>Gut</w:t>
      </w:r>
      <w:r w:rsidRPr="00A71493">
        <w:rPr>
          <w:rFonts w:ascii="Book Antiqua" w:hAnsi="Book Antiqua"/>
          <w:sz w:val="24"/>
          <w:szCs w:val="24"/>
        </w:rPr>
        <w:t xml:space="preserve"> 2016; </w:t>
      </w:r>
      <w:r w:rsidRPr="00A71493">
        <w:rPr>
          <w:rFonts w:ascii="Book Antiqua" w:hAnsi="Book Antiqua"/>
          <w:b/>
          <w:sz w:val="24"/>
          <w:szCs w:val="24"/>
        </w:rPr>
        <w:t>65</w:t>
      </w:r>
      <w:r w:rsidRPr="00A71493">
        <w:rPr>
          <w:rFonts w:ascii="Book Antiqua" w:hAnsi="Book Antiqua"/>
          <w:sz w:val="24"/>
          <w:szCs w:val="24"/>
        </w:rPr>
        <w:t>: 749-756 [PMID: 26719299 DOI: 10.1136/gutjnl-2015-310861]</w:t>
      </w:r>
    </w:p>
    <w:p w14:paraId="04EA8ADA"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39 </w:t>
      </w:r>
      <w:r w:rsidRPr="00A71493">
        <w:rPr>
          <w:rFonts w:ascii="Book Antiqua" w:hAnsi="Book Antiqua"/>
          <w:b/>
          <w:sz w:val="24"/>
          <w:szCs w:val="24"/>
        </w:rPr>
        <w:t>Bajaj JS</w:t>
      </w:r>
      <w:r w:rsidRPr="00A71493">
        <w:rPr>
          <w:rFonts w:ascii="Book Antiqua" w:hAnsi="Book Antiqua"/>
          <w:sz w:val="24"/>
          <w:szCs w:val="24"/>
        </w:rPr>
        <w:t xml:space="preserve">. The role of microbiota in hepatic encephalopathy. </w:t>
      </w:r>
      <w:r w:rsidRPr="00A71493">
        <w:rPr>
          <w:rFonts w:ascii="Book Antiqua" w:hAnsi="Book Antiqua"/>
          <w:i/>
          <w:sz w:val="24"/>
          <w:szCs w:val="24"/>
        </w:rPr>
        <w:t>Gut Microbes</w:t>
      </w:r>
      <w:r w:rsidRPr="00A71493">
        <w:rPr>
          <w:rFonts w:ascii="Book Antiqua" w:hAnsi="Book Antiqua"/>
          <w:sz w:val="24"/>
          <w:szCs w:val="24"/>
        </w:rPr>
        <w:t xml:space="preserve"> 2014; </w:t>
      </w:r>
      <w:r w:rsidRPr="00A71493">
        <w:rPr>
          <w:rFonts w:ascii="Book Antiqua" w:hAnsi="Book Antiqua"/>
          <w:b/>
          <w:sz w:val="24"/>
          <w:szCs w:val="24"/>
        </w:rPr>
        <w:t>5</w:t>
      </w:r>
      <w:r w:rsidRPr="00A71493">
        <w:rPr>
          <w:rFonts w:ascii="Book Antiqua" w:hAnsi="Book Antiqua"/>
          <w:sz w:val="24"/>
          <w:szCs w:val="24"/>
        </w:rPr>
        <w:t>: 397-403 [PMID: 24690956 DOI: 10.4161/gmic.28684]</w:t>
      </w:r>
    </w:p>
    <w:p w14:paraId="34DD8A7D"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40 </w:t>
      </w:r>
      <w:r w:rsidRPr="00A71493">
        <w:rPr>
          <w:rFonts w:ascii="Book Antiqua" w:hAnsi="Book Antiqua"/>
          <w:b/>
          <w:sz w:val="24"/>
          <w:szCs w:val="24"/>
        </w:rPr>
        <w:t>Gupta A</w:t>
      </w:r>
      <w:r w:rsidRPr="00A71493">
        <w:rPr>
          <w:rFonts w:ascii="Book Antiqua" w:hAnsi="Book Antiqua"/>
          <w:sz w:val="24"/>
          <w:szCs w:val="24"/>
        </w:rPr>
        <w:t xml:space="preserve">, </w:t>
      </w:r>
      <w:proofErr w:type="spellStart"/>
      <w:r w:rsidRPr="00A71493">
        <w:rPr>
          <w:rFonts w:ascii="Book Antiqua" w:hAnsi="Book Antiqua"/>
          <w:sz w:val="24"/>
          <w:szCs w:val="24"/>
        </w:rPr>
        <w:t>Dhiman</w:t>
      </w:r>
      <w:proofErr w:type="spellEnd"/>
      <w:r w:rsidRPr="00A71493">
        <w:rPr>
          <w:rFonts w:ascii="Book Antiqua" w:hAnsi="Book Antiqua"/>
          <w:sz w:val="24"/>
          <w:szCs w:val="24"/>
        </w:rPr>
        <w:t xml:space="preserve"> RK, </w:t>
      </w:r>
      <w:proofErr w:type="spellStart"/>
      <w:r w:rsidRPr="00A71493">
        <w:rPr>
          <w:rFonts w:ascii="Book Antiqua" w:hAnsi="Book Antiqua"/>
          <w:sz w:val="24"/>
          <w:szCs w:val="24"/>
        </w:rPr>
        <w:t>Kumari</w:t>
      </w:r>
      <w:proofErr w:type="spellEnd"/>
      <w:r w:rsidRPr="00A71493">
        <w:rPr>
          <w:rFonts w:ascii="Book Antiqua" w:hAnsi="Book Antiqua"/>
          <w:sz w:val="24"/>
          <w:szCs w:val="24"/>
        </w:rPr>
        <w:t xml:space="preserve"> S, Rana S, Agarwal R, </w:t>
      </w:r>
      <w:proofErr w:type="spellStart"/>
      <w:r w:rsidRPr="00A71493">
        <w:rPr>
          <w:rFonts w:ascii="Book Antiqua" w:hAnsi="Book Antiqua"/>
          <w:sz w:val="24"/>
          <w:szCs w:val="24"/>
        </w:rPr>
        <w:t>Duseja</w:t>
      </w:r>
      <w:proofErr w:type="spellEnd"/>
      <w:r w:rsidRPr="00A71493">
        <w:rPr>
          <w:rFonts w:ascii="Book Antiqua" w:hAnsi="Book Antiqua"/>
          <w:sz w:val="24"/>
          <w:szCs w:val="24"/>
        </w:rPr>
        <w:t xml:space="preserve"> A, Chawla Y. Role of small intestinal bacterial overgrowth and delayed gastrointestinal transit time in cirrhotic patients with minimal hepatic encephalopathy. </w:t>
      </w:r>
      <w:r w:rsidRPr="00A71493">
        <w:rPr>
          <w:rFonts w:ascii="Book Antiqua" w:hAnsi="Book Antiqua"/>
          <w:i/>
          <w:sz w:val="24"/>
          <w:szCs w:val="24"/>
        </w:rPr>
        <w:t xml:space="preserve">J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2010; </w:t>
      </w:r>
      <w:r w:rsidRPr="00A71493">
        <w:rPr>
          <w:rFonts w:ascii="Book Antiqua" w:hAnsi="Book Antiqua"/>
          <w:b/>
          <w:sz w:val="24"/>
          <w:szCs w:val="24"/>
        </w:rPr>
        <w:t>53</w:t>
      </w:r>
      <w:r w:rsidRPr="00A71493">
        <w:rPr>
          <w:rFonts w:ascii="Book Antiqua" w:hAnsi="Book Antiqua"/>
          <w:sz w:val="24"/>
          <w:szCs w:val="24"/>
        </w:rPr>
        <w:t>: 849-855 [PMID: 20675008 DOI: 10.1016/j.jhep.2010.05.017]</w:t>
      </w:r>
    </w:p>
    <w:p w14:paraId="3216A737"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41 </w:t>
      </w:r>
      <w:r w:rsidRPr="00A71493">
        <w:rPr>
          <w:rFonts w:ascii="Book Antiqua" w:hAnsi="Book Antiqua"/>
          <w:b/>
          <w:sz w:val="24"/>
          <w:szCs w:val="24"/>
        </w:rPr>
        <w:t xml:space="preserve">van </w:t>
      </w:r>
      <w:proofErr w:type="spellStart"/>
      <w:r w:rsidRPr="00A71493">
        <w:rPr>
          <w:rFonts w:ascii="Book Antiqua" w:hAnsi="Book Antiqua"/>
          <w:b/>
          <w:sz w:val="24"/>
          <w:szCs w:val="24"/>
        </w:rPr>
        <w:t>Vlerken</w:t>
      </w:r>
      <w:proofErr w:type="spellEnd"/>
      <w:r w:rsidRPr="00A71493">
        <w:rPr>
          <w:rFonts w:ascii="Book Antiqua" w:hAnsi="Book Antiqua"/>
          <w:b/>
          <w:sz w:val="24"/>
          <w:szCs w:val="24"/>
        </w:rPr>
        <w:t xml:space="preserve"> LG</w:t>
      </w:r>
      <w:r w:rsidRPr="00A71493">
        <w:rPr>
          <w:rFonts w:ascii="Book Antiqua" w:hAnsi="Book Antiqua"/>
          <w:sz w:val="24"/>
          <w:szCs w:val="24"/>
        </w:rPr>
        <w:t xml:space="preserve">, Huisman EJ, van Hoek B, </w:t>
      </w:r>
      <w:proofErr w:type="spellStart"/>
      <w:r w:rsidRPr="00A71493">
        <w:rPr>
          <w:rFonts w:ascii="Book Antiqua" w:hAnsi="Book Antiqua"/>
          <w:sz w:val="24"/>
          <w:szCs w:val="24"/>
        </w:rPr>
        <w:t>Renooij</w:t>
      </w:r>
      <w:proofErr w:type="spellEnd"/>
      <w:r w:rsidRPr="00A71493">
        <w:rPr>
          <w:rFonts w:ascii="Book Antiqua" w:hAnsi="Book Antiqua"/>
          <w:sz w:val="24"/>
          <w:szCs w:val="24"/>
        </w:rPr>
        <w:t xml:space="preserve"> W, de </w:t>
      </w:r>
      <w:proofErr w:type="spellStart"/>
      <w:r w:rsidRPr="00A71493">
        <w:rPr>
          <w:rFonts w:ascii="Book Antiqua" w:hAnsi="Book Antiqua"/>
          <w:sz w:val="24"/>
          <w:szCs w:val="24"/>
        </w:rPr>
        <w:t>Rooij</w:t>
      </w:r>
      <w:proofErr w:type="spellEnd"/>
      <w:r w:rsidRPr="00A71493">
        <w:rPr>
          <w:rFonts w:ascii="Book Antiqua" w:hAnsi="Book Antiqua"/>
          <w:sz w:val="24"/>
          <w:szCs w:val="24"/>
        </w:rPr>
        <w:t xml:space="preserve"> FW, </w:t>
      </w:r>
      <w:proofErr w:type="spellStart"/>
      <w:r w:rsidRPr="00A71493">
        <w:rPr>
          <w:rFonts w:ascii="Book Antiqua" w:hAnsi="Book Antiqua"/>
          <w:sz w:val="24"/>
          <w:szCs w:val="24"/>
        </w:rPr>
        <w:t>Siersema</w:t>
      </w:r>
      <w:proofErr w:type="spellEnd"/>
      <w:r w:rsidRPr="00A71493">
        <w:rPr>
          <w:rFonts w:ascii="Book Antiqua" w:hAnsi="Book Antiqua"/>
          <w:sz w:val="24"/>
          <w:szCs w:val="24"/>
        </w:rPr>
        <w:t xml:space="preserve"> PD, van </w:t>
      </w:r>
      <w:proofErr w:type="spellStart"/>
      <w:r w:rsidRPr="00A71493">
        <w:rPr>
          <w:rFonts w:ascii="Book Antiqua" w:hAnsi="Book Antiqua"/>
          <w:sz w:val="24"/>
          <w:szCs w:val="24"/>
        </w:rPr>
        <w:t>Erpecum</w:t>
      </w:r>
      <w:proofErr w:type="spellEnd"/>
      <w:r w:rsidRPr="00A71493">
        <w:rPr>
          <w:rFonts w:ascii="Book Antiqua" w:hAnsi="Book Antiqua"/>
          <w:sz w:val="24"/>
          <w:szCs w:val="24"/>
        </w:rPr>
        <w:t xml:space="preserve"> KJ. Bacterial infections in cirrhosis: Role of proton pump inhibitors and intestinal permeability. </w:t>
      </w:r>
      <w:proofErr w:type="spellStart"/>
      <w:r w:rsidRPr="00A71493">
        <w:rPr>
          <w:rFonts w:ascii="Book Antiqua" w:hAnsi="Book Antiqua"/>
          <w:i/>
          <w:sz w:val="24"/>
          <w:szCs w:val="24"/>
        </w:rPr>
        <w:t>Eur</w:t>
      </w:r>
      <w:proofErr w:type="spellEnd"/>
      <w:r w:rsidRPr="00A71493">
        <w:rPr>
          <w:rFonts w:ascii="Book Antiqua" w:hAnsi="Book Antiqua"/>
          <w:i/>
          <w:sz w:val="24"/>
          <w:szCs w:val="24"/>
        </w:rPr>
        <w:t xml:space="preserve"> J </w:t>
      </w:r>
      <w:proofErr w:type="spellStart"/>
      <w:r w:rsidRPr="00A71493">
        <w:rPr>
          <w:rFonts w:ascii="Book Antiqua" w:hAnsi="Book Antiqua"/>
          <w:i/>
          <w:sz w:val="24"/>
          <w:szCs w:val="24"/>
        </w:rPr>
        <w:t>Clin</w:t>
      </w:r>
      <w:proofErr w:type="spellEnd"/>
      <w:r w:rsidRPr="00A71493">
        <w:rPr>
          <w:rFonts w:ascii="Book Antiqua" w:hAnsi="Book Antiqua"/>
          <w:i/>
          <w:sz w:val="24"/>
          <w:szCs w:val="24"/>
        </w:rPr>
        <w:t xml:space="preserve"> Invest</w:t>
      </w:r>
      <w:r w:rsidRPr="00A71493">
        <w:rPr>
          <w:rFonts w:ascii="Book Antiqua" w:hAnsi="Book Antiqua"/>
          <w:sz w:val="24"/>
          <w:szCs w:val="24"/>
        </w:rPr>
        <w:t xml:space="preserve"> 2012; </w:t>
      </w:r>
      <w:r w:rsidRPr="00A71493">
        <w:rPr>
          <w:rFonts w:ascii="Book Antiqua" w:hAnsi="Book Antiqua"/>
          <w:b/>
          <w:sz w:val="24"/>
          <w:szCs w:val="24"/>
        </w:rPr>
        <w:t>42</w:t>
      </w:r>
      <w:r w:rsidRPr="00A71493">
        <w:rPr>
          <w:rFonts w:ascii="Book Antiqua" w:hAnsi="Book Antiqua"/>
          <w:sz w:val="24"/>
          <w:szCs w:val="24"/>
        </w:rPr>
        <w:t>: 760-767 [PMID: 22288900 DOI: 10.1111/j.1365-2362.2011.02643.x]</w:t>
      </w:r>
    </w:p>
    <w:p w14:paraId="2A19BF99"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42 </w:t>
      </w:r>
      <w:r w:rsidRPr="00A71493">
        <w:rPr>
          <w:rFonts w:ascii="Book Antiqua" w:hAnsi="Book Antiqua"/>
          <w:b/>
          <w:sz w:val="24"/>
          <w:szCs w:val="24"/>
        </w:rPr>
        <w:t>Bajaj JS</w:t>
      </w:r>
      <w:r w:rsidRPr="00A71493">
        <w:rPr>
          <w:rFonts w:ascii="Book Antiqua" w:hAnsi="Book Antiqua"/>
          <w:sz w:val="24"/>
          <w:szCs w:val="24"/>
        </w:rPr>
        <w:t xml:space="preserve">, Ratliff SM, </w:t>
      </w:r>
      <w:proofErr w:type="spellStart"/>
      <w:r w:rsidRPr="00A71493">
        <w:rPr>
          <w:rFonts w:ascii="Book Antiqua" w:hAnsi="Book Antiqua"/>
          <w:sz w:val="24"/>
          <w:szCs w:val="24"/>
        </w:rPr>
        <w:t>Heuman</w:t>
      </w:r>
      <w:proofErr w:type="spellEnd"/>
      <w:r w:rsidRPr="00A71493">
        <w:rPr>
          <w:rFonts w:ascii="Book Antiqua" w:hAnsi="Book Antiqua"/>
          <w:sz w:val="24"/>
          <w:szCs w:val="24"/>
        </w:rPr>
        <w:t xml:space="preserve"> DM, </w:t>
      </w:r>
      <w:proofErr w:type="spellStart"/>
      <w:r w:rsidRPr="00A71493">
        <w:rPr>
          <w:rFonts w:ascii="Book Antiqua" w:hAnsi="Book Antiqua"/>
          <w:sz w:val="24"/>
          <w:szCs w:val="24"/>
        </w:rPr>
        <w:t>Lapane</w:t>
      </w:r>
      <w:proofErr w:type="spellEnd"/>
      <w:r w:rsidRPr="00A71493">
        <w:rPr>
          <w:rFonts w:ascii="Book Antiqua" w:hAnsi="Book Antiqua"/>
          <w:sz w:val="24"/>
          <w:szCs w:val="24"/>
        </w:rPr>
        <w:t xml:space="preserve"> KL. Proton pump inhibitors are associated with a high rate of serious infections in veterans with decompensated cirrhosis.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2012; </w:t>
      </w:r>
      <w:r w:rsidRPr="00A71493">
        <w:rPr>
          <w:rFonts w:ascii="Book Antiqua" w:hAnsi="Book Antiqua"/>
          <w:b/>
          <w:sz w:val="24"/>
          <w:szCs w:val="24"/>
        </w:rPr>
        <w:t>36</w:t>
      </w:r>
      <w:r w:rsidRPr="00A71493">
        <w:rPr>
          <w:rFonts w:ascii="Book Antiqua" w:hAnsi="Book Antiqua"/>
          <w:sz w:val="24"/>
          <w:szCs w:val="24"/>
        </w:rPr>
        <w:t>: 866-874 [PMID: 22966967 DOI: 10.1111/apt.12045]</w:t>
      </w:r>
    </w:p>
    <w:p w14:paraId="38D82986"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43 </w:t>
      </w:r>
      <w:proofErr w:type="spellStart"/>
      <w:r w:rsidRPr="00A71493">
        <w:rPr>
          <w:rFonts w:ascii="Book Antiqua" w:hAnsi="Book Antiqua"/>
          <w:b/>
          <w:sz w:val="24"/>
          <w:szCs w:val="24"/>
        </w:rPr>
        <w:t>Merli</w:t>
      </w:r>
      <w:proofErr w:type="spellEnd"/>
      <w:r w:rsidRPr="00A71493">
        <w:rPr>
          <w:rFonts w:ascii="Book Antiqua" w:hAnsi="Book Antiqua"/>
          <w:b/>
          <w:sz w:val="24"/>
          <w:szCs w:val="24"/>
        </w:rPr>
        <w:t xml:space="preserve"> M</w:t>
      </w:r>
      <w:r w:rsidRPr="00A71493">
        <w:rPr>
          <w:rFonts w:ascii="Book Antiqua" w:hAnsi="Book Antiqua"/>
          <w:sz w:val="24"/>
          <w:szCs w:val="24"/>
        </w:rPr>
        <w:t xml:space="preserve">, </w:t>
      </w:r>
      <w:proofErr w:type="spellStart"/>
      <w:r w:rsidRPr="00A71493">
        <w:rPr>
          <w:rFonts w:ascii="Book Antiqua" w:hAnsi="Book Antiqua"/>
          <w:sz w:val="24"/>
          <w:szCs w:val="24"/>
        </w:rPr>
        <w:t>Lucidi</w:t>
      </w:r>
      <w:proofErr w:type="spellEnd"/>
      <w:r w:rsidRPr="00A71493">
        <w:rPr>
          <w:rFonts w:ascii="Book Antiqua" w:hAnsi="Book Antiqua"/>
          <w:sz w:val="24"/>
          <w:szCs w:val="24"/>
        </w:rPr>
        <w:t xml:space="preserve"> C, Di Gregorio V, </w:t>
      </w:r>
      <w:proofErr w:type="spellStart"/>
      <w:r w:rsidRPr="00A71493">
        <w:rPr>
          <w:rFonts w:ascii="Book Antiqua" w:hAnsi="Book Antiqua"/>
          <w:sz w:val="24"/>
          <w:szCs w:val="24"/>
        </w:rPr>
        <w:t>Giannelli</w:t>
      </w:r>
      <w:proofErr w:type="spellEnd"/>
      <w:r w:rsidRPr="00A71493">
        <w:rPr>
          <w:rFonts w:ascii="Book Antiqua" w:hAnsi="Book Antiqua"/>
          <w:sz w:val="24"/>
          <w:szCs w:val="24"/>
        </w:rPr>
        <w:t xml:space="preserve"> V, Giusto M, </w:t>
      </w:r>
      <w:proofErr w:type="spellStart"/>
      <w:r w:rsidRPr="00A71493">
        <w:rPr>
          <w:rFonts w:ascii="Book Antiqua" w:hAnsi="Book Antiqua"/>
          <w:sz w:val="24"/>
          <w:szCs w:val="24"/>
        </w:rPr>
        <w:t>Ceccarelli</w:t>
      </w:r>
      <w:proofErr w:type="spellEnd"/>
      <w:r w:rsidRPr="00A71493">
        <w:rPr>
          <w:rFonts w:ascii="Book Antiqua" w:hAnsi="Book Antiqua"/>
          <w:sz w:val="24"/>
          <w:szCs w:val="24"/>
        </w:rPr>
        <w:t xml:space="preserve"> G, </w:t>
      </w:r>
      <w:proofErr w:type="spellStart"/>
      <w:r w:rsidRPr="00A71493">
        <w:rPr>
          <w:rFonts w:ascii="Book Antiqua" w:hAnsi="Book Antiqua"/>
          <w:sz w:val="24"/>
          <w:szCs w:val="24"/>
        </w:rPr>
        <w:t>Riggio</w:t>
      </w:r>
      <w:proofErr w:type="spellEnd"/>
      <w:r w:rsidRPr="00A71493">
        <w:rPr>
          <w:rFonts w:ascii="Book Antiqua" w:hAnsi="Book Antiqua"/>
          <w:sz w:val="24"/>
          <w:szCs w:val="24"/>
        </w:rPr>
        <w:t xml:space="preserve"> O, </w:t>
      </w:r>
      <w:proofErr w:type="spellStart"/>
      <w:r w:rsidRPr="00A71493">
        <w:rPr>
          <w:rFonts w:ascii="Book Antiqua" w:hAnsi="Book Antiqua"/>
          <w:sz w:val="24"/>
          <w:szCs w:val="24"/>
        </w:rPr>
        <w:t>Venditti</w:t>
      </w:r>
      <w:proofErr w:type="spellEnd"/>
      <w:r w:rsidRPr="00A71493">
        <w:rPr>
          <w:rFonts w:ascii="Book Antiqua" w:hAnsi="Book Antiqua"/>
          <w:sz w:val="24"/>
          <w:szCs w:val="24"/>
        </w:rPr>
        <w:t xml:space="preserve"> M. The chronic use of beta-blockers and proton pump inhibitors may affect the rate of bacterial infections in cirrhosis. </w:t>
      </w:r>
      <w:r w:rsidRPr="00A71493">
        <w:rPr>
          <w:rFonts w:ascii="Book Antiqua" w:hAnsi="Book Antiqua"/>
          <w:i/>
          <w:sz w:val="24"/>
          <w:szCs w:val="24"/>
        </w:rPr>
        <w:t xml:space="preserve">Liver </w:t>
      </w:r>
      <w:proofErr w:type="spellStart"/>
      <w:r w:rsidRPr="00A71493">
        <w:rPr>
          <w:rFonts w:ascii="Book Antiqua" w:hAnsi="Book Antiqua"/>
          <w:i/>
          <w:sz w:val="24"/>
          <w:szCs w:val="24"/>
        </w:rPr>
        <w:t>Int</w:t>
      </w:r>
      <w:proofErr w:type="spellEnd"/>
      <w:r w:rsidRPr="00A71493">
        <w:rPr>
          <w:rFonts w:ascii="Book Antiqua" w:hAnsi="Book Antiqua"/>
          <w:sz w:val="24"/>
          <w:szCs w:val="24"/>
        </w:rPr>
        <w:t xml:space="preserve"> 2015; </w:t>
      </w:r>
      <w:r w:rsidRPr="00A71493">
        <w:rPr>
          <w:rFonts w:ascii="Book Antiqua" w:hAnsi="Book Antiqua"/>
          <w:b/>
          <w:sz w:val="24"/>
          <w:szCs w:val="24"/>
        </w:rPr>
        <w:t>35</w:t>
      </w:r>
      <w:r w:rsidRPr="00A71493">
        <w:rPr>
          <w:rFonts w:ascii="Book Antiqua" w:hAnsi="Book Antiqua"/>
          <w:sz w:val="24"/>
          <w:szCs w:val="24"/>
        </w:rPr>
        <w:t>: 362-369 [PMID: 24836902 DOI: 10.1111/liv.12593]</w:t>
      </w:r>
    </w:p>
    <w:p w14:paraId="57BDC475"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44 </w:t>
      </w:r>
      <w:r w:rsidRPr="00A71493">
        <w:rPr>
          <w:rFonts w:ascii="Book Antiqua" w:hAnsi="Book Antiqua"/>
          <w:b/>
          <w:sz w:val="24"/>
          <w:szCs w:val="24"/>
        </w:rPr>
        <w:t>Romero-Gómez M</w:t>
      </w:r>
      <w:r w:rsidRPr="00A71493">
        <w:rPr>
          <w:rFonts w:ascii="Book Antiqua" w:hAnsi="Book Antiqua"/>
          <w:sz w:val="24"/>
          <w:szCs w:val="24"/>
        </w:rPr>
        <w:t xml:space="preserve">, </w:t>
      </w:r>
      <w:proofErr w:type="spellStart"/>
      <w:r w:rsidRPr="00A71493">
        <w:rPr>
          <w:rFonts w:ascii="Book Antiqua" w:hAnsi="Book Antiqua"/>
          <w:sz w:val="24"/>
          <w:szCs w:val="24"/>
        </w:rPr>
        <w:t>Montagnese</w:t>
      </w:r>
      <w:proofErr w:type="spellEnd"/>
      <w:r w:rsidRPr="00A71493">
        <w:rPr>
          <w:rFonts w:ascii="Book Antiqua" w:hAnsi="Book Antiqua"/>
          <w:sz w:val="24"/>
          <w:szCs w:val="24"/>
        </w:rPr>
        <w:t xml:space="preserve"> S, </w:t>
      </w:r>
      <w:proofErr w:type="spellStart"/>
      <w:r w:rsidRPr="00A71493">
        <w:rPr>
          <w:rFonts w:ascii="Book Antiqua" w:hAnsi="Book Antiqua"/>
          <w:sz w:val="24"/>
          <w:szCs w:val="24"/>
        </w:rPr>
        <w:t>Jalan</w:t>
      </w:r>
      <w:proofErr w:type="spellEnd"/>
      <w:r w:rsidRPr="00A71493">
        <w:rPr>
          <w:rFonts w:ascii="Book Antiqua" w:hAnsi="Book Antiqua"/>
          <w:sz w:val="24"/>
          <w:szCs w:val="24"/>
        </w:rPr>
        <w:t xml:space="preserve"> R. Hepatic encephalopathy in patients with acute decompensation of cirrhosis and acute-on-chronic liver failure. </w:t>
      </w:r>
      <w:r w:rsidRPr="00A71493">
        <w:rPr>
          <w:rFonts w:ascii="Book Antiqua" w:hAnsi="Book Antiqua"/>
          <w:i/>
          <w:sz w:val="24"/>
          <w:szCs w:val="24"/>
        </w:rPr>
        <w:t xml:space="preserve">J </w:t>
      </w:r>
      <w:proofErr w:type="spellStart"/>
      <w:r w:rsidRPr="00A71493">
        <w:rPr>
          <w:rFonts w:ascii="Book Antiqua" w:hAnsi="Book Antiqua"/>
          <w:i/>
          <w:sz w:val="24"/>
          <w:szCs w:val="24"/>
        </w:rPr>
        <w:t>Hepatol</w:t>
      </w:r>
      <w:proofErr w:type="spellEnd"/>
      <w:r w:rsidRPr="00A71493">
        <w:rPr>
          <w:rFonts w:ascii="Book Antiqua" w:hAnsi="Book Antiqua"/>
          <w:sz w:val="24"/>
          <w:szCs w:val="24"/>
        </w:rPr>
        <w:t xml:space="preserve"> 2015; </w:t>
      </w:r>
      <w:r w:rsidRPr="00A71493">
        <w:rPr>
          <w:rFonts w:ascii="Book Antiqua" w:hAnsi="Book Antiqua"/>
          <w:b/>
          <w:sz w:val="24"/>
          <w:szCs w:val="24"/>
        </w:rPr>
        <w:t>62</w:t>
      </w:r>
      <w:r w:rsidRPr="00A71493">
        <w:rPr>
          <w:rFonts w:ascii="Book Antiqua" w:hAnsi="Book Antiqua"/>
          <w:sz w:val="24"/>
          <w:szCs w:val="24"/>
        </w:rPr>
        <w:t>: 437-447 [PMID: 25218789 DOI: 10.1016/j.jhep.2014.09.005]</w:t>
      </w:r>
    </w:p>
    <w:p w14:paraId="2626A0FC"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45 </w:t>
      </w:r>
      <w:proofErr w:type="spellStart"/>
      <w:r w:rsidRPr="00A71493">
        <w:rPr>
          <w:rFonts w:ascii="Book Antiqua" w:hAnsi="Book Antiqua"/>
          <w:b/>
          <w:sz w:val="24"/>
          <w:szCs w:val="24"/>
        </w:rPr>
        <w:t>Fernández</w:t>
      </w:r>
      <w:proofErr w:type="spellEnd"/>
      <w:r w:rsidRPr="00A71493">
        <w:rPr>
          <w:rFonts w:ascii="Book Antiqua" w:hAnsi="Book Antiqua"/>
          <w:b/>
          <w:sz w:val="24"/>
          <w:szCs w:val="24"/>
        </w:rPr>
        <w:t xml:space="preserve"> J</w:t>
      </w:r>
      <w:r w:rsidRPr="00A71493">
        <w:rPr>
          <w:rFonts w:ascii="Book Antiqua" w:hAnsi="Book Antiqua"/>
          <w:sz w:val="24"/>
          <w:szCs w:val="24"/>
        </w:rPr>
        <w:t xml:space="preserve">, Acevedo J, Wiest R, </w:t>
      </w:r>
      <w:proofErr w:type="spellStart"/>
      <w:r w:rsidRPr="00A71493">
        <w:rPr>
          <w:rFonts w:ascii="Book Antiqua" w:hAnsi="Book Antiqua"/>
          <w:sz w:val="24"/>
          <w:szCs w:val="24"/>
        </w:rPr>
        <w:t>Gustot</w:t>
      </w:r>
      <w:proofErr w:type="spellEnd"/>
      <w:r w:rsidRPr="00A71493">
        <w:rPr>
          <w:rFonts w:ascii="Book Antiqua" w:hAnsi="Book Antiqua"/>
          <w:sz w:val="24"/>
          <w:szCs w:val="24"/>
        </w:rPr>
        <w:t xml:space="preserve"> T, </w:t>
      </w:r>
      <w:proofErr w:type="spellStart"/>
      <w:r w:rsidRPr="00A71493">
        <w:rPr>
          <w:rFonts w:ascii="Book Antiqua" w:hAnsi="Book Antiqua"/>
          <w:sz w:val="24"/>
          <w:szCs w:val="24"/>
        </w:rPr>
        <w:t>Amoros</w:t>
      </w:r>
      <w:proofErr w:type="spellEnd"/>
      <w:r w:rsidRPr="00A71493">
        <w:rPr>
          <w:rFonts w:ascii="Book Antiqua" w:hAnsi="Book Antiqua"/>
          <w:sz w:val="24"/>
          <w:szCs w:val="24"/>
        </w:rPr>
        <w:t xml:space="preserve"> A, </w:t>
      </w:r>
      <w:proofErr w:type="spellStart"/>
      <w:r w:rsidRPr="00A71493">
        <w:rPr>
          <w:rFonts w:ascii="Book Antiqua" w:hAnsi="Book Antiqua"/>
          <w:sz w:val="24"/>
          <w:szCs w:val="24"/>
        </w:rPr>
        <w:t>Deulofeu</w:t>
      </w:r>
      <w:proofErr w:type="spellEnd"/>
      <w:r w:rsidRPr="00A71493">
        <w:rPr>
          <w:rFonts w:ascii="Book Antiqua" w:hAnsi="Book Antiqua"/>
          <w:sz w:val="24"/>
          <w:szCs w:val="24"/>
        </w:rPr>
        <w:t xml:space="preserve"> C, </w:t>
      </w:r>
      <w:proofErr w:type="spellStart"/>
      <w:r w:rsidRPr="00A71493">
        <w:rPr>
          <w:rFonts w:ascii="Book Antiqua" w:hAnsi="Book Antiqua"/>
          <w:sz w:val="24"/>
          <w:szCs w:val="24"/>
        </w:rPr>
        <w:t>Reverter</w:t>
      </w:r>
      <w:proofErr w:type="spellEnd"/>
      <w:r w:rsidRPr="00A71493">
        <w:rPr>
          <w:rFonts w:ascii="Book Antiqua" w:hAnsi="Book Antiqua"/>
          <w:sz w:val="24"/>
          <w:szCs w:val="24"/>
        </w:rPr>
        <w:t xml:space="preserve"> E, </w:t>
      </w:r>
      <w:proofErr w:type="spellStart"/>
      <w:r w:rsidRPr="00A71493">
        <w:rPr>
          <w:rFonts w:ascii="Book Antiqua" w:hAnsi="Book Antiqua"/>
          <w:sz w:val="24"/>
          <w:szCs w:val="24"/>
        </w:rPr>
        <w:t>Martínez</w:t>
      </w:r>
      <w:proofErr w:type="spellEnd"/>
      <w:r w:rsidRPr="00A71493">
        <w:rPr>
          <w:rFonts w:ascii="Book Antiqua" w:hAnsi="Book Antiqua"/>
          <w:sz w:val="24"/>
          <w:szCs w:val="24"/>
        </w:rPr>
        <w:t xml:space="preserve"> J, </w:t>
      </w:r>
      <w:proofErr w:type="spellStart"/>
      <w:r w:rsidRPr="00A71493">
        <w:rPr>
          <w:rFonts w:ascii="Book Antiqua" w:hAnsi="Book Antiqua"/>
          <w:sz w:val="24"/>
          <w:szCs w:val="24"/>
        </w:rPr>
        <w:t>Saliba</w:t>
      </w:r>
      <w:proofErr w:type="spellEnd"/>
      <w:r w:rsidRPr="00A71493">
        <w:rPr>
          <w:rFonts w:ascii="Book Antiqua" w:hAnsi="Book Antiqua"/>
          <w:sz w:val="24"/>
          <w:szCs w:val="24"/>
        </w:rPr>
        <w:t xml:space="preserve"> F, </w:t>
      </w:r>
      <w:proofErr w:type="spellStart"/>
      <w:r w:rsidRPr="00A71493">
        <w:rPr>
          <w:rFonts w:ascii="Book Antiqua" w:hAnsi="Book Antiqua"/>
          <w:sz w:val="24"/>
          <w:szCs w:val="24"/>
        </w:rPr>
        <w:t>Jalan</w:t>
      </w:r>
      <w:proofErr w:type="spellEnd"/>
      <w:r w:rsidRPr="00A71493">
        <w:rPr>
          <w:rFonts w:ascii="Book Antiqua" w:hAnsi="Book Antiqua"/>
          <w:sz w:val="24"/>
          <w:szCs w:val="24"/>
        </w:rPr>
        <w:t xml:space="preserve"> R, </w:t>
      </w:r>
      <w:proofErr w:type="spellStart"/>
      <w:r w:rsidRPr="00A71493">
        <w:rPr>
          <w:rFonts w:ascii="Book Antiqua" w:hAnsi="Book Antiqua"/>
          <w:sz w:val="24"/>
          <w:szCs w:val="24"/>
        </w:rPr>
        <w:t>Welzel</w:t>
      </w:r>
      <w:proofErr w:type="spellEnd"/>
      <w:r w:rsidRPr="00A71493">
        <w:rPr>
          <w:rFonts w:ascii="Book Antiqua" w:hAnsi="Book Antiqua"/>
          <w:sz w:val="24"/>
          <w:szCs w:val="24"/>
        </w:rPr>
        <w:t xml:space="preserve"> T, </w:t>
      </w:r>
      <w:proofErr w:type="spellStart"/>
      <w:r w:rsidRPr="00A71493">
        <w:rPr>
          <w:rFonts w:ascii="Book Antiqua" w:hAnsi="Book Antiqua"/>
          <w:sz w:val="24"/>
          <w:szCs w:val="24"/>
        </w:rPr>
        <w:t>Pavesi</w:t>
      </w:r>
      <w:proofErr w:type="spellEnd"/>
      <w:r w:rsidRPr="00A71493">
        <w:rPr>
          <w:rFonts w:ascii="Book Antiqua" w:hAnsi="Book Antiqua"/>
          <w:sz w:val="24"/>
          <w:szCs w:val="24"/>
        </w:rPr>
        <w:t xml:space="preserve"> M, Hernández-</w:t>
      </w:r>
      <w:proofErr w:type="spellStart"/>
      <w:r w:rsidRPr="00A71493">
        <w:rPr>
          <w:rFonts w:ascii="Book Antiqua" w:hAnsi="Book Antiqua"/>
          <w:sz w:val="24"/>
          <w:szCs w:val="24"/>
        </w:rPr>
        <w:t>Tejero</w:t>
      </w:r>
      <w:proofErr w:type="spellEnd"/>
      <w:r w:rsidRPr="00A71493">
        <w:rPr>
          <w:rFonts w:ascii="Book Antiqua" w:hAnsi="Book Antiqua"/>
          <w:sz w:val="24"/>
          <w:szCs w:val="24"/>
        </w:rPr>
        <w:t xml:space="preserve"> M, </w:t>
      </w:r>
      <w:proofErr w:type="spellStart"/>
      <w:r w:rsidRPr="00A71493">
        <w:rPr>
          <w:rFonts w:ascii="Book Antiqua" w:hAnsi="Book Antiqua"/>
          <w:sz w:val="24"/>
          <w:szCs w:val="24"/>
        </w:rPr>
        <w:t>Ginès</w:t>
      </w:r>
      <w:proofErr w:type="spellEnd"/>
      <w:r w:rsidRPr="00A71493">
        <w:rPr>
          <w:rFonts w:ascii="Book Antiqua" w:hAnsi="Book Antiqua"/>
          <w:sz w:val="24"/>
          <w:szCs w:val="24"/>
        </w:rPr>
        <w:t xml:space="preserve"> P, Arroyo V; European Foundation for the Study of Chronic Liver Failure. Bacterial and fungal infections in acute-on-chronic liver failure: Prevalence, characteristics and impact on prognosis. </w:t>
      </w:r>
      <w:r w:rsidRPr="00A71493">
        <w:rPr>
          <w:rFonts w:ascii="Book Antiqua" w:hAnsi="Book Antiqua"/>
          <w:i/>
          <w:sz w:val="24"/>
          <w:szCs w:val="24"/>
        </w:rPr>
        <w:t>Gut</w:t>
      </w:r>
      <w:r w:rsidRPr="00A71493">
        <w:rPr>
          <w:rFonts w:ascii="Book Antiqua" w:hAnsi="Book Antiqua"/>
          <w:sz w:val="24"/>
          <w:szCs w:val="24"/>
        </w:rPr>
        <w:t xml:space="preserve"> 2018; </w:t>
      </w:r>
      <w:r w:rsidRPr="00A71493">
        <w:rPr>
          <w:rFonts w:ascii="Book Antiqua" w:hAnsi="Book Antiqua"/>
          <w:b/>
          <w:sz w:val="24"/>
          <w:szCs w:val="24"/>
        </w:rPr>
        <w:t>67</w:t>
      </w:r>
      <w:r w:rsidRPr="00A71493">
        <w:rPr>
          <w:rFonts w:ascii="Book Antiqua" w:hAnsi="Book Antiqua"/>
          <w:sz w:val="24"/>
          <w:szCs w:val="24"/>
        </w:rPr>
        <w:t>: 1870-1880 [PMID: 28847867 DOI: 10.1136/gutjnl-2017-314240]</w:t>
      </w:r>
    </w:p>
    <w:p w14:paraId="32FAAD47"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46 </w:t>
      </w:r>
      <w:r w:rsidRPr="00A71493">
        <w:rPr>
          <w:rFonts w:ascii="Book Antiqua" w:hAnsi="Book Antiqua"/>
          <w:b/>
          <w:sz w:val="24"/>
          <w:szCs w:val="24"/>
        </w:rPr>
        <w:t>Sahara S</w:t>
      </w:r>
      <w:r w:rsidRPr="00A71493">
        <w:rPr>
          <w:rFonts w:ascii="Book Antiqua" w:hAnsi="Book Antiqua"/>
          <w:sz w:val="24"/>
          <w:szCs w:val="24"/>
        </w:rPr>
        <w:t xml:space="preserve">, Sugimoto M, </w:t>
      </w:r>
      <w:proofErr w:type="spellStart"/>
      <w:r w:rsidRPr="00A71493">
        <w:rPr>
          <w:rFonts w:ascii="Book Antiqua" w:hAnsi="Book Antiqua"/>
          <w:sz w:val="24"/>
          <w:szCs w:val="24"/>
        </w:rPr>
        <w:t>Uotani</w:t>
      </w:r>
      <w:proofErr w:type="spellEnd"/>
      <w:r w:rsidRPr="00A71493">
        <w:rPr>
          <w:rFonts w:ascii="Book Antiqua" w:hAnsi="Book Antiqua"/>
          <w:sz w:val="24"/>
          <w:szCs w:val="24"/>
        </w:rPr>
        <w:t xml:space="preserve"> T, Ichikawa H, </w:t>
      </w:r>
      <w:proofErr w:type="spellStart"/>
      <w:r w:rsidRPr="00A71493">
        <w:rPr>
          <w:rFonts w:ascii="Book Antiqua" w:hAnsi="Book Antiqua"/>
          <w:sz w:val="24"/>
          <w:szCs w:val="24"/>
        </w:rPr>
        <w:t>Yamade</w:t>
      </w:r>
      <w:proofErr w:type="spellEnd"/>
      <w:r w:rsidRPr="00A71493">
        <w:rPr>
          <w:rFonts w:ascii="Book Antiqua" w:hAnsi="Book Antiqua"/>
          <w:sz w:val="24"/>
          <w:szCs w:val="24"/>
        </w:rPr>
        <w:t xml:space="preserve"> M, Iwaizumi M, Yamada T, </w:t>
      </w:r>
      <w:proofErr w:type="spellStart"/>
      <w:r w:rsidRPr="00A71493">
        <w:rPr>
          <w:rFonts w:ascii="Book Antiqua" w:hAnsi="Book Antiqua"/>
          <w:sz w:val="24"/>
          <w:szCs w:val="24"/>
        </w:rPr>
        <w:t>Osawa</w:t>
      </w:r>
      <w:proofErr w:type="spellEnd"/>
      <w:r w:rsidRPr="00A71493">
        <w:rPr>
          <w:rFonts w:ascii="Book Antiqua" w:hAnsi="Book Antiqua"/>
          <w:sz w:val="24"/>
          <w:szCs w:val="24"/>
        </w:rPr>
        <w:t xml:space="preserve"> S, Sugimoto K, </w:t>
      </w:r>
      <w:proofErr w:type="spellStart"/>
      <w:r w:rsidRPr="00A71493">
        <w:rPr>
          <w:rFonts w:ascii="Book Antiqua" w:hAnsi="Book Antiqua"/>
          <w:sz w:val="24"/>
          <w:szCs w:val="24"/>
        </w:rPr>
        <w:t>Umemura</w:t>
      </w:r>
      <w:proofErr w:type="spellEnd"/>
      <w:r w:rsidRPr="00A71493">
        <w:rPr>
          <w:rFonts w:ascii="Book Antiqua" w:hAnsi="Book Antiqua"/>
          <w:sz w:val="24"/>
          <w:szCs w:val="24"/>
        </w:rPr>
        <w:t xml:space="preserve"> K, </w:t>
      </w:r>
      <w:proofErr w:type="spellStart"/>
      <w:r w:rsidRPr="00A71493">
        <w:rPr>
          <w:rFonts w:ascii="Book Antiqua" w:hAnsi="Book Antiqua"/>
          <w:sz w:val="24"/>
          <w:szCs w:val="24"/>
        </w:rPr>
        <w:t>Miyajima</w:t>
      </w:r>
      <w:proofErr w:type="spellEnd"/>
      <w:r w:rsidRPr="00A71493">
        <w:rPr>
          <w:rFonts w:ascii="Book Antiqua" w:hAnsi="Book Antiqua"/>
          <w:sz w:val="24"/>
          <w:szCs w:val="24"/>
        </w:rPr>
        <w:t xml:space="preserve"> H, </w:t>
      </w:r>
      <w:proofErr w:type="spellStart"/>
      <w:r w:rsidRPr="00A71493">
        <w:rPr>
          <w:rFonts w:ascii="Book Antiqua" w:hAnsi="Book Antiqua"/>
          <w:sz w:val="24"/>
          <w:szCs w:val="24"/>
        </w:rPr>
        <w:t>Furuta</w:t>
      </w:r>
      <w:proofErr w:type="spellEnd"/>
      <w:r w:rsidRPr="00A71493">
        <w:rPr>
          <w:rFonts w:ascii="Book Antiqua" w:hAnsi="Book Antiqua"/>
          <w:sz w:val="24"/>
          <w:szCs w:val="24"/>
        </w:rPr>
        <w:t xml:space="preserve"> T. Twice-daily dosing of esomeprazole effectively inhibits acid secretion in CYP2C19 rapid </w:t>
      </w:r>
      <w:proofErr w:type="spellStart"/>
      <w:r w:rsidRPr="00A71493">
        <w:rPr>
          <w:rFonts w:ascii="Book Antiqua" w:hAnsi="Book Antiqua"/>
          <w:sz w:val="24"/>
          <w:szCs w:val="24"/>
        </w:rPr>
        <w:t>metabolisers</w:t>
      </w:r>
      <w:proofErr w:type="spellEnd"/>
      <w:r w:rsidRPr="00A71493">
        <w:rPr>
          <w:rFonts w:ascii="Book Antiqua" w:hAnsi="Book Antiqua"/>
          <w:sz w:val="24"/>
          <w:szCs w:val="24"/>
        </w:rPr>
        <w:t xml:space="preserve"> compared with twice-daily omeprazole, </w:t>
      </w:r>
      <w:proofErr w:type="spellStart"/>
      <w:r w:rsidRPr="00A71493">
        <w:rPr>
          <w:rFonts w:ascii="Book Antiqua" w:hAnsi="Book Antiqua"/>
          <w:sz w:val="24"/>
          <w:szCs w:val="24"/>
        </w:rPr>
        <w:t>rabeprazole</w:t>
      </w:r>
      <w:proofErr w:type="spellEnd"/>
      <w:r w:rsidRPr="00A71493">
        <w:rPr>
          <w:rFonts w:ascii="Book Antiqua" w:hAnsi="Book Antiqua"/>
          <w:sz w:val="24"/>
          <w:szCs w:val="24"/>
        </w:rPr>
        <w:t xml:space="preserve"> or lansoprazole.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2013; </w:t>
      </w:r>
      <w:r w:rsidRPr="00A71493">
        <w:rPr>
          <w:rFonts w:ascii="Book Antiqua" w:hAnsi="Book Antiqua"/>
          <w:b/>
          <w:sz w:val="24"/>
          <w:szCs w:val="24"/>
        </w:rPr>
        <w:t>38</w:t>
      </w:r>
      <w:r w:rsidRPr="00A71493">
        <w:rPr>
          <w:rFonts w:ascii="Book Antiqua" w:hAnsi="Book Antiqua"/>
          <w:sz w:val="24"/>
          <w:szCs w:val="24"/>
        </w:rPr>
        <w:t>: 1129-1137 [PMID: 24099474 DOI: 10.1111/apt.12492]</w:t>
      </w:r>
    </w:p>
    <w:p w14:paraId="55D64C71" w14:textId="77777777" w:rsidR="000A1B63" w:rsidRPr="00A71493" w:rsidRDefault="000A1B63" w:rsidP="000A1B63">
      <w:pPr>
        <w:spacing w:line="360" w:lineRule="auto"/>
        <w:rPr>
          <w:rFonts w:ascii="Book Antiqua" w:hAnsi="Book Antiqua"/>
          <w:sz w:val="24"/>
          <w:szCs w:val="24"/>
        </w:rPr>
      </w:pPr>
      <w:r w:rsidRPr="00A71493">
        <w:rPr>
          <w:rFonts w:ascii="Book Antiqua" w:hAnsi="Book Antiqua"/>
          <w:sz w:val="24"/>
          <w:szCs w:val="24"/>
        </w:rPr>
        <w:t xml:space="preserve">47 </w:t>
      </w:r>
      <w:proofErr w:type="spellStart"/>
      <w:r w:rsidRPr="00A71493">
        <w:rPr>
          <w:rFonts w:ascii="Book Antiqua" w:hAnsi="Book Antiqua"/>
          <w:b/>
          <w:sz w:val="24"/>
          <w:szCs w:val="24"/>
        </w:rPr>
        <w:t>Ishizaki</w:t>
      </w:r>
      <w:proofErr w:type="spellEnd"/>
      <w:r w:rsidRPr="00A71493">
        <w:rPr>
          <w:rFonts w:ascii="Book Antiqua" w:hAnsi="Book Antiqua"/>
          <w:b/>
          <w:sz w:val="24"/>
          <w:szCs w:val="24"/>
        </w:rPr>
        <w:t xml:space="preserve"> T</w:t>
      </w:r>
      <w:r w:rsidRPr="00A71493">
        <w:rPr>
          <w:rFonts w:ascii="Book Antiqua" w:hAnsi="Book Antiqua"/>
          <w:sz w:val="24"/>
          <w:szCs w:val="24"/>
        </w:rPr>
        <w:t xml:space="preserve">, </w:t>
      </w:r>
      <w:proofErr w:type="spellStart"/>
      <w:r w:rsidRPr="00A71493">
        <w:rPr>
          <w:rFonts w:ascii="Book Antiqua" w:hAnsi="Book Antiqua"/>
          <w:sz w:val="24"/>
          <w:szCs w:val="24"/>
        </w:rPr>
        <w:t>Horai</w:t>
      </w:r>
      <w:proofErr w:type="spellEnd"/>
      <w:r w:rsidRPr="00A71493">
        <w:rPr>
          <w:rFonts w:ascii="Book Antiqua" w:hAnsi="Book Antiqua"/>
          <w:sz w:val="24"/>
          <w:szCs w:val="24"/>
        </w:rPr>
        <w:t xml:space="preserve"> Y. Review article: Cytochrome P450 and the metabolism of proton pump inhibitors--emphasis on </w:t>
      </w:r>
      <w:proofErr w:type="spellStart"/>
      <w:r w:rsidRPr="00A71493">
        <w:rPr>
          <w:rFonts w:ascii="Book Antiqua" w:hAnsi="Book Antiqua"/>
          <w:sz w:val="24"/>
          <w:szCs w:val="24"/>
        </w:rPr>
        <w:t>rabeprazole</w:t>
      </w:r>
      <w:proofErr w:type="spellEnd"/>
      <w:r w:rsidRPr="00A71493">
        <w:rPr>
          <w:rFonts w:ascii="Book Antiqua" w:hAnsi="Book Antiqua"/>
          <w:sz w:val="24"/>
          <w:szCs w:val="24"/>
        </w:rPr>
        <w:t xml:space="preserve">. </w:t>
      </w:r>
      <w:r w:rsidRPr="00A71493">
        <w:rPr>
          <w:rFonts w:ascii="Book Antiqua" w:hAnsi="Book Antiqua"/>
          <w:i/>
          <w:sz w:val="24"/>
          <w:szCs w:val="24"/>
        </w:rPr>
        <w:t xml:space="preserve">Aliment </w:t>
      </w:r>
      <w:proofErr w:type="spellStart"/>
      <w:r w:rsidRPr="00A71493">
        <w:rPr>
          <w:rFonts w:ascii="Book Antiqua" w:hAnsi="Book Antiqua"/>
          <w:i/>
          <w:sz w:val="24"/>
          <w:szCs w:val="24"/>
        </w:rPr>
        <w:t>Pharmacol</w:t>
      </w:r>
      <w:proofErr w:type="spellEnd"/>
      <w:r w:rsidRPr="00A71493">
        <w:rPr>
          <w:rFonts w:ascii="Book Antiqua" w:hAnsi="Book Antiqua"/>
          <w:i/>
          <w:sz w:val="24"/>
          <w:szCs w:val="24"/>
        </w:rPr>
        <w:t xml:space="preserve"> </w:t>
      </w:r>
      <w:proofErr w:type="spellStart"/>
      <w:r w:rsidRPr="00A71493">
        <w:rPr>
          <w:rFonts w:ascii="Book Antiqua" w:hAnsi="Book Antiqua"/>
          <w:i/>
          <w:sz w:val="24"/>
          <w:szCs w:val="24"/>
        </w:rPr>
        <w:t>Ther</w:t>
      </w:r>
      <w:proofErr w:type="spellEnd"/>
      <w:r w:rsidRPr="00A71493">
        <w:rPr>
          <w:rFonts w:ascii="Book Antiqua" w:hAnsi="Book Antiqua"/>
          <w:sz w:val="24"/>
          <w:szCs w:val="24"/>
        </w:rPr>
        <w:t xml:space="preserve"> 1999; </w:t>
      </w:r>
      <w:r w:rsidRPr="00A71493">
        <w:rPr>
          <w:rFonts w:ascii="Book Antiqua" w:hAnsi="Book Antiqua"/>
          <w:b/>
          <w:sz w:val="24"/>
          <w:szCs w:val="24"/>
        </w:rPr>
        <w:t xml:space="preserve">13 </w:t>
      </w:r>
      <w:proofErr w:type="spellStart"/>
      <w:r w:rsidRPr="000A1B63">
        <w:rPr>
          <w:rFonts w:ascii="Book Antiqua" w:hAnsi="Book Antiqua"/>
          <w:sz w:val="24"/>
          <w:szCs w:val="24"/>
        </w:rPr>
        <w:t>Suppl</w:t>
      </w:r>
      <w:proofErr w:type="spellEnd"/>
      <w:r w:rsidRPr="000A1B63">
        <w:rPr>
          <w:rFonts w:ascii="Book Antiqua" w:hAnsi="Book Antiqua"/>
          <w:sz w:val="24"/>
          <w:szCs w:val="24"/>
        </w:rPr>
        <w:t xml:space="preserve"> 3</w:t>
      </w:r>
      <w:r w:rsidRPr="00A71493">
        <w:rPr>
          <w:rFonts w:ascii="Book Antiqua" w:hAnsi="Book Antiqua"/>
          <w:sz w:val="24"/>
          <w:szCs w:val="24"/>
        </w:rPr>
        <w:t>: 27-36 [PMID: 10491726 DOI: 10.1046/j.1365-2036.1999.00022.x]</w:t>
      </w:r>
      <w:bookmarkEnd w:id="48"/>
    </w:p>
    <w:p w14:paraId="6BED6927" w14:textId="140CDBFC" w:rsidR="000A1B63" w:rsidRPr="000A1B63" w:rsidRDefault="000A1B63" w:rsidP="000A1B63">
      <w:pPr>
        <w:adjustRightInd w:val="0"/>
        <w:snapToGrid w:val="0"/>
        <w:spacing w:line="360" w:lineRule="auto"/>
        <w:jc w:val="right"/>
        <w:rPr>
          <w:rFonts w:ascii="Book Antiqua" w:eastAsia="宋体" w:hAnsi="Book Antiqua" w:cs="Times New Roman"/>
          <w:color w:val="000000"/>
          <w:sz w:val="24"/>
          <w:szCs w:val="24"/>
        </w:rPr>
      </w:pPr>
      <w:bookmarkStart w:id="60" w:name="OLE_LINK139"/>
      <w:bookmarkStart w:id="61" w:name="OLE_LINK140"/>
      <w:bookmarkStart w:id="62" w:name="OLE_LINK287"/>
      <w:bookmarkStart w:id="63" w:name="OLE_LINK288"/>
      <w:bookmarkStart w:id="64" w:name="OLE_LINK70"/>
      <w:bookmarkStart w:id="65" w:name="OLE_LINK110"/>
      <w:bookmarkStart w:id="66" w:name="OLE_LINK109"/>
      <w:bookmarkStart w:id="67" w:name="OLE_LINK138"/>
      <w:bookmarkStart w:id="68" w:name="OLE_LINK72"/>
      <w:bookmarkStart w:id="69" w:name="OLE_LINK95"/>
      <w:bookmarkStart w:id="70" w:name="OLE_LINK118"/>
      <w:bookmarkStart w:id="71" w:name="OLE_LINK198"/>
      <w:bookmarkStart w:id="72" w:name="OLE_LINK154"/>
      <w:bookmarkStart w:id="73" w:name="OLE_LINK251"/>
      <w:bookmarkStart w:id="74" w:name="OLE_LINK167"/>
      <w:bookmarkStart w:id="75" w:name="OLE_LINK126"/>
      <w:bookmarkStart w:id="76" w:name="OLE_LINK234"/>
      <w:bookmarkStart w:id="77" w:name="OLE_LINK157"/>
      <w:bookmarkStart w:id="78" w:name="OLE_LINK187"/>
      <w:bookmarkStart w:id="79" w:name="OLE_LINK204"/>
      <w:bookmarkStart w:id="80" w:name="OLE_LINK255"/>
      <w:bookmarkStart w:id="81" w:name="OLE_LINK229"/>
      <w:bookmarkStart w:id="82" w:name="OLE_LINK268"/>
      <w:bookmarkStart w:id="83" w:name="OLE_LINK310"/>
      <w:bookmarkStart w:id="84" w:name="OLE_LINK338"/>
      <w:bookmarkStart w:id="85" w:name="OLE_LINK340"/>
      <w:bookmarkStart w:id="86" w:name="OLE_LINK264"/>
      <w:bookmarkStart w:id="87" w:name="OLE_LINK345"/>
      <w:bookmarkStart w:id="88" w:name="OLE_LINK256"/>
      <w:bookmarkStart w:id="89" w:name="OLE_LINK299"/>
      <w:bookmarkStart w:id="90" w:name="OLE_LINK265"/>
      <w:bookmarkStart w:id="91" w:name="OLE_LINK254"/>
      <w:bookmarkStart w:id="92" w:name="OLE_LINK357"/>
      <w:bookmarkStart w:id="93" w:name="OLE_LINK382"/>
      <w:bookmarkStart w:id="94" w:name="OLE_LINK333"/>
      <w:bookmarkStart w:id="95" w:name="OLE_LINK334"/>
      <w:bookmarkStart w:id="96" w:name="OLE_LINK400"/>
      <w:bookmarkStart w:id="97" w:name="OLE_LINK365"/>
      <w:bookmarkStart w:id="98" w:name="OLE_LINK467"/>
      <w:bookmarkStart w:id="99" w:name="OLE_LINK399"/>
      <w:bookmarkStart w:id="100" w:name="OLE_LINK443"/>
      <w:bookmarkStart w:id="101" w:name="OLE_LINK372"/>
      <w:bookmarkStart w:id="102" w:name="OLE_LINK425"/>
      <w:bookmarkStart w:id="103" w:name="OLE_LINK450"/>
      <w:bookmarkStart w:id="104" w:name="OLE_LINK402"/>
      <w:bookmarkStart w:id="105" w:name="OLE_LINK385"/>
      <w:bookmarkStart w:id="106" w:name="OLE_LINK396"/>
      <w:bookmarkStart w:id="107" w:name="OLE_LINK436"/>
      <w:bookmarkStart w:id="108" w:name="OLE_LINK421"/>
      <w:bookmarkStart w:id="109" w:name="OLE_LINK426"/>
      <w:bookmarkStart w:id="110" w:name="OLE_LINK456"/>
      <w:bookmarkStart w:id="111" w:name="OLE_LINK505"/>
      <w:bookmarkStart w:id="112" w:name="OLE_LINK490"/>
      <w:bookmarkStart w:id="113" w:name="OLE_LINK531"/>
      <w:bookmarkStart w:id="114" w:name="OLE_LINK460"/>
      <w:bookmarkStart w:id="115" w:name="OLE_LINK463"/>
      <w:bookmarkStart w:id="116" w:name="OLE_LINK487"/>
      <w:bookmarkStart w:id="117" w:name="OLE_LINK515"/>
      <w:bookmarkStart w:id="118" w:name="OLE_LINK509"/>
      <w:bookmarkStart w:id="119" w:name="OLE_LINK538"/>
      <w:bookmarkStart w:id="120" w:name="OLE_LINK606"/>
      <w:bookmarkStart w:id="121" w:name="OLE_LINK662"/>
      <w:bookmarkStart w:id="122" w:name="OLE_LINK663"/>
      <w:bookmarkStart w:id="123" w:name="OLE_LINK738"/>
      <w:bookmarkStart w:id="124" w:name="OLE_LINK666"/>
      <w:bookmarkStart w:id="125" w:name="OLE_LINK667"/>
      <w:bookmarkStart w:id="126" w:name="OLE_LINK672"/>
      <w:bookmarkStart w:id="127" w:name="OLE_LINK727"/>
      <w:bookmarkStart w:id="128" w:name="OLE_LINK703"/>
      <w:bookmarkStart w:id="129" w:name="OLE_LINK765"/>
      <w:bookmarkStart w:id="130" w:name="OLE_LINK724"/>
      <w:bookmarkStart w:id="131" w:name="OLE_LINK771"/>
      <w:r w:rsidRPr="000A1B63">
        <w:rPr>
          <w:rFonts w:ascii="Book Antiqua" w:eastAsia="宋体" w:hAnsi="Book Antiqua" w:cs="Times New Roman"/>
          <w:b/>
          <w:bCs/>
          <w:color w:val="000000"/>
          <w:sz w:val="24"/>
          <w:szCs w:val="24"/>
        </w:rPr>
        <w:t>P-Reviewer:</w:t>
      </w:r>
      <w:r w:rsidRPr="000A1B63">
        <w:rPr>
          <w:rFonts w:ascii="Book Antiqua" w:eastAsia="宋体" w:hAnsi="Book Antiqua" w:cs="Times New Roman"/>
          <w:bCs/>
          <w:color w:val="000000"/>
          <w:sz w:val="24"/>
          <w:szCs w:val="24"/>
        </w:rPr>
        <w:t xml:space="preserve"> Huang</w:t>
      </w:r>
      <w:r>
        <w:rPr>
          <w:rFonts w:ascii="Book Antiqua" w:eastAsia="宋体" w:hAnsi="Book Antiqua" w:cs="Times New Roman"/>
          <w:bCs/>
          <w:color w:val="000000"/>
          <w:sz w:val="24"/>
          <w:szCs w:val="24"/>
        </w:rPr>
        <w:t xml:space="preserve"> CC, </w:t>
      </w:r>
      <w:proofErr w:type="spellStart"/>
      <w:r w:rsidRPr="000A1B63">
        <w:rPr>
          <w:rFonts w:ascii="Book Antiqua" w:eastAsia="宋体" w:hAnsi="Book Antiqua" w:cs="Times New Roman"/>
          <w:bCs/>
          <w:color w:val="000000"/>
          <w:sz w:val="24"/>
          <w:szCs w:val="24"/>
        </w:rPr>
        <w:t>Osawa</w:t>
      </w:r>
      <w:proofErr w:type="spellEnd"/>
      <w:r>
        <w:rPr>
          <w:rFonts w:ascii="Book Antiqua" w:eastAsia="宋体" w:hAnsi="Book Antiqua" w:cs="Times New Roman"/>
          <w:bCs/>
          <w:color w:val="000000"/>
          <w:sz w:val="24"/>
          <w:szCs w:val="24"/>
        </w:rPr>
        <w:t xml:space="preserve"> H, </w:t>
      </w:r>
      <w:proofErr w:type="spellStart"/>
      <w:r w:rsidRPr="000A1B63">
        <w:rPr>
          <w:rFonts w:ascii="Book Antiqua" w:eastAsia="宋体" w:hAnsi="Book Antiqua" w:cs="Times New Roman"/>
          <w:bCs/>
          <w:color w:val="000000"/>
          <w:sz w:val="24"/>
          <w:szCs w:val="24"/>
        </w:rPr>
        <w:t>Ridola</w:t>
      </w:r>
      <w:proofErr w:type="spellEnd"/>
      <w:r>
        <w:rPr>
          <w:rFonts w:ascii="Book Antiqua" w:eastAsia="宋体" w:hAnsi="Book Antiqua" w:cs="Times New Roman"/>
          <w:bCs/>
          <w:color w:val="000000"/>
          <w:sz w:val="24"/>
          <w:szCs w:val="24"/>
        </w:rPr>
        <w:t xml:space="preserve"> L </w:t>
      </w:r>
      <w:r w:rsidRPr="000A1B63">
        <w:rPr>
          <w:rFonts w:ascii="Book Antiqua" w:eastAsia="宋体" w:hAnsi="Book Antiqua" w:cs="Times New Roman"/>
          <w:b/>
          <w:bCs/>
          <w:color w:val="000000"/>
          <w:sz w:val="24"/>
          <w:szCs w:val="24"/>
        </w:rPr>
        <w:t>S-Editor:</w:t>
      </w:r>
      <w:r w:rsidRPr="000A1B63">
        <w:rPr>
          <w:rFonts w:ascii="Book Antiqua" w:eastAsia="宋体" w:hAnsi="Book Antiqua" w:cs="Times New Roman"/>
          <w:color w:val="000000"/>
          <w:sz w:val="24"/>
          <w:szCs w:val="24"/>
        </w:rPr>
        <w:t xml:space="preserve"> Yan JP</w:t>
      </w:r>
    </w:p>
    <w:p w14:paraId="0DE7DBCE" w14:textId="61823D17" w:rsidR="000A1B63" w:rsidRPr="000A1B63" w:rsidRDefault="000A1B63" w:rsidP="00E10932">
      <w:pPr>
        <w:wordWrap w:val="0"/>
        <w:adjustRightInd w:val="0"/>
        <w:snapToGrid w:val="0"/>
        <w:spacing w:line="360" w:lineRule="auto"/>
        <w:jc w:val="right"/>
        <w:rPr>
          <w:rFonts w:ascii="Book Antiqua" w:eastAsia="宋体" w:hAnsi="Book Antiqua" w:cs="Times New Roman"/>
          <w:b/>
          <w:bCs/>
          <w:color w:val="000000"/>
          <w:sz w:val="24"/>
          <w:szCs w:val="24"/>
        </w:rPr>
      </w:pPr>
      <w:r w:rsidRPr="000A1B63">
        <w:rPr>
          <w:rFonts w:ascii="Book Antiqua" w:eastAsia="宋体" w:hAnsi="Book Antiqua" w:cs="Times New Roman"/>
          <w:b/>
          <w:bCs/>
          <w:color w:val="000000"/>
          <w:sz w:val="24"/>
          <w:szCs w:val="24"/>
        </w:rPr>
        <w:t>L-Editor:</w:t>
      </w:r>
      <w:r w:rsidRPr="000A1B63">
        <w:rPr>
          <w:rFonts w:ascii="Book Antiqua" w:eastAsia="宋体" w:hAnsi="Book Antiqua" w:cs="Times New Roman"/>
          <w:color w:val="000000"/>
          <w:sz w:val="24"/>
          <w:szCs w:val="24"/>
        </w:rPr>
        <w:t xml:space="preserve"> </w:t>
      </w:r>
      <w:r w:rsidR="00075E23">
        <w:rPr>
          <w:rFonts w:ascii="Book Antiqua" w:eastAsia="宋体" w:hAnsi="Book Antiqua" w:cs="Times New Roman"/>
          <w:color w:val="000000"/>
          <w:sz w:val="24"/>
          <w:szCs w:val="24"/>
        </w:rPr>
        <w:t xml:space="preserve">Wang TQ </w:t>
      </w:r>
      <w:r w:rsidRPr="000A1B63">
        <w:rPr>
          <w:rFonts w:ascii="Book Antiqua" w:eastAsia="宋体" w:hAnsi="Book Antiqua" w:cs="Times New Roman"/>
          <w:b/>
          <w:bCs/>
          <w:color w:val="000000"/>
          <w:sz w:val="24"/>
          <w:szCs w:val="24"/>
        </w:rPr>
        <w:t>E-Editor:</w:t>
      </w:r>
    </w:p>
    <w:bookmarkEnd w:id="60"/>
    <w:bookmarkEnd w:id="61"/>
    <w:p w14:paraId="70B43051" w14:textId="40EC38D0" w:rsidR="000A1B63" w:rsidRPr="000A1B63" w:rsidRDefault="000A1B63" w:rsidP="000A1B63">
      <w:pPr>
        <w:widowControl/>
        <w:spacing w:line="360" w:lineRule="auto"/>
        <w:rPr>
          <w:rFonts w:ascii="Book Antiqua" w:eastAsia="宋体" w:hAnsi="Book Antiqua" w:cs="宋体"/>
          <w:kern w:val="0"/>
          <w:sz w:val="24"/>
          <w:szCs w:val="24"/>
        </w:rPr>
      </w:pPr>
      <w:r w:rsidRPr="000A1B63">
        <w:rPr>
          <w:rFonts w:ascii="Book Antiqua" w:eastAsia="宋体" w:hAnsi="Book Antiqua" w:cs="宋体"/>
          <w:b/>
          <w:kern w:val="0"/>
          <w:sz w:val="24"/>
          <w:szCs w:val="24"/>
        </w:rPr>
        <w:t xml:space="preserve">Specialty type: </w:t>
      </w:r>
      <w:r w:rsidRPr="000A1B63">
        <w:rPr>
          <w:rFonts w:ascii="Book Antiqua" w:eastAsia="微软雅黑" w:hAnsi="Book Antiqua" w:cs="宋体"/>
          <w:kern w:val="0"/>
          <w:sz w:val="24"/>
          <w:szCs w:val="24"/>
        </w:rPr>
        <w:t>Gastroenterology and hepatology</w:t>
      </w:r>
      <w:r w:rsidRPr="000A1B63">
        <w:rPr>
          <w:rFonts w:ascii="Book Antiqua" w:eastAsia="宋体" w:hAnsi="Book Antiqua" w:cs="宋体"/>
          <w:kern w:val="0"/>
          <w:sz w:val="24"/>
          <w:szCs w:val="24"/>
        </w:rPr>
        <w:t xml:space="preserve"> </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 xml:space="preserve">Country of origin: </w:t>
      </w:r>
      <w:r w:rsidRPr="000A1B63">
        <w:rPr>
          <w:rFonts w:ascii="Book Antiqua" w:eastAsia="宋体" w:hAnsi="Book Antiqua" w:cs="宋体"/>
          <w:kern w:val="0"/>
          <w:sz w:val="24"/>
          <w:szCs w:val="24"/>
        </w:rPr>
        <w:t xml:space="preserve">China </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Peer-review report classification</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 xml:space="preserve">Grade A (Excellent): </w:t>
      </w:r>
      <w:r>
        <w:rPr>
          <w:rFonts w:ascii="Book Antiqua" w:eastAsia="宋体" w:hAnsi="Book Antiqua" w:cs="宋体"/>
          <w:kern w:val="0"/>
          <w:sz w:val="24"/>
          <w:szCs w:val="24"/>
        </w:rPr>
        <w:t>0</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 xml:space="preserve">Grade B (Very good): </w:t>
      </w:r>
      <w:r>
        <w:rPr>
          <w:rFonts w:ascii="Book Antiqua" w:eastAsia="宋体" w:hAnsi="Book Antiqua" w:cs="宋体"/>
          <w:kern w:val="0"/>
          <w:sz w:val="24"/>
          <w:szCs w:val="24"/>
        </w:rPr>
        <w:t>0</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 xml:space="preserve">Grade C (Good): </w:t>
      </w:r>
      <w:r>
        <w:rPr>
          <w:rFonts w:ascii="Book Antiqua" w:eastAsia="宋体" w:hAnsi="Book Antiqua" w:cs="宋体"/>
          <w:kern w:val="0"/>
          <w:sz w:val="24"/>
          <w:szCs w:val="24"/>
        </w:rPr>
        <w:t>C, C, C</w:t>
      </w:r>
      <w:r w:rsidRPr="000A1B63">
        <w:rPr>
          <w:rFonts w:ascii="Book Antiqua" w:eastAsia="宋体" w:hAnsi="Book Antiqua" w:cs="宋体"/>
          <w:kern w:val="0"/>
          <w:sz w:val="24"/>
          <w:szCs w:val="24"/>
        </w:rPr>
        <w:br/>
      </w:r>
      <w:r w:rsidRPr="000A1B63">
        <w:rPr>
          <w:rFonts w:ascii="Book Antiqua" w:eastAsia="宋体" w:hAnsi="Book Antiqua" w:cs="宋体"/>
          <w:b/>
          <w:kern w:val="0"/>
          <w:sz w:val="24"/>
          <w:szCs w:val="24"/>
        </w:rPr>
        <w:t xml:space="preserve">Grade D (Fair): </w:t>
      </w:r>
      <w:r w:rsidRPr="000A1B63">
        <w:rPr>
          <w:rFonts w:ascii="Book Antiqua" w:eastAsia="宋体" w:hAnsi="Book Antiqua" w:cs="宋体"/>
          <w:kern w:val="0"/>
          <w:sz w:val="24"/>
          <w:szCs w:val="24"/>
        </w:rPr>
        <w:t>0</w:t>
      </w:r>
      <w:r w:rsidRPr="000A1B63">
        <w:rPr>
          <w:rFonts w:ascii="Book Antiqua" w:eastAsia="宋体" w:hAnsi="Book Antiqua" w:cs="宋体"/>
          <w:b/>
          <w:kern w:val="0"/>
          <w:sz w:val="24"/>
          <w:szCs w:val="24"/>
        </w:rPr>
        <w:br/>
        <w:t xml:space="preserve">Grade E (Poor): </w:t>
      </w:r>
      <w:r w:rsidRPr="000A1B63">
        <w:rPr>
          <w:rFonts w:ascii="Book Antiqua" w:eastAsia="宋体" w:hAnsi="Book Antiqua" w:cs="宋体"/>
          <w:kern w:val="0"/>
          <w:sz w:val="24"/>
          <w:szCs w:val="24"/>
        </w:rPr>
        <w:t>0</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2563CFDC" w14:textId="77777777" w:rsidR="00C51908" w:rsidRPr="000A1B63" w:rsidRDefault="00C51908" w:rsidP="001C4059">
      <w:pPr>
        <w:spacing w:line="360" w:lineRule="auto"/>
        <w:rPr>
          <w:rFonts w:ascii="Book Antiqua" w:hAnsi="Book Antiqua" w:cs="Times New Roman"/>
          <w:color w:val="000000" w:themeColor="text1"/>
          <w:kern w:val="0"/>
          <w:sz w:val="24"/>
          <w:szCs w:val="24"/>
        </w:rPr>
      </w:pPr>
    </w:p>
    <w:p w14:paraId="3FA54C13" w14:textId="77777777" w:rsidR="002535EB" w:rsidRDefault="002535EB">
      <w:pPr>
        <w:widowControl/>
        <w:jc w:val="left"/>
        <w:rPr>
          <w:rFonts w:ascii="Book Antiqua" w:hAnsi="Book Antiqua" w:cs="Times New Roman"/>
          <w:color w:val="000000" w:themeColor="text1"/>
          <w:kern w:val="0"/>
          <w:sz w:val="24"/>
          <w:szCs w:val="24"/>
        </w:rPr>
        <w:sectPr w:rsidR="002535EB" w:rsidSect="002535EB">
          <w:headerReference w:type="default" r:id="rId8"/>
          <w:type w:val="continuous"/>
          <w:pgSz w:w="12240" w:h="15840"/>
          <w:pgMar w:top="1440" w:right="1800" w:bottom="1440" w:left="1800" w:header="720" w:footer="720" w:gutter="0"/>
          <w:cols w:space="720"/>
          <w:noEndnote/>
          <w:docGrid w:linePitch="286"/>
        </w:sectPr>
      </w:pPr>
      <w:r>
        <w:rPr>
          <w:rFonts w:ascii="Book Antiqua" w:hAnsi="Book Antiqua" w:cs="Times New Roman"/>
          <w:color w:val="000000" w:themeColor="text1"/>
          <w:kern w:val="0"/>
          <w:sz w:val="24"/>
          <w:szCs w:val="24"/>
        </w:rPr>
        <w:br w:type="page"/>
      </w:r>
    </w:p>
    <w:p w14:paraId="11CF54CB" w14:textId="4F5E2284" w:rsidR="00C51908" w:rsidRDefault="002535EB" w:rsidP="002535EB">
      <w:pPr>
        <w:widowControl/>
        <w:spacing w:line="360" w:lineRule="auto"/>
        <w:rPr>
          <w:rFonts w:ascii="Book Antiqua" w:hAnsi="Book Antiqua" w:cs="Times New Roman"/>
          <w:color w:val="000000" w:themeColor="text1"/>
          <w:kern w:val="0"/>
          <w:sz w:val="24"/>
          <w:szCs w:val="24"/>
        </w:rPr>
      </w:pPr>
      <w:r w:rsidRPr="002535EB">
        <w:rPr>
          <w:rFonts w:ascii="Book Antiqua" w:eastAsia="等线" w:hAnsi="Book Antiqua" w:cs="Times New Roman"/>
          <w:b/>
          <w:color w:val="000000" w:themeColor="text1"/>
          <w:kern w:val="0"/>
          <w:sz w:val="24"/>
          <w:szCs w:val="24"/>
        </w:rPr>
        <w:t>Table 1 Characteristics of included studies</w:t>
      </w:r>
    </w:p>
    <w:tbl>
      <w:tblPr>
        <w:tblW w:w="13325" w:type="dxa"/>
        <w:jc w:val="right"/>
        <w:tblLayout w:type="fixed"/>
        <w:tblLook w:val="04A0" w:firstRow="1" w:lastRow="0" w:firstColumn="1" w:lastColumn="0" w:noHBand="0" w:noVBand="1"/>
      </w:tblPr>
      <w:tblGrid>
        <w:gridCol w:w="1418"/>
        <w:gridCol w:w="992"/>
        <w:gridCol w:w="992"/>
        <w:gridCol w:w="1152"/>
        <w:gridCol w:w="975"/>
        <w:gridCol w:w="992"/>
        <w:gridCol w:w="992"/>
        <w:gridCol w:w="992"/>
        <w:gridCol w:w="1134"/>
        <w:gridCol w:w="851"/>
        <w:gridCol w:w="1417"/>
        <w:gridCol w:w="1418"/>
      </w:tblGrid>
      <w:tr w:rsidR="00115F98" w:rsidRPr="002535EB" w14:paraId="77A25F74" w14:textId="77777777" w:rsidTr="002535EB">
        <w:trPr>
          <w:trHeight w:val="730"/>
          <w:jc w:val="right"/>
        </w:trPr>
        <w:tc>
          <w:tcPr>
            <w:tcW w:w="1418" w:type="dxa"/>
            <w:tcBorders>
              <w:top w:val="single" w:sz="8" w:space="0" w:color="auto"/>
              <w:left w:val="nil"/>
              <w:bottom w:val="single" w:sz="8" w:space="0" w:color="auto"/>
              <w:right w:val="nil"/>
            </w:tcBorders>
            <w:shd w:val="clear" w:color="auto" w:fill="auto"/>
            <w:vAlign w:val="center"/>
            <w:hideMark/>
          </w:tcPr>
          <w:p w14:paraId="15FFD028" w14:textId="3CC98669" w:rsidR="00E079C6" w:rsidRPr="002535EB" w:rsidRDefault="00E079C6">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Author</w:t>
            </w:r>
            <w:r w:rsidR="008D6F67">
              <w:rPr>
                <w:rFonts w:ascii="Book Antiqua" w:eastAsia="等线" w:hAnsi="Book Antiqua" w:cs="Times New Roman"/>
                <w:b/>
                <w:color w:val="000000" w:themeColor="text1"/>
                <w:kern w:val="0"/>
                <w:sz w:val="18"/>
                <w:szCs w:val="18"/>
              </w:rPr>
              <w:t xml:space="preserve">, </w:t>
            </w:r>
            <w:r w:rsidRPr="002535EB">
              <w:rPr>
                <w:rFonts w:ascii="Book Antiqua" w:eastAsia="等线" w:hAnsi="Book Antiqua" w:cs="Times New Roman"/>
                <w:b/>
                <w:color w:val="000000" w:themeColor="text1"/>
                <w:kern w:val="0"/>
                <w:sz w:val="18"/>
                <w:szCs w:val="18"/>
              </w:rPr>
              <w:t>Year</w:t>
            </w:r>
          </w:p>
        </w:tc>
        <w:tc>
          <w:tcPr>
            <w:tcW w:w="992" w:type="dxa"/>
            <w:tcBorders>
              <w:top w:val="single" w:sz="8" w:space="0" w:color="auto"/>
              <w:left w:val="nil"/>
              <w:bottom w:val="single" w:sz="8" w:space="0" w:color="auto"/>
              <w:right w:val="nil"/>
            </w:tcBorders>
            <w:shd w:val="clear" w:color="auto" w:fill="auto"/>
            <w:vAlign w:val="center"/>
            <w:hideMark/>
          </w:tcPr>
          <w:p w14:paraId="11E15E55"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Location</w:t>
            </w:r>
          </w:p>
        </w:tc>
        <w:tc>
          <w:tcPr>
            <w:tcW w:w="992" w:type="dxa"/>
            <w:tcBorders>
              <w:top w:val="single" w:sz="8" w:space="0" w:color="auto"/>
              <w:left w:val="nil"/>
              <w:bottom w:val="single" w:sz="8" w:space="0" w:color="auto"/>
              <w:right w:val="nil"/>
            </w:tcBorders>
            <w:shd w:val="clear" w:color="auto" w:fill="auto"/>
            <w:vAlign w:val="center"/>
            <w:hideMark/>
          </w:tcPr>
          <w:p w14:paraId="0DECA784"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Design</w:t>
            </w:r>
          </w:p>
        </w:tc>
        <w:tc>
          <w:tcPr>
            <w:tcW w:w="1152" w:type="dxa"/>
            <w:tcBorders>
              <w:top w:val="single" w:sz="8" w:space="0" w:color="auto"/>
              <w:left w:val="nil"/>
              <w:bottom w:val="single" w:sz="8" w:space="0" w:color="auto"/>
              <w:right w:val="nil"/>
            </w:tcBorders>
            <w:shd w:val="clear" w:color="auto" w:fill="auto"/>
            <w:vAlign w:val="center"/>
            <w:hideMark/>
          </w:tcPr>
          <w:p w14:paraId="4AE3351D" w14:textId="4CD5AC61"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 xml:space="preserve">No. </w:t>
            </w:r>
            <w:r w:rsidR="008D6F67">
              <w:rPr>
                <w:rFonts w:ascii="Book Antiqua" w:eastAsia="等线" w:hAnsi="Book Antiqua" w:cs="Times New Roman"/>
                <w:b/>
                <w:color w:val="000000" w:themeColor="text1"/>
                <w:kern w:val="0"/>
                <w:sz w:val="18"/>
                <w:szCs w:val="18"/>
              </w:rPr>
              <w:t xml:space="preserve">of </w:t>
            </w:r>
            <w:r w:rsidRPr="002535EB">
              <w:rPr>
                <w:rFonts w:ascii="Book Antiqua" w:eastAsia="等线" w:hAnsi="Book Antiqua" w:cs="Times New Roman"/>
                <w:b/>
                <w:color w:val="000000" w:themeColor="text1"/>
                <w:kern w:val="0"/>
                <w:sz w:val="18"/>
                <w:szCs w:val="18"/>
              </w:rPr>
              <w:t>case</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/control</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 xml:space="preserve"> </w:t>
            </w:r>
          </w:p>
        </w:tc>
        <w:tc>
          <w:tcPr>
            <w:tcW w:w="975" w:type="dxa"/>
            <w:tcBorders>
              <w:top w:val="single" w:sz="8" w:space="0" w:color="auto"/>
              <w:left w:val="nil"/>
              <w:bottom w:val="single" w:sz="8" w:space="0" w:color="auto"/>
              <w:right w:val="nil"/>
            </w:tcBorders>
            <w:shd w:val="clear" w:color="auto" w:fill="auto"/>
            <w:vAlign w:val="center"/>
            <w:hideMark/>
          </w:tcPr>
          <w:p w14:paraId="0979824A" w14:textId="021B4FFE" w:rsidR="00E079C6" w:rsidRPr="002535EB" w:rsidRDefault="00E079C6" w:rsidP="00E10932">
            <w:pPr>
              <w:widowControl/>
              <w:spacing w:line="360" w:lineRule="auto"/>
              <w:ind w:left="90" w:hangingChars="50" w:hanging="90"/>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 xml:space="preserve">Age </w:t>
            </w:r>
            <w:r w:rsidR="008D6F67">
              <w:rPr>
                <w:rFonts w:ascii="Book Antiqua" w:eastAsia="等线" w:hAnsi="Book Antiqua" w:cs="Times New Roman"/>
                <w:b/>
                <w:color w:val="000000" w:themeColor="text1"/>
                <w:kern w:val="0"/>
                <w:sz w:val="18"/>
                <w:szCs w:val="18"/>
              </w:rPr>
              <w:t xml:space="preserve">of </w:t>
            </w:r>
            <w:r w:rsidRPr="002535EB">
              <w:rPr>
                <w:rFonts w:ascii="Book Antiqua" w:eastAsia="等线" w:hAnsi="Book Antiqua" w:cs="Times New Roman"/>
                <w:b/>
                <w:color w:val="000000" w:themeColor="text1"/>
                <w:kern w:val="0"/>
                <w:sz w:val="18"/>
                <w:szCs w:val="18"/>
              </w:rPr>
              <w:t>case</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/control</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158801D0" w14:textId="45C98703"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Sex (% male) case</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/control</w:t>
            </w:r>
            <w:r w:rsidR="008D6F67">
              <w:rPr>
                <w:rFonts w:ascii="Book Antiqua" w:eastAsia="等线" w:hAnsi="Book Antiqua" w:cs="Times New Roman"/>
                <w:b/>
                <w:color w:val="000000" w:themeColor="text1"/>
                <w:kern w:val="0"/>
                <w:sz w:val="18"/>
                <w:szCs w:val="18"/>
              </w:rPr>
              <w:t>s</w:t>
            </w:r>
            <w:r w:rsidRPr="002535EB">
              <w:rPr>
                <w:rFonts w:ascii="Book Antiqua" w:eastAsia="等线" w:hAnsi="Book Antiqua" w:cs="Times New Roman"/>
                <w:b/>
                <w:color w:val="000000" w:themeColor="text1"/>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1DBA537E" w14:textId="6DCAE173"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Type of liver disease</w:t>
            </w:r>
          </w:p>
        </w:tc>
        <w:tc>
          <w:tcPr>
            <w:tcW w:w="992" w:type="dxa"/>
            <w:tcBorders>
              <w:top w:val="single" w:sz="8" w:space="0" w:color="auto"/>
              <w:left w:val="nil"/>
              <w:bottom w:val="single" w:sz="8" w:space="0" w:color="auto"/>
              <w:right w:val="nil"/>
            </w:tcBorders>
            <w:shd w:val="clear" w:color="auto" w:fill="auto"/>
            <w:vAlign w:val="center"/>
            <w:hideMark/>
          </w:tcPr>
          <w:p w14:paraId="1021D4D4"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Outcomes analyzed</w:t>
            </w:r>
          </w:p>
        </w:tc>
        <w:tc>
          <w:tcPr>
            <w:tcW w:w="1134" w:type="dxa"/>
            <w:tcBorders>
              <w:top w:val="single" w:sz="8" w:space="0" w:color="auto"/>
              <w:left w:val="nil"/>
              <w:bottom w:val="single" w:sz="8" w:space="0" w:color="auto"/>
              <w:right w:val="nil"/>
            </w:tcBorders>
            <w:shd w:val="clear" w:color="auto" w:fill="auto"/>
            <w:vAlign w:val="center"/>
            <w:hideMark/>
          </w:tcPr>
          <w:p w14:paraId="7CEE8A80"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 xml:space="preserve">Definition of PPI use </w:t>
            </w:r>
          </w:p>
        </w:tc>
        <w:tc>
          <w:tcPr>
            <w:tcW w:w="851" w:type="dxa"/>
            <w:tcBorders>
              <w:top w:val="single" w:sz="8" w:space="0" w:color="auto"/>
              <w:left w:val="nil"/>
              <w:bottom w:val="single" w:sz="8" w:space="0" w:color="auto"/>
              <w:right w:val="nil"/>
            </w:tcBorders>
            <w:shd w:val="clear" w:color="auto" w:fill="auto"/>
            <w:vAlign w:val="center"/>
            <w:hideMark/>
          </w:tcPr>
          <w:p w14:paraId="66444742"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Follow-up time</w:t>
            </w:r>
          </w:p>
        </w:tc>
        <w:tc>
          <w:tcPr>
            <w:tcW w:w="1417" w:type="dxa"/>
            <w:tcBorders>
              <w:top w:val="single" w:sz="8" w:space="0" w:color="auto"/>
              <w:left w:val="nil"/>
              <w:bottom w:val="single" w:sz="8" w:space="0" w:color="auto"/>
              <w:right w:val="nil"/>
            </w:tcBorders>
            <w:shd w:val="clear" w:color="auto" w:fill="auto"/>
            <w:vAlign w:val="center"/>
            <w:hideMark/>
          </w:tcPr>
          <w:p w14:paraId="646EAB6E"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Adjusted factors</w:t>
            </w:r>
          </w:p>
        </w:tc>
        <w:tc>
          <w:tcPr>
            <w:tcW w:w="1418" w:type="dxa"/>
            <w:tcBorders>
              <w:top w:val="single" w:sz="8" w:space="0" w:color="auto"/>
              <w:left w:val="nil"/>
              <w:bottom w:val="single" w:sz="8" w:space="0" w:color="auto"/>
              <w:right w:val="nil"/>
            </w:tcBorders>
            <w:shd w:val="clear" w:color="auto" w:fill="auto"/>
            <w:vAlign w:val="center"/>
            <w:hideMark/>
          </w:tcPr>
          <w:p w14:paraId="04B38FDA" w14:textId="77777777" w:rsidR="00E079C6" w:rsidRPr="002535EB" w:rsidRDefault="00E079C6" w:rsidP="001C4059">
            <w:pPr>
              <w:widowControl/>
              <w:spacing w:line="360" w:lineRule="auto"/>
              <w:rPr>
                <w:rFonts w:ascii="Book Antiqua" w:eastAsia="等线" w:hAnsi="Book Antiqua" w:cs="Times New Roman"/>
                <w:b/>
                <w:color w:val="000000" w:themeColor="text1"/>
                <w:kern w:val="0"/>
                <w:sz w:val="18"/>
                <w:szCs w:val="18"/>
              </w:rPr>
            </w:pPr>
            <w:r w:rsidRPr="002535EB">
              <w:rPr>
                <w:rFonts w:ascii="Book Antiqua" w:eastAsia="等线" w:hAnsi="Book Antiqua" w:cs="Times New Roman"/>
                <w:b/>
                <w:color w:val="000000" w:themeColor="text1"/>
                <w:kern w:val="0"/>
                <w:sz w:val="18"/>
                <w:szCs w:val="18"/>
              </w:rPr>
              <w:t>Quality score</w:t>
            </w:r>
          </w:p>
        </w:tc>
      </w:tr>
      <w:tr w:rsidR="00115F98" w:rsidRPr="002535EB" w14:paraId="0F90AAD7" w14:textId="77777777" w:rsidTr="002535EB">
        <w:trPr>
          <w:trHeight w:val="1740"/>
          <w:jc w:val="right"/>
        </w:trPr>
        <w:tc>
          <w:tcPr>
            <w:tcW w:w="1418" w:type="dxa"/>
            <w:tcBorders>
              <w:top w:val="nil"/>
              <w:left w:val="nil"/>
              <w:bottom w:val="nil"/>
              <w:right w:val="nil"/>
            </w:tcBorders>
            <w:shd w:val="clear" w:color="auto" w:fill="auto"/>
            <w:vAlign w:val="center"/>
            <w:hideMark/>
          </w:tcPr>
          <w:p w14:paraId="2B34ED5D" w14:textId="3CEEFA70"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Lin </w:t>
            </w:r>
            <w:r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[18]</w:t>
            </w:r>
            <w:r w:rsidR="002535EB">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2014 </w:t>
            </w:r>
          </w:p>
        </w:tc>
        <w:tc>
          <w:tcPr>
            <w:tcW w:w="992" w:type="dxa"/>
            <w:tcBorders>
              <w:top w:val="nil"/>
              <w:left w:val="nil"/>
              <w:bottom w:val="nil"/>
              <w:right w:val="nil"/>
            </w:tcBorders>
            <w:shd w:val="clear" w:color="auto" w:fill="auto"/>
            <w:vAlign w:val="center"/>
            <w:hideMark/>
          </w:tcPr>
          <w:p w14:paraId="2882C4F4"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China</w:t>
            </w:r>
          </w:p>
        </w:tc>
        <w:tc>
          <w:tcPr>
            <w:tcW w:w="992" w:type="dxa"/>
            <w:tcBorders>
              <w:top w:val="nil"/>
              <w:left w:val="nil"/>
              <w:bottom w:val="nil"/>
              <w:right w:val="nil"/>
            </w:tcBorders>
            <w:shd w:val="clear" w:color="auto" w:fill="auto"/>
            <w:vAlign w:val="center"/>
            <w:hideMark/>
          </w:tcPr>
          <w:p w14:paraId="3BCA9903" w14:textId="1A363AB2"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ase</w:t>
            </w:r>
            <w:r w:rsidR="00E079C6" w:rsidRPr="002535EB">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665CCFCB"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55/110 </w:t>
            </w:r>
          </w:p>
        </w:tc>
        <w:tc>
          <w:tcPr>
            <w:tcW w:w="975" w:type="dxa"/>
            <w:tcBorders>
              <w:top w:val="nil"/>
              <w:left w:val="nil"/>
              <w:bottom w:val="nil"/>
              <w:right w:val="nil"/>
            </w:tcBorders>
            <w:shd w:val="clear" w:color="auto" w:fill="auto"/>
            <w:vAlign w:val="center"/>
            <w:hideMark/>
          </w:tcPr>
          <w:p w14:paraId="119C986F" w14:textId="2D767C42"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46 (37-55)/43</w:t>
            </w:r>
            <w:r w:rsidR="008D6F67">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(36-48)</w:t>
            </w:r>
          </w:p>
        </w:tc>
        <w:tc>
          <w:tcPr>
            <w:tcW w:w="992" w:type="dxa"/>
            <w:tcBorders>
              <w:top w:val="nil"/>
              <w:left w:val="nil"/>
              <w:bottom w:val="nil"/>
              <w:right w:val="nil"/>
            </w:tcBorders>
            <w:shd w:val="clear" w:color="auto" w:fill="auto"/>
            <w:vAlign w:val="center"/>
            <w:hideMark/>
          </w:tcPr>
          <w:p w14:paraId="3F908D33"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83.6/75.5</w:t>
            </w:r>
          </w:p>
        </w:tc>
        <w:tc>
          <w:tcPr>
            <w:tcW w:w="992" w:type="dxa"/>
            <w:tcBorders>
              <w:top w:val="nil"/>
              <w:left w:val="nil"/>
              <w:bottom w:val="nil"/>
              <w:right w:val="nil"/>
            </w:tcBorders>
            <w:shd w:val="clear" w:color="auto" w:fill="auto"/>
            <w:vAlign w:val="center"/>
            <w:hideMark/>
          </w:tcPr>
          <w:p w14:paraId="2785C42E" w14:textId="37825C98"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HBV-related</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ACLF </w:t>
            </w:r>
          </w:p>
        </w:tc>
        <w:tc>
          <w:tcPr>
            <w:tcW w:w="992" w:type="dxa"/>
            <w:tcBorders>
              <w:top w:val="nil"/>
              <w:left w:val="nil"/>
              <w:bottom w:val="nil"/>
              <w:right w:val="nil"/>
            </w:tcBorders>
            <w:shd w:val="clear" w:color="auto" w:fill="auto"/>
            <w:vAlign w:val="center"/>
            <w:hideMark/>
          </w:tcPr>
          <w:p w14:paraId="51C3ECB4" w14:textId="217A2579"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 xml:space="preserve">Grades 2-4 </w:t>
            </w:r>
            <w:r w:rsidR="00E079C6" w:rsidRPr="002535EB">
              <w:rPr>
                <w:rFonts w:ascii="Book Antiqua" w:eastAsia="等线" w:hAnsi="Book Antiqua" w:cs="Times New Roman"/>
                <w:color w:val="000000" w:themeColor="text1"/>
                <w:kern w:val="0"/>
                <w:sz w:val="18"/>
                <w:szCs w:val="18"/>
              </w:rPr>
              <w:t xml:space="preserve">HE </w:t>
            </w:r>
          </w:p>
        </w:tc>
        <w:tc>
          <w:tcPr>
            <w:tcW w:w="1134" w:type="dxa"/>
            <w:tcBorders>
              <w:top w:val="nil"/>
              <w:left w:val="nil"/>
              <w:bottom w:val="nil"/>
              <w:right w:val="nil"/>
            </w:tcBorders>
            <w:shd w:val="clear" w:color="auto" w:fill="auto"/>
            <w:vAlign w:val="center"/>
            <w:hideMark/>
          </w:tcPr>
          <w:p w14:paraId="645CA6FB" w14:textId="6990BA90" w:rsidR="00E079C6" w:rsidRPr="002535EB" w:rsidRDefault="002535EB"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P</w:t>
            </w:r>
            <w:r w:rsidR="00E079C6" w:rsidRPr="002535EB">
              <w:rPr>
                <w:rFonts w:ascii="Book Antiqua" w:eastAsia="等线" w:hAnsi="Book Antiqua" w:cs="Times New Roman"/>
                <w:color w:val="000000" w:themeColor="text1"/>
                <w:kern w:val="0"/>
                <w:sz w:val="18"/>
                <w:szCs w:val="18"/>
              </w:rPr>
              <w:t xml:space="preserve">atients using any PPI intravenously for at least </w:t>
            </w:r>
            <w:r w:rsidR="001C7A57">
              <w:rPr>
                <w:rFonts w:ascii="Book Antiqua" w:eastAsia="等线" w:hAnsi="Book Antiqua" w:cs="Times New Roman"/>
                <w:color w:val="000000" w:themeColor="text1"/>
                <w:kern w:val="0"/>
                <w:sz w:val="18"/>
                <w:szCs w:val="18"/>
              </w:rPr>
              <w:t>6</w:t>
            </w:r>
            <w:r w:rsidR="00E079C6" w:rsidRPr="002535EB">
              <w:rPr>
                <w:rFonts w:ascii="Book Antiqua" w:eastAsia="等线" w:hAnsi="Book Antiqua" w:cs="Times New Roman"/>
                <w:color w:val="000000" w:themeColor="text1"/>
                <w:kern w:val="0"/>
                <w:sz w:val="18"/>
                <w:szCs w:val="18"/>
              </w:rPr>
              <w:t xml:space="preserve"> d before the occurrence of HE at the admission time </w:t>
            </w:r>
          </w:p>
        </w:tc>
        <w:tc>
          <w:tcPr>
            <w:tcW w:w="851" w:type="dxa"/>
            <w:tcBorders>
              <w:top w:val="nil"/>
              <w:left w:val="nil"/>
              <w:bottom w:val="nil"/>
              <w:right w:val="nil"/>
            </w:tcBorders>
            <w:shd w:val="clear" w:color="auto" w:fill="auto"/>
            <w:vAlign w:val="center"/>
            <w:hideMark/>
          </w:tcPr>
          <w:p w14:paraId="517ED31C"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7" w:type="dxa"/>
            <w:tcBorders>
              <w:top w:val="nil"/>
              <w:left w:val="nil"/>
              <w:bottom w:val="nil"/>
              <w:right w:val="nil"/>
            </w:tcBorders>
            <w:shd w:val="clear" w:color="auto" w:fill="auto"/>
            <w:vAlign w:val="center"/>
            <w:hideMark/>
          </w:tcPr>
          <w:p w14:paraId="0975B08B" w14:textId="3589AF4B"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A</w:t>
            </w:r>
            <w:r w:rsidRPr="002535EB">
              <w:rPr>
                <w:rFonts w:ascii="Book Antiqua" w:eastAsia="等线" w:hAnsi="Book Antiqua" w:cs="Times New Roman"/>
                <w:color w:val="000000" w:themeColor="text1"/>
                <w:kern w:val="0"/>
                <w:sz w:val="18"/>
                <w:szCs w:val="18"/>
              </w:rPr>
              <w:t>ge</w:t>
            </w:r>
            <w:r w:rsidR="00E079C6" w:rsidRPr="002535EB">
              <w:rPr>
                <w:rFonts w:ascii="Book Antiqua" w:eastAsia="等线" w:hAnsi="Book Antiqua" w:cs="Times New Roman"/>
                <w:color w:val="000000" w:themeColor="text1"/>
                <w:kern w:val="0"/>
                <w:sz w:val="18"/>
                <w:szCs w:val="18"/>
              </w:rPr>
              <w:t>, sex, MELD score, infection,</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 xml:space="preserve">hypokalemia, </w:t>
            </w:r>
            <w:proofErr w:type="spellStart"/>
            <w:r w:rsidR="00E079C6" w:rsidRPr="002535EB">
              <w:rPr>
                <w:rFonts w:ascii="Book Antiqua" w:eastAsia="等线" w:hAnsi="Book Antiqua" w:cs="Times New Roman"/>
                <w:color w:val="000000" w:themeColor="text1"/>
                <w:kern w:val="0"/>
                <w:sz w:val="18"/>
                <w:szCs w:val="18"/>
              </w:rPr>
              <w:t>hyponatraemia</w:t>
            </w:r>
            <w:proofErr w:type="spellEnd"/>
            <w:r w:rsidR="00E079C6" w:rsidRPr="002535EB">
              <w:rPr>
                <w:rFonts w:ascii="Book Antiqua" w:eastAsia="等线" w:hAnsi="Book Antiqua" w:cs="Times New Roman"/>
                <w:color w:val="000000" w:themeColor="text1"/>
                <w:kern w:val="0"/>
                <w:sz w:val="18"/>
                <w:szCs w:val="18"/>
              </w:rPr>
              <w:t>, ascites, PTA,</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 xml:space="preserve">AFP, lactulose use, branched chain amino acids, </w:t>
            </w:r>
            <w:r>
              <w:rPr>
                <w:rFonts w:ascii="Book Antiqua" w:eastAsia="等线" w:hAnsi="Book Antiqua" w:cs="Times New Roman"/>
                <w:color w:val="000000" w:themeColor="text1"/>
                <w:kern w:val="0"/>
                <w:sz w:val="18"/>
                <w:szCs w:val="18"/>
              </w:rPr>
              <w:t xml:space="preserve">and </w:t>
            </w:r>
            <w:r w:rsidR="00E079C6" w:rsidRPr="002535EB">
              <w:rPr>
                <w:rFonts w:ascii="Book Antiqua" w:eastAsia="等线" w:hAnsi="Book Antiqua" w:cs="Times New Roman"/>
                <w:color w:val="000000" w:themeColor="text1"/>
                <w:kern w:val="0"/>
                <w:sz w:val="18"/>
                <w:szCs w:val="18"/>
              </w:rPr>
              <w:t>arginine hydrochloride</w:t>
            </w:r>
          </w:p>
        </w:tc>
        <w:tc>
          <w:tcPr>
            <w:tcW w:w="1418" w:type="dxa"/>
            <w:tcBorders>
              <w:top w:val="nil"/>
              <w:left w:val="nil"/>
              <w:bottom w:val="nil"/>
              <w:right w:val="nil"/>
            </w:tcBorders>
            <w:shd w:val="clear" w:color="auto" w:fill="auto"/>
            <w:noWrap/>
            <w:vAlign w:val="center"/>
            <w:hideMark/>
          </w:tcPr>
          <w:p w14:paraId="03027009"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8</w:t>
            </w:r>
          </w:p>
        </w:tc>
      </w:tr>
      <w:tr w:rsidR="00115F98" w:rsidRPr="002535EB" w14:paraId="14E31648" w14:textId="77777777" w:rsidTr="002535EB">
        <w:trPr>
          <w:trHeight w:val="2650"/>
          <w:jc w:val="right"/>
        </w:trPr>
        <w:tc>
          <w:tcPr>
            <w:tcW w:w="1418" w:type="dxa"/>
            <w:tcBorders>
              <w:top w:val="nil"/>
              <w:left w:val="nil"/>
              <w:bottom w:val="nil"/>
              <w:right w:val="nil"/>
            </w:tcBorders>
            <w:shd w:val="clear" w:color="auto" w:fill="auto"/>
            <w:vAlign w:val="center"/>
            <w:hideMark/>
          </w:tcPr>
          <w:p w14:paraId="3BF6BBF8" w14:textId="2E68AE89"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Dam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w:t>
            </w:r>
            <w:r w:rsidR="002535EB">
              <w:rPr>
                <w:rFonts w:ascii="Book Antiqua" w:eastAsia="等线" w:hAnsi="Book Antiqua" w:cs="Times New Roman"/>
                <w:color w:val="000000" w:themeColor="text1"/>
                <w:kern w:val="0"/>
                <w:sz w:val="18"/>
                <w:szCs w:val="18"/>
                <w:vertAlign w:val="superscript"/>
              </w:rPr>
              <w:t>7</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2016 </w:t>
            </w:r>
          </w:p>
        </w:tc>
        <w:tc>
          <w:tcPr>
            <w:tcW w:w="992" w:type="dxa"/>
            <w:tcBorders>
              <w:top w:val="nil"/>
              <w:left w:val="nil"/>
              <w:bottom w:val="nil"/>
              <w:right w:val="nil"/>
            </w:tcBorders>
            <w:shd w:val="clear" w:color="auto" w:fill="auto"/>
            <w:vAlign w:val="center"/>
            <w:hideMark/>
          </w:tcPr>
          <w:p w14:paraId="0395FCFA"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Denmark </w:t>
            </w:r>
          </w:p>
        </w:tc>
        <w:tc>
          <w:tcPr>
            <w:tcW w:w="992" w:type="dxa"/>
            <w:tcBorders>
              <w:top w:val="nil"/>
              <w:left w:val="nil"/>
              <w:bottom w:val="nil"/>
              <w:right w:val="nil"/>
            </w:tcBorders>
            <w:shd w:val="clear" w:color="auto" w:fill="auto"/>
            <w:vAlign w:val="center"/>
            <w:hideMark/>
          </w:tcPr>
          <w:p w14:paraId="2C16BB2B" w14:textId="7E169660"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ohort</w:t>
            </w:r>
          </w:p>
        </w:tc>
        <w:tc>
          <w:tcPr>
            <w:tcW w:w="1152" w:type="dxa"/>
            <w:tcBorders>
              <w:top w:val="nil"/>
              <w:left w:val="nil"/>
              <w:bottom w:val="nil"/>
              <w:right w:val="nil"/>
            </w:tcBorders>
            <w:shd w:val="clear" w:color="auto" w:fill="auto"/>
            <w:vAlign w:val="center"/>
            <w:hideMark/>
          </w:tcPr>
          <w:p w14:paraId="7F172ADF"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340/525 </w:t>
            </w:r>
          </w:p>
        </w:tc>
        <w:tc>
          <w:tcPr>
            <w:tcW w:w="975" w:type="dxa"/>
            <w:tcBorders>
              <w:top w:val="nil"/>
              <w:left w:val="nil"/>
              <w:bottom w:val="nil"/>
              <w:right w:val="nil"/>
            </w:tcBorders>
            <w:shd w:val="clear" w:color="auto" w:fill="auto"/>
            <w:vAlign w:val="center"/>
            <w:hideMark/>
          </w:tcPr>
          <w:p w14:paraId="36D4AD71" w14:textId="4393E1AD"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58 (50-64)/57 (51-64)</w:t>
            </w:r>
          </w:p>
        </w:tc>
        <w:tc>
          <w:tcPr>
            <w:tcW w:w="992" w:type="dxa"/>
            <w:tcBorders>
              <w:top w:val="nil"/>
              <w:left w:val="nil"/>
              <w:bottom w:val="nil"/>
              <w:right w:val="nil"/>
            </w:tcBorders>
            <w:shd w:val="clear" w:color="auto" w:fill="auto"/>
            <w:vAlign w:val="center"/>
            <w:hideMark/>
          </w:tcPr>
          <w:p w14:paraId="180E886B"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68/69</w:t>
            </w:r>
          </w:p>
        </w:tc>
        <w:tc>
          <w:tcPr>
            <w:tcW w:w="992" w:type="dxa"/>
            <w:tcBorders>
              <w:top w:val="nil"/>
              <w:left w:val="nil"/>
              <w:bottom w:val="nil"/>
              <w:right w:val="nil"/>
            </w:tcBorders>
            <w:shd w:val="clear" w:color="auto" w:fill="auto"/>
            <w:vAlign w:val="center"/>
            <w:hideMark/>
          </w:tcPr>
          <w:p w14:paraId="0094257A" w14:textId="1B458CFB"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irrhosis </w:t>
            </w:r>
            <w:r w:rsidR="00E079C6" w:rsidRPr="002535EB">
              <w:rPr>
                <w:rFonts w:ascii="Book Antiqua" w:eastAsia="等线" w:hAnsi="Book Antiqua" w:cs="Times New Roman"/>
                <w:color w:val="000000" w:themeColor="text1"/>
                <w:kern w:val="0"/>
                <w:sz w:val="18"/>
                <w:szCs w:val="18"/>
              </w:rPr>
              <w:t>with ascites</w:t>
            </w:r>
          </w:p>
        </w:tc>
        <w:tc>
          <w:tcPr>
            <w:tcW w:w="992" w:type="dxa"/>
            <w:tcBorders>
              <w:top w:val="nil"/>
              <w:left w:val="nil"/>
              <w:bottom w:val="nil"/>
              <w:right w:val="nil"/>
            </w:tcBorders>
            <w:shd w:val="clear" w:color="auto" w:fill="auto"/>
            <w:vAlign w:val="center"/>
            <w:hideMark/>
          </w:tcPr>
          <w:p w14:paraId="4E6E5A10" w14:textId="57E982EE"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 xml:space="preserve">Grades 1-4 </w:t>
            </w:r>
            <w:r w:rsidR="00E079C6" w:rsidRPr="002535EB">
              <w:rPr>
                <w:rFonts w:ascii="Book Antiqua" w:eastAsia="等线" w:hAnsi="Book Antiqua" w:cs="Times New Roman"/>
                <w:color w:val="000000" w:themeColor="text1"/>
                <w:kern w:val="0"/>
                <w:sz w:val="18"/>
                <w:szCs w:val="18"/>
              </w:rPr>
              <w:t xml:space="preserve">HE; </w:t>
            </w:r>
            <w:r>
              <w:rPr>
                <w:rFonts w:ascii="Book Antiqua" w:eastAsia="等线" w:hAnsi="Book Antiqua" w:cs="Times New Roman"/>
                <w:color w:val="000000" w:themeColor="text1"/>
                <w:kern w:val="0"/>
                <w:sz w:val="18"/>
                <w:szCs w:val="18"/>
              </w:rPr>
              <w:t>grades 2-4 HE</w:t>
            </w:r>
          </w:p>
        </w:tc>
        <w:tc>
          <w:tcPr>
            <w:tcW w:w="1134" w:type="dxa"/>
            <w:tcBorders>
              <w:top w:val="nil"/>
              <w:left w:val="nil"/>
              <w:bottom w:val="nil"/>
              <w:right w:val="nil"/>
            </w:tcBorders>
            <w:shd w:val="clear" w:color="auto" w:fill="auto"/>
            <w:vAlign w:val="center"/>
            <w:hideMark/>
          </w:tcPr>
          <w:p w14:paraId="7A82001C" w14:textId="5DE2D9B1" w:rsidR="00E079C6" w:rsidRPr="002535EB" w:rsidRDefault="002535EB"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A</w:t>
            </w:r>
            <w:r w:rsidR="00E079C6" w:rsidRPr="002535EB">
              <w:rPr>
                <w:rFonts w:ascii="Book Antiqua" w:eastAsia="等线" w:hAnsi="Book Antiqua" w:cs="Times New Roman"/>
                <w:color w:val="000000" w:themeColor="text1"/>
                <w:kern w:val="0"/>
                <w:sz w:val="18"/>
                <w:szCs w:val="18"/>
              </w:rPr>
              <w:t xml:space="preserve"> patient counted as a PPI user when he or she was using PPIs and as a nonuser when he or she was not</w:t>
            </w:r>
          </w:p>
        </w:tc>
        <w:tc>
          <w:tcPr>
            <w:tcW w:w="851" w:type="dxa"/>
            <w:tcBorders>
              <w:top w:val="nil"/>
              <w:left w:val="nil"/>
              <w:bottom w:val="nil"/>
              <w:right w:val="nil"/>
            </w:tcBorders>
            <w:shd w:val="clear" w:color="auto" w:fill="auto"/>
            <w:vAlign w:val="center"/>
            <w:hideMark/>
          </w:tcPr>
          <w:p w14:paraId="684B37D8" w14:textId="563E3892"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148.2 person-years/186.1 person-years</w:t>
            </w:r>
          </w:p>
        </w:tc>
        <w:tc>
          <w:tcPr>
            <w:tcW w:w="1417" w:type="dxa"/>
            <w:tcBorders>
              <w:top w:val="nil"/>
              <w:left w:val="nil"/>
              <w:bottom w:val="nil"/>
              <w:right w:val="nil"/>
            </w:tcBorders>
            <w:shd w:val="clear" w:color="auto" w:fill="auto"/>
            <w:vAlign w:val="center"/>
            <w:hideMark/>
          </w:tcPr>
          <w:p w14:paraId="28AA351C" w14:textId="6BD9F641" w:rsidR="00E079C6" w:rsidRPr="002535EB" w:rsidRDefault="002535EB"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S</w:t>
            </w:r>
            <w:r w:rsidR="00E079C6" w:rsidRPr="002535EB">
              <w:rPr>
                <w:rFonts w:ascii="Book Antiqua" w:eastAsia="等线" w:hAnsi="Book Antiqua" w:cs="Times New Roman"/>
                <w:color w:val="000000" w:themeColor="text1"/>
                <w:kern w:val="0"/>
                <w:sz w:val="18"/>
                <w:szCs w:val="18"/>
              </w:rPr>
              <w:t>ex, age at inclusion, cirrhosis etiology, variceal bleeding, MELD score, serum sodium, albumin, and platelets; and lactulose use, spironolactone dose, furosemide dose, and potassium-sparing diuretic dose</w:t>
            </w:r>
          </w:p>
        </w:tc>
        <w:tc>
          <w:tcPr>
            <w:tcW w:w="1418" w:type="dxa"/>
            <w:tcBorders>
              <w:top w:val="nil"/>
              <w:left w:val="nil"/>
              <w:bottom w:val="nil"/>
              <w:right w:val="nil"/>
            </w:tcBorders>
            <w:shd w:val="clear" w:color="auto" w:fill="auto"/>
            <w:noWrap/>
            <w:vAlign w:val="center"/>
            <w:hideMark/>
          </w:tcPr>
          <w:p w14:paraId="24C42C4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9</w:t>
            </w:r>
          </w:p>
        </w:tc>
      </w:tr>
      <w:tr w:rsidR="00115F98" w:rsidRPr="002535EB" w14:paraId="2E11641C" w14:textId="77777777" w:rsidTr="002535EB">
        <w:trPr>
          <w:trHeight w:val="2250"/>
          <w:jc w:val="right"/>
        </w:trPr>
        <w:tc>
          <w:tcPr>
            <w:tcW w:w="1418" w:type="dxa"/>
            <w:tcBorders>
              <w:top w:val="nil"/>
              <w:left w:val="nil"/>
              <w:bottom w:val="nil"/>
              <w:right w:val="nil"/>
            </w:tcBorders>
            <w:shd w:val="clear" w:color="auto" w:fill="auto"/>
            <w:vAlign w:val="center"/>
            <w:hideMark/>
          </w:tcPr>
          <w:p w14:paraId="66DA7902" w14:textId="6B5C84ED"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Tsai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w:t>
            </w:r>
            <w:r w:rsidR="002535EB">
              <w:rPr>
                <w:rFonts w:ascii="Book Antiqua" w:eastAsia="等线" w:hAnsi="Book Antiqua" w:cs="Times New Roman"/>
                <w:color w:val="000000" w:themeColor="text1"/>
                <w:kern w:val="0"/>
                <w:sz w:val="18"/>
                <w:szCs w:val="18"/>
                <w:vertAlign w:val="superscript"/>
              </w:rPr>
              <w:t>6</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2016 </w:t>
            </w:r>
          </w:p>
        </w:tc>
        <w:tc>
          <w:tcPr>
            <w:tcW w:w="992" w:type="dxa"/>
            <w:tcBorders>
              <w:top w:val="nil"/>
              <w:left w:val="nil"/>
              <w:bottom w:val="nil"/>
              <w:right w:val="nil"/>
            </w:tcBorders>
            <w:shd w:val="clear" w:color="auto" w:fill="auto"/>
            <w:vAlign w:val="center"/>
            <w:hideMark/>
          </w:tcPr>
          <w:p w14:paraId="66612C0C"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Taiwan </w:t>
            </w:r>
          </w:p>
        </w:tc>
        <w:tc>
          <w:tcPr>
            <w:tcW w:w="992" w:type="dxa"/>
            <w:tcBorders>
              <w:top w:val="nil"/>
              <w:left w:val="nil"/>
              <w:bottom w:val="nil"/>
              <w:right w:val="nil"/>
            </w:tcBorders>
            <w:shd w:val="clear" w:color="auto" w:fill="auto"/>
            <w:vAlign w:val="center"/>
            <w:hideMark/>
          </w:tcPr>
          <w:p w14:paraId="38E3BEE6" w14:textId="2C0D2C81"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ase</w:t>
            </w:r>
            <w:r w:rsidR="00E079C6" w:rsidRPr="002535EB">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141F3EAC"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1166/1166 </w:t>
            </w:r>
          </w:p>
        </w:tc>
        <w:tc>
          <w:tcPr>
            <w:tcW w:w="975" w:type="dxa"/>
            <w:tcBorders>
              <w:top w:val="nil"/>
              <w:left w:val="nil"/>
              <w:bottom w:val="nil"/>
              <w:right w:val="nil"/>
            </w:tcBorders>
            <w:shd w:val="clear" w:color="auto" w:fill="auto"/>
            <w:vAlign w:val="center"/>
            <w:hideMark/>
          </w:tcPr>
          <w:p w14:paraId="0DB3FA0B" w14:textId="1071272F"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53.09</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13.80/53.14</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13.78 </w:t>
            </w:r>
          </w:p>
        </w:tc>
        <w:tc>
          <w:tcPr>
            <w:tcW w:w="992" w:type="dxa"/>
            <w:tcBorders>
              <w:top w:val="nil"/>
              <w:left w:val="nil"/>
              <w:bottom w:val="nil"/>
              <w:right w:val="nil"/>
            </w:tcBorders>
            <w:shd w:val="clear" w:color="auto" w:fill="auto"/>
            <w:vAlign w:val="center"/>
            <w:hideMark/>
          </w:tcPr>
          <w:p w14:paraId="4C8C3C41"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74.2/74.2</w:t>
            </w:r>
          </w:p>
        </w:tc>
        <w:tc>
          <w:tcPr>
            <w:tcW w:w="992" w:type="dxa"/>
            <w:tcBorders>
              <w:top w:val="nil"/>
              <w:left w:val="nil"/>
              <w:bottom w:val="nil"/>
              <w:right w:val="nil"/>
            </w:tcBorders>
            <w:shd w:val="clear" w:color="auto" w:fill="auto"/>
            <w:vAlign w:val="center"/>
            <w:hideMark/>
          </w:tcPr>
          <w:p w14:paraId="3AF075A9" w14:textId="5FF8F324"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irrhosis </w:t>
            </w:r>
          </w:p>
        </w:tc>
        <w:tc>
          <w:tcPr>
            <w:tcW w:w="992" w:type="dxa"/>
            <w:tcBorders>
              <w:top w:val="nil"/>
              <w:left w:val="nil"/>
              <w:bottom w:val="nil"/>
              <w:right w:val="nil"/>
            </w:tcBorders>
            <w:shd w:val="clear" w:color="auto" w:fill="auto"/>
            <w:vAlign w:val="center"/>
            <w:hideMark/>
          </w:tcPr>
          <w:p w14:paraId="35DEAB63" w14:textId="4DEFD45C"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3A61CA62" w14:textId="4993EEF1"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PPI use was defined as &gt;</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30 cumulative defined daily doses (</w:t>
            </w:r>
            <w:proofErr w:type="spellStart"/>
            <w:r w:rsidRPr="002535EB">
              <w:rPr>
                <w:rFonts w:ascii="Book Antiqua" w:eastAsia="等线" w:hAnsi="Book Antiqua" w:cs="Times New Roman"/>
                <w:color w:val="000000" w:themeColor="text1"/>
                <w:kern w:val="0"/>
                <w:sz w:val="18"/>
                <w:szCs w:val="18"/>
              </w:rPr>
              <w:t>cDDDs</w:t>
            </w:r>
            <w:proofErr w:type="spellEnd"/>
            <w:r w:rsidRPr="002535EB">
              <w:rPr>
                <w:rFonts w:ascii="Book Antiqua" w:eastAsia="等线" w:hAnsi="Book Antiqua" w:cs="Times New Roman"/>
                <w:color w:val="000000" w:themeColor="text1"/>
                <w:kern w:val="0"/>
                <w:sz w:val="18"/>
                <w:szCs w:val="18"/>
              </w:rPr>
              <w:t xml:space="preserve">); PPI non-use was defined as </w:t>
            </w:r>
            <w:r w:rsidRPr="002535EB">
              <w:rPr>
                <w:rFonts w:ascii="Book Antiqua" w:eastAsia="宋体" w:hAnsi="Book Antiqua" w:cs="Times New Roman"/>
                <w:color w:val="000000" w:themeColor="text1"/>
                <w:kern w:val="0"/>
                <w:sz w:val="18"/>
                <w:szCs w:val="18"/>
              </w:rPr>
              <w:t>≤</w:t>
            </w:r>
            <w:r w:rsidR="002535EB">
              <w:rPr>
                <w:rFonts w:ascii="Book Antiqua" w:eastAsia="宋体"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30 </w:t>
            </w:r>
            <w:proofErr w:type="spellStart"/>
            <w:r w:rsidRPr="002535EB">
              <w:rPr>
                <w:rFonts w:ascii="Book Antiqua" w:eastAsia="等线" w:hAnsi="Book Antiqua" w:cs="Times New Roman"/>
                <w:color w:val="000000" w:themeColor="text1"/>
                <w:kern w:val="0"/>
                <w:sz w:val="18"/>
                <w:szCs w:val="18"/>
              </w:rPr>
              <w:t>cDDDs</w:t>
            </w:r>
            <w:proofErr w:type="spellEnd"/>
          </w:p>
        </w:tc>
        <w:tc>
          <w:tcPr>
            <w:tcW w:w="851" w:type="dxa"/>
            <w:tcBorders>
              <w:top w:val="nil"/>
              <w:left w:val="nil"/>
              <w:bottom w:val="nil"/>
              <w:right w:val="nil"/>
            </w:tcBorders>
            <w:shd w:val="clear" w:color="auto" w:fill="auto"/>
            <w:vAlign w:val="center"/>
            <w:hideMark/>
          </w:tcPr>
          <w:p w14:paraId="549DEE23" w14:textId="442138FC"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2.96 ± 3.40/2.87</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3.57</w:t>
            </w:r>
            <w:r w:rsidR="002535EB">
              <w:rPr>
                <w:rFonts w:ascii="Book Antiqua" w:eastAsia="等线" w:hAnsi="Book Antiqua" w:cs="Times New Roman"/>
                <w:color w:val="000000" w:themeColor="text1"/>
                <w:kern w:val="0"/>
                <w:sz w:val="18"/>
                <w:szCs w:val="18"/>
              </w:rPr>
              <w:t xml:space="preserve"> </w:t>
            </w:r>
            <w:proofErr w:type="spellStart"/>
            <w:r w:rsidRPr="002535EB">
              <w:rPr>
                <w:rFonts w:ascii="Book Antiqua" w:eastAsia="等线" w:hAnsi="Book Antiqua" w:cs="Times New Roman"/>
                <w:color w:val="000000" w:themeColor="text1"/>
                <w:kern w:val="0"/>
                <w:sz w:val="18"/>
                <w:szCs w:val="18"/>
              </w:rPr>
              <w:t>yr</w:t>
            </w:r>
            <w:proofErr w:type="spellEnd"/>
          </w:p>
        </w:tc>
        <w:tc>
          <w:tcPr>
            <w:tcW w:w="1417" w:type="dxa"/>
            <w:tcBorders>
              <w:top w:val="nil"/>
              <w:left w:val="nil"/>
              <w:bottom w:val="nil"/>
              <w:right w:val="nil"/>
            </w:tcBorders>
            <w:shd w:val="clear" w:color="auto" w:fill="auto"/>
            <w:vAlign w:val="center"/>
            <w:hideMark/>
          </w:tcPr>
          <w:p w14:paraId="49C59B11" w14:textId="6C948757"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A</w:t>
            </w:r>
            <w:r w:rsidRPr="002535EB">
              <w:rPr>
                <w:rFonts w:ascii="Book Antiqua" w:eastAsia="等线" w:hAnsi="Book Antiqua" w:cs="Times New Roman"/>
                <w:color w:val="000000" w:themeColor="text1"/>
                <w:kern w:val="0"/>
                <w:sz w:val="18"/>
                <w:szCs w:val="18"/>
              </w:rPr>
              <w:t>ge</w:t>
            </w:r>
            <w:r w:rsidR="00E079C6" w:rsidRPr="002535EB">
              <w:rPr>
                <w:rFonts w:ascii="Book Antiqua" w:eastAsia="等线" w:hAnsi="Book Antiqua" w:cs="Times New Roman"/>
                <w:color w:val="000000" w:themeColor="text1"/>
                <w:kern w:val="0"/>
                <w:sz w:val="18"/>
                <w:szCs w:val="18"/>
              </w:rPr>
              <w:t>,</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sex, income, level of urbanization,</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 xml:space="preserve">the use of PPIs in the past 6 </w:t>
            </w:r>
            <w:proofErr w:type="spellStart"/>
            <w:r w:rsidR="00E079C6" w:rsidRPr="002535EB">
              <w:rPr>
                <w:rFonts w:ascii="Book Antiqua" w:eastAsia="等线" w:hAnsi="Book Antiqua" w:cs="Times New Roman"/>
                <w:color w:val="000000" w:themeColor="text1"/>
                <w:kern w:val="0"/>
                <w:sz w:val="18"/>
                <w:szCs w:val="18"/>
              </w:rPr>
              <w:t>mo</w:t>
            </w:r>
            <w:proofErr w:type="spellEnd"/>
            <w:r w:rsidR="00E079C6" w:rsidRPr="002535EB">
              <w:rPr>
                <w:rFonts w:ascii="Book Antiqua" w:eastAsia="等线" w:hAnsi="Book Antiqua" w:cs="Times New Roman"/>
                <w:color w:val="000000" w:themeColor="text1"/>
                <w:kern w:val="0"/>
                <w:sz w:val="18"/>
                <w:szCs w:val="18"/>
              </w:rPr>
              <w:t xml:space="preserve"> before enrollment,</w:t>
            </w:r>
            <w:r w:rsidR="002535EB">
              <w:rPr>
                <w:rFonts w:ascii="Book Antiqua" w:eastAsia="等线" w:hAnsi="Book Antiqua" w:cs="Times New Roman"/>
                <w:color w:val="000000" w:themeColor="text1"/>
                <w:kern w:val="0"/>
                <w:sz w:val="18"/>
                <w:szCs w:val="18"/>
              </w:rPr>
              <w:t xml:space="preserve"> </w:t>
            </w:r>
            <w:proofErr w:type="spellStart"/>
            <w:r w:rsidR="00E079C6" w:rsidRPr="002535EB">
              <w:rPr>
                <w:rFonts w:ascii="Book Antiqua" w:eastAsia="等线" w:hAnsi="Book Antiqua" w:cs="Times New Roman"/>
                <w:color w:val="000000" w:themeColor="text1"/>
                <w:kern w:val="0"/>
                <w:sz w:val="18"/>
                <w:szCs w:val="18"/>
              </w:rPr>
              <w:t>Charlson</w:t>
            </w:r>
            <w:proofErr w:type="spellEnd"/>
            <w:r w:rsidR="00E079C6" w:rsidRPr="002535EB">
              <w:rPr>
                <w:rFonts w:ascii="Book Antiqua" w:eastAsia="等线" w:hAnsi="Book Antiqua" w:cs="Times New Roman"/>
                <w:color w:val="000000" w:themeColor="text1"/>
                <w:kern w:val="0"/>
                <w:sz w:val="18"/>
                <w:szCs w:val="18"/>
              </w:rPr>
              <w:t xml:space="preserve"> </w:t>
            </w:r>
            <w:proofErr w:type="spellStart"/>
            <w:r w:rsidR="00E079C6" w:rsidRPr="002535EB">
              <w:rPr>
                <w:rFonts w:ascii="Book Antiqua" w:eastAsia="等线" w:hAnsi="Book Antiqua" w:cs="Times New Roman"/>
                <w:color w:val="000000" w:themeColor="text1"/>
                <w:kern w:val="0"/>
                <w:sz w:val="18"/>
                <w:szCs w:val="18"/>
              </w:rPr>
              <w:t>Comobidity</w:t>
            </w:r>
            <w:proofErr w:type="spellEnd"/>
            <w:r w:rsidR="00E079C6" w:rsidRPr="002535EB">
              <w:rPr>
                <w:rFonts w:ascii="Book Antiqua" w:eastAsia="等线" w:hAnsi="Book Antiqua" w:cs="Times New Roman"/>
                <w:color w:val="000000" w:themeColor="text1"/>
                <w:kern w:val="0"/>
                <w:sz w:val="18"/>
                <w:szCs w:val="18"/>
              </w:rPr>
              <w:t xml:space="preserve"> Index score,</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medical comorbidities,</w:t>
            </w:r>
            <w:r w:rsid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use of medication</w:t>
            </w:r>
          </w:p>
        </w:tc>
        <w:tc>
          <w:tcPr>
            <w:tcW w:w="1418" w:type="dxa"/>
            <w:tcBorders>
              <w:top w:val="nil"/>
              <w:left w:val="nil"/>
              <w:bottom w:val="nil"/>
              <w:right w:val="nil"/>
            </w:tcBorders>
            <w:shd w:val="clear" w:color="auto" w:fill="auto"/>
            <w:noWrap/>
            <w:vAlign w:val="center"/>
            <w:hideMark/>
          </w:tcPr>
          <w:p w14:paraId="3CDAB9A9"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9</w:t>
            </w:r>
          </w:p>
        </w:tc>
      </w:tr>
      <w:tr w:rsidR="00115F98" w:rsidRPr="002535EB" w14:paraId="3B1E56A3" w14:textId="77777777" w:rsidTr="002535EB">
        <w:trPr>
          <w:trHeight w:val="2050"/>
          <w:jc w:val="right"/>
        </w:trPr>
        <w:tc>
          <w:tcPr>
            <w:tcW w:w="1418" w:type="dxa"/>
            <w:tcBorders>
              <w:top w:val="nil"/>
              <w:left w:val="nil"/>
              <w:bottom w:val="nil"/>
              <w:right w:val="nil"/>
            </w:tcBorders>
            <w:shd w:val="clear" w:color="auto" w:fill="auto"/>
            <w:vAlign w:val="center"/>
            <w:hideMark/>
          </w:tcPr>
          <w:p w14:paraId="6C3A463C" w14:textId="5C07EC68"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Zhu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w:t>
            </w:r>
            <w:r w:rsidR="002535EB">
              <w:rPr>
                <w:rFonts w:ascii="Book Antiqua" w:eastAsia="等线" w:hAnsi="Book Antiqua" w:cs="Times New Roman"/>
                <w:color w:val="000000" w:themeColor="text1"/>
                <w:kern w:val="0"/>
                <w:sz w:val="18"/>
                <w:szCs w:val="18"/>
                <w:vertAlign w:val="superscript"/>
              </w:rPr>
              <w:t>5</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12A55141"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China</w:t>
            </w:r>
          </w:p>
        </w:tc>
        <w:tc>
          <w:tcPr>
            <w:tcW w:w="992" w:type="dxa"/>
            <w:tcBorders>
              <w:top w:val="nil"/>
              <w:left w:val="nil"/>
              <w:bottom w:val="nil"/>
              <w:right w:val="nil"/>
            </w:tcBorders>
            <w:shd w:val="clear" w:color="auto" w:fill="auto"/>
            <w:vAlign w:val="center"/>
            <w:hideMark/>
          </w:tcPr>
          <w:p w14:paraId="6B2ADBFD" w14:textId="1918F797"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ase</w:t>
            </w:r>
            <w:r w:rsidR="00E079C6" w:rsidRPr="002535EB">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66466DA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128/128</w:t>
            </w:r>
          </w:p>
        </w:tc>
        <w:tc>
          <w:tcPr>
            <w:tcW w:w="975" w:type="dxa"/>
            <w:tcBorders>
              <w:top w:val="nil"/>
              <w:left w:val="nil"/>
              <w:bottom w:val="nil"/>
              <w:right w:val="nil"/>
            </w:tcBorders>
            <w:shd w:val="clear" w:color="auto" w:fill="auto"/>
            <w:vAlign w:val="center"/>
            <w:hideMark/>
          </w:tcPr>
          <w:p w14:paraId="36E95325" w14:textId="13A30A1F"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58.34</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11.15/58.28</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10.97</w:t>
            </w:r>
          </w:p>
        </w:tc>
        <w:tc>
          <w:tcPr>
            <w:tcW w:w="992" w:type="dxa"/>
            <w:tcBorders>
              <w:top w:val="nil"/>
              <w:left w:val="nil"/>
              <w:bottom w:val="nil"/>
              <w:right w:val="nil"/>
            </w:tcBorders>
            <w:shd w:val="clear" w:color="auto" w:fill="auto"/>
            <w:vAlign w:val="center"/>
            <w:hideMark/>
          </w:tcPr>
          <w:p w14:paraId="3027841D"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63.3/63.3</w:t>
            </w:r>
          </w:p>
        </w:tc>
        <w:tc>
          <w:tcPr>
            <w:tcW w:w="992" w:type="dxa"/>
            <w:tcBorders>
              <w:top w:val="nil"/>
              <w:left w:val="nil"/>
              <w:bottom w:val="nil"/>
              <w:right w:val="nil"/>
            </w:tcBorders>
            <w:shd w:val="clear" w:color="auto" w:fill="auto"/>
            <w:vAlign w:val="center"/>
            <w:hideMark/>
          </w:tcPr>
          <w:p w14:paraId="770425EC" w14:textId="6DDF0D61"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irrhosis </w:t>
            </w:r>
          </w:p>
        </w:tc>
        <w:tc>
          <w:tcPr>
            <w:tcW w:w="992" w:type="dxa"/>
            <w:tcBorders>
              <w:top w:val="nil"/>
              <w:left w:val="nil"/>
              <w:bottom w:val="nil"/>
              <w:right w:val="nil"/>
            </w:tcBorders>
            <w:shd w:val="clear" w:color="auto" w:fill="auto"/>
            <w:vAlign w:val="center"/>
            <w:hideMark/>
          </w:tcPr>
          <w:p w14:paraId="752FC352" w14:textId="6A28EC0E"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446512E8"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PPI users</w:t>
            </w:r>
            <w:r w:rsidRPr="002535EB">
              <w:rPr>
                <w:rFonts w:ascii="Book Antiqua" w:eastAsia="等线" w:hAnsi="Book Antiqua" w:cs="Times New Roman"/>
                <w:color w:val="000000" w:themeColor="text1"/>
                <w:kern w:val="0"/>
                <w:sz w:val="18"/>
                <w:szCs w:val="18"/>
              </w:rPr>
              <w:br/>
              <w:t>were defined as the patients who used PPIs during hospitalization</w:t>
            </w:r>
          </w:p>
        </w:tc>
        <w:tc>
          <w:tcPr>
            <w:tcW w:w="851" w:type="dxa"/>
            <w:tcBorders>
              <w:top w:val="nil"/>
              <w:left w:val="nil"/>
              <w:bottom w:val="nil"/>
              <w:right w:val="nil"/>
            </w:tcBorders>
            <w:shd w:val="clear" w:color="auto" w:fill="auto"/>
            <w:vAlign w:val="center"/>
            <w:hideMark/>
          </w:tcPr>
          <w:p w14:paraId="74931A5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7" w:type="dxa"/>
            <w:tcBorders>
              <w:top w:val="nil"/>
              <w:left w:val="nil"/>
              <w:bottom w:val="nil"/>
              <w:right w:val="nil"/>
            </w:tcBorders>
            <w:shd w:val="clear" w:color="auto" w:fill="auto"/>
            <w:vAlign w:val="center"/>
            <w:hideMark/>
          </w:tcPr>
          <w:p w14:paraId="4A6616BB" w14:textId="2E8D9675" w:rsidR="00E079C6" w:rsidRPr="002535EB" w:rsidRDefault="008D6F67"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A</w:t>
            </w:r>
            <w:r w:rsidRPr="002535EB">
              <w:rPr>
                <w:rFonts w:ascii="Book Antiqua" w:eastAsia="等线" w:hAnsi="Book Antiqua" w:cs="Times New Roman"/>
                <w:color w:val="000000" w:themeColor="text1"/>
                <w:kern w:val="0"/>
                <w:sz w:val="18"/>
                <w:szCs w:val="18"/>
              </w:rPr>
              <w:t>ge</w:t>
            </w:r>
            <w:r w:rsidR="00E079C6" w:rsidRPr="002535EB">
              <w:rPr>
                <w:rFonts w:ascii="Book Antiqua" w:eastAsia="等线" w:hAnsi="Book Antiqua" w:cs="Times New Roman"/>
                <w:color w:val="000000" w:themeColor="text1"/>
                <w:kern w:val="0"/>
                <w:sz w:val="18"/>
                <w:szCs w:val="18"/>
              </w:rPr>
              <w:t>, gender, Child-Pugh score, hemoglobin, gamma-</w:t>
            </w:r>
            <w:proofErr w:type="spellStart"/>
            <w:r w:rsidR="00E079C6" w:rsidRPr="002535EB">
              <w:rPr>
                <w:rFonts w:ascii="Book Antiqua" w:eastAsia="等线" w:hAnsi="Book Antiqua" w:cs="Times New Roman"/>
                <w:color w:val="000000" w:themeColor="text1"/>
                <w:kern w:val="0"/>
                <w:sz w:val="18"/>
                <w:szCs w:val="18"/>
              </w:rPr>
              <w:t>glutamyl</w:t>
            </w:r>
            <w:proofErr w:type="spellEnd"/>
            <w:r w:rsidR="00E079C6" w:rsidRPr="002535EB">
              <w:rPr>
                <w:rFonts w:ascii="Book Antiqua" w:eastAsia="等线" w:hAnsi="Book Antiqua" w:cs="Times New Roman"/>
                <w:color w:val="000000" w:themeColor="text1"/>
                <w:kern w:val="0"/>
                <w:sz w:val="18"/>
                <w:szCs w:val="18"/>
              </w:rPr>
              <w:t xml:space="preserve"> </w:t>
            </w:r>
            <w:proofErr w:type="spellStart"/>
            <w:r w:rsidR="00E079C6" w:rsidRPr="002535EB">
              <w:rPr>
                <w:rFonts w:ascii="Book Antiqua" w:eastAsia="等线" w:hAnsi="Book Antiqua" w:cs="Times New Roman"/>
                <w:color w:val="000000" w:themeColor="text1"/>
                <w:kern w:val="0"/>
                <w:sz w:val="18"/>
                <w:szCs w:val="18"/>
              </w:rPr>
              <w:t>transpeptidase</w:t>
            </w:r>
            <w:proofErr w:type="spellEnd"/>
            <w:r w:rsidR="00E079C6" w:rsidRPr="002535EB">
              <w:rPr>
                <w:rFonts w:ascii="Book Antiqua" w:eastAsia="等线" w:hAnsi="Book Antiqua" w:cs="Times New Roman"/>
                <w:color w:val="000000" w:themeColor="text1"/>
                <w:kern w:val="0"/>
                <w:sz w:val="18"/>
                <w:szCs w:val="18"/>
              </w:rPr>
              <w:t>, blood urea nitrogen, ammonia, international normalized ratio,</w:t>
            </w:r>
            <w:r w:rsidR="00C80372">
              <w:rPr>
                <w:rFonts w:ascii="Book Antiqua" w:eastAsia="等线" w:hAnsi="Book Antiqua" w:cs="Times New Roman"/>
                <w:color w:val="000000" w:themeColor="text1"/>
                <w:kern w:val="0"/>
                <w:sz w:val="18"/>
                <w:szCs w:val="18"/>
              </w:rPr>
              <w:t xml:space="preserve"> </w:t>
            </w:r>
            <w:r w:rsidR="001C5C58">
              <w:rPr>
                <w:rFonts w:ascii="Book Antiqua" w:eastAsia="等线" w:hAnsi="Book Antiqua" w:cs="Times New Roman"/>
                <w:color w:val="000000" w:themeColor="text1"/>
                <w:kern w:val="0"/>
                <w:sz w:val="18"/>
                <w:szCs w:val="18"/>
              </w:rPr>
              <w:t xml:space="preserve">and </w:t>
            </w:r>
            <w:r w:rsidR="00E079C6" w:rsidRPr="002535EB">
              <w:rPr>
                <w:rFonts w:ascii="Book Antiqua" w:eastAsia="等线" w:hAnsi="Book Antiqua" w:cs="Times New Roman"/>
                <w:color w:val="000000" w:themeColor="text1"/>
                <w:kern w:val="0"/>
                <w:sz w:val="18"/>
                <w:szCs w:val="18"/>
              </w:rPr>
              <w:t>acute upper gastrointestinal bleeding</w:t>
            </w:r>
          </w:p>
        </w:tc>
        <w:tc>
          <w:tcPr>
            <w:tcW w:w="1418" w:type="dxa"/>
            <w:tcBorders>
              <w:top w:val="nil"/>
              <w:left w:val="nil"/>
              <w:bottom w:val="nil"/>
              <w:right w:val="nil"/>
            </w:tcBorders>
            <w:shd w:val="clear" w:color="auto" w:fill="auto"/>
            <w:noWrap/>
            <w:vAlign w:val="center"/>
            <w:hideMark/>
          </w:tcPr>
          <w:p w14:paraId="4982D47B"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8</w:t>
            </w:r>
          </w:p>
        </w:tc>
      </w:tr>
      <w:tr w:rsidR="00115F98" w:rsidRPr="002535EB" w14:paraId="3EF21533" w14:textId="77777777" w:rsidTr="00C80372">
        <w:trPr>
          <w:trHeight w:val="854"/>
          <w:jc w:val="right"/>
        </w:trPr>
        <w:tc>
          <w:tcPr>
            <w:tcW w:w="1418" w:type="dxa"/>
            <w:tcBorders>
              <w:top w:val="nil"/>
              <w:left w:val="nil"/>
              <w:bottom w:val="nil"/>
              <w:right w:val="nil"/>
            </w:tcBorders>
            <w:shd w:val="clear" w:color="auto" w:fill="auto"/>
            <w:vAlign w:val="center"/>
            <w:hideMark/>
          </w:tcPr>
          <w:p w14:paraId="15EE90E5" w14:textId="16ABE9DB"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2535EB">
              <w:rPr>
                <w:rFonts w:ascii="Book Antiqua" w:eastAsia="等线" w:hAnsi="Book Antiqua" w:cs="Times New Roman"/>
                <w:color w:val="000000" w:themeColor="text1"/>
                <w:kern w:val="0"/>
                <w:sz w:val="18"/>
                <w:szCs w:val="18"/>
              </w:rPr>
              <w:t>Nardelli</w:t>
            </w:r>
            <w:proofErr w:type="spellEnd"/>
            <w:r w:rsidRPr="002535EB">
              <w:rPr>
                <w:rFonts w:ascii="Book Antiqua" w:eastAsia="等线" w:hAnsi="Book Antiqua" w:cs="Times New Roman"/>
                <w:color w:val="000000" w:themeColor="text1"/>
                <w:kern w:val="0"/>
                <w:sz w:val="18"/>
                <w:szCs w:val="18"/>
              </w:rPr>
              <w:t xml:space="preserve">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w:t>
            </w:r>
            <w:r w:rsidR="002535EB">
              <w:rPr>
                <w:rFonts w:ascii="Book Antiqua" w:eastAsia="等线" w:hAnsi="Book Antiqua" w:cs="Times New Roman"/>
                <w:color w:val="000000" w:themeColor="text1"/>
                <w:kern w:val="0"/>
                <w:sz w:val="18"/>
                <w:szCs w:val="18"/>
                <w:vertAlign w:val="superscript"/>
              </w:rPr>
              <w:t>4</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7C396752"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Italy</w:t>
            </w:r>
          </w:p>
        </w:tc>
        <w:tc>
          <w:tcPr>
            <w:tcW w:w="992" w:type="dxa"/>
            <w:tcBorders>
              <w:top w:val="nil"/>
              <w:left w:val="nil"/>
              <w:bottom w:val="nil"/>
              <w:right w:val="nil"/>
            </w:tcBorders>
            <w:shd w:val="clear" w:color="auto" w:fill="auto"/>
            <w:vAlign w:val="center"/>
            <w:hideMark/>
          </w:tcPr>
          <w:p w14:paraId="413DB597" w14:textId="08D1CAFE"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ohort </w:t>
            </w:r>
          </w:p>
        </w:tc>
        <w:tc>
          <w:tcPr>
            <w:tcW w:w="1152" w:type="dxa"/>
            <w:tcBorders>
              <w:top w:val="nil"/>
              <w:left w:val="nil"/>
              <w:bottom w:val="nil"/>
              <w:right w:val="nil"/>
            </w:tcBorders>
            <w:shd w:val="clear" w:color="auto" w:fill="auto"/>
            <w:vAlign w:val="center"/>
            <w:hideMark/>
          </w:tcPr>
          <w:p w14:paraId="776C44FC"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125/185</w:t>
            </w:r>
          </w:p>
        </w:tc>
        <w:tc>
          <w:tcPr>
            <w:tcW w:w="975" w:type="dxa"/>
            <w:tcBorders>
              <w:top w:val="nil"/>
              <w:left w:val="nil"/>
              <w:bottom w:val="nil"/>
              <w:right w:val="nil"/>
            </w:tcBorders>
            <w:shd w:val="clear" w:color="auto" w:fill="auto"/>
            <w:vAlign w:val="center"/>
            <w:hideMark/>
          </w:tcPr>
          <w:p w14:paraId="0F9F5D4E" w14:textId="2783E2E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61.5 ± 11.9/63.3 ± 11.6 </w:t>
            </w:r>
          </w:p>
        </w:tc>
        <w:tc>
          <w:tcPr>
            <w:tcW w:w="992" w:type="dxa"/>
            <w:tcBorders>
              <w:top w:val="nil"/>
              <w:left w:val="nil"/>
              <w:bottom w:val="nil"/>
              <w:right w:val="nil"/>
            </w:tcBorders>
            <w:shd w:val="clear" w:color="auto" w:fill="auto"/>
            <w:vAlign w:val="center"/>
            <w:hideMark/>
          </w:tcPr>
          <w:p w14:paraId="6FCB2039"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74.1/67.2</w:t>
            </w:r>
          </w:p>
        </w:tc>
        <w:tc>
          <w:tcPr>
            <w:tcW w:w="992" w:type="dxa"/>
            <w:tcBorders>
              <w:top w:val="nil"/>
              <w:left w:val="nil"/>
              <w:bottom w:val="nil"/>
              <w:right w:val="nil"/>
            </w:tcBorders>
            <w:shd w:val="clear" w:color="auto" w:fill="auto"/>
            <w:vAlign w:val="center"/>
            <w:hideMark/>
          </w:tcPr>
          <w:p w14:paraId="5EA00EF6" w14:textId="7365267F"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irrhosis </w:t>
            </w:r>
          </w:p>
        </w:tc>
        <w:tc>
          <w:tcPr>
            <w:tcW w:w="992" w:type="dxa"/>
            <w:tcBorders>
              <w:top w:val="nil"/>
              <w:left w:val="nil"/>
              <w:bottom w:val="nil"/>
              <w:right w:val="nil"/>
            </w:tcBorders>
            <w:shd w:val="clear" w:color="auto" w:fill="auto"/>
            <w:vAlign w:val="center"/>
            <w:hideMark/>
          </w:tcPr>
          <w:p w14:paraId="3D6ACEB5" w14:textId="700FEF27" w:rsidR="00E079C6" w:rsidRPr="002535EB" w:rsidRDefault="00E079C6" w:rsidP="000C4B2E">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Minimal HE; </w:t>
            </w:r>
            <w:r w:rsidR="000C4B2E">
              <w:rPr>
                <w:rFonts w:ascii="Book Antiqua" w:eastAsia="等线" w:hAnsi="Book Antiqua" w:cs="Times New Roman"/>
                <w:color w:val="000000" w:themeColor="text1"/>
                <w:kern w:val="0"/>
                <w:sz w:val="18"/>
                <w:szCs w:val="18"/>
              </w:rPr>
              <w:t>grades 2-4 HE</w:t>
            </w:r>
          </w:p>
        </w:tc>
        <w:tc>
          <w:tcPr>
            <w:tcW w:w="1134" w:type="dxa"/>
            <w:tcBorders>
              <w:top w:val="nil"/>
              <w:left w:val="nil"/>
              <w:bottom w:val="nil"/>
              <w:right w:val="nil"/>
            </w:tcBorders>
            <w:shd w:val="clear" w:color="auto" w:fill="auto"/>
            <w:vAlign w:val="center"/>
            <w:hideMark/>
          </w:tcPr>
          <w:p w14:paraId="4588B957" w14:textId="0A82C722"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P</w:t>
            </w:r>
            <w:r w:rsidRPr="002535EB">
              <w:rPr>
                <w:rFonts w:ascii="Book Antiqua" w:eastAsia="等线" w:hAnsi="Book Antiqua" w:cs="Times New Roman"/>
                <w:color w:val="000000" w:themeColor="text1"/>
                <w:kern w:val="0"/>
                <w:sz w:val="18"/>
                <w:szCs w:val="18"/>
              </w:rPr>
              <w:t xml:space="preserve">atients </w:t>
            </w:r>
            <w:r w:rsidR="00E079C6" w:rsidRPr="002535EB">
              <w:rPr>
                <w:rFonts w:ascii="Book Antiqua" w:eastAsia="等线" w:hAnsi="Book Antiqua" w:cs="Times New Roman"/>
                <w:color w:val="000000" w:themeColor="text1"/>
                <w:kern w:val="0"/>
                <w:sz w:val="18"/>
                <w:szCs w:val="18"/>
              </w:rPr>
              <w:t xml:space="preserve">were considered PPIs users when the treatment started at least 4 </w:t>
            </w:r>
            <w:proofErr w:type="spellStart"/>
            <w:r w:rsidR="00E079C6" w:rsidRPr="002535EB">
              <w:rPr>
                <w:rFonts w:ascii="Book Antiqua" w:eastAsia="等线" w:hAnsi="Book Antiqua" w:cs="Times New Roman"/>
                <w:color w:val="000000" w:themeColor="text1"/>
                <w:kern w:val="0"/>
                <w:sz w:val="18"/>
                <w:szCs w:val="18"/>
              </w:rPr>
              <w:t>wk</w:t>
            </w:r>
            <w:proofErr w:type="spellEnd"/>
            <w:r w:rsidR="00E079C6" w:rsidRPr="002535EB">
              <w:rPr>
                <w:rFonts w:ascii="Book Antiqua" w:eastAsia="等线" w:hAnsi="Book Antiqua" w:cs="Times New Roman"/>
                <w:color w:val="000000" w:themeColor="text1"/>
                <w:kern w:val="0"/>
                <w:sz w:val="18"/>
                <w:szCs w:val="18"/>
              </w:rPr>
              <w:t xml:space="preserve"> prior to the admission    </w:t>
            </w:r>
          </w:p>
        </w:tc>
        <w:tc>
          <w:tcPr>
            <w:tcW w:w="851" w:type="dxa"/>
            <w:tcBorders>
              <w:top w:val="nil"/>
              <w:left w:val="nil"/>
              <w:bottom w:val="nil"/>
              <w:right w:val="nil"/>
            </w:tcBorders>
            <w:shd w:val="clear" w:color="auto" w:fill="auto"/>
            <w:vAlign w:val="center"/>
            <w:hideMark/>
          </w:tcPr>
          <w:p w14:paraId="293B124D" w14:textId="07C6622F"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14.1</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12.3 </w:t>
            </w:r>
            <w:proofErr w:type="spellStart"/>
            <w:r w:rsidRPr="002535EB">
              <w:rPr>
                <w:rFonts w:ascii="Book Antiqua" w:eastAsia="等线" w:hAnsi="Book Antiqua" w:cs="Times New Roman"/>
                <w:color w:val="000000" w:themeColor="text1"/>
                <w:kern w:val="0"/>
                <w:sz w:val="18"/>
                <w:szCs w:val="18"/>
              </w:rPr>
              <w:t>mo</w:t>
            </w:r>
            <w:proofErr w:type="spellEnd"/>
          </w:p>
        </w:tc>
        <w:tc>
          <w:tcPr>
            <w:tcW w:w="1417" w:type="dxa"/>
            <w:tcBorders>
              <w:top w:val="nil"/>
              <w:left w:val="nil"/>
              <w:bottom w:val="nil"/>
              <w:right w:val="nil"/>
            </w:tcBorders>
            <w:shd w:val="clear" w:color="auto" w:fill="auto"/>
            <w:vAlign w:val="center"/>
            <w:hideMark/>
          </w:tcPr>
          <w:p w14:paraId="5A39E9B0"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MELD scores, MHE, previous overt HE, PPIs, age, albumin and sodium levels</w:t>
            </w:r>
          </w:p>
        </w:tc>
        <w:tc>
          <w:tcPr>
            <w:tcW w:w="1418" w:type="dxa"/>
            <w:tcBorders>
              <w:top w:val="nil"/>
              <w:left w:val="nil"/>
              <w:bottom w:val="nil"/>
              <w:right w:val="nil"/>
            </w:tcBorders>
            <w:shd w:val="clear" w:color="auto" w:fill="auto"/>
            <w:noWrap/>
            <w:vAlign w:val="center"/>
            <w:hideMark/>
          </w:tcPr>
          <w:p w14:paraId="7AC6FD58"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9</w:t>
            </w:r>
          </w:p>
        </w:tc>
      </w:tr>
      <w:tr w:rsidR="00115F98" w:rsidRPr="002535EB" w14:paraId="1E95213F" w14:textId="77777777" w:rsidTr="00C80372">
        <w:trPr>
          <w:trHeight w:val="709"/>
          <w:jc w:val="right"/>
        </w:trPr>
        <w:tc>
          <w:tcPr>
            <w:tcW w:w="1418" w:type="dxa"/>
            <w:tcBorders>
              <w:top w:val="nil"/>
              <w:left w:val="nil"/>
              <w:bottom w:val="nil"/>
              <w:right w:val="nil"/>
            </w:tcBorders>
            <w:shd w:val="clear" w:color="auto" w:fill="auto"/>
            <w:vAlign w:val="center"/>
            <w:hideMark/>
          </w:tcPr>
          <w:p w14:paraId="682425A9" w14:textId="2523E2C6"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Sturm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[1</w:t>
            </w:r>
            <w:r w:rsidR="002535EB">
              <w:rPr>
                <w:rFonts w:ascii="Book Antiqua" w:eastAsia="等线" w:hAnsi="Book Antiqua" w:cs="Times New Roman"/>
                <w:color w:val="000000" w:themeColor="text1"/>
                <w:kern w:val="0"/>
                <w:sz w:val="18"/>
                <w:szCs w:val="18"/>
                <w:vertAlign w:val="superscript"/>
              </w:rPr>
              <w:t>3</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4DC59FF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Germany</w:t>
            </w:r>
          </w:p>
        </w:tc>
        <w:tc>
          <w:tcPr>
            <w:tcW w:w="992" w:type="dxa"/>
            <w:tcBorders>
              <w:top w:val="nil"/>
              <w:left w:val="nil"/>
              <w:bottom w:val="nil"/>
              <w:right w:val="nil"/>
            </w:tcBorders>
            <w:shd w:val="clear" w:color="auto" w:fill="auto"/>
            <w:vAlign w:val="center"/>
            <w:hideMark/>
          </w:tcPr>
          <w:p w14:paraId="3196527F" w14:textId="561E1388"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ohort</w:t>
            </w:r>
          </w:p>
        </w:tc>
        <w:tc>
          <w:tcPr>
            <w:tcW w:w="1152" w:type="dxa"/>
            <w:tcBorders>
              <w:top w:val="nil"/>
              <w:left w:val="nil"/>
              <w:bottom w:val="nil"/>
              <w:right w:val="nil"/>
            </w:tcBorders>
            <w:shd w:val="clear" w:color="auto" w:fill="auto"/>
            <w:vAlign w:val="center"/>
            <w:hideMark/>
          </w:tcPr>
          <w:p w14:paraId="6EE79977"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303/94</w:t>
            </w:r>
          </w:p>
        </w:tc>
        <w:tc>
          <w:tcPr>
            <w:tcW w:w="975" w:type="dxa"/>
            <w:tcBorders>
              <w:top w:val="nil"/>
              <w:left w:val="nil"/>
              <w:bottom w:val="nil"/>
              <w:right w:val="nil"/>
            </w:tcBorders>
            <w:shd w:val="clear" w:color="auto" w:fill="auto"/>
            <w:vAlign w:val="center"/>
            <w:hideMark/>
          </w:tcPr>
          <w:p w14:paraId="45F76770" w14:textId="5AE01A60"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59.2</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11.7/59.7</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10.2 </w:t>
            </w:r>
          </w:p>
        </w:tc>
        <w:tc>
          <w:tcPr>
            <w:tcW w:w="992" w:type="dxa"/>
            <w:tcBorders>
              <w:top w:val="nil"/>
              <w:left w:val="nil"/>
              <w:bottom w:val="nil"/>
              <w:right w:val="nil"/>
            </w:tcBorders>
            <w:shd w:val="clear" w:color="auto" w:fill="auto"/>
            <w:vAlign w:val="center"/>
            <w:hideMark/>
          </w:tcPr>
          <w:p w14:paraId="3F47FB3F"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67.7/69.1</w:t>
            </w:r>
          </w:p>
        </w:tc>
        <w:tc>
          <w:tcPr>
            <w:tcW w:w="992" w:type="dxa"/>
            <w:tcBorders>
              <w:top w:val="nil"/>
              <w:left w:val="nil"/>
              <w:bottom w:val="nil"/>
              <w:right w:val="nil"/>
            </w:tcBorders>
            <w:shd w:val="clear" w:color="auto" w:fill="auto"/>
            <w:vAlign w:val="center"/>
            <w:hideMark/>
          </w:tcPr>
          <w:p w14:paraId="477E6545" w14:textId="6260CA23"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irrhosis </w:t>
            </w:r>
            <w:r w:rsidR="00E079C6" w:rsidRPr="002535EB">
              <w:rPr>
                <w:rFonts w:ascii="Book Antiqua" w:eastAsia="等线" w:hAnsi="Book Antiqua" w:cs="Times New Roman"/>
                <w:color w:val="000000" w:themeColor="text1"/>
                <w:kern w:val="0"/>
                <w:sz w:val="18"/>
                <w:szCs w:val="18"/>
              </w:rPr>
              <w:t xml:space="preserve">with TIPS implantation </w:t>
            </w:r>
          </w:p>
        </w:tc>
        <w:tc>
          <w:tcPr>
            <w:tcW w:w="992" w:type="dxa"/>
            <w:tcBorders>
              <w:top w:val="nil"/>
              <w:left w:val="nil"/>
              <w:bottom w:val="nil"/>
              <w:right w:val="nil"/>
            </w:tcBorders>
            <w:shd w:val="clear" w:color="auto" w:fill="auto"/>
            <w:vAlign w:val="center"/>
            <w:hideMark/>
          </w:tcPr>
          <w:p w14:paraId="56FFE98C" w14:textId="375F0C01"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32AF85C3"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PPI users</w:t>
            </w:r>
            <w:r w:rsidRPr="002535EB">
              <w:rPr>
                <w:rFonts w:ascii="Book Antiqua" w:eastAsia="等线" w:hAnsi="Book Antiqua" w:cs="Times New Roman"/>
                <w:color w:val="000000" w:themeColor="text1"/>
                <w:kern w:val="0"/>
                <w:sz w:val="18"/>
                <w:szCs w:val="18"/>
              </w:rPr>
              <w:br/>
              <w:t>were defined as the patients who used PPIs during hospitalization</w:t>
            </w:r>
          </w:p>
        </w:tc>
        <w:tc>
          <w:tcPr>
            <w:tcW w:w="851" w:type="dxa"/>
            <w:tcBorders>
              <w:top w:val="nil"/>
              <w:left w:val="nil"/>
              <w:bottom w:val="nil"/>
              <w:right w:val="nil"/>
            </w:tcBorders>
            <w:shd w:val="clear" w:color="auto" w:fill="auto"/>
            <w:vAlign w:val="center"/>
            <w:hideMark/>
          </w:tcPr>
          <w:p w14:paraId="12AB64E1" w14:textId="167F4764" w:rsidR="00E079C6" w:rsidRPr="002535EB" w:rsidRDefault="00E079C6">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116</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74        /135</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65 d </w:t>
            </w:r>
          </w:p>
        </w:tc>
        <w:tc>
          <w:tcPr>
            <w:tcW w:w="1417" w:type="dxa"/>
            <w:tcBorders>
              <w:top w:val="nil"/>
              <w:left w:val="nil"/>
              <w:bottom w:val="nil"/>
              <w:right w:val="nil"/>
            </w:tcBorders>
            <w:shd w:val="clear" w:color="auto" w:fill="auto"/>
            <w:vAlign w:val="center"/>
            <w:hideMark/>
          </w:tcPr>
          <w:p w14:paraId="5449D9D0" w14:textId="58426845" w:rsidR="00E079C6" w:rsidRPr="002535EB" w:rsidRDefault="00C80372"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A</w:t>
            </w:r>
            <w:r w:rsidR="00E079C6" w:rsidRPr="002535EB">
              <w:rPr>
                <w:rFonts w:ascii="Book Antiqua" w:eastAsia="等线" w:hAnsi="Book Antiqua" w:cs="Times New Roman"/>
                <w:color w:val="000000" w:themeColor="text1"/>
                <w:kern w:val="0"/>
                <w:sz w:val="18"/>
                <w:szCs w:val="18"/>
              </w:rPr>
              <w:t>ge,</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etiology of liver disease,</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TIPS indication, acute variceal bleeding with early TIPS implantation, covering of the stent graft,</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portosystemic gradient before and after TIPS,</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HE before TIPS,</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MELD score,</w:t>
            </w:r>
            <w:r>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HE medication,</w:t>
            </w:r>
            <w:r>
              <w:rPr>
                <w:rFonts w:ascii="Book Antiqua" w:eastAsia="等线" w:hAnsi="Book Antiqua" w:cs="Times New Roman"/>
                <w:color w:val="000000" w:themeColor="text1"/>
                <w:kern w:val="0"/>
                <w:sz w:val="18"/>
                <w:szCs w:val="18"/>
              </w:rPr>
              <w:t xml:space="preserve"> </w:t>
            </w:r>
            <w:r w:rsidR="001C5C58">
              <w:rPr>
                <w:rFonts w:ascii="Book Antiqua" w:eastAsia="等线" w:hAnsi="Book Antiqua" w:cs="Times New Roman"/>
                <w:color w:val="000000" w:themeColor="text1"/>
                <w:kern w:val="0"/>
                <w:sz w:val="18"/>
                <w:szCs w:val="18"/>
              </w:rPr>
              <w:t xml:space="preserve">and </w:t>
            </w:r>
            <w:proofErr w:type="spellStart"/>
            <w:r w:rsidR="00E079C6" w:rsidRPr="002535EB">
              <w:rPr>
                <w:rFonts w:ascii="Book Antiqua" w:eastAsia="等线" w:hAnsi="Book Antiqua" w:cs="Times New Roman"/>
                <w:color w:val="000000" w:themeColor="text1"/>
                <w:kern w:val="0"/>
                <w:sz w:val="18"/>
                <w:szCs w:val="18"/>
              </w:rPr>
              <w:t>peri</w:t>
            </w:r>
            <w:proofErr w:type="spellEnd"/>
            <w:r w:rsidR="00E079C6" w:rsidRPr="002535EB">
              <w:rPr>
                <w:rFonts w:ascii="Book Antiqua" w:eastAsia="等线" w:hAnsi="Book Antiqua" w:cs="Times New Roman"/>
                <w:color w:val="000000" w:themeColor="text1"/>
                <w:kern w:val="0"/>
                <w:sz w:val="18"/>
                <w:szCs w:val="18"/>
              </w:rPr>
              <w:t xml:space="preserve">-interventional antibiotic treatment </w:t>
            </w:r>
          </w:p>
        </w:tc>
        <w:tc>
          <w:tcPr>
            <w:tcW w:w="1418" w:type="dxa"/>
            <w:tcBorders>
              <w:top w:val="nil"/>
              <w:left w:val="nil"/>
              <w:bottom w:val="nil"/>
              <w:right w:val="nil"/>
            </w:tcBorders>
            <w:shd w:val="clear" w:color="auto" w:fill="auto"/>
            <w:noWrap/>
            <w:vAlign w:val="center"/>
            <w:hideMark/>
          </w:tcPr>
          <w:p w14:paraId="3035E4BE"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9</w:t>
            </w:r>
          </w:p>
        </w:tc>
      </w:tr>
      <w:tr w:rsidR="00115F98" w:rsidRPr="002535EB" w14:paraId="6DFEEA3E" w14:textId="77777777" w:rsidTr="002535EB">
        <w:trPr>
          <w:trHeight w:val="2200"/>
          <w:jc w:val="right"/>
        </w:trPr>
        <w:tc>
          <w:tcPr>
            <w:tcW w:w="1418" w:type="dxa"/>
            <w:tcBorders>
              <w:top w:val="nil"/>
              <w:left w:val="nil"/>
              <w:bottom w:val="nil"/>
              <w:right w:val="nil"/>
            </w:tcBorders>
            <w:shd w:val="clear" w:color="auto" w:fill="auto"/>
            <w:vAlign w:val="center"/>
            <w:hideMark/>
          </w:tcPr>
          <w:p w14:paraId="5A2927A8" w14:textId="5CD1A2C6"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Tapper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vertAlign w:val="superscript"/>
              </w:rPr>
              <w:t>24</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2018 (abstract)</w:t>
            </w:r>
          </w:p>
        </w:tc>
        <w:tc>
          <w:tcPr>
            <w:tcW w:w="992" w:type="dxa"/>
            <w:tcBorders>
              <w:top w:val="nil"/>
              <w:left w:val="nil"/>
              <w:bottom w:val="nil"/>
              <w:right w:val="nil"/>
            </w:tcBorders>
            <w:shd w:val="clear" w:color="auto" w:fill="auto"/>
            <w:vAlign w:val="center"/>
            <w:hideMark/>
          </w:tcPr>
          <w:p w14:paraId="77E33397"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USA</w:t>
            </w:r>
          </w:p>
        </w:tc>
        <w:tc>
          <w:tcPr>
            <w:tcW w:w="992" w:type="dxa"/>
            <w:tcBorders>
              <w:top w:val="nil"/>
              <w:left w:val="nil"/>
              <w:bottom w:val="nil"/>
              <w:right w:val="nil"/>
            </w:tcBorders>
            <w:shd w:val="clear" w:color="auto" w:fill="auto"/>
            <w:vAlign w:val="center"/>
            <w:hideMark/>
          </w:tcPr>
          <w:p w14:paraId="623F26B5" w14:textId="2BE27C27"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ohort </w:t>
            </w:r>
          </w:p>
        </w:tc>
        <w:tc>
          <w:tcPr>
            <w:tcW w:w="1152" w:type="dxa"/>
            <w:tcBorders>
              <w:top w:val="nil"/>
              <w:left w:val="nil"/>
              <w:bottom w:val="nil"/>
              <w:right w:val="nil"/>
            </w:tcBorders>
            <w:shd w:val="clear" w:color="auto" w:fill="auto"/>
            <w:vAlign w:val="center"/>
            <w:hideMark/>
          </w:tcPr>
          <w:p w14:paraId="2BBCDB87" w14:textId="0858F953"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186481</w:t>
            </w:r>
          </w:p>
        </w:tc>
        <w:tc>
          <w:tcPr>
            <w:tcW w:w="975" w:type="dxa"/>
            <w:tcBorders>
              <w:top w:val="nil"/>
              <w:left w:val="nil"/>
              <w:bottom w:val="nil"/>
              <w:right w:val="nil"/>
            </w:tcBorders>
            <w:shd w:val="clear" w:color="auto" w:fill="auto"/>
            <w:vAlign w:val="center"/>
            <w:hideMark/>
          </w:tcPr>
          <w:p w14:paraId="073E817E"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65 (57–73)</w:t>
            </w:r>
          </w:p>
        </w:tc>
        <w:tc>
          <w:tcPr>
            <w:tcW w:w="992" w:type="dxa"/>
            <w:tcBorders>
              <w:top w:val="nil"/>
              <w:left w:val="nil"/>
              <w:bottom w:val="nil"/>
              <w:right w:val="nil"/>
            </w:tcBorders>
            <w:shd w:val="clear" w:color="auto" w:fill="auto"/>
            <w:vAlign w:val="center"/>
            <w:hideMark/>
          </w:tcPr>
          <w:p w14:paraId="03FA8223"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55</w:t>
            </w:r>
          </w:p>
        </w:tc>
        <w:tc>
          <w:tcPr>
            <w:tcW w:w="992" w:type="dxa"/>
            <w:tcBorders>
              <w:top w:val="nil"/>
              <w:left w:val="nil"/>
              <w:bottom w:val="nil"/>
              <w:right w:val="nil"/>
            </w:tcBorders>
            <w:shd w:val="clear" w:color="auto" w:fill="auto"/>
            <w:vAlign w:val="center"/>
            <w:hideMark/>
          </w:tcPr>
          <w:p w14:paraId="3C5F3781" w14:textId="2AC1C02E"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irrhosis</w:t>
            </w:r>
          </w:p>
        </w:tc>
        <w:tc>
          <w:tcPr>
            <w:tcW w:w="992" w:type="dxa"/>
            <w:tcBorders>
              <w:top w:val="nil"/>
              <w:left w:val="nil"/>
              <w:bottom w:val="nil"/>
              <w:right w:val="nil"/>
            </w:tcBorders>
            <w:shd w:val="clear" w:color="auto" w:fill="auto"/>
            <w:vAlign w:val="center"/>
            <w:hideMark/>
          </w:tcPr>
          <w:p w14:paraId="2BE131F2" w14:textId="127CAA5A"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7945E1D5" w14:textId="3CB23546"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 xml:space="preserve">hronic </w:t>
            </w:r>
            <w:r w:rsidR="00E079C6" w:rsidRPr="002535EB">
              <w:rPr>
                <w:rFonts w:ascii="Book Antiqua" w:eastAsia="等线" w:hAnsi="Book Antiqua" w:cs="Times New Roman"/>
                <w:color w:val="000000" w:themeColor="text1"/>
                <w:kern w:val="0"/>
                <w:sz w:val="18"/>
                <w:szCs w:val="18"/>
              </w:rPr>
              <w:t>use</w:t>
            </w:r>
            <w:r w:rsidR="00C80372">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 xml:space="preserve">(&gt;90 d) </w:t>
            </w:r>
          </w:p>
        </w:tc>
        <w:tc>
          <w:tcPr>
            <w:tcW w:w="851" w:type="dxa"/>
            <w:tcBorders>
              <w:top w:val="nil"/>
              <w:left w:val="nil"/>
              <w:bottom w:val="nil"/>
              <w:right w:val="nil"/>
            </w:tcBorders>
            <w:shd w:val="clear" w:color="auto" w:fill="auto"/>
            <w:vAlign w:val="center"/>
            <w:hideMark/>
          </w:tcPr>
          <w:p w14:paraId="08F5AF2E" w14:textId="044F714C" w:rsidR="00E079C6" w:rsidRPr="002535EB" w:rsidRDefault="00E079C6" w:rsidP="00C80372">
            <w:pPr>
              <w:widowControl/>
              <w:spacing w:line="360" w:lineRule="auto"/>
              <w:ind w:left="90" w:hangingChars="50" w:hanging="90"/>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542739patient-years</w:t>
            </w:r>
          </w:p>
        </w:tc>
        <w:tc>
          <w:tcPr>
            <w:tcW w:w="1417" w:type="dxa"/>
            <w:tcBorders>
              <w:top w:val="nil"/>
              <w:left w:val="nil"/>
              <w:bottom w:val="nil"/>
              <w:right w:val="nil"/>
            </w:tcBorders>
            <w:shd w:val="clear" w:color="auto" w:fill="auto"/>
            <w:vAlign w:val="center"/>
            <w:hideMark/>
          </w:tcPr>
          <w:p w14:paraId="544E227E" w14:textId="6B15B049" w:rsidR="00E079C6" w:rsidRPr="002535EB" w:rsidRDefault="00C80372"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A</w:t>
            </w:r>
            <w:r w:rsidR="00E079C6" w:rsidRPr="002535EB">
              <w:rPr>
                <w:rFonts w:ascii="Book Antiqua" w:eastAsia="等线" w:hAnsi="Book Antiqua" w:cs="Times New Roman"/>
                <w:color w:val="000000" w:themeColor="text1"/>
                <w:kern w:val="0"/>
                <w:sz w:val="18"/>
                <w:szCs w:val="18"/>
              </w:rPr>
              <w:t>ge, sex, race, etiology of cirrhosis,</w:t>
            </w:r>
            <w:r w:rsidRPr="002535EB">
              <w:rPr>
                <w:rFonts w:ascii="Book Antiqua" w:eastAsia="等线" w:hAnsi="Book Antiqua" w:cs="Times New Roman"/>
                <w:color w:val="000000" w:themeColor="text1"/>
                <w:kern w:val="0"/>
                <w:sz w:val="18"/>
                <w:szCs w:val="18"/>
              </w:rPr>
              <w:t xml:space="preserve"> </w:t>
            </w:r>
            <w:r w:rsidR="00E079C6" w:rsidRPr="002535EB">
              <w:rPr>
                <w:rFonts w:ascii="Book Antiqua" w:eastAsia="等线" w:hAnsi="Book Antiqua" w:cs="Times New Roman"/>
                <w:color w:val="000000" w:themeColor="text1"/>
                <w:kern w:val="0"/>
                <w:sz w:val="18"/>
                <w:szCs w:val="18"/>
              </w:rPr>
              <w:t>Medicaid co-enrollment, hemodialysis, portal hypertension (varices, ascites, TIPS placement), and management by a gastroenterologist</w:t>
            </w:r>
          </w:p>
        </w:tc>
        <w:tc>
          <w:tcPr>
            <w:tcW w:w="1418" w:type="dxa"/>
            <w:tcBorders>
              <w:top w:val="nil"/>
              <w:left w:val="nil"/>
              <w:bottom w:val="nil"/>
              <w:right w:val="nil"/>
            </w:tcBorders>
            <w:shd w:val="clear" w:color="auto" w:fill="auto"/>
            <w:vAlign w:val="center"/>
            <w:hideMark/>
          </w:tcPr>
          <w:p w14:paraId="548E311C"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r>
      <w:tr w:rsidR="00115F98" w:rsidRPr="002535EB" w14:paraId="1F5E6F40" w14:textId="77777777" w:rsidTr="002535EB">
        <w:trPr>
          <w:trHeight w:val="1400"/>
          <w:jc w:val="right"/>
        </w:trPr>
        <w:tc>
          <w:tcPr>
            <w:tcW w:w="1418" w:type="dxa"/>
            <w:tcBorders>
              <w:top w:val="nil"/>
              <w:left w:val="nil"/>
              <w:bottom w:val="nil"/>
              <w:right w:val="nil"/>
            </w:tcBorders>
            <w:shd w:val="clear" w:color="auto" w:fill="auto"/>
            <w:vAlign w:val="center"/>
            <w:hideMark/>
          </w:tcPr>
          <w:p w14:paraId="676D3C04" w14:textId="25F10102"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2535EB">
              <w:rPr>
                <w:rFonts w:ascii="Book Antiqua" w:eastAsia="等线" w:hAnsi="Book Antiqua" w:cs="Times New Roman"/>
                <w:color w:val="000000" w:themeColor="text1"/>
                <w:kern w:val="0"/>
                <w:sz w:val="18"/>
                <w:szCs w:val="18"/>
              </w:rPr>
              <w:t>Matei</w:t>
            </w:r>
            <w:proofErr w:type="spellEnd"/>
            <w:r w:rsidRPr="002535EB">
              <w:rPr>
                <w:rFonts w:ascii="Book Antiqua" w:eastAsia="等线" w:hAnsi="Book Antiqua" w:cs="Times New Roman"/>
                <w:color w:val="000000" w:themeColor="text1"/>
                <w:kern w:val="0"/>
                <w:sz w:val="18"/>
                <w:szCs w:val="18"/>
              </w:rPr>
              <w:t xml:space="preserve">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vertAlign w:val="superscript"/>
              </w:rPr>
              <w:t>25</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2017 (abstract)</w:t>
            </w:r>
          </w:p>
        </w:tc>
        <w:tc>
          <w:tcPr>
            <w:tcW w:w="992" w:type="dxa"/>
            <w:tcBorders>
              <w:top w:val="nil"/>
              <w:left w:val="nil"/>
              <w:bottom w:val="nil"/>
              <w:right w:val="nil"/>
            </w:tcBorders>
            <w:shd w:val="clear" w:color="auto" w:fill="auto"/>
            <w:vAlign w:val="center"/>
            <w:hideMark/>
          </w:tcPr>
          <w:p w14:paraId="64A44A14"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Romania</w:t>
            </w:r>
          </w:p>
        </w:tc>
        <w:tc>
          <w:tcPr>
            <w:tcW w:w="992" w:type="dxa"/>
            <w:tcBorders>
              <w:top w:val="nil"/>
              <w:left w:val="nil"/>
              <w:bottom w:val="nil"/>
              <w:right w:val="nil"/>
            </w:tcBorders>
            <w:shd w:val="clear" w:color="auto" w:fill="auto"/>
            <w:vAlign w:val="center"/>
            <w:hideMark/>
          </w:tcPr>
          <w:p w14:paraId="0DBADF4C" w14:textId="1BB29786"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ase</w:t>
            </w:r>
            <w:r w:rsidR="00E079C6" w:rsidRPr="002535EB">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55152E04"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436/327</w:t>
            </w:r>
          </w:p>
        </w:tc>
        <w:tc>
          <w:tcPr>
            <w:tcW w:w="975" w:type="dxa"/>
            <w:tcBorders>
              <w:top w:val="nil"/>
              <w:left w:val="nil"/>
              <w:bottom w:val="nil"/>
              <w:right w:val="nil"/>
            </w:tcBorders>
            <w:shd w:val="clear" w:color="auto" w:fill="auto"/>
            <w:vAlign w:val="center"/>
            <w:hideMark/>
          </w:tcPr>
          <w:p w14:paraId="28932D44" w14:textId="3A18D87B"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60.41</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(17–91)</w:t>
            </w:r>
          </w:p>
        </w:tc>
        <w:tc>
          <w:tcPr>
            <w:tcW w:w="992" w:type="dxa"/>
            <w:tcBorders>
              <w:top w:val="nil"/>
              <w:left w:val="nil"/>
              <w:bottom w:val="nil"/>
              <w:right w:val="nil"/>
            </w:tcBorders>
            <w:shd w:val="clear" w:color="auto" w:fill="auto"/>
            <w:vAlign w:val="center"/>
            <w:hideMark/>
          </w:tcPr>
          <w:p w14:paraId="313C4D11"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63.3</w:t>
            </w:r>
          </w:p>
        </w:tc>
        <w:tc>
          <w:tcPr>
            <w:tcW w:w="992" w:type="dxa"/>
            <w:tcBorders>
              <w:top w:val="nil"/>
              <w:left w:val="nil"/>
              <w:bottom w:val="nil"/>
              <w:right w:val="nil"/>
            </w:tcBorders>
            <w:shd w:val="clear" w:color="auto" w:fill="auto"/>
            <w:vAlign w:val="center"/>
            <w:hideMark/>
          </w:tcPr>
          <w:p w14:paraId="716543F7" w14:textId="2D6BA208" w:rsidR="00E079C6" w:rsidRPr="002535EB" w:rsidRDefault="00E079C6">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 </w:t>
            </w:r>
            <w:r w:rsidR="001C5C58">
              <w:rPr>
                <w:rFonts w:ascii="Book Antiqua" w:eastAsia="等线" w:hAnsi="Book Antiqua" w:cs="Times New Roman"/>
                <w:color w:val="000000" w:themeColor="text1"/>
                <w:kern w:val="0"/>
                <w:sz w:val="18"/>
                <w:szCs w:val="18"/>
              </w:rPr>
              <w:t>C</w:t>
            </w:r>
            <w:r w:rsidR="001C5C58" w:rsidRPr="002535EB">
              <w:rPr>
                <w:rFonts w:ascii="Book Antiqua" w:eastAsia="等线" w:hAnsi="Book Antiqua" w:cs="Times New Roman"/>
                <w:color w:val="000000" w:themeColor="text1"/>
                <w:kern w:val="0"/>
                <w:sz w:val="18"/>
                <w:szCs w:val="18"/>
              </w:rPr>
              <w:t xml:space="preserve">irrhosis </w:t>
            </w:r>
            <w:r w:rsidRPr="002535EB">
              <w:rPr>
                <w:rFonts w:ascii="Book Antiqua" w:eastAsia="等线" w:hAnsi="Book Antiqua" w:cs="Times New Roman"/>
                <w:color w:val="000000" w:themeColor="text1"/>
                <w:kern w:val="0"/>
                <w:sz w:val="18"/>
                <w:szCs w:val="18"/>
              </w:rPr>
              <w:t>and ascites</w:t>
            </w:r>
          </w:p>
        </w:tc>
        <w:tc>
          <w:tcPr>
            <w:tcW w:w="992" w:type="dxa"/>
            <w:tcBorders>
              <w:top w:val="nil"/>
              <w:left w:val="nil"/>
              <w:bottom w:val="nil"/>
              <w:right w:val="nil"/>
            </w:tcBorders>
            <w:shd w:val="clear" w:color="auto" w:fill="auto"/>
            <w:vAlign w:val="center"/>
            <w:hideMark/>
          </w:tcPr>
          <w:p w14:paraId="54ED3CD0" w14:textId="7A3BD7FD"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2C42C890" w14:textId="032C2633"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 xml:space="preserve">PPIs use was defined as the administration of at least 40 mg/day, for minimum 2 </w:t>
            </w:r>
            <w:proofErr w:type="spellStart"/>
            <w:r w:rsidRPr="002535EB">
              <w:rPr>
                <w:rFonts w:ascii="Book Antiqua" w:eastAsia="等线" w:hAnsi="Book Antiqua" w:cs="Times New Roman"/>
                <w:color w:val="000000" w:themeColor="text1"/>
                <w:kern w:val="0"/>
                <w:sz w:val="18"/>
                <w:szCs w:val="18"/>
              </w:rPr>
              <w:t>wk</w:t>
            </w:r>
            <w:proofErr w:type="spellEnd"/>
            <w:r w:rsidRPr="002535EB">
              <w:rPr>
                <w:rFonts w:ascii="Book Antiqua" w:eastAsia="等线" w:hAnsi="Book Antiqua" w:cs="Times New Roman"/>
                <w:color w:val="000000" w:themeColor="text1"/>
                <w:kern w:val="0"/>
                <w:sz w:val="18"/>
                <w:szCs w:val="18"/>
              </w:rPr>
              <w:t xml:space="preserve"> during the last 3 mo.</w:t>
            </w:r>
          </w:p>
        </w:tc>
        <w:tc>
          <w:tcPr>
            <w:tcW w:w="851" w:type="dxa"/>
            <w:tcBorders>
              <w:top w:val="nil"/>
              <w:left w:val="nil"/>
              <w:bottom w:val="nil"/>
              <w:right w:val="nil"/>
            </w:tcBorders>
            <w:shd w:val="clear" w:color="auto" w:fill="auto"/>
            <w:vAlign w:val="center"/>
            <w:hideMark/>
          </w:tcPr>
          <w:p w14:paraId="1914FD5A"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7" w:type="dxa"/>
            <w:tcBorders>
              <w:top w:val="nil"/>
              <w:left w:val="nil"/>
              <w:bottom w:val="nil"/>
              <w:right w:val="nil"/>
            </w:tcBorders>
            <w:shd w:val="clear" w:color="auto" w:fill="auto"/>
            <w:vAlign w:val="center"/>
            <w:hideMark/>
          </w:tcPr>
          <w:p w14:paraId="554832A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8" w:type="dxa"/>
            <w:tcBorders>
              <w:top w:val="nil"/>
              <w:left w:val="nil"/>
              <w:bottom w:val="nil"/>
              <w:right w:val="nil"/>
            </w:tcBorders>
            <w:shd w:val="clear" w:color="auto" w:fill="auto"/>
            <w:vAlign w:val="center"/>
            <w:hideMark/>
          </w:tcPr>
          <w:p w14:paraId="4DCBD2AF"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r>
      <w:tr w:rsidR="00115F98" w:rsidRPr="002535EB" w14:paraId="603020F4" w14:textId="77777777" w:rsidTr="002535EB">
        <w:trPr>
          <w:trHeight w:val="1050"/>
          <w:jc w:val="right"/>
        </w:trPr>
        <w:tc>
          <w:tcPr>
            <w:tcW w:w="1418" w:type="dxa"/>
            <w:tcBorders>
              <w:top w:val="nil"/>
              <w:left w:val="nil"/>
              <w:bottom w:val="single" w:sz="8" w:space="0" w:color="auto"/>
              <w:right w:val="nil"/>
            </w:tcBorders>
            <w:shd w:val="clear" w:color="auto" w:fill="auto"/>
            <w:vAlign w:val="center"/>
            <w:hideMark/>
          </w:tcPr>
          <w:p w14:paraId="04DE9E67" w14:textId="0E920DD4"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2535EB">
              <w:rPr>
                <w:rFonts w:ascii="Book Antiqua" w:eastAsia="等线" w:hAnsi="Book Antiqua" w:cs="Times New Roman"/>
                <w:color w:val="000000" w:themeColor="text1"/>
                <w:kern w:val="0"/>
                <w:sz w:val="18"/>
                <w:szCs w:val="18"/>
              </w:rPr>
              <w:t>Shanab</w:t>
            </w:r>
            <w:proofErr w:type="spellEnd"/>
            <w:r w:rsidRPr="002535EB">
              <w:rPr>
                <w:rFonts w:ascii="Book Antiqua" w:eastAsia="等线" w:hAnsi="Book Antiqua" w:cs="Times New Roman"/>
                <w:color w:val="000000" w:themeColor="text1"/>
                <w:kern w:val="0"/>
                <w:sz w:val="18"/>
                <w:szCs w:val="18"/>
              </w:rPr>
              <w:t xml:space="preserve"> </w:t>
            </w:r>
            <w:r w:rsidR="002535EB" w:rsidRPr="002535EB">
              <w:rPr>
                <w:rFonts w:ascii="Book Antiqua" w:eastAsia="等线" w:hAnsi="Book Antiqua" w:cs="Times New Roman"/>
                <w:i/>
                <w:color w:val="000000" w:themeColor="text1"/>
                <w:kern w:val="0"/>
                <w:sz w:val="18"/>
                <w:szCs w:val="18"/>
              </w:rPr>
              <w:t>et al</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vertAlign w:val="superscript"/>
              </w:rPr>
              <w:t>23</w:t>
            </w:r>
            <w:r w:rsidR="002535EB" w:rsidRPr="002535EB">
              <w:rPr>
                <w:rFonts w:ascii="Book Antiqua" w:eastAsia="等线" w:hAnsi="Book Antiqua" w:cs="Times New Roman"/>
                <w:color w:val="000000" w:themeColor="text1"/>
                <w:kern w:val="0"/>
                <w:sz w:val="18"/>
                <w:szCs w:val="18"/>
                <w:vertAlign w:val="superscript"/>
              </w:rPr>
              <w:t>]</w:t>
            </w:r>
            <w:r w:rsidR="002535EB">
              <w:rPr>
                <w:rFonts w:ascii="Book Antiqua" w:eastAsia="等线" w:hAnsi="Book Antiqua" w:cs="Times New Roman"/>
                <w:color w:val="000000" w:themeColor="text1"/>
                <w:kern w:val="0"/>
                <w:sz w:val="18"/>
                <w:szCs w:val="18"/>
              </w:rPr>
              <w:t>,</w:t>
            </w:r>
            <w:r w:rsidR="002535EB" w:rsidRPr="002535EB">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 xml:space="preserve"> 2018 (abstract)</w:t>
            </w:r>
          </w:p>
        </w:tc>
        <w:tc>
          <w:tcPr>
            <w:tcW w:w="992" w:type="dxa"/>
            <w:tcBorders>
              <w:top w:val="nil"/>
              <w:left w:val="nil"/>
              <w:bottom w:val="single" w:sz="8" w:space="0" w:color="auto"/>
              <w:right w:val="nil"/>
            </w:tcBorders>
            <w:shd w:val="clear" w:color="auto" w:fill="auto"/>
            <w:vAlign w:val="center"/>
            <w:hideMark/>
          </w:tcPr>
          <w:p w14:paraId="6B6F9913"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UK</w:t>
            </w:r>
          </w:p>
        </w:tc>
        <w:tc>
          <w:tcPr>
            <w:tcW w:w="992" w:type="dxa"/>
            <w:tcBorders>
              <w:top w:val="nil"/>
              <w:left w:val="nil"/>
              <w:bottom w:val="single" w:sz="8" w:space="0" w:color="auto"/>
              <w:right w:val="nil"/>
            </w:tcBorders>
            <w:shd w:val="clear" w:color="auto" w:fill="auto"/>
            <w:vAlign w:val="center"/>
            <w:hideMark/>
          </w:tcPr>
          <w:p w14:paraId="33506EEE" w14:textId="1533E925"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ase</w:t>
            </w:r>
            <w:r w:rsidR="00E079C6" w:rsidRPr="002535EB">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single" w:sz="8" w:space="0" w:color="auto"/>
              <w:right w:val="nil"/>
            </w:tcBorders>
            <w:shd w:val="clear" w:color="auto" w:fill="auto"/>
            <w:vAlign w:val="center"/>
            <w:hideMark/>
          </w:tcPr>
          <w:p w14:paraId="2FBC7236"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506/320</w:t>
            </w:r>
          </w:p>
        </w:tc>
        <w:tc>
          <w:tcPr>
            <w:tcW w:w="975" w:type="dxa"/>
            <w:tcBorders>
              <w:top w:val="nil"/>
              <w:left w:val="nil"/>
              <w:bottom w:val="single" w:sz="8" w:space="0" w:color="auto"/>
              <w:right w:val="nil"/>
            </w:tcBorders>
            <w:shd w:val="clear" w:color="auto" w:fill="auto"/>
            <w:vAlign w:val="center"/>
            <w:hideMark/>
          </w:tcPr>
          <w:p w14:paraId="6B763B9C" w14:textId="654FF083"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53.4</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w:t>
            </w:r>
            <w:r w:rsidR="00C80372">
              <w:rPr>
                <w:rFonts w:ascii="Book Antiqua" w:eastAsia="等线" w:hAnsi="Book Antiqua" w:cs="Times New Roman"/>
                <w:color w:val="000000" w:themeColor="text1"/>
                <w:kern w:val="0"/>
                <w:sz w:val="18"/>
                <w:szCs w:val="18"/>
              </w:rPr>
              <w:t xml:space="preserve"> </w:t>
            </w:r>
            <w:r w:rsidRPr="002535EB">
              <w:rPr>
                <w:rFonts w:ascii="Book Antiqua" w:eastAsia="等线" w:hAnsi="Book Antiqua" w:cs="Times New Roman"/>
                <w:color w:val="000000" w:themeColor="text1"/>
                <w:kern w:val="0"/>
                <w:sz w:val="18"/>
                <w:szCs w:val="18"/>
              </w:rPr>
              <w:t>12.0</w:t>
            </w:r>
          </w:p>
        </w:tc>
        <w:tc>
          <w:tcPr>
            <w:tcW w:w="992" w:type="dxa"/>
            <w:tcBorders>
              <w:top w:val="nil"/>
              <w:left w:val="nil"/>
              <w:bottom w:val="single" w:sz="8" w:space="0" w:color="auto"/>
              <w:right w:val="nil"/>
            </w:tcBorders>
            <w:shd w:val="clear" w:color="auto" w:fill="auto"/>
            <w:vAlign w:val="center"/>
            <w:hideMark/>
          </w:tcPr>
          <w:p w14:paraId="31D9C024"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66</w:t>
            </w:r>
          </w:p>
        </w:tc>
        <w:tc>
          <w:tcPr>
            <w:tcW w:w="992" w:type="dxa"/>
            <w:tcBorders>
              <w:top w:val="nil"/>
              <w:left w:val="nil"/>
              <w:bottom w:val="single" w:sz="8" w:space="0" w:color="auto"/>
              <w:right w:val="nil"/>
            </w:tcBorders>
            <w:shd w:val="clear" w:color="auto" w:fill="auto"/>
            <w:vAlign w:val="center"/>
            <w:hideMark/>
          </w:tcPr>
          <w:p w14:paraId="09ACF149" w14:textId="0383FAED" w:rsidR="00E079C6" w:rsidRPr="002535EB" w:rsidRDefault="001C5C58" w:rsidP="001C4059">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irrhosis</w:t>
            </w:r>
          </w:p>
        </w:tc>
        <w:tc>
          <w:tcPr>
            <w:tcW w:w="992" w:type="dxa"/>
            <w:tcBorders>
              <w:top w:val="nil"/>
              <w:left w:val="nil"/>
              <w:bottom w:val="single" w:sz="8" w:space="0" w:color="auto"/>
              <w:right w:val="nil"/>
            </w:tcBorders>
            <w:shd w:val="clear" w:color="auto" w:fill="auto"/>
            <w:vAlign w:val="center"/>
            <w:hideMark/>
          </w:tcPr>
          <w:p w14:paraId="4AB12694" w14:textId="3DDDD3ED" w:rsidR="00E079C6" w:rsidRPr="002535EB" w:rsidRDefault="000C4B2E" w:rsidP="000C4B2E">
            <w:pPr>
              <w:widowControl/>
              <w:spacing w:line="360" w:lineRule="auto"/>
              <w:rPr>
                <w:rFonts w:ascii="Book Antiqua" w:eastAsia="等线" w:hAnsi="Book Antiqua" w:cs="Times New Roman"/>
                <w:color w:val="000000" w:themeColor="text1"/>
                <w:kern w:val="0"/>
                <w:sz w:val="18"/>
                <w:szCs w:val="18"/>
              </w:rPr>
            </w:pPr>
            <w:r>
              <w:rPr>
                <w:rFonts w:ascii="Book Antiqua" w:eastAsia="等线" w:hAnsi="Book Antiqua" w:cs="Times New Roman"/>
                <w:color w:val="000000" w:themeColor="text1"/>
                <w:kern w:val="0"/>
                <w:sz w:val="18"/>
                <w:szCs w:val="18"/>
              </w:rPr>
              <w:t>Grades 1-4 HE</w:t>
            </w:r>
          </w:p>
        </w:tc>
        <w:tc>
          <w:tcPr>
            <w:tcW w:w="1134" w:type="dxa"/>
            <w:tcBorders>
              <w:top w:val="nil"/>
              <w:left w:val="nil"/>
              <w:bottom w:val="single" w:sz="8" w:space="0" w:color="auto"/>
              <w:right w:val="nil"/>
            </w:tcBorders>
            <w:shd w:val="clear" w:color="auto" w:fill="auto"/>
            <w:vAlign w:val="center"/>
            <w:hideMark/>
          </w:tcPr>
          <w:p w14:paraId="0921EA4A"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Current PPI use</w:t>
            </w:r>
          </w:p>
        </w:tc>
        <w:tc>
          <w:tcPr>
            <w:tcW w:w="851" w:type="dxa"/>
            <w:tcBorders>
              <w:top w:val="nil"/>
              <w:left w:val="nil"/>
              <w:bottom w:val="single" w:sz="8" w:space="0" w:color="auto"/>
              <w:right w:val="nil"/>
            </w:tcBorders>
            <w:shd w:val="clear" w:color="auto" w:fill="auto"/>
            <w:vAlign w:val="center"/>
            <w:hideMark/>
          </w:tcPr>
          <w:p w14:paraId="7525C949"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7" w:type="dxa"/>
            <w:tcBorders>
              <w:top w:val="nil"/>
              <w:left w:val="nil"/>
              <w:bottom w:val="single" w:sz="8" w:space="0" w:color="auto"/>
              <w:right w:val="nil"/>
            </w:tcBorders>
            <w:shd w:val="clear" w:color="auto" w:fill="auto"/>
            <w:vAlign w:val="center"/>
            <w:hideMark/>
          </w:tcPr>
          <w:p w14:paraId="45A7DC65"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c>
          <w:tcPr>
            <w:tcW w:w="1418" w:type="dxa"/>
            <w:tcBorders>
              <w:top w:val="nil"/>
              <w:left w:val="nil"/>
              <w:bottom w:val="single" w:sz="8" w:space="0" w:color="auto"/>
              <w:right w:val="nil"/>
            </w:tcBorders>
            <w:shd w:val="clear" w:color="auto" w:fill="auto"/>
            <w:vAlign w:val="center"/>
            <w:hideMark/>
          </w:tcPr>
          <w:p w14:paraId="53BEF7AA" w14:textId="77777777"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NA</w:t>
            </w:r>
          </w:p>
        </w:tc>
      </w:tr>
      <w:tr w:rsidR="00E079C6" w:rsidRPr="002535EB" w14:paraId="40E14F37" w14:textId="77777777" w:rsidTr="002535EB">
        <w:trPr>
          <w:trHeight w:val="600"/>
          <w:jc w:val="right"/>
        </w:trPr>
        <w:tc>
          <w:tcPr>
            <w:tcW w:w="13325" w:type="dxa"/>
            <w:gridSpan w:val="12"/>
            <w:tcBorders>
              <w:top w:val="nil"/>
              <w:left w:val="nil"/>
              <w:bottom w:val="nil"/>
              <w:right w:val="nil"/>
            </w:tcBorders>
            <w:shd w:val="clear" w:color="auto" w:fill="auto"/>
            <w:hideMark/>
          </w:tcPr>
          <w:p w14:paraId="316D1592" w14:textId="0B28C2E8" w:rsidR="00E079C6" w:rsidRPr="002535EB" w:rsidRDefault="00E079C6" w:rsidP="001C4059">
            <w:pPr>
              <w:widowControl/>
              <w:spacing w:line="360" w:lineRule="auto"/>
              <w:rPr>
                <w:rFonts w:ascii="Book Antiqua" w:eastAsia="等线" w:hAnsi="Book Antiqua" w:cs="Times New Roman"/>
                <w:color w:val="000000" w:themeColor="text1"/>
                <w:kern w:val="0"/>
                <w:sz w:val="18"/>
                <w:szCs w:val="18"/>
              </w:rPr>
            </w:pPr>
            <w:r w:rsidRPr="002535EB">
              <w:rPr>
                <w:rFonts w:ascii="Book Antiqua" w:eastAsia="等线" w:hAnsi="Book Antiqua" w:cs="Times New Roman"/>
                <w:color w:val="000000" w:themeColor="text1"/>
                <w:kern w:val="0"/>
                <w:sz w:val="18"/>
                <w:szCs w:val="18"/>
              </w:rPr>
              <w:t>HBV</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H</w:t>
            </w:r>
            <w:r w:rsidRPr="002535EB">
              <w:rPr>
                <w:rFonts w:ascii="Book Antiqua" w:eastAsia="等线" w:hAnsi="Book Antiqua" w:cs="Times New Roman"/>
                <w:color w:val="000000" w:themeColor="text1"/>
                <w:kern w:val="0"/>
                <w:sz w:val="18"/>
                <w:szCs w:val="18"/>
              </w:rPr>
              <w:t>epatitis B virus; ACLF</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Acute </w:t>
            </w:r>
            <w:r w:rsidR="00C80372" w:rsidRPr="002535EB">
              <w:rPr>
                <w:rFonts w:ascii="Book Antiqua" w:eastAsia="等线" w:hAnsi="Book Antiqua" w:cs="Times New Roman"/>
                <w:color w:val="000000" w:themeColor="text1"/>
                <w:kern w:val="0"/>
                <w:sz w:val="18"/>
                <w:szCs w:val="18"/>
              </w:rPr>
              <w:t>on chronic liver failure</w:t>
            </w:r>
            <w:r w:rsidRPr="002535EB">
              <w:rPr>
                <w:rFonts w:ascii="Book Antiqua" w:eastAsia="等线" w:hAnsi="Book Antiqua" w:cs="Times New Roman"/>
                <w:color w:val="000000" w:themeColor="text1"/>
                <w:kern w:val="0"/>
                <w:sz w:val="18"/>
                <w:szCs w:val="18"/>
              </w:rPr>
              <w:t>; HE</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H</w:t>
            </w:r>
            <w:r w:rsidRPr="002535EB">
              <w:rPr>
                <w:rFonts w:ascii="Book Antiqua" w:eastAsia="等线" w:hAnsi="Book Antiqua" w:cs="Times New Roman"/>
                <w:color w:val="000000" w:themeColor="text1"/>
                <w:kern w:val="0"/>
                <w:sz w:val="18"/>
                <w:szCs w:val="18"/>
              </w:rPr>
              <w:t>epatic encephalopathy; PPI</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P</w:t>
            </w:r>
            <w:r w:rsidRPr="002535EB">
              <w:rPr>
                <w:rFonts w:ascii="Book Antiqua" w:eastAsia="等线" w:hAnsi="Book Antiqua" w:cs="Times New Roman"/>
                <w:color w:val="000000" w:themeColor="text1"/>
                <w:kern w:val="0"/>
                <w:sz w:val="18"/>
                <w:szCs w:val="18"/>
              </w:rPr>
              <w:t xml:space="preserve">roton pump inhibitor; </w:t>
            </w:r>
            <w:proofErr w:type="spellStart"/>
            <w:r w:rsidRPr="002535EB">
              <w:rPr>
                <w:rFonts w:ascii="Book Antiqua" w:eastAsia="等线" w:hAnsi="Book Antiqua" w:cs="Times New Roman"/>
                <w:color w:val="000000" w:themeColor="text1"/>
                <w:kern w:val="0"/>
                <w:sz w:val="18"/>
                <w:szCs w:val="18"/>
              </w:rPr>
              <w:t>cDDDs</w:t>
            </w:r>
            <w:proofErr w:type="spellEnd"/>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C</w:t>
            </w:r>
            <w:r w:rsidRPr="002535EB">
              <w:rPr>
                <w:rFonts w:ascii="Book Antiqua" w:eastAsia="等线" w:hAnsi="Book Antiqua" w:cs="Times New Roman"/>
                <w:color w:val="000000" w:themeColor="text1"/>
                <w:kern w:val="0"/>
                <w:sz w:val="18"/>
                <w:szCs w:val="18"/>
              </w:rPr>
              <w:t>umulative defined daily doses; PTA</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P</w:t>
            </w:r>
            <w:r w:rsidRPr="002535EB">
              <w:rPr>
                <w:rFonts w:ascii="Book Antiqua" w:eastAsia="等线" w:hAnsi="Book Antiqua" w:cs="Times New Roman"/>
                <w:color w:val="000000" w:themeColor="text1"/>
                <w:kern w:val="0"/>
                <w:sz w:val="18"/>
                <w:szCs w:val="18"/>
              </w:rPr>
              <w:t>rothrombin activity; MELD</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M</w:t>
            </w:r>
            <w:r w:rsidRPr="002535EB">
              <w:rPr>
                <w:rFonts w:ascii="Book Antiqua" w:eastAsia="等线" w:hAnsi="Book Antiqua" w:cs="Times New Roman"/>
                <w:color w:val="000000" w:themeColor="text1"/>
                <w:kern w:val="0"/>
                <w:sz w:val="18"/>
                <w:szCs w:val="18"/>
              </w:rPr>
              <w:t>odel for end stage liver disease; AFP</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r w:rsidR="00C80372" w:rsidRPr="002535EB">
              <w:rPr>
                <w:rFonts w:ascii="Book Antiqua" w:eastAsia="等线" w:hAnsi="Book Antiqua" w:cs="Times New Roman"/>
                <w:color w:val="000000" w:themeColor="text1"/>
                <w:kern w:val="0"/>
                <w:sz w:val="18"/>
                <w:szCs w:val="18"/>
              </w:rPr>
              <w:t>A</w:t>
            </w:r>
            <w:r w:rsidRPr="002535EB">
              <w:rPr>
                <w:rFonts w:ascii="Book Antiqua" w:eastAsia="等线" w:hAnsi="Book Antiqua" w:cs="Times New Roman"/>
                <w:color w:val="000000" w:themeColor="text1"/>
                <w:kern w:val="0"/>
                <w:sz w:val="18"/>
                <w:szCs w:val="18"/>
              </w:rPr>
              <w:t>lpha-fetoprotein; TIPS</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w:t>
            </w:r>
            <w:proofErr w:type="spellStart"/>
            <w:r w:rsidR="00C80372" w:rsidRPr="002535EB">
              <w:rPr>
                <w:rFonts w:ascii="Book Antiqua" w:eastAsia="等线" w:hAnsi="Book Antiqua" w:cs="Times New Roman"/>
                <w:color w:val="000000" w:themeColor="text1"/>
                <w:kern w:val="0"/>
                <w:sz w:val="18"/>
                <w:szCs w:val="18"/>
              </w:rPr>
              <w:t>T</w:t>
            </w:r>
            <w:r w:rsidRPr="002535EB">
              <w:rPr>
                <w:rFonts w:ascii="Book Antiqua" w:eastAsia="等线" w:hAnsi="Book Antiqua" w:cs="Times New Roman"/>
                <w:color w:val="000000" w:themeColor="text1"/>
                <w:kern w:val="0"/>
                <w:sz w:val="18"/>
                <w:szCs w:val="18"/>
              </w:rPr>
              <w:t>ransjugular</w:t>
            </w:r>
            <w:proofErr w:type="spellEnd"/>
            <w:r w:rsidRPr="002535EB">
              <w:rPr>
                <w:rFonts w:ascii="Book Antiqua" w:eastAsia="等线" w:hAnsi="Book Antiqua" w:cs="Times New Roman"/>
                <w:color w:val="000000" w:themeColor="text1"/>
                <w:kern w:val="0"/>
                <w:sz w:val="18"/>
                <w:szCs w:val="18"/>
              </w:rPr>
              <w:t xml:space="preserve"> intrahepatic portosystemic shunt; NA</w:t>
            </w:r>
            <w:r w:rsidR="00C80372">
              <w:rPr>
                <w:rFonts w:ascii="Book Antiqua" w:eastAsia="等线" w:hAnsi="Book Antiqua" w:cs="Times New Roman"/>
                <w:color w:val="000000" w:themeColor="text1"/>
                <w:kern w:val="0"/>
                <w:sz w:val="18"/>
                <w:szCs w:val="18"/>
              </w:rPr>
              <w:t>:</w:t>
            </w:r>
            <w:r w:rsidRPr="002535EB">
              <w:rPr>
                <w:rFonts w:ascii="Book Antiqua" w:eastAsia="等线" w:hAnsi="Book Antiqua" w:cs="Times New Roman"/>
                <w:color w:val="000000" w:themeColor="text1"/>
                <w:kern w:val="0"/>
                <w:sz w:val="18"/>
                <w:szCs w:val="18"/>
              </w:rPr>
              <w:t xml:space="preserve"> not available.</w:t>
            </w:r>
          </w:p>
        </w:tc>
      </w:tr>
    </w:tbl>
    <w:p w14:paraId="1EA8CE45" w14:textId="0B378837" w:rsidR="00D3451A" w:rsidRPr="00115F98" w:rsidRDefault="00D3451A" w:rsidP="001C4059">
      <w:pPr>
        <w:spacing w:line="360" w:lineRule="auto"/>
        <w:rPr>
          <w:rFonts w:ascii="Book Antiqua" w:hAnsi="Book Antiqua" w:cs="Times New Roman"/>
          <w:color w:val="000000" w:themeColor="text1"/>
          <w:sz w:val="24"/>
          <w:szCs w:val="24"/>
        </w:rPr>
      </w:pPr>
    </w:p>
    <w:p w14:paraId="56113CC5" w14:textId="7AD65960" w:rsidR="00D3451A" w:rsidRPr="00115F98" w:rsidRDefault="00D3451A" w:rsidP="001C4059">
      <w:pPr>
        <w:widowControl/>
        <w:spacing w:line="360" w:lineRule="auto"/>
        <w:rPr>
          <w:rFonts w:ascii="Book Antiqua" w:hAnsi="Book Antiqua" w:cs="Times New Roman"/>
          <w:color w:val="000000" w:themeColor="text1"/>
          <w:sz w:val="24"/>
          <w:szCs w:val="24"/>
        </w:rPr>
        <w:sectPr w:rsidR="00D3451A" w:rsidRPr="00115F98" w:rsidSect="002535EB">
          <w:headerReference w:type="default" r:id="rId9"/>
          <w:pgSz w:w="15840" w:h="12240" w:orient="landscape"/>
          <w:pgMar w:top="1800" w:right="1440" w:bottom="1800" w:left="1440" w:header="720" w:footer="720" w:gutter="0"/>
          <w:cols w:space="720"/>
          <w:noEndnote/>
          <w:docGrid w:linePitch="286"/>
        </w:sectPr>
      </w:pPr>
    </w:p>
    <w:p w14:paraId="3B5A1DD7" w14:textId="7280E655" w:rsidR="00E079C6" w:rsidRPr="00115F98" w:rsidRDefault="00E079C6" w:rsidP="001C4059">
      <w:pPr>
        <w:widowControl/>
        <w:spacing w:line="360" w:lineRule="auto"/>
        <w:rPr>
          <w:rFonts w:ascii="Book Antiqua" w:hAnsi="Book Antiqua" w:cs="Times New Roman"/>
          <w:color w:val="000000" w:themeColor="text1"/>
          <w:sz w:val="24"/>
          <w:szCs w:val="24"/>
        </w:rPr>
      </w:pPr>
    </w:p>
    <w:p w14:paraId="291580DE" w14:textId="27E5F0B0" w:rsidR="00CF793A" w:rsidRDefault="00F45F16" w:rsidP="001C4059">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14:anchorId="6E24CF0D" wp14:editId="120A1575">
            <wp:extent cx="5486400" cy="4858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58385"/>
                    </a:xfrm>
                    <a:prstGeom prst="rect">
                      <a:avLst/>
                    </a:prstGeom>
                    <a:noFill/>
                    <a:ln>
                      <a:noFill/>
                    </a:ln>
                  </pic:spPr>
                </pic:pic>
              </a:graphicData>
            </a:graphic>
          </wp:inline>
        </w:drawing>
      </w:r>
    </w:p>
    <w:p w14:paraId="13B18292" w14:textId="77777777" w:rsidR="00F45F16" w:rsidRPr="00F45F16" w:rsidRDefault="00F45F16" w:rsidP="00F45F16">
      <w:pPr>
        <w:spacing w:line="360" w:lineRule="auto"/>
        <w:rPr>
          <w:rFonts w:ascii="Book Antiqua" w:hAnsi="Book Antiqua" w:cs="Times New Roman"/>
          <w:b/>
          <w:color w:val="000000" w:themeColor="text1"/>
          <w:sz w:val="24"/>
          <w:szCs w:val="24"/>
        </w:rPr>
      </w:pPr>
      <w:r w:rsidRPr="00F45F16">
        <w:rPr>
          <w:rFonts w:ascii="Book Antiqua" w:hAnsi="Book Antiqua" w:cs="Times New Roman"/>
          <w:b/>
          <w:color w:val="000000" w:themeColor="text1"/>
          <w:sz w:val="24"/>
          <w:szCs w:val="24"/>
        </w:rPr>
        <w:t>Figure 1 Flowchart of the literature search.</w:t>
      </w:r>
    </w:p>
    <w:p w14:paraId="28E964A0" w14:textId="77777777" w:rsidR="00F45F16" w:rsidRPr="00F45F16" w:rsidRDefault="00F45F16" w:rsidP="001C4059">
      <w:pPr>
        <w:spacing w:line="360" w:lineRule="auto"/>
        <w:rPr>
          <w:rFonts w:ascii="Book Antiqua" w:hAnsi="Book Antiqua" w:cs="Times New Roman"/>
          <w:color w:val="000000" w:themeColor="text1"/>
          <w:sz w:val="24"/>
          <w:szCs w:val="24"/>
        </w:rPr>
      </w:pPr>
    </w:p>
    <w:p w14:paraId="16728DD9" w14:textId="46AF8E93" w:rsidR="00F45F16" w:rsidRDefault="00F45F16">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5EE14BA" w14:textId="5DACA58E" w:rsidR="00E079C6" w:rsidRPr="00115F98" w:rsidRDefault="00CF793A"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435822D6" wp14:editId="725D7291">
            <wp:extent cx="5486400" cy="2907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907665"/>
                    </a:xfrm>
                    <a:prstGeom prst="rect">
                      <a:avLst/>
                    </a:prstGeom>
                  </pic:spPr>
                </pic:pic>
              </a:graphicData>
            </a:graphic>
          </wp:inline>
        </w:drawing>
      </w:r>
    </w:p>
    <w:p w14:paraId="0B2E1EF7" w14:textId="6E0CA8F6" w:rsidR="00070551" w:rsidRPr="00F45F16" w:rsidRDefault="00070551" w:rsidP="00C80372">
      <w:pPr>
        <w:spacing w:line="360" w:lineRule="auto"/>
        <w:rPr>
          <w:rFonts w:ascii="Book Antiqua" w:eastAsia="等线" w:hAnsi="Book Antiqua" w:cs="Times New Roman"/>
          <w:color w:val="000000" w:themeColor="text1"/>
          <w:sz w:val="24"/>
          <w:szCs w:val="24"/>
        </w:rPr>
      </w:pPr>
      <w:r w:rsidRPr="00C80372">
        <w:rPr>
          <w:rFonts w:ascii="Book Antiqua" w:eastAsia="等线" w:hAnsi="Book Antiqua" w:cs="Times New Roman"/>
          <w:b/>
          <w:color w:val="000000" w:themeColor="text1"/>
          <w:sz w:val="24"/>
          <w:szCs w:val="24"/>
        </w:rPr>
        <w:t xml:space="preserve">Figure 2 Forest plot to evaluate the association between </w:t>
      </w:r>
      <w:r w:rsidR="00F45F16" w:rsidRPr="00C80372">
        <w:rPr>
          <w:rFonts w:ascii="Book Antiqua" w:eastAsia="等线" w:hAnsi="Book Antiqua" w:cs="Times New Roman"/>
          <w:b/>
          <w:color w:val="000000" w:themeColor="text1"/>
          <w:kern w:val="0"/>
          <w:sz w:val="24"/>
          <w:szCs w:val="24"/>
        </w:rPr>
        <w:t>p</w:t>
      </w:r>
      <w:r w:rsidR="00C80372" w:rsidRPr="00C80372">
        <w:rPr>
          <w:rFonts w:ascii="Book Antiqua" w:eastAsia="等线" w:hAnsi="Book Antiqua" w:cs="Times New Roman"/>
          <w:b/>
          <w:color w:val="000000" w:themeColor="text1"/>
          <w:kern w:val="0"/>
          <w:sz w:val="24"/>
          <w:szCs w:val="24"/>
        </w:rPr>
        <w:t>roton pump inhibitor</w:t>
      </w:r>
      <w:r w:rsidR="00C80372" w:rsidRPr="00C80372">
        <w:rPr>
          <w:rFonts w:ascii="Book Antiqua" w:eastAsia="等线" w:hAnsi="Book Antiqua" w:cs="Times New Roman"/>
          <w:b/>
          <w:color w:val="000000" w:themeColor="text1"/>
          <w:sz w:val="24"/>
          <w:szCs w:val="24"/>
        </w:rPr>
        <w:t xml:space="preserve"> </w:t>
      </w:r>
      <w:r w:rsidRPr="00C80372">
        <w:rPr>
          <w:rFonts w:ascii="Book Antiqua" w:eastAsia="等线" w:hAnsi="Book Antiqua" w:cs="Times New Roman"/>
          <w:b/>
          <w:color w:val="000000" w:themeColor="text1"/>
          <w:sz w:val="24"/>
          <w:szCs w:val="24"/>
        </w:rPr>
        <w:t xml:space="preserve">use and </w:t>
      </w:r>
      <w:r w:rsidR="00F45F16" w:rsidRPr="00C80372">
        <w:rPr>
          <w:rFonts w:ascii="Book Antiqua" w:eastAsia="等线" w:hAnsi="Book Antiqua" w:cs="Times New Roman"/>
          <w:b/>
          <w:color w:val="000000" w:themeColor="text1"/>
          <w:kern w:val="0"/>
          <w:sz w:val="24"/>
          <w:szCs w:val="24"/>
        </w:rPr>
        <w:t>h</w:t>
      </w:r>
      <w:r w:rsidR="00C80372" w:rsidRPr="00C80372">
        <w:rPr>
          <w:rFonts w:ascii="Book Antiqua" w:eastAsia="等线" w:hAnsi="Book Antiqua" w:cs="Times New Roman"/>
          <w:b/>
          <w:color w:val="000000" w:themeColor="text1"/>
          <w:kern w:val="0"/>
          <w:sz w:val="24"/>
          <w:szCs w:val="24"/>
        </w:rPr>
        <w:t>epatic encephalopathy</w:t>
      </w:r>
      <w:r w:rsidRPr="00C80372">
        <w:rPr>
          <w:rFonts w:ascii="Book Antiqua" w:eastAsia="等线" w:hAnsi="Book Antiqua" w:cs="Times New Roman"/>
          <w:b/>
          <w:color w:val="000000" w:themeColor="text1"/>
          <w:sz w:val="24"/>
          <w:szCs w:val="24"/>
        </w:rPr>
        <w:t xml:space="preserve"> with a subgroup analysis based on study design.</w:t>
      </w:r>
      <w:r w:rsidR="00F45F16">
        <w:rPr>
          <w:rFonts w:ascii="Book Antiqua" w:eastAsia="等线" w:hAnsi="Book Antiqua" w:cs="Times New Roman"/>
          <w:b/>
          <w:color w:val="000000" w:themeColor="text1"/>
          <w:sz w:val="24"/>
          <w:szCs w:val="24"/>
        </w:rPr>
        <w:t xml:space="preserve"> </w:t>
      </w:r>
      <w:r w:rsidR="00F45F16" w:rsidRPr="00F45F16">
        <w:rPr>
          <w:rFonts w:ascii="Book Antiqua" w:eastAsia="等线" w:hAnsi="Book Antiqua" w:cs="Times New Roman"/>
          <w:color w:val="000000" w:themeColor="text1"/>
          <w:sz w:val="24"/>
          <w:szCs w:val="24"/>
        </w:rPr>
        <w:t xml:space="preserve">CI: </w:t>
      </w:r>
      <w:bookmarkStart w:id="132" w:name="OLE_LINK311"/>
      <w:bookmarkStart w:id="133" w:name="OLE_LINK312"/>
      <w:bookmarkStart w:id="134" w:name="_Hlk5181766"/>
      <w:r w:rsidR="00F45F16" w:rsidRPr="00F45F16">
        <w:rPr>
          <w:rFonts w:ascii="Book Antiqua" w:eastAsia="宋体" w:hAnsi="Book Antiqua" w:cs="Times New Roman"/>
          <w:sz w:val="24"/>
          <w:szCs w:val="24"/>
        </w:rPr>
        <w:t>Confidence interval</w:t>
      </w:r>
      <w:bookmarkEnd w:id="132"/>
      <w:bookmarkEnd w:id="133"/>
      <w:bookmarkEnd w:id="134"/>
      <w:r w:rsidR="00F45F16">
        <w:rPr>
          <w:rFonts w:ascii="Book Antiqua" w:eastAsia="宋体" w:hAnsi="Book Antiqua" w:cs="Times New Roman"/>
          <w:sz w:val="24"/>
          <w:szCs w:val="24"/>
        </w:rPr>
        <w:t>;</w:t>
      </w:r>
      <w:r w:rsidR="00F45F16" w:rsidRPr="00F45F16">
        <w:rPr>
          <w:rFonts w:ascii="Book Antiqua" w:eastAsia="宋体" w:hAnsi="Book Antiqua" w:cs="Times New Roman"/>
          <w:sz w:val="24"/>
          <w:szCs w:val="24"/>
        </w:rPr>
        <w:t xml:space="preserve"> </w:t>
      </w:r>
      <w:r w:rsidR="00F45F16" w:rsidRPr="00F45F16">
        <w:rPr>
          <w:rFonts w:ascii="Book Antiqua" w:eastAsia="等线" w:hAnsi="Book Antiqua" w:cs="Times New Roman"/>
          <w:color w:val="000000" w:themeColor="text1"/>
          <w:sz w:val="24"/>
          <w:szCs w:val="24"/>
        </w:rPr>
        <w:t xml:space="preserve">PPI: </w:t>
      </w:r>
      <w:r w:rsidR="00F45F16" w:rsidRPr="00F45F16">
        <w:rPr>
          <w:rFonts w:ascii="Book Antiqua" w:eastAsia="等线" w:hAnsi="Book Antiqua" w:cs="Times New Roman"/>
          <w:color w:val="000000" w:themeColor="text1"/>
          <w:kern w:val="0"/>
          <w:sz w:val="24"/>
          <w:szCs w:val="24"/>
        </w:rPr>
        <w:t>Proton pump inhibitor.</w:t>
      </w:r>
    </w:p>
    <w:p w14:paraId="62A5C7CA" w14:textId="0CEE6DF9" w:rsidR="00D3451A" w:rsidRPr="00115F98" w:rsidRDefault="00D3451A" w:rsidP="001C4059">
      <w:pPr>
        <w:spacing w:line="360" w:lineRule="auto"/>
        <w:ind w:left="960" w:hangingChars="400" w:hanging="960"/>
        <w:rPr>
          <w:rFonts w:ascii="Book Antiqua" w:eastAsia="等线" w:hAnsi="Book Antiqua" w:cs="Times New Roman"/>
          <w:color w:val="000000" w:themeColor="text1"/>
          <w:sz w:val="24"/>
          <w:szCs w:val="24"/>
        </w:rPr>
      </w:pPr>
    </w:p>
    <w:p w14:paraId="31FD97EA" w14:textId="68B9B729"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69E7BB28" w14:textId="6D8593FF" w:rsidR="00E079C6" w:rsidRPr="00115F98" w:rsidRDefault="00CF793A"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388B9B24" wp14:editId="27F76B64">
            <wp:extent cx="5486400" cy="2556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556510"/>
                    </a:xfrm>
                    <a:prstGeom prst="rect">
                      <a:avLst/>
                    </a:prstGeom>
                  </pic:spPr>
                </pic:pic>
              </a:graphicData>
            </a:graphic>
          </wp:inline>
        </w:drawing>
      </w:r>
    </w:p>
    <w:p w14:paraId="4B33DBCB" w14:textId="77777777" w:rsidR="00F45F16" w:rsidRPr="00F45F16" w:rsidRDefault="004B46F3" w:rsidP="00F45F16">
      <w:pPr>
        <w:spacing w:line="360" w:lineRule="auto"/>
        <w:rPr>
          <w:rFonts w:ascii="Book Antiqua" w:eastAsia="等线" w:hAnsi="Book Antiqua" w:cs="Times New Roman"/>
          <w:color w:val="000000" w:themeColor="text1"/>
          <w:sz w:val="24"/>
          <w:szCs w:val="24"/>
        </w:rPr>
      </w:pPr>
      <w:r w:rsidRPr="00F45F16">
        <w:rPr>
          <w:rFonts w:ascii="Book Antiqua" w:eastAsia="等线" w:hAnsi="Book Antiqua" w:cs="Times New Roman"/>
          <w:b/>
          <w:color w:val="000000" w:themeColor="text1"/>
          <w:sz w:val="24"/>
          <w:szCs w:val="24"/>
        </w:rPr>
        <w:t>Figure 3 Sensitivity analysis excluding data from conference abstracts.</w:t>
      </w:r>
      <w:r w:rsidR="00F45F16">
        <w:rPr>
          <w:rFonts w:ascii="Book Antiqua" w:eastAsia="等线" w:hAnsi="Book Antiqua" w:cs="Times New Roman"/>
          <w:b/>
          <w:color w:val="000000" w:themeColor="text1"/>
          <w:sz w:val="24"/>
          <w:szCs w:val="24"/>
        </w:rPr>
        <w:t xml:space="preserve"> </w:t>
      </w:r>
      <w:r w:rsidR="00F45F16" w:rsidRPr="00F45F16">
        <w:rPr>
          <w:rFonts w:ascii="Book Antiqua" w:eastAsia="等线" w:hAnsi="Book Antiqua" w:cs="Times New Roman"/>
          <w:color w:val="000000" w:themeColor="text1"/>
          <w:sz w:val="24"/>
          <w:szCs w:val="24"/>
        </w:rPr>
        <w:t xml:space="preserve">CI: </w:t>
      </w:r>
      <w:r w:rsidR="00F45F16" w:rsidRPr="00F45F16">
        <w:rPr>
          <w:rFonts w:ascii="Book Antiqua" w:eastAsia="宋体" w:hAnsi="Book Antiqua" w:cs="Times New Roman"/>
          <w:sz w:val="24"/>
          <w:szCs w:val="24"/>
        </w:rPr>
        <w:t>Confidence interval</w:t>
      </w:r>
      <w:r w:rsidR="00F45F16">
        <w:rPr>
          <w:rFonts w:ascii="Book Antiqua" w:eastAsia="宋体" w:hAnsi="Book Antiqua" w:cs="Times New Roman"/>
          <w:sz w:val="24"/>
          <w:szCs w:val="24"/>
        </w:rPr>
        <w:t>;</w:t>
      </w:r>
      <w:r w:rsidR="00F45F16" w:rsidRPr="00F45F16">
        <w:rPr>
          <w:rFonts w:ascii="Book Antiqua" w:eastAsia="宋体" w:hAnsi="Book Antiqua" w:cs="Times New Roman"/>
          <w:sz w:val="24"/>
          <w:szCs w:val="24"/>
        </w:rPr>
        <w:t xml:space="preserve"> </w:t>
      </w:r>
      <w:r w:rsidR="00F45F16" w:rsidRPr="00F45F16">
        <w:rPr>
          <w:rFonts w:ascii="Book Antiqua" w:eastAsia="等线" w:hAnsi="Book Antiqua" w:cs="Times New Roman"/>
          <w:color w:val="000000" w:themeColor="text1"/>
          <w:sz w:val="24"/>
          <w:szCs w:val="24"/>
        </w:rPr>
        <w:t xml:space="preserve">PPI: </w:t>
      </w:r>
      <w:r w:rsidR="00F45F16" w:rsidRPr="00F45F16">
        <w:rPr>
          <w:rFonts w:ascii="Book Antiqua" w:eastAsia="等线" w:hAnsi="Book Antiqua" w:cs="Times New Roman"/>
          <w:color w:val="000000" w:themeColor="text1"/>
          <w:kern w:val="0"/>
          <w:sz w:val="24"/>
          <w:szCs w:val="24"/>
        </w:rPr>
        <w:t>Proton pump inhibitor.</w:t>
      </w:r>
    </w:p>
    <w:p w14:paraId="7F042DAC" w14:textId="02D89E0C" w:rsidR="00E079C6" w:rsidRPr="00F45F16" w:rsidRDefault="00E079C6" w:rsidP="001C4059">
      <w:pPr>
        <w:spacing w:line="360" w:lineRule="auto"/>
        <w:rPr>
          <w:rFonts w:ascii="Book Antiqua" w:hAnsi="Book Antiqua" w:cs="Times New Roman"/>
          <w:b/>
          <w:color w:val="000000" w:themeColor="text1"/>
          <w:sz w:val="24"/>
          <w:szCs w:val="24"/>
        </w:rPr>
      </w:pPr>
    </w:p>
    <w:p w14:paraId="5A79E81D" w14:textId="11CA8CA9" w:rsidR="00CF793A" w:rsidRPr="00115F98" w:rsidRDefault="00CF793A" w:rsidP="001C4059">
      <w:pPr>
        <w:spacing w:line="360" w:lineRule="auto"/>
        <w:rPr>
          <w:rFonts w:ascii="Book Antiqua" w:hAnsi="Book Antiqua" w:cs="Times New Roman"/>
          <w:b/>
          <w:color w:val="000000" w:themeColor="text1"/>
          <w:sz w:val="24"/>
          <w:szCs w:val="24"/>
        </w:rPr>
      </w:pPr>
    </w:p>
    <w:p w14:paraId="2282E6FE" w14:textId="22C006AF" w:rsidR="00D3451A" w:rsidRPr="00115F98" w:rsidRDefault="00D3451A" w:rsidP="001C4059">
      <w:pPr>
        <w:widowControl/>
        <w:spacing w:line="360" w:lineRule="auto"/>
        <w:rPr>
          <w:rFonts w:ascii="Book Antiqua" w:hAnsi="Book Antiqua" w:cs="Times New Roman"/>
          <w:b/>
          <w:color w:val="000000" w:themeColor="text1"/>
          <w:sz w:val="24"/>
          <w:szCs w:val="24"/>
        </w:rPr>
      </w:pPr>
      <w:r w:rsidRPr="00115F98">
        <w:rPr>
          <w:rFonts w:ascii="Book Antiqua" w:hAnsi="Book Antiqua" w:cs="Times New Roman"/>
          <w:b/>
          <w:color w:val="000000" w:themeColor="text1"/>
          <w:sz w:val="24"/>
          <w:szCs w:val="24"/>
        </w:rPr>
        <w:br w:type="page"/>
      </w:r>
    </w:p>
    <w:p w14:paraId="2211A98E" w14:textId="77777777" w:rsidR="00F45F16" w:rsidRPr="00F45F16" w:rsidRDefault="00CF793A" w:rsidP="00F45F16">
      <w:pPr>
        <w:spacing w:line="360" w:lineRule="auto"/>
        <w:rPr>
          <w:rFonts w:ascii="Book Antiqua" w:eastAsia="等线" w:hAnsi="Book Antiqua" w:cs="Times New Roman"/>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361A9540" wp14:editId="07DFF358">
            <wp:extent cx="5486400" cy="12890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289050"/>
                    </a:xfrm>
                    <a:prstGeom prst="rect">
                      <a:avLst/>
                    </a:prstGeom>
                  </pic:spPr>
                </pic:pic>
              </a:graphicData>
            </a:graphic>
          </wp:inline>
        </w:drawing>
      </w:r>
      <w:r w:rsidR="006B00F5" w:rsidRPr="00F45F16">
        <w:rPr>
          <w:rFonts w:ascii="Book Antiqua" w:eastAsia="等线" w:hAnsi="Book Antiqua" w:cs="Times New Roman"/>
          <w:b/>
          <w:color w:val="000000" w:themeColor="text1"/>
          <w:sz w:val="24"/>
          <w:szCs w:val="24"/>
        </w:rPr>
        <w:t xml:space="preserve">Figure 4 Sensitivity analysis focusing on patients without past </w:t>
      </w:r>
      <w:r w:rsidR="00F45F16" w:rsidRPr="00F45F16">
        <w:rPr>
          <w:rFonts w:ascii="Book Antiqua" w:eastAsia="等线" w:hAnsi="Book Antiqua" w:cs="Times New Roman"/>
          <w:b/>
          <w:color w:val="000000" w:themeColor="text1"/>
          <w:kern w:val="0"/>
          <w:sz w:val="24"/>
          <w:szCs w:val="24"/>
        </w:rPr>
        <w:t>hepatic encephalopathy</w:t>
      </w:r>
      <w:r w:rsidR="006B00F5" w:rsidRPr="00F45F16">
        <w:rPr>
          <w:rFonts w:ascii="Book Antiqua" w:eastAsia="等线" w:hAnsi="Book Antiqua" w:cs="Times New Roman"/>
          <w:b/>
          <w:color w:val="000000" w:themeColor="text1"/>
          <w:sz w:val="24"/>
          <w:szCs w:val="24"/>
        </w:rPr>
        <w:t xml:space="preserve"> episodes.</w:t>
      </w:r>
      <w:r w:rsidR="00F45F16">
        <w:rPr>
          <w:rFonts w:ascii="Book Antiqua" w:eastAsia="等线" w:hAnsi="Book Antiqua" w:cs="Times New Roman"/>
          <w:b/>
          <w:color w:val="000000" w:themeColor="text1"/>
          <w:sz w:val="24"/>
          <w:szCs w:val="24"/>
        </w:rPr>
        <w:t xml:space="preserve"> </w:t>
      </w:r>
      <w:r w:rsidR="00F45F16" w:rsidRPr="00F45F16">
        <w:rPr>
          <w:rFonts w:ascii="Book Antiqua" w:eastAsia="等线" w:hAnsi="Book Antiqua" w:cs="Times New Roman"/>
          <w:color w:val="000000" w:themeColor="text1"/>
          <w:sz w:val="24"/>
          <w:szCs w:val="24"/>
        </w:rPr>
        <w:t xml:space="preserve">CI: </w:t>
      </w:r>
      <w:r w:rsidR="00F45F16" w:rsidRPr="00F45F16">
        <w:rPr>
          <w:rFonts w:ascii="Book Antiqua" w:eastAsia="宋体" w:hAnsi="Book Antiqua" w:cs="Times New Roman"/>
          <w:sz w:val="24"/>
          <w:szCs w:val="24"/>
        </w:rPr>
        <w:t>Confidence interval</w:t>
      </w:r>
      <w:r w:rsidR="00F45F16">
        <w:rPr>
          <w:rFonts w:ascii="Book Antiqua" w:eastAsia="宋体" w:hAnsi="Book Antiqua" w:cs="Times New Roman"/>
          <w:sz w:val="24"/>
          <w:szCs w:val="24"/>
        </w:rPr>
        <w:t>;</w:t>
      </w:r>
      <w:r w:rsidR="00F45F16" w:rsidRPr="00F45F16">
        <w:rPr>
          <w:rFonts w:ascii="Book Antiqua" w:eastAsia="宋体" w:hAnsi="Book Antiqua" w:cs="Times New Roman"/>
          <w:sz w:val="24"/>
          <w:szCs w:val="24"/>
        </w:rPr>
        <w:t xml:space="preserve"> </w:t>
      </w:r>
      <w:r w:rsidR="00F45F16" w:rsidRPr="00F45F16">
        <w:rPr>
          <w:rFonts w:ascii="Book Antiqua" w:eastAsia="等线" w:hAnsi="Book Antiqua" w:cs="Times New Roman"/>
          <w:color w:val="000000" w:themeColor="text1"/>
          <w:sz w:val="24"/>
          <w:szCs w:val="24"/>
        </w:rPr>
        <w:t xml:space="preserve">PPI: </w:t>
      </w:r>
      <w:r w:rsidR="00F45F16" w:rsidRPr="00F45F16">
        <w:rPr>
          <w:rFonts w:ascii="Book Antiqua" w:eastAsia="等线" w:hAnsi="Book Antiqua" w:cs="Times New Roman"/>
          <w:color w:val="000000" w:themeColor="text1"/>
          <w:kern w:val="0"/>
          <w:sz w:val="24"/>
          <w:szCs w:val="24"/>
        </w:rPr>
        <w:t>Proton pump inhibitor.</w:t>
      </w:r>
    </w:p>
    <w:p w14:paraId="1D6B897A" w14:textId="1F83E5C0" w:rsidR="00CF793A" w:rsidRPr="00115F98" w:rsidRDefault="00CF793A" w:rsidP="001C4059">
      <w:pPr>
        <w:spacing w:line="360" w:lineRule="auto"/>
        <w:rPr>
          <w:rFonts w:ascii="Book Antiqua" w:eastAsia="等线" w:hAnsi="Book Antiqua" w:cs="Times New Roman"/>
          <w:color w:val="000000" w:themeColor="text1"/>
          <w:sz w:val="24"/>
          <w:szCs w:val="24"/>
        </w:rPr>
      </w:pPr>
    </w:p>
    <w:p w14:paraId="62D6413C" w14:textId="50918C2A"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18DA1A73" w14:textId="591F4DA9" w:rsidR="00E079C6" w:rsidRPr="00115F98" w:rsidRDefault="00CF793A"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20F32FD4" wp14:editId="312458EA">
            <wp:extent cx="5486400" cy="4507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507230"/>
                    </a:xfrm>
                    <a:prstGeom prst="rect">
                      <a:avLst/>
                    </a:prstGeom>
                  </pic:spPr>
                </pic:pic>
              </a:graphicData>
            </a:graphic>
          </wp:inline>
        </w:drawing>
      </w:r>
    </w:p>
    <w:p w14:paraId="2E430685" w14:textId="5C96D11F" w:rsidR="00F45F16" w:rsidRPr="00F45F16" w:rsidRDefault="00353562" w:rsidP="00F45F16">
      <w:pPr>
        <w:spacing w:line="360" w:lineRule="auto"/>
        <w:rPr>
          <w:rFonts w:ascii="Book Antiqua" w:eastAsia="等线" w:hAnsi="Book Antiqua" w:cs="Times New Roman"/>
          <w:color w:val="000000" w:themeColor="text1"/>
          <w:sz w:val="24"/>
          <w:szCs w:val="24"/>
        </w:rPr>
      </w:pPr>
      <w:r w:rsidRPr="00F45F16">
        <w:rPr>
          <w:rFonts w:ascii="Book Antiqua" w:eastAsia="等线" w:hAnsi="Book Antiqua" w:cs="Times New Roman"/>
          <w:b/>
          <w:color w:val="000000" w:themeColor="text1"/>
          <w:sz w:val="24"/>
          <w:szCs w:val="24"/>
        </w:rPr>
        <w:t xml:space="preserve">Figure 5 Forest plot to evaluate the association between </w:t>
      </w:r>
      <w:r w:rsidR="00F45F16" w:rsidRPr="00F45F16">
        <w:rPr>
          <w:rFonts w:ascii="Book Antiqua" w:eastAsia="等线" w:hAnsi="Book Antiqua" w:cs="Times New Roman"/>
          <w:b/>
          <w:color w:val="000000" w:themeColor="text1"/>
          <w:kern w:val="0"/>
          <w:sz w:val="24"/>
          <w:szCs w:val="24"/>
        </w:rPr>
        <w:t>proton pump inhibitor</w:t>
      </w:r>
      <w:r w:rsidR="00F45F16" w:rsidRPr="00F45F16">
        <w:rPr>
          <w:rFonts w:ascii="Book Antiqua" w:eastAsia="等线" w:hAnsi="Book Antiqua" w:cs="Times New Roman"/>
          <w:b/>
          <w:color w:val="000000" w:themeColor="text1"/>
          <w:sz w:val="24"/>
          <w:szCs w:val="24"/>
        </w:rPr>
        <w:t xml:space="preserve"> </w:t>
      </w:r>
      <w:r w:rsidRPr="00F45F16">
        <w:rPr>
          <w:rFonts w:ascii="Book Antiqua" w:eastAsia="等线" w:hAnsi="Book Antiqua" w:cs="Times New Roman"/>
          <w:b/>
          <w:color w:val="000000" w:themeColor="text1"/>
          <w:sz w:val="24"/>
          <w:szCs w:val="24"/>
        </w:rPr>
        <w:t xml:space="preserve">use and </w:t>
      </w:r>
      <w:r w:rsidR="00F45F16" w:rsidRPr="00F45F16">
        <w:rPr>
          <w:rFonts w:ascii="Book Antiqua" w:eastAsia="等线" w:hAnsi="Book Antiqua" w:cs="Times New Roman"/>
          <w:b/>
          <w:color w:val="000000" w:themeColor="text1"/>
          <w:kern w:val="0"/>
          <w:sz w:val="24"/>
          <w:szCs w:val="24"/>
        </w:rPr>
        <w:t>hepatic encephalopathy</w:t>
      </w:r>
      <w:r w:rsidRPr="00F45F16">
        <w:rPr>
          <w:rFonts w:ascii="Book Antiqua" w:eastAsia="等线" w:hAnsi="Book Antiqua" w:cs="Times New Roman"/>
          <w:b/>
          <w:color w:val="000000" w:themeColor="text1"/>
          <w:sz w:val="24"/>
          <w:szCs w:val="24"/>
        </w:rPr>
        <w:t xml:space="preserve"> with</w:t>
      </w:r>
      <w:r w:rsidR="00BC4ADD" w:rsidRPr="00F45F16">
        <w:rPr>
          <w:rFonts w:ascii="Book Antiqua" w:eastAsia="等线" w:hAnsi="Book Antiqua" w:cs="Times New Roman"/>
          <w:b/>
          <w:color w:val="000000" w:themeColor="text1"/>
          <w:sz w:val="24"/>
          <w:szCs w:val="24"/>
        </w:rPr>
        <w:t xml:space="preserve"> </w:t>
      </w:r>
      <w:r w:rsidRPr="00F45F16">
        <w:rPr>
          <w:rFonts w:ascii="Book Antiqua" w:eastAsia="等线" w:hAnsi="Book Antiqua" w:cs="Times New Roman"/>
          <w:b/>
          <w:color w:val="000000" w:themeColor="text1"/>
          <w:sz w:val="24"/>
          <w:szCs w:val="24"/>
        </w:rPr>
        <w:t xml:space="preserve">stratification analyses based on study design and definition of </w:t>
      </w:r>
      <w:r w:rsidR="00F45F16" w:rsidRPr="00F45F16">
        <w:rPr>
          <w:rFonts w:ascii="Book Antiqua" w:eastAsia="等线" w:hAnsi="Book Antiqua" w:cs="Times New Roman"/>
          <w:b/>
          <w:color w:val="000000" w:themeColor="text1"/>
          <w:kern w:val="0"/>
          <w:sz w:val="24"/>
          <w:szCs w:val="24"/>
        </w:rPr>
        <w:t>proton pump inhibitor</w:t>
      </w:r>
      <w:r w:rsidRPr="00F45F16">
        <w:rPr>
          <w:rFonts w:ascii="Book Antiqua" w:eastAsia="等线" w:hAnsi="Book Antiqua" w:cs="Times New Roman"/>
          <w:b/>
          <w:color w:val="000000" w:themeColor="text1"/>
          <w:sz w:val="24"/>
          <w:szCs w:val="24"/>
        </w:rPr>
        <w:t xml:space="preserve"> use.</w:t>
      </w:r>
      <w:r w:rsidR="00F45F16">
        <w:rPr>
          <w:rFonts w:ascii="Book Antiqua" w:eastAsia="等线" w:hAnsi="Book Antiqua" w:cs="Times New Roman"/>
          <w:color w:val="000000" w:themeColor="text1"/>
          <w:sz w:val="24"/>
          <w:szCs w:val="24"/>
        </w:rPr>
        <w:t xml:space="preserve"> </w:t>
      </w:r>
      <w:r w:rsidR="00F45F16" w:rsidRPr="00F45F16">
        <w:rPr>
          <w:rFonts w:ascii="Book Antiqua" w:eastAsia="等线" w:hAnsi="Book Antiqua" w:cs="Times New Roman"/>
          <w:color w:val="000000" w:themeColor="text1"/>
          <w:sz w:val="24"/>
          <w:szCs w:val="24"/>
        </w:rPr>
        <w:t xml:space="preserve">CI: </w:t>
      </w:r>
      <w:r w:rsidR="00F45F16" w:rsidRPr="00F45F16">
        <w:rPr>
          <w:rFonts w:ascii="Book Antiqua" w:eastAsia="宋体" w:hAnsi="Book Antiqua" w:cs="Times New Roman"/>
          <w:sz w:val="24"/>
          <w:szCs w:val="24"/>
        </w:rPr>
        <w:t>Confidence interval</w:t>
      </w:r>
      <w:r w:rsidR="00F45F16">
        <w:rPr>
          <w:rFonts w:ascii="Book Antiqua" w:eastAsia="宋体" w:hAnsi="Book Antiqua" w:cs="Times New Roman"/>
          <w:sz w:val="24"/>
          <w:szCs w:val="24"/>
        </w:rPr>
        <w:t>;</w:t>
      </w:r>
      <w:r w:rsidR="00F45F16" w:rsidRPr="00F45F16">
        <w:rPr>
          <w:rFonts w:ascii="Book Antiqua" w:eastAsia="宋体" w:hAnsi="Book Antiqua" w:cs="Times New Roman"/>
          <w:sz w:val="24"/>
          <w:szCs w:val="24"/>
        </w:rPr>
        <w:t xml:space="preserve"> </w:t>
      </w:r>
      <w:r w:rsidR="00F45F16" w:rsidRPr="00F45F16">
        <w:rPr>
          <w:rFonts w:ascii="Book Antiqua" w:eastAsia="等线" w:hAnsi="Book Antiqua" w:cs="Times New Roman"/>
          <w:color w:val="000000" w:themeColor="text1"/>
          <w:sz w:val="24"/>
          <w:szCs w:val="24"/>
        </w:rPr>
        <w:t xml:space="preserve">PPI: </w:t>
      </w:r>
      <w:r w:rsidR="00F45F16" w:rsidRPr="00F45F16">
        <w:rPr>
          <w:rFonts w:ascii="Book Antiqua" w:eastAsia="等线" w:hAnsi="Book Antiqua" w:cs="Times New Roman"/>
          <w:color w:val="000000" w:themeColor="text1"/>
          <w:kern w:val="0"/>
          <w:sz w:val="24"/>
          <w:szCs w:val="24"/>
        </w:rPr>
        <w:t>Proton pump inhibitor.</w:t>
      </w:r>
    </w:p>
    <w:p w14:paraId="6462DC45" w14:textId="428CCA8B" w:rsidR="00353562" w:rsidRPr="00115F98" w:rsidRDefault="00353562" w:rsidP="00F45F16">
      <w:pPr>
        <w:spacing w:line="360" w:lineRule="auto"/>
        <w:rPr>
          <w:rFonts w:ascii="Book Antiqua" w:eastAsia="等线" w:hAnsi="Book Antiqua" w:cs="Times New Roman"/>
          <w:color w:val="000000" w:themeColor="text1"/>
          <w:sz w:val="24"/>
          <w:szCs w:val="24"/>
        </w:rPr>
      </w:pPr>
    </w:p>
    <w:p w14:paraId="5E173A87" w14:textId="3C2D2695"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57F748B8" w14:textId="0C875649" w:rsidR="00E079C6" w:rsidRPr="00115F98" w:rsidRDefault="00CF793A"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3F05DCD3" wp14:editId="50155C6C">
            <wp:extent cx="5486400" cy="29292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929255"/>
                    </a:xfrm>
                    <a:prstGeom prst="rect">
                      <a:avLst/>
                    </a:prstGeom>
                  </pic:spPr>
                </pic:pic>
              </a:graphicData>
            </a:graphic>
          </wp:inline>
        </w:drawing>
      </w:r>
    </w:p>
    <w:p w14:paraId="706B82AD" w14:textId="5C58C6BD" w:rsidR="00F45F16" w:rsidRPr="00F45F16" w:rsidRDefault="00CF793A" w:rsidP="00F45F16">
      <w:pPr>
        <w:spacing w:line="360" w:lineRule="auto"/>
        <w:rPr>
          <w:rFonts w:ascii="Book Antiqua" w:eastAsia="等线" w:hAnsi="Book Antiqua" w:cs="Times New Roman"/>
          <w:color w:val="000000" w:themeColor="text1"/>
          <w:sz w:val="24"/>
          <w:szCs w:val="24"/>
        </w:rPr>
      </w:pPr>
      <w:r w:rsidRPr="00F45F16">
        <w:rPr>
          <w:rFonts w:ascii="Book Antiqua" w:eastAsia="等线" w:hAnsi="Book Antiqua" w:cs="Times New Roman"/>
          <w:b/>
          <w:color w:val="000000" w:themeColor="text1"/>
          <w:sz w:val="24"/>
          <w:szCs w:val="24"/>
        </w:rPr>
        <w:t xml:space="preserve">Figure 6 </w:t>
      </w:r>
      <w:r w:rsidR="00A343B5" w:rsidRPr="00F45F16">
        <w:rPr>
          <w:rFonts w:ascii="Book Antiqua" w:eastAsia="等线" w:hAnsi="Book Antiqua" w:cs="Times New Roman"/>
          <w:b/>
          <w:color w:val="000000" w:themeColor="text1"/>
          <w:sz w:val="24"/>
          <w:szCs w:val="24"/>
        </w:rPr>
        <w:t xml:space="preserve">Forest plot to evaluate the association between </w:t>
      </w:r>
      <w:r w:rsidR="00F45F16" w:rsidRPr="00F45F16">
        <w:rPr>
          <w:rFonts w:ascii="Book Antiqua" w:eastAsia="等线" w:hAnsi="Book Antiqua" w:cs="Times New Roman"/>
          <w:b/>
          <w:color w:val="000000" w:themeColor="text1"/>
          <w:kern w:val="0"/>
          <w:sz w:val="24"/>
          <w:szCs w:val="24"/>
        </w:rPr>
        <w:t>proton pump inhibitor</w:t>
      </w:r>
      <w:r w:rsidR="00A343B5" w:rsidRPr="00F45F16">
        <w:rPr>
          <w:rFonts w:ascii="Book Antiqua" w:eastAsia="等线" w:hAnsi="Book Antiqua" w:cs="Times New Roman"/>
          <w:b/>
          <w:color w:val="000000" w:themeColor="text1"/>
          <w:sz w:val="24"/>
          <w:szCs w:val="24"/>
        </w:rPr>
        <w:t xml:space="preserve"> use and </w:t>
      </w:r>
      <w:r w:rsidR="00F45F16" w:rsidRPr="00F45F16">
        <w:rPr>
          <w:rFonts w:ascii="Book Antiqua" w:eastAsia="等线" w:hAnsi="Book Antiqua" w:cs="Times New Roman"/>
          <w:b/>
          <w:color w:val="000000" w:themeColor="text1"/>
          <w:kern w:val="0"/>
          <w:sz w:val="24"/>
          <w:szCs w:val="24"/>
        </w:rPr>
        <w:t>hepatic encephalopathy</w:t>
      </w:r>
      <w:r w:rsidR="00A343B5" w:rsidRPr="00F45F16">
        <w:rPr>
          <w:rFonts w:ascii="Book Antiqua" w:eastAsia="等线" w:hAnsi="Book Antiqua" w:cs="Times New Roman"/>
          <w:b/>
          <w:color w:val="000000" w:themeColor="text1"/>
          <w:sz w:val="24"/>
          <w:szCs w:val="24"/>
        </w:rPr>
        <w:t xml:space="preserve"> with a subgroup analysis based on the study location.</w:t>
      </w:r>
      <w:r w:rsidR="00F45F16">
        <w:rPr>
          <w:rFonts w:ascii="Book Antiqua" w:eastAsia="等线" w:hAnsi="Book Antiqua" w:cs="Times New Roman"/>
          <w:color w:val="000000" w:themeColor="text1"/>
          <w:sz w:val="24"/>
          <w:szCs w:val="24"/>
        </w:rPr>
        <w:t xml:space="preserve"> </w:t>
      </w:r>
      <w:r w:rsidR="00F45F16" w:rsidRPr="00F45F16">
        <w:rPr>
          <w:rFonts w:ascii="Book Antiqua" w:eastAsia="等线" w:hAnsi="Book Antiqua" w:cs="Times New Roman"/>
          <w:color w:val="000000" w:themeColor="text1"/>
          <w:sz w:val="24"/>
          <w:szCs w:val="24"/>
        </w:rPr>
        <w:t xml:space="preserve">CI: </w:t>
      </w:r>
      <w:r w:rsidR="00F45F16" w:rsidRPr="00F45F16">
        <w:rPr>
          <w:rFonts w:ascii="Book Antiqua" w:eastAsia="宋体" w:hAnsi="Book Antiqua" w:cs="Times New Roman"/>
          <w:sz w:val="24"/>
          <w:szCs w:val="24"/>
        </w:rPr>
        <w:t>Confidence interval</w:t>
      </w:r>
      <w:r w:rsidR="00F45F16">
        <w:rPr>
          <w:rFonts w:ascii="Book Antiqua" w:eastAsia="宋体" w:hAnsi="Book Antiqua" w:cs="Times New Roman"/>
          <w:sz w:val="24"/>
          <w:szCs w:val="24"/>
        </w:rPr>
        <w:t>;</w:t>
      </w:r>
      <w:r w:rsidR="00F45F16" w:rsidRPr="00F45F16">
        <w:rPr>
          <w:rFonts w:ascii="Book Antiqua" w:eastAsia="宋体" w:hAnsi="Book Antiqua" w:cs="Times New Roman"/>
          <w:sz w:val="24"/>
          <w:szCs w:val="24"/>
        </w:rPr>
        <w:t xml:space="preserve"> </w:t>
      </w:r>
      <w:r w:rsidR="00F45F16" w:rsidRPr="00F45F16">
        <w:rPr>
          <w:rFonts w:ascii="Book Antiqua" w:eastAsia="等线" w:hAnsi="Book Antiqua" w:cs="Times New Roman"/>
          <w:color w:val="000000" w:themeColor="text1"/>
          <w:sz w:val="24"/>
          <w:szCs w:val="24"/>
        </w:rPr>
        <w:t xml:space="preserve">PPI: </w:t>
      </w:r>
      <w:r w:rsidR="00F45F16" w:rsidRPr="00F45F16">
        <w:rPr>
          <w:rFonts w:ascii="Book Antiqua" w:eastAsia="等线" w:hAnsi="Book Antiqua" w:cs="Times New Roman"/>
          <w:color w:val="000000" w:themeColor="text1"/>
          <w:kern w:val="0"/>
          <w:sz w:val="24"/>
          <w:szCs w:val="24"/>
        </w:rPr>
        <w:t>Proton pump inhibitor.</w:t>
      </w:r>
    </w:p>
    <w:p w14:paraId="60844D34" w14:textId="33DE40DF" w:rsidR="00D3451A" w:rsidRPr="00115F98" w:rsidRDefault="00D3451A" w:rsidP="001C4059">
      <w:pPr>
        <w:spacing w:line="360" w:lineRule="auto"/>
        <w:rPr>
          <w:rFonts w:ascii="Book Antiqua" w:eastAsia="等线" w:hAnsi="Book Antiqua" w:cs="Times New Roman"/>
          <w:color w:val="000000" w:themeColor="text1"/>
          <w:sz w:val="24"/>
          <w:szCs w:val="24"/>
        </w:rPr>
      </w:pPr>
    </w:p>
    <w:p w14:paraId="69B9E09A" w14:textId="1AEA73B3"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15D24D3B" w14:textId="1E8146C2" w:rsidR="00CF793A" w:rsidRPr="00115F98" w:rsidRDefault="00CF793A" w:rsidP="001C4059">
      <w:pPr>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noProof/>
          <w:color w:val="000000" w:themeColor="text1"/>
          <w:sz w:val="24"/>
          <w:szCs w:val="24"/>
        </w:rPr>
        <w:drawing>
          <wp:inline distT="0" distB="0" distL="0" distR="0" wp14:anchorId="57FA460B" wp14:editId="4ED7974E">
            <wp:extent cx="5486400" cy="34016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401695"/>
                    </a:xfrm>
                    <a:prstGeom prst="rect">
                      <a:avLst/>
                    </a:prstGeom>
                  </pic:spPr>
                </pic:pic>
              </a:graphicData>
            </a:graphic>
          </wp:inline>
        </w:drawing>
      </w:r>
    </w:p>
    <w:p w14:paraId="5806487F" w14:textId="26233CD4" w:rsidR="00CF793A" w:rsidRPr="00115F98" w:rsidRDefault="00CF793A" w:rsidP="001C4059">
      <w:pPr>
        <w:spacing w:line="360" w:lineRule="auto"/>
        <w:rPr>
          <w:rFonts w:ascii="Book Antiqua" w:eastAsia="等线" w:hAnsi="Book Antiqua" w:cs="Times New Roman"/>
          <w:color w:val="000000" w:themeColor="text1"/>
          <w:sz w:val="24"/>
          <w:szCs w:val="24"/>
        </w:rPr>
      </w:pPr>
      <w:r w:rsidRPr="007D26F9">
        <w:rPr>
          <w:rFonts w:ascii="Book Antiqua" w:eastAsia="等线" w:hAnsi="Book Antiqua" w:cs="Times New Roman"/>
          <w:b/>
          <w:color w:val="000000" w:themeColor="text1"/>
          <w:sz w:val="24"/>
          <w:szCs w:val="24"/>
        </w:rPr>
        <w:t xml:space="preserve">Figure 7 </w:t>
      </w:r>
      <w:r w:rsidR="0032567E" w:rsidRPr="007D26F9">
        <w:rPr>
          <w:rFonts w:ascii="Book Antiqua" w:eastAsia="等线" w:hAnsi="Book Antiqua" w:cs="Times New Roman"/>
          <w:b/>
          <w:color w:val="000000" w:themeColor="text1"/>
          <w:sz w:val="24"/>
          <w:szCs w:val="24"/>
        </w:rPr>
        <w:t xml:space="preserve">Forest plot to evaluate the association between </w:t>
      </w:r>
      <w:r w:rsidR="007D26F9" w:rsidRPr="007D26F9">
        <w:rPr>
          <w:rFonts w:ascii="Book Antiqua" w:eastAsia="等线" w:hAnsi="Book Antiqua" w:cs="Times New Roman"/>
          <w:b/>
          <w:color w:val="000000" w:themeColor="text1"/>
          <w:kern w:val="0"/>
          <w:sz w:val="24"/>
          <w:szCs w:val="24"/>
        </w:rPr>
        <w:t>proton pump inhibitor</w:t>
      </w:r>
      <w:r w:rsidR="0032567E" w:rsidRPr="007D26F9">
        <w:rPr>
          <w:rFonts w:ascii="Book Antiqua" w:eastAsia="等线" w:hAnsi="Book Antiqua" w:cs="Times New Roman"/>
          <w:b/>
          <w:color w:val="000000" w:themeColor="text1"/>
          <w:sz w:val="24"/>
          <w:szCs w:val="24"/>
        </w:rPr>
        <w:t xml:space="preserve"> use and </w:t>
      </w:r>
      <w:r w:rsidR="007D26F9" w:rsidRPr="007D26F9">
        <w:rPr>
          <w:rFonts w:ascii="Book Antiqua" w:eastAsia="等线" w:hAnsi="Book Antiqua" w:cs="Times New Roman"/>
          <w:b/>
          <w:color w:val="000000" w:themeColor="text1"/>
          <w:kern w:val="0"/>
          <w:sz w:val="24"/>
          <w:szCs w:val="24"/>
        </w:rPr>
        <w:t>hepatic encephalopathy</w:t>
      </w:r>
      <w:r w:rsidR="0032567E" w:rsidRPr="007D26F9">
        <w:rPr>
          <w:rFonts w:ascii="Book Antiqua" w:eastAsia="等线" w:hAnsi="Book Antiqua" w:cs="Times New Roman"/>
          <w:b/>
          <w:color w:val="000000" w:themeColor="text1"/>
          <w:sz w:val="24"/>
          <w:szCs w:val="24"/>
        </w:rPr>
        <w:t xml:space="preserve"> with a subgroup analysis based on the type of advanced liver disease.</w:t>
      </w:r>
      <w:r w:rsidR="007D26F9">
        <w:rPr>
          <w:rFonts w:ascii="Book Antiqua" w:eastAsia="等线" w:hAnsi="Book Antiqua" w:cs="Times New Roman"/>
          <w:color w:val="000000" w:themeColor="text1"/>
          <w:sz w:val="24"/>
          <w:szCs w:val="24"/>
        </w:rPr>
        <w:t xml:space="preserve"> </w:t>
      </w:r>
      <w:r w:rsidR="007D26F9" w:rsidRPr="00F45F16">
        <w:rPr>
          <w:rFonts w:ascii="Book Antiqua" w:eastAsia="等线" w:hAnsi="Book Antiqua" w:cs="Times New Roman"/>
          <w:color w:val="000000" w:themeColor="text1"/>
          <w:sz w:val="24"/>
          <w:szCs w:val="24"/>
        </w:rPr>
        <w:t xml:space="preserve">CI: </w:t>
      </w:r>
      <w:r w:rsidR="007D26F9" w:rsidRPr="00F45F16">
        <w:rPr>
          <w:rFonts w:ascii="Book Antiqua" w:eastAsia="宋体" w:hAnsi="Book Antiqua" w:cs="Times New Roman"/>
          <w:sz w:val="24"/>
          <w:szCs w:val="24"/>
        </w:rPr>
        <w:t>Confidence interval</w:t>
      </w:r>
      <w:r w:rsidR="007D26F9">
        <w:rPr>
          <w:rFonts w:ascii="Book Antiqua" w:eastAsia="宋体" w:hAnsi="Book Antiqua" w:cs="Times New Roman"/>
          <w:sz w:val="24"/>
          <w:szCs w:val="24"/>
        </w:rPr>
        <w:t>;</w:t>
      </w:r>
      <w:r w:rsidR="007D26F9" w:rsidRPr="00F45F16">
        <w:rPr>
          <w:rFonts w:ascii="Book Antiqua" w:eastAsia="宋体" w:hAnsi="Book Antiqua" w:cs="Times New Roman"/>
          <w:sz w:val="24"/>
          <w:szCs w:val="24"/>
        </w:rPr>
        <w:t xml:space="preserve"> </w:t>
      </w:r>
      <w:r w:rsidR="007D26F9" w:rsidRPr="00F45F16">
        <w:rPr>
          <w:rFonts w:ascii="Book Antiqua" w:eastAsia="等线" w:hAnsi="Book Antiqua" w:cs="Times New Roman"/>
          <w:color w:val="000000" w:themeColor="text1"/>
          <w:sz w:val="24"/>
          <w:szCs w:val="24"/>
        </w:rPr>
        <w:t xml:space="preserve">PPI: </w:t>
      </w:r>
      <w:r w:rsidR="007D26F9" w:rsidRPr="00F45F16">
        <w:rPr>
          <w:rFonts w:ascii="Book Antiqua" w:eastAsia="等线" w:hAnsi="Book Antiqua" w:cs="Times New Roman"/>
          <w:color w:val="000000" w:themeColor="text1"/>
          <w:kern w:val="0"/>
          <w:sz w:val="24"/>
          <w:szCs w:val="24"/>
        </w:rPr>
        <w:t>Proton pump inhibitor.</w:t>
      </w:r>
    </w:p>
    <w:p w14:paraId="77074F1F" w14:textId="6E735F81"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54C028A2" w14:textId="01B1D728" w:rsidR="00E079C6" w:rsidRPr="00115F98" w:rsidRDefault="003922AA"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1E97BEC6" wp14:editId="28C2BE6A">
            <wp:extent cx="5486400" cy="3583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583940"/>
                    </a:xfrm>
                    <a:prstGeom prst="rect">
                      <a:avLst/>
                    </a:prstGeom>
                  </pic:spPr>
                </pic:pic>
              </a:graphicData>
            </a:graphic>
          </wp:inline>
        </w:drawing>
      </w:r>
    </w:p>
    <w:p w14:paraId="3DEEAABF" w14:textId="470F7F89" w:rsidR="00D3451A" w:rsidRPr="00115F98" w:rsidRDefault="003922AA" w:rsidP="001C4059">
      <w:pPr>
        <w:spacing w:line="360" w:lineRule="auto"/>
        <w:rPr>
          <w:rFonts w:ascii="Book Antiqua" w:eastAsia="等线" w:hAnsi="Book Antiqua" w:cs="Times New Roman"/>
          <w:color w:val="000000" w:themeColor="text1"/>
          <w:sz w:val="24"/>
          <w:szCs w:val="24"/>
        </w:rPr>
      </w:pPr>
      <w:r w:rsidRPr="007D26F9">
        <w:rPr>
          <w:rFonts w:ascii="Book Antiqua" w:eastAsia="等线" w:hAnsi="Book Antiqua" w:cs="Times New Roman"/>
          <w:b/>
          <w:color w:val="000000" w:themeColor="text1"/>
          <w:sz w:val="24"/>
          <w:szCs w:val="24"/>
        </w:rPr>
        <w:t xml:space="preserve">Figure 8 </w:t>
      </w:r>
      <w:r w:rsidR="00B5437C" w:rsidRPr="007D26F9">
        <w:rPr>
          <w:rFonts w:ascii="Book Antiqua" w:eastAsia="等线" w:hAnsi="Book Antiqua" w:cs="Times New Roman"/>
          <w:b/>
          <w:color w:val="000000" w:themeColor="text1"/>
          <w:sz w:val="24"/>
          <w:szCs w:val="24"/>
        </w:rPr>
        <w:t xml:space="preserve">Forest plot to evaluate the association between </w:t>
      </w:r>
      <w:r w:rsidR="007D26F9" w:rsidRPr="007D26F9">
        <w:rPr>
          <w:rFonts w:ascii="Book Antiqua" w:eastAsia="等线" w:hAnsi="Book Antiqua" w:cs="Times New Roman"/>
          <w:b/>
          <w:color w:val="000000" w:themeColor="text1"/>
          <w:kern w:val="0"/>
          <w:sz w:val="24"/>
          <w:szCs w:val="24"/>
        </w:rPr>
        <w:t>proton pump inhibitor</w:t>
      </w:r>
      <w:r w:rsidR="00B5437C" w:rsidRPr="007D26F9">
        <w:rPr>
          <w:rFonts w:ascii="Book Antiqua" w:eastAsia="等线" w:hAnsi="Book Antiqua" w:cs="Times New Roman"/>
          <w:b/>
          <w:color w:val="000000" w:themeColor="text1"/>
          <w:sz w:val="24"/>
          <w:szCs w:val="24"/>
        </w:rPr>
        <w:t xml:space="preserve"> use and </w:t>
      </w:r>
      <w:r w:rsidR="007D26F9" w:rsidRPr="007D26F9">
        <w:rPr>
          <w:rFonts w:ascii="Book Antiqua" w:eastAsia="等线" w:hAnsi="Book Antiqua" w:cs="Times New Roman"/>
          <w:b/>
          <w:color w:val="000000" w:themeColor="text1"/>
          <w:kern w:val="0"/>
          <w:sz w:val="24"/>
          <w:szCs w:val="24"/>
        </w:rPr>
        <w:t>hepatic encephalopathy</w:t>
      </w:r>
      <w:r w:rsidR="00B5437C" w:rsidRPr="007D26F9">
        <w:rPr>
          <w:rFonts w:ascii="Book Antiqua" w:eastAsia="等线" w:hAnsi="Book Antiqua" w:cs="Times New Roman"/>
          <w:b/>
          <w:color w:val="000000" w:themeColor="text1"/>
          <w:sz w:val="24"/>
          <w:szCs w:val="24"/>
        </w:rPr>
        <w:t xml:space="preserve"> with a subgroup analysis based on the outcomes analyzed.</w:t>
      </w:r>
      <w:r w:rsidR="007D26F9">
        <w:rPr>
          <w:rFonts w:ascii="Book Antiqua" w:eastAsia="等线" w:hAnsi="Book Antiqua" w:cs="Times New Roman"/>
          <w:color w:val="000000" w:themeColor="text1"/>
          <w:sz w:val="24"/>
          <w:szCs w:val="24"/>
        </w:rPr>
        <w:t xml:space="preserve"> </w:t>
      </w:r>
      <w:r w:rsidR="007D26F9" w:rsidRPr="00F45F16">
        <w:rPr>
          <w:rFonts w:ascii="Book Antiqua" w:eastAsia="等线" w:hAnsi="Book Antiqua" w:cs="Times New Roman"/>
          <w:color w:val="000000" w:themeColor="text1"/>
          <w:sz w:val="24"/>
          <w:szCs w:val="24"/>
        </w:rPr>
        <w:t xml:space="preserve">CI: </w:t>
      </w:r>
      <w:r w:rsidR="007D26F9" w:rsidRPr="00F45F16">
        <w:rPr>
          <w:rFonts w:ascii="Book Antiqua" w:eastAsia="宋体" w:hAnsi="Book Antiqua" w:cs="Times New Roman"/>
          <w:sz w:val="24"/>
          <w:szCs w:val="24"/>
        </w:rPr>
        <w:t>Confidence interval</w:t>
      </w:r>
      <w:r w:rsidR="007D26F9">
        <w:rPr>
          <w:rFonts w:ascii="Book Antiqua" w:eastAsia="宋体" w:hAnsi="Book Antiqua" w:cs="Times New Roman"/>
          <w:sz w:val="24"/>
          <w:szCs w:val="24"/>
        </w:rPr>
        <w:t>;</w:t>
      </w:r>
      <w:r w:rsidR="007D26F9" w:rsidRPr="00F45F16">
        <w:rPr>
          <w:rFonts w:ascii="Book Antiqua" w:eastAsia="宋体" w:hAnsi="Book Antiqua" w:cs="Times New Roman"/>
          <w:sz w:val="24"/>
          <w:szCs w:val="24"/>
        </w:rPr>
        <w:t xml:space="preserve"> </w:t>
      </w:r>
      <w:r w:rsidR="007D26F9" w:rsidRPr="00F45F16">
        <w:rPr>
          <w:rFonts w:ascii="Book Antiqua" w:eastAsia="等线" w:hAnsi="Book Antiqua" w:cs="Times New Roman"/>
          <w:color w:val="000000" w:themeColor="text1"/>
          <w:sz w:val="24"/>
          <w:szCs w:val="24"/>
        </w:rPr>
        <w:t xml:space="preserve">PPI: </w:t>
      </w:r>
      <w:r w:rsidR="007D26F9" w:rsidRPr="00F45F16">
        <w:rPr>
          <w:rFonts w:ascii="Book Antiqua" w:eastAsia="等线" w:hAnsi="Book Antiqua" w:cs="Times New Roman"/>
          <w:color w:val="000000" w:themeColor="text1"/>
          <w:kern w:val="0"/>
          <w:sz w:val="24"/>
          <w:szCs w:val="24"/>
        </w:rPr>
        <w:t>Proton pump inhibitor.</w:t>
      </w:r>
    </w:p>
    <w:p w14:paraId="4A77F7F3" w14:textId="777004A8" w:rsidR="00D3451A" w:rsidRPr="00115F98" w:rsidRDefault="00D3451A" w:rsidP="001C4059">
      <w:pPr>
        <w:widowControl/>
        <w:spacing w:line="360" w:lineRule="auto"/>
        <w:rPr>
          <w:rFonts w:ascii="Book Antiqua" w:eastAsia="等线" w:hAnsi="Book Antiqua" w:cs="Times New Roman"/>
          <w:color w:val="000000" w:themeColor="text1"/>
          <w:sz w:val="24"/>
          <w:szCs w:val="24"/>
        </w:rPr>
      </w:pPr>
      <w:r w:rsidRPr="00115F98">
        <w:rPr>
          <w:rFonts w:ascii="Book Antiqua" w:eastAsia="等线" w:hAnsi="Book Antiqua" w:cs="Times New Roman"/>
          <w:color w:val="000000" w:themeColor="text1"/>
          <w:sz w:val="24"/>
          <w:szCs w:val="24"/>
        </w:rPr>
        <w:br w:type="page"/>
      </w:r>
    </w:p>
    <w:p w14:paraId="3BAB95E3" w14:textId="081937A2" w:rsidR="00E079C6" w:rsidRPr="00115F98" w:rsidRDefault="00F50D0E" w:rsidP="001C4059">
      <w:pPr>
        <w:spacing w:line="360" w:lineRule="auto"/>
        <w:rPr>
          <w:rFonts w:ascii="Book Antiqua" w:hAnsi="Book Antiqua" w:cs="Times New Roman"/>
          <w:b/>
          <w:color w:val="000000" w:themeColor="text1"/>
          <w:sz w:val="24"/>
          <w:szCs w:val="24"/>
        </w:rPr>
      </w:pPr>
      <w:r w:rsidRPr="00115F98">
        <w:rPr>
          <w:rFonts w:ascii="Book Antiqua" w:hAnsi="Book Antiqua" w:cs="Times New Roman"/>
          <w:b/>
          <w:noProof/>
          <w:color w:val="000000" w:themeColor="text1"/>
          <w:sz w:val="24"/>
          <w:szCs w:val="24"/>
        </w:rPr>
        <w:drawing>
          <wp:inline distT="0" distB="0" distL="0" distR="0" wp14:anchorId="56B569D5" wp14:editId="1E784717">
            <wp:extent cx="4509955" cy="3005593"/>
            <wp:effectExtent l="0" t="0" r="50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4592" cy="3015347"/>
                    </a:xfrm>
                    <a:prstGeom prst="rect">
                      <a:avLst/>
                    </a:prstGeom>
                  </pic:spPr>
                </pic:pic>
              </a:graphicData>
            </a:graphic>
          </wp:inline>
        </w:drawing>
      </w:r>
    </w:p>
    <w:p w14:paraId="0180E59E" w14:textId="5674482A" w:rsidR="00722C3A" w:rsidRPr="007D26F9" w:rsidRDefault="00F50D0E" w:rsidP="001C4059">
      <w:pPr>
        <w:spacing w:line="360" w:lineRule="auto"/>
        <w:rPr>
          <w:rFonts w:ascii="Book Antiqua" w:eastAsia="等线" w:hAnsi="Book Antiqua" w:cs="Times New Roman"/>
          <w:b/>
          <w:color w:val="000000" w:themeColor="text1"/>
          <w:sz w:val="24"/>
          <w:szCs w:val="24"/>
        </w:rPr>
      </w:pPr>
      <w:r w:rsidRPr="007D26F9">
        <w:rPr>
          <w:rFonts w:ascii="Book Antiqua" w:eastAsia="等线" w:hAnsi="Book Antiqua" w:cs="Times New Roman"/>
          <w:b/>
          <w:color w:val="000000" w:themeColor="text1"/>
          <w:sz w:val="24"/>
          <w:szCs w:val="24"/>
        </w:rPr>
        <w:t>Figure 9 Funnel plot assessing publication bias.</w:t>
      </w:r>
    </w:p>
    <w:sectPr w:rsidR="00722C3A" w:rsidRPr="007D26F9" w:rsidSect="001C4059">
      <w:headerReference w:type="default" r:id="rId19"/>
      <w:type w:val="continuous"/>
      <w:pgSz w:w="12240" w:h="15840"/>
      <w:pgMar w:top="1440" w:right="1800" w:bottom="1440" w:left="1800" w:header="720" w:footer="720" w:gutter="0"/>
      <w:cols w:space="720"/>
      <w:noEndnote/>
      <w:docGrid w:linePitch="28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ED775F" w16cid:durableId="207C87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83692" w14:textId="77777777" w:rsidR="006D2A33" w:rsidRDefault="006D2A33" w:rsidP="007E6E35">
      <w:r>
        <w:separator/>
      </w:r>
    </w:p>
  </w:endnote>
  <w:endnote w:type="continuationSeparator" w:id="0">
    <w:p w14:paraId="5881125F" w14:textId="77777777" w:rsidR="006D2A33" w:rsidRDefault="006D2A33" w:rsidP="007E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9540" w14:textId="77777777" w:rsidR="006D2A33" w:rsidRDefault="006D2A33" w:rsidP="007E6E35">
      <w:r>
        <w:separator/>
      </w:r>
    </w:p>
  </w:footnote>
  <w:footnote w:type="continuationSeparator" w:id="0">
    <w:p w14:paraId="25960899" w14:textId="77777777" w:rsidR="006D2A33" w:rsidRDefault="006D2A33" w:rsidP="007E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631345"/>
      <w:docPartObj>
        <w:docPartGallery w:val="Page Numbers (Top of Page)"/>
        <w:docPartUnique/>
      </w:docPartObj>
    </w:sdtPr>
    <w:sdtEndPr/>
    <w:sdtContent>
      <w:p w14:paraId="2B9A6570" w14:textId="77777777" w:rsidR="00E10932" w:rsidRDefault="00E10932">
        <w:pPr>
          <w:pStyle w:val="a8"/>
          <w:jc w:val="right"/>
        </w:pPr>
        <w:r>
          <w:fldChar w:fldCharType="begin"/>
        </w:r>
        <w:r>
          <w:instrText>PAGE   \* MERGEFORMAT</w:instrText>
        </w:r>
        <w:r>
          <w:fldChar w:fldCharType="separate"/>
        </w:r>
        <w:r w:rsidR="006C4D0D" w:rsidRPr="006C4D0D">
          <w:rPr>
            <w:noProof/>
            <w:lang w:val="zh-CN"/>
          </w:rPr>
          <w:t>1</w:t>
        </w:r>
        <w:r>
          <w:fldChar w:fldCharType="end"/>
        </w:r>
      </w:p>
    </w:sdtContent>
  </w:sdt>
  <w:p w14:paraId="5D32461D" w14:textId="77777777" w:rsidR="00E10932" w:rsidRDefault="00E1093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921420"/>
      <w:docPartObj>
        <w:docPartGallery w:val="Page Numbers (Top of Page)"/>
        <w:docPartUnique/>
      </w:docPartObj>
    </w:sdtPr>
    <w:sdtEndPr/>
    <w:sdtContent>
      <w:p w14:paraId="4BDA5830" w14:textId="77777777" w:rsidR="00E10932" w:rsidRDefault="00E10932">
        <w:pPr>
          <w:pStyle w:val="a8"/>
          <w:jc w:val="right"/>
        </w:pPr>
        <w:r>
          <w:fldChar w:fldCharType="begin"/>
        </w:r>
        <w:r>
          <w:instrText>PAGE   \* MERGEFORMAT</w:instrText>
        </w:r>
        <w:r>
          <w:fldChar w:fldCharType="separate"/>
        </w:r>
        <w:r w:rsidR="000C4B2E" w:rsidRPr="000C4B2E">
          <w:rPr>
            <w:noProof/>
            <w:lang w:val="zh-CN"/>
          </w:rPr>
          <w:t>29</w:t>
        </w:r>
        <w:r>
          <w:fldChar w:fldCharType="end"/>
        </w:r>
      </w:p>
    </w:sdtContent>
  </w:sdt>
  <w:p w14:paraId="1275F51E" w14:textId="77777777" w:rsidR="00E10932" w:rsidRDefault="00E1093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894499"/>
      <w:docPartObj>
        <w:docPartGallery w:val="Page Numbers (Top of Page)"/>
        <w:docPartUnique/>
      </w:docPartObj>
    </w:sdtPr>
    <w:sdtEndPr/>
    <w:sdtContent>
      <w:p w14:paraId="4B3357D5" w14:textId="77777777" w:rsidR="00E10932" w:rsidRDefault="00E10932">
        <w:pPr>
          <w:pStyle w:val="a8"/>
          <w:jc w:val="right"/>
        </w:pPr>
        <w:r>
          <w:fldChar w:fldCharType="begin"/>
        </w:r>
        <w:r>
          <w:instrText>PAGE   \* MERGEFORMAT</w:instrText>
        </w:r>
        <w:r>
          <w:fldChar w:fldCharType="separate"/>
        </w:r>
        <w:r w:rsidR="000C4B2E" w:rsidRPr="000C4B2E">
          <w:rPr>
            <w:noProof/>
            <w:lang w:val="zh-CN"/>
          </w:rPr>
          <w:t>37</w:t>
        </w:r>
        <w:r>
          <w:fldChar w:fldCharType="end"/>
        </w:r>
      </w:p>
    </w:sdtContent>
  </w:sdt>
  <w:p w14:paraId="0BBD5E46" w14:textId="77777777" w:rsidR="00E10932" w:rsidRDefault="00E1093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8E673C"/>
    <w:multiLevelType w:val="hybridMultilevel"/>
    <w:tmpl w:val="534CD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8552F03"/>
    <w:multiLevelType w:val="hybridMultilevel"/>
    <w:tmpl w:val="D9CE5870"/>
    <w:lvl w:ilvl="0" w:tplc="33689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550B10-6914-4262-8F03-FC3E61E0CA16}" w:val=" ADDIN NE.Ref.{00550B10-6914-4262-8F03-FC3E61E0CA16}&lt;Citation&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Citation&gt;_x000a_"/>
    <w:docVar w:name="NE.Ref{01B36A13-540C-4A90-9267-2F5A441B0A56}" w:val=" ADDIN NE.Ref.{01B36A13-540C-4A90-9267-2F5A441B0A56}&lt;Citation&gt;&lt;Group&gt;&lt;References&gt;&lt;Item&gt;&lt;ID&gt;3637&lt;/ID&gt;&lt;UID&gt;{22FBC8FE-3653-4635-BF3B-58938ED523E1}&lt;/UID&gt;&lt;Title&gt;Meta-analysis of observational studies in epidemiology: a proposal for reporting. Meta-analysis Of Observational Studies in Epidemiology (MOOSE) group&lt;/Title&gt;&lt;Template&gt;Journal Article&lt;/Template&gt;&lt;Star&gt;0&lt;/Star&gt;&lt;Tag&gt;0&lt;/Tag&gt;&lt;Author&gt;Stroup, D F; Berlin, J A; Morton, S C; Olkin, I; Williamson, G D; Rennie, D; Moher, D; Becker, B J; Sipe, T A; Thacker, S B&lt;/Author&gt;&lt;Year&gt;2000&lt;/Year&gt;&lt;Details&gt;&lt;_accession_num&gt;10789670&lt;/_accession_num&gt;&lt;_author_adr&gt;Centers for Disease Control and Prevention, Atlanta, GA 30333, USA. dfs2@cdc.gov&lt;/_author_adr&gt;&lt;_created&gt;61995521&lt;/_created&gt;&lt;_date&gt;2000-04-19&lt;/_date&gt;&lt;_date_display&gt;2000 Apr 19&lt;/_date_display&gt;&lt;_impact_factor&gt;  47.661&lt;/_impact_factor&gt;&lt;_isbn&gt;0098-7484 (Print); 0098-7484 (Linking)&lt;/_isbn&gt;&lt;_issue&gt;15&lt;/_issue&gt;&lt;_journal&gt;JAMA&lt;/_journal&gt;&lt;_keywords&gt;Epidemiology; *Meta-Analysis as Topic; Observation&lt;/_keywords&gt;&lt;_language&gt;eng&lt;/_language&gt;&lt;_modified&gt;62606397&lt;/_modified&gt;&lt;_pages&gt;2008-12&lt;/_pages&gt;&lt;_tertiary_title&gt;JAMA&lt;/_tertiary_title&gt;&lt;_type_work&gt;Consensus Development Conference; Journal Article; Research Support, U.S. Gov&amp;apos;t, P.H.S.; Review&lt;/_type_work&gt;&lt;_url&gt;http://www.ncbi.nlm.nih.gov/entrez/query.fcgi?cmd=Retrieve&amp;amp;db=pubmed&amp;amp;dopt=Abstract&amp;amp;list_uids=10789670&amp;amp;query_hl=1&lt;/_url&gt;&lt;_volume&gt;283&lt;/_volume&gt;&lt;/Details&gt;&lt;Extra&gt;&lt;DBUID&gt;{9A7C78BD-F289-43CD-8CC7-97501B76739F}&lt;/DBUID&gt;&lt;/Extra&gt;&lt;/Item&gt;&lt;/References&gt;&lt;/Group&gt;&lt;/Citation&gt;_x000a_"/>
    <w:docVar w:name="NE.Ref{0AC8D561-E259-4BEE-B47A-9AB5C130366A}" w:val=" ADDIN NE.Ref.{0AC8D561-E259-4BEE-B47A-9AB5C130366A}&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18AC4422-15A8-4F6C-821E-7757B1F5357F}" w:val=" ADDIN NE.Ref.{18AC4422-15A8-4F6C-821E-7757B1F5357F}&lt;Citation&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1989068B-DB1E-4CDC-953E-1984C6F83BD1}" w:val=" ADDIN NE.Ref.{1989068B-DB1E-4CDC-953E-1984C6F83BD1}&lt;Citation&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216253B3-EE82-42EB-91BB-68726B6DAD75}" w:val=" ADDIN NE.Ref.{216253B3-EE82-42EB-91BB-68726B6DAD75}&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21B75692-AC29-4BEF-B0B1-DEF1D9D4BBFC}" w:val=" ADDIN NE.Ref.{21B75692-AC29-4BEF-B0B1-DEF1D9D4BBFC}&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26A3263A-FC22-4086-89D7-C110F8977CEE}" w:val=" ADDIN NE.Ref.{26A3263A-FC22-4086-89D7-C110F8977CEE}&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2AF13613-2DE5-481C-8796-BA35C1AD1852}" w:val=" ADDIN NE.Ref.{2AF13613-2DE5-481C-8796-BA35C1AD1852}&lt;Citation&gt;&lt;Group&gt;&lt;References&gt;&lt;Item&gt;&lt;ID&gt;3646&lt;/ID&gt;&lt;UID&gt;{ACFB22A1-AB20-4871-8A19-B8831CAAE742}&lt;/UID&gt;&lt;Title&gt;The role of microbiota in hepatic encephalopathy&lt;/Title&gt;&lt;Template&gt;Journal Article&lt;/Template&gt;&lt;Star&gt;0&lt;/Star&gt;&lt;Tag&gt;0&lt;/Tag&gt;&lt;Author&gt;Bajaj, J S&lt;/Author&gt;&lt;Year&gt;2014&lt;/Year&gt;&lt;Details&gt;&lt;_accession_num&gt;24690956&lt;/_accession_num&gt;&lt;_author_adr&gt;Division of Gastroenterology, Hepatology, and Nutrition; Virginia Commonwealth University and McGuire VA Medical Center; Richmond, VA USA.&lt;/_author_adr&gt;&lt;_date_display&gt;2014 May-Jun&lt;/_date_display&gt;&lt;_date&gt;2014-05-01&lt;/_date&gt;&lt;_doi&gt;10.4161/gmic.28684&lt;/_doi&gt;&lt;_isbn&gt;1949-0984 (Electronic); 1949-0976 (Linking)&lt;/_isbn&gt;&lt;_issue&gt;3&lt;/_issue&gt;&lt;_journal&gt;Gut Microbes&lt;/_journal&gt;&lt;_keywords&gt;*Dysbiosis; Gastrointestinal Tract/*microbiology; Hepatic Encephalopathy/*etiology/*physiopathology; Humans; Liver Cirrhosis/*complicationscirrhosis; correlation network; covert hepatic encephalopathy; dysbiosis; endotoxin; lactulose; minimal hepatic encephalopathy; probiotic; rifaximin; systemic inflammation&lt;/_keywords&gt;&lt;_language&gt;eng&lt;/_language&gt;&lt;_pages&gt;397-403&lt;/_pages&gt;&lt;_tertiary_title&gt;Gut microbes&lt;/_tertiary_title&gt;&lt;_type_work&gt;Journal Article; Research Support, N.I.H., Extramural; Review&lt;/_type_work&gt;&lt;_url&gt;http://www.ncbi.nlm.nih.gov/entrez/query.fcgi?cmd=Retrieve&amp;amp;db=pubmed&amp;amp;dopt=Abstract&amp;amp;list_uids=24690956&amp;amp;query_hl=1&lt;/_url&gt;&lt;_volume&gt;5&lt;/_volume&gt;&lt;_created&gt;62609259&lt;/_created&gt;&lt;_modified&gt;62609260&lt;/_modified&gt;&lt;_db_updated&gt;PubMed&lt;/_db_updated&gt;&lt;/Details&gt;&lt;Extra&gt;&lt;DBUID&gt;{9A7C78BD-F289-43CD-8CC7-97501B76739F}&lt;/DBUID&gt;&lt;/Extra&gt;&lt;/Item&gt;&lt;/References&gt;&lt;/Group&gt;&lt;Group&gt;&lt;References&gt;&lt;Item&gt;&lt;ID&gt;3647&lt;/ID&gt;&lt;UID&gt;{6E6C1DAB-A0B1-4171-A3F8-0044F8BA7C04}&lt;/UID&gt;&lt;Title&gt;Role of small intestinal bacterial overgrowth and delayed gastrointestinal transit time in cirrhotic patients with minimal hepatic encephalopathy&lt;/Title&gt;&lt;Template&gt;Journal Article&lt;/Template&gt;&lt;Star&gt;0&lt;/Star&gt;&lt;Tag&gt;0&lt;/Tag&gt;&lt;Author&gt;Gupta, A; Dhiman, R K; Kumari, S; Rana, S; Agarwal, R; Duseja, A; Chawla, Y&lt;/Author&gt;&lt;Year&gt;2010&lt;/Year&gt;&lt;Details&gt;&lt;_accession_num&gt;20675008&lt;/_accession_num&gt;&lt;_author_adr&gt;Department of Internal Medicine, Postgraduate Institute of Medical Education &amp;amp;amp; Research, Chandigarh 160012, India.&lt;/_author_adr&gt;&lt;_date_display&gt;2010 Nov&lt;/_date_display&gt;&lt;_date&gt;2010-11-01&lt;/_date&gt;&lt;_doi&gt;10.1016/j.jhep.2010.05.017&lt;/_doi&gt;&lt;_isbn&gt;1600-0641 (Electronic); 0168-8278 (Linking)&lt;/_isbn&gt;&lt;_issue&gt;5&lt;/_issue&gt;&lt;_journal&gt;J Hepatol&lt;/_journal&gt;&lt;_keywords&gt;Adolescent; Adult; Aged; Aged, 80 and over; Bacteria/*growth &amp;amp;amp; development; Cross-Sectional Studies; Female; *Gastrointestinal Transit; Hepatic Encephalopathy/drug therapy/epidemiology/*etiology; Humans; Intestine, Small/*microbiology; Liver Cirrhosis/*complications; Male; Middle Aged; Multivariate Analysis; Prevalence&lt;/_keywords&gt;&lt;_language&gt;eng&lt;/_language&gt;&lt;_ori_publication&gt;Copyright (c) 2010 European Association for the Study of the Liver. Published by _x000d__x000a_      Elsevier B.V. All rights reserved.&lt;/_ori_publication&gt;&lt;_pages&gt;849-55&lt;/_pages&gt;&lt;_tertiary_title&gt;Journal of hepatology&lt;/_tertiary_title&gt;&lt;_type_work&gt;Journal Article&lt;/_type_work&gt;&lt;_url&gt;http://www.ncbi.nlm.nih.gov/entrez/query.fcgi?cmd=Retrieve&amp;amp;db=pubmed&amp;amp;dopt=Abstract&amp;amp;list_uids=20675008&amp;amp;query_hl=1&lt;/_url&gt;&lt;_volume&gt;53&lt;/_volume&gt;&lt;_created&gt;62609260&lt;/_created&gt;&lt;_modified&gt;62609266&lt;/_modified&gt;&lt;_db_updated&gt;PubMed&lt;/_db_updated&gt;&lt;_impact_factor&gt;  14.911&lt;/_impact_factor&gt;&lt;_collection_scope&gt;SCI;SCIE;&lt;/_collection_scope&gt;&lt;/Details&gt;&lt;Extra&gt;&lt;DBUID&gt;{9A7C78BD-F289-43CD-8CC7-97501B76739F}&lt;/DBUID&gt;&lt;/Extra&gt;&lt;/Item&gt;&lt;/References&gt;&lt;/Group&gt;&lt;/Citation&gt;_x000a_"/>
    <w:docVar w:name="NE.Ref{371F69A5-8D50-4349-96B0-3FD364FA94CB}" w:val=" ADDIN NE.Ref.{371F69A5-8D50-4349-96B0-3FD364FA94CB}&lt;Citation&gt;&lt;Group&gt;&lt;References&gt;&lt;Item&gt;&lt;ID&gt;3626&lt;/ID&gt;&lt;UID&gt;{89AA9750-CEDE-450C-A869-DCB6E507BB2A}&lt;/UID&gt;&lt;Title&gt;Hepatic Encephalopathy&lt;/Title&gt;&lt;Template&gt;Journal Article&lt;/Template&gt;&lt;Star&gt;0&lt;/Star&gt;&lt;Tag&gt;0&lt;/Tag&gt;&lt;Author&gt;Wijdicks, E F&lt;/Author&gt;&lt;Year&gt;2016&lt;/Year&gt;&lt;Details&gt;&lt;_accession_num&gt;27783916&lt;/_accession_num&gt;&lt;_author_adr&gt;From the Division of Critical Care Neurology, Mayo Clinic, Rochester, MN.&lt;/_author_adr&gt;&lt;_date_display&gt;2016 Oct 27&lt;/_date_display&gt;&lt;_date&gt;2016-10-27&lt;/_date&gt;&lt;_doi&gt;10.1056/NEJMra1600561&lt;/_doi&gt;&lt;_isbn&gt;1533-4406 (Electronic); 0028-4793 (Linking)&lt;/_isbn&gt;&lt;_issue&gt;17&lt;/_issue&gt;&lt;_journal&gt;N Engl J Med&lt;/_journal&gt;&lt;_keywords&gt;Brain Edema/etiology/pathology; *Hepatic Encephalopathy/classification/complications/physiopathology/therapy; Humans; Hyperammonemia/drug therapy/etiology; Lactulose/therapeutic use&lt;/_keywords&gt;&lt;_language&gt;eng&lt;/_language&gt;&lt;_pages&gt;1660-1670&lt;/_pages&gt;&lt;_tertiary_title&gt;The New England journal of medicine&lt;/_tertiary_title&gt;&lt;_type_work&gt;Journal Article; Review&lt;/_type_work&gt;&lt;_url&gt;http://www.ncbi.nlm.nih.gov/entrez/query.fcgi?cmd=Retrieve&amp;amp;db=pubmed&amp;amp;dopt=Abstract&amp;amp;list_uids=27783916&amp;amp;query_hl=1&lt;/_url&gt;&lt;_volume&gt;375&lt;/_volume&gt;&lt;_created&gt;62606095&lt;/_created&gt;&lt;_modified&gt;62606100&lt;/_modified&gt;&lt;_impact_factor&gt;  79.258&lt;/_impact_factor&gt;&lt;/Details&gt;&lt;Extra&gt;&lt;DBUID&gt;{9A7C78BD-F289-43CD-8CC7-97501B76739F}&lt;/DBUID&gt;&lt;/Extra&gt;&lt;/Item&gt;&lt;/References&gt;&lt;/Group&gt;&lt;/Citation&gt;_x000a_"/>
    <w:docVar w:name="NE.Ref{3BB11B30-C192-4F96-99D7-75189EC09CB4}" w:val=" ADDIN NE.Ref.{3BB11B30-C192-4F96-99D7-75189EC09CB4}&lt;Citation&gt;&lt;Group&gt;&lt;References&gt;&lt;Item&gt;&lt;ID&gt;3626&lt;/ID&gt;&lt;UID&gt;{89AA9750-CEDE-450C-A869-DCB6E507BB2A}&lt;/UID&gt;&lt;Title&gt;Hepatic Encephalopathy&lt;/Title&gt;&lt;Template&gt;Journal Article&lt;/Template&gt;&lt;Star&gt;0&lt;/Star&gt;&lt;Tag&gt;0&lt;/Tag&gt;&lt;Author&gt;Wijdicks, E F&lt;/Author&gt;&lt;Year&gt;2016&lt;/Year&gt;&lt;Details&gt;&lt;_accession_num&gt;27783916&lt;/_accession_num&gt;&lt;_author_adr&gt;From the Division of Critical Care Neurology, Mayo Clinic, Rochester, MN.&lt;/_author_adr&gt;&lt;_created&gt;62606095&lt;/_created&gt;&lt;_date&gt;2016-10-27&lt;/_date&gt;&lt;_date_display&gt;2016 Oct 27&lt;/_date_display&gt;&lt;_doi&gt;10.1056/NEJMra1600561&lt;/_doi&gt;&lt;_impact_factor&gt;  79.258&lt;/_impact_factor&gt;&lt;_isbn&gt;1533-4406 (Electronic); 0028-4793 (Linking)&lt;/_isbn&gt;&lt;_issue&gt;17&lt;/_issue&gt;&lt;_journal&gt;N Engl J Med&lt;/_journal&gt;&lt;_keywords&gt;Brain Edema/etiology/pathology; *Hepatic Encephalopathy/classification/complications/physiopathology/therapy; Humans; Hyperammonemia/drug therapy/etiology; Lactulose/therapeutic use&lt;/_keywords&gt;&lt;_language&gt;eng&lt;/_language&gt;&lt;_modified&gt;62606100&lt;/_modified&gt;&lt;_pages&gt;1660-1670&lt;/_pages&gt;&lt;_tertiary_title&gt;The New England journal of medicine&lt;/_tertiary_title&gt;&lt;_type_work&gt;Journal Article; Review&lt;/_type_work&gt;&lt;_url&gt;http://www.ncbi.nlm.nih.gov/entrez/query.fcgi?cmd=Retrieve&amp;amp;db=pubmed&amp;amp;dopt=Abstract&amp;amp;list_uids=27783916&amp;amp;query_hl=1&lt;/_url&gt;&lt;_volume&gt;375&lt;/_volume&gt;&lt;/Details&gt;&lt;Extra&gt;&lt;DBUID&gt;{9A7C78BD-F289-43CD-8CC7-97501B76739F}&lt;/DBUID&gt;&lt;/Extra&gt;&lt;/Item&gt;&lt;/References&gt;&lt;/Group&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4016A7D0-64A7-4EF9-85C1-0C18831D07B8}" w:val=" ADDIN NE.Ref.{4016A7D0-64A7-4EF9-85C1-0C18831D07B8}&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4100D344-E990-4488-9C77-EAE044EB88E3}" w:val=" ADDIN NE.Ref.{4100D344-E990-4488-9C77-EAE044EB88E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Citation&gt;_x000a_"/>
    <w:docVar w:name="NE.Ref{41ED3F5C-1A49-447C-8F4A-1DE3F8072A6A}" w:val=" ADDIN NE.Ref.{41ED3F5C-1A49-447C-8F4A-1DE3F8072A6A}&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4723A567-6AC7-4153-8435-D411BC0A8A90}" w:val=" ADDIN NE.Ref.{4723A567-6AC7-4153-8435-D411BC0A8A90}&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date_display&gt;2015 Mar&lt;/_date_display&gt;&lt;_date&gt;2015-03-01&lt;/_date&gt;&lt;_doi&gt;10.1111/apt.13061&lt;/_doi&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_created&gt;62606095&lt;/_created&gt;&lt;_modified&gt;62606095&lt;/_modified&gt;&lt;_impact_factor&gt;   7.357&lt;/_impact_factor&gt;&lt;/Details&gt;&lt;Extra&gt;&lt;DBUID&gt;{9A7C78BD-F289-43CD-8CC7-97501B76739F}&lt;/DBUID&gt;&lt;/Extra&gt;&lt;/Item&gt;&lt;/References&gt;&lt;/Group&gt;&lt;Group&gt;&lt;References&gt;&lt;Item&gt;&lt;ID&gt;3640&lt;/ID&gt;&lt;UID&gt;{7C864FA8-8D88-41D3-A825-FEE7F1557D46}&lt;/UID&gt;&lt;Title&gt;Proton pump inhibitor therapy and potential long-term harm&lt;/Title&gt;&lt;Template&gt;Journal Article&lt;/Template&gt;&lt;Star&gt;0&lt;/Star&gt;&lt;Tag&gt;0&lt;/Tag&gt;&lt;Author&gt;Corleto, V D; Festa, S; Di Giulio, E; Annibale, B&lt;/Author&gt;&lt;Year&gt;2014&lt;/Year&gt;&lt;Details&gt;&lt;_accession_num&gt;24310148&lt;/_accession_num&gt;&lt;_author_adr&gt;aDepartment of Gastroenterology and Digestive Endoscopy, School of Medicine and Psychology, Sapienza University of Rome, Sant&amp;apos;Andrea Hospital bCentro Ricerche S. Pietro, Ospedale S. Pietro, Rome, Italy.&lt;/_author_adr&gt;&lt;_date_display&gt;2014 Feb&lt;/_date_display&gt;&lt;_date&gt;2014-02-01&lt;/_date&gt;&lt;_doi&gt;10.1097/MED.0000000000000031&lt;/_doi&gt;&lt;_isbn&gt;1752-2978 (Electronic); 1752-296X (Linking)&lt;/_isbn&gt;&lt;_issue&gt;1&lt;/_issue&gt;&lt;_journal&gt;Curr Opin Endocrinol Diabetes Obes&lt;/_journal&gt;&lt;_keywords&gt;Achlorhydria/*chemically induced; Bone Density/*drug effects; Clostridium difficile/immunology; Delayed Diagnosis; Disease Susceptibility; Drug Interactions; Enterocolitis, Pseudomembranous/*chemically induced/immunology; Female; Gastroesophageal Reflux/*drug therapy; Humans; Hypocalcemia/*chemically induced; Magnesium Deficiency/congenital; Male; Practice Patterns, Physicians&amp;apos;; Proton Pump Inhibitors/administration &amp;amp;amp; dosage/*adverse effects; Renal Tubular Transport, Inborn Errors/*chemically induced; Time Factors&lt;/_keywords&gt;&lt;_language&gt;eng&lt;/_language&gt;&lt;_pages&gt;3-8&lt;/_pages&gt;&lt;_tertiary_title&gt;Current opinion in endocrinology, diabetes, and obesity&lt;/_tertiary_title&gt;&lt;_type_work&gt;Journal Article; Research Support, Non-U.S. Gov&amp;apos;t; Review&lt;/_type_work&gt;&lt;_url&gt;http://www.ncbi.nlm.nih.gov/entrez/query.fcgi?cmd=Retrieve&amp;amp;db=pubmed&amp;amp;dopt=Abstract&amp;amp;list_uids=24310148&amp;amp;query_hl=1&lt;/_url&gt;&lt;_volume&gt;21&lt;/_volume&gt;&lt;_created&gt;62609069&lt;/_created&gt;&lt;_modified&gt;62609069&lt;/_modified&gt;&lt;_db_updated&gt;PubMed&lt;/_db_updated&gt;&lt;/Details&gt;&lt;Extra&gt;&lt;DBUID&gt;{9A7C78BD-F289-43CD-8CC7-97501B76739F}&lt;/DBUID&gt;&lt;/Extra&gt;&lt;/Item&gt;&lt;/References&gt;&lt;/Group&gt;&lt;Group&gt;&lt;References&gt;&lt;Item&gt;&lt;ID&gt;3641&lt;/ID&gt;&lt;UID&gt;{3616B0A1-8513-4515-A2EA-78C5C9507927}&lt;/UID&gt;&lt;Title&gt;Use of Proton Pump Inhibitors and Risks of Fundic Gland Polyps and Gastric Cancer: Systematic Review and Meta-analysis&lt;/Title&gt;&lt;Template&gt;Journal Article&lt;/Template&gt;&lt;Star&gt;0&lt;/Star&gt;&lt;Tag&gt;0&lt;/Tag&gt;&lt;Author&gt;Tran-Duy, A; Spaetgens, B; Hoes, A W; de Wit, N J; Stehouwer, C D&lt;/Author&gt;&lt;Year&gt;2016&lt;/Year&gt;&lt;Details&gt;&lt;_accession_num&gt;27211501&lt;/_accession_num&gt;&lt;_author_adr&gt;Department of Internal Medicine, Maastricht University Medical Center, Maastricht, The Netherlands; Department of Clinical Epidemiology and Medical Technology Assessment, Maastricht University Medical Center, Maastricht, The Netherlands. Electronic address: an.tranduy@gmail.com.; Department of Internal Medicine, Maastricht University Medical Center, Maastricht, The Netherlands.; Julius Center for Health Sciences and Primary Care, UMC Utrecht, Utrecht, The Netherlands.; Julius Center for Health Sciences and Primary Care, UMC Utrecht, Utrecht, The Netherlands.; Department of Internal Medicine, Maastricht University Medical Center, Maastricht, The Netherlands.&lt;/_author_adr&gt;&lt;_date_display&gt;2016 Dec&lt;/_date_display&gt;&lt;_date&gt;2016-12-01&lt;/_date&gt;&lt;_doi&gt;10.1016/j.cgh.2016.05.018&lt;/_doi&gt;&lt;_isbn&gt;1542-7714 (Electronic); 1542-3565 (Linking)&lt;/_isbn&gt;&lt;_issue&gt;12&lt;/_issue&gt;&lt;_journal&gt;Clin Gastroenterol Hepatol&lt;/_journal&gt;&lt;_keywords&gt;Humans; Observational Studies as Topic; Polyps/*chemically induced/*epidemiology; Proton Pump Inhibitors/*adverse effects/*therapeutic use; Randomized Controlled Trials as Topic; Risk Assessment; Stomach Neoplasms/*chemically induced/*epidemiology*Acid-Suppressive Drug; *Neoplasm; *Side Effect; *Stomach Carcinoma&lt;/_keywords&gt;&lt;_language&gt;eng&lt;/_language&gt;&lt;_ori_publication&gt;Copyright (c) 2016 AGA Institute. Published by Elsevier Inc. All rights reserved.&lt;/_ori_publication&gt;&lt;_pages&gt;1706-1719.e5&lt;/_pages&gt;&lt;_tertiary_title&gt;Clinical gastroenterology and hepatology : the official clinical practice journal_x000d__x000a_      of the American Gastroenterological Association&lt;/_tertiary_title&gt;&lt;_type_work&gt;Journal Article; Review; Systematic Review&lt;/_type_work&gt;&lt;_url&gt;http://www.ncbi.nlm.nih.gov/entrez/query.fcgi?cmd=Retrieve&amp;amp;db=pubmed&amp;amp;dopt=Abstract&amp;amp;list_uids=27211501&amp;amp;query_hl=1&lt;/_url&gt;&lt;_volume&gt;14&lt;/_volume&gt;&lt;_created&gt;62609071&lt;/_created&gt;&lt;_modified&gt;62609071&lt;/_modified&gt;&lt;_db_updated&gt;PubMed&lt;/_db_updated&gt;&lt;_impact_factor&gt;   7.683&lt;/_impact_factor&gt;&lt;/Details&gt;&lt;Extra&gt;&lt;DBUID&gt;{9A7C78BD-F289-43CD-8CC7-97501B76739F}&lt;/DBUID&gt;&lt;/Extra&gt;&lt;/Item&gt;&lt;/References&gt;&lt;/Group&gt;&lt;/Citation&gt;_x000a_"/>
    <w:docVar w:name="NE.Ref{4C6EF433-9ADF-406D-9AB9-55B6882B1CF3}" w:val=" ADDIN NE.Ref.{4C6EF433-9ADF-406D-9AB9-55B6882B1CF3}&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4E08810B-7B2B-416F-A805-AB9C89D8A10F}" w:val=" ADDIN NE.Ref.{4E08810B-7B2B-416F-A805-AB9C89D8A10F}&lt;Citation&gt;&lt;Group&gt;&lt;References&gt;&lt;Item&gt;&lt;ID&gt;3638&lt;/ID&gt;&lt;UID&gt;{0C630A43-8844-4A7E-AD78-BB21FB6F44A8}&lt;/UID&gt;&lt;Title&gt;When can odds ratios mislead?&lt;/Title&gt;&lt;Template&gt;Journal Article&lt;/Template&gt;&lt;Star&gt;0&lt;/Star&gt;&lt;Tag&gt;0&lt;/Tag&gt;&lt;Author&gt;Davies, H T; Crombie, I K; Tavakoli, M&lt;/Author&gt;&lt;Year&gt;1998&lt;/Year&gt;&lt;Details/&gt;&lt;Extra&gt;&lt;DBUID&gt;{9A7C78BD-F289-43CD-8CC7-97501B76739F}&lt;/DBUID&gt;&lt;/Extra&gt;&lt;/Item&gt;&lt;/References&gt;&lt;/Group&gt;&lt;/Citation&gt;_x000a_"/>
    <w:docVar w:name="NE.Ref{515CCD83-57D9-431E-88DA-E83FB59D5ACB}" w:val=" ADDIN NE.Ref.{515CCD83-57D9-431E-88DA-E83FB59D5ACB}&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Group&gt;&lt;References&gt;&lt;Item&gt;&lt;ID&gt;3628&lt;/ID&gt;&lt;UID&gt;{8DC12481-2695-4033-B4CF-177B7F07E2AE}&lt;/UID&gt;&lt;Title&gt;Screening of subclinical hepatic encephalopathy&lt;/Title&gt;&lt;Template&gt;Journal Article&lt;/Template&gt;&lt;Star&gt;0&lt;/Star&gt;&lt;Tag&gt;0&lt;/Tag&gt;&lt;Author&gt;Groeneweg, M; Moerland, W; Quero, J C; Hop, W C; Krabbe, P F; Schalm, S W&lt;/Author&gt;&lt;Year&gt;2000&lt;/Year&gt;&lt;Details&gt;&lt;_accession_num&gt;10845661&lt;/_accession_num&gt;&lt;_author_adr&gt;Department of Hepatogastroenterology, Erasmus University Hospital Rotterdam, The  Netherlands.&lt;/_author_adr&gt;&lt;_collection_scope&gt;SCI;SCIE;&lt;/_collection_scope&gt;&lt;_created&gt;62606095&lt;/_created&gt;&lt;_date&gt;2000-05-01&lt;/_date&gt;&lt;_date_display&gt;2000 May&lt;/_date_display&gt;&lt;_impact_factor&gt;  14.911&lt;/_impact_factor&gt;&lt;_isbn&gt;0168-8278 (Print); 0168-8278 (Linking)&lt;/_isbn&gt;&lt;_issue&gt;5&lt;/_issue&gt;&lt;_journal&gt;J Hepatol&lt;/_journal&gt;&lt;_keywords&gt;*Electroencephalography; Hepatic Encephalopathy/diagnosis/etiology/*physiopathology; Humans; Liver Cirrhosis/complications/physiopathology; Mass Screening; Multivariate Analysis; Outpatients; Predictive Value of Tests; *Psychological Tests; Psychometrics&lt;/_keywords&gt;&lt;_language&gt;eng&lt;/_language&gt;&lt;_modified&gt;62606102&lt;/_modified&gt;&lt;_pages&gt;748-53&lt;/_pages&gt;&lt;_tertiary_title&gt;Journal of hepatology&lt;/_tertiary_title&gt;&lt;_type_work&gt;Comparative Study; Journal Article&lt;/_type_work&gt;&lt;_url&gt;http://www.ncbi.nlm.nih.gov/entrez/query.fcgi?cmd=Retrieve&amp;amp;db=pubmed&amp;amp;dopt=Abstract&amp;amp;list_uids=10845661&amp;amp;query_hl=1&lt;/_url&gt;&lt;_volume&gt;32&lt;/_volume&gt;&lt;/Details&gt;&lt;Extra&gt;&lt;DBUID&gt;{9A7C78BD-F289-43CD-8CC7-97501B76739F}&lt;/DBUID&gt;&lt;/Extra&gt;&lt;/Item&gt;&lt;/References&gt;&lt;/Group&gt;&lt;Group&gt;&lt;References&gt;&lt;Item&gt;&lt;ID&gt;3629&lt;/ID&gt;&lt;UID&gt;{76F523F3-F94F-4065-ABC3-664728CFA27A}&lt;/UID&gt;&lt;Title&gt;Mechanisms, diagnosis and management of hepatic encephalopathy&lt;/Title&gt;&lt;Template&gt;Journal Article&lt;/Template&gt;&lt;Star&gt;0&lt;/Star&gt;&lt;Tag&gt;0&lt;/Tag&gt;&lt;Author&gt;Prakash, R; Mullen, K D&lt;/Author&gt;&lt;Year&gt;2010&lt;/Year&gt;&lt;Details&gt;&lt;_accession_num&gt;20703237&lt;/_accession_num&gt;&lt;_author_adr&gt;Division of Gastroenterology, MetroHealth Medical Center, Case Western Reserve University, 2500 MetroHealth Drive, Cleveland, OH 44109, USA.&lt;/_author_adr&gt;&lt;_created&gt;62606095&lt;/_created&gt;&lt;_date&gt;2010-09-01&lt;/_date&gt;&lt;_date_display&gt;2010 Sep&lt;/_date_display&gt;&lt;_doi&gt;10.1038/nrgastro.2010.116&lt;/_doi&gt;&lt;_impact_factor&gt;  16.990&lt;/_impact_factor&gt;&lt;_isbn&gt;1759-5053 (Electronic); 1759-5045 (Linking)&lt;/_isbn&gt;&lt;_issue&gt;9&lt;/_issue&gt;&lt;_journal&gt;Nat Rev Gastroenterol Hepatol&lt;/_journal&gt;&lt;_keywords&gt;Ammonia/metabolism; Gastrointestinal Agents/therapeutic use; Gastrointestinal Tract/metabolism; Hepatic Encephalopathy/*diagnosis/*drug therapy/etiology; Humans; Lactulose/therapeutic use; Neuropsychological Tests; Rifamycins/therapeutic use; Rifaximin&lt;/_keywords&gt;&lt;_language&gt;eng&lt;/_language&gt;&lt;_modified&gt;62606095&lt;/_modified&gt;&lt;_pages&gt;515-25&lt;/_pages&gt;&lt;_tertiary_title&gt;Nature reviews. Gastroenterology &amp;amp; hepatology&lt;/_tertiary_title&gt;&lt;_type_work&gt;Journal Article; Review&lt;/_type_work&gt;&lt;_url&gt;http://www.ncbi.nlm.nih.gov/entrez/query.fcgi?cmd=Retrieve&amp;amp;db=pubmed&amp;amp;dopt=Abstract&amp;amp;list_uids=20703237&amp;amp;query_hl=1&lt;/_url&gt;&lt;_volume&gt;7&lt;/_volume&gt;&lt;/Details&gt;&lt;Extra&gt;&lt;DBUID&gt;{9A7C78BD-F289-43CD-8CC7-97501B76739F}&lt;/DBUID&gt;&lt;/Extra&gt;&lt;/Item&gt;&lt;/References&gt;&lt;/Group&gt;&lt;Group&gt;&lt;References&gt;&lt;Item&gt;&lt;ID&gt;3630&lt;/ID&gt;&lt;UID&gt;{92703EC3-96E3-4F88-ADFB-E37F4AA00330}&lt;/UID&gt;&lt;Title&gt;Auditory P300 event-related potentials and number connection test for evaluation  of subclinical hepatic encephalopathy in patients with cirrhosis of the liver: a  follow-up study&lt;/Title&gt;&lt;Template&gt;Journal Article&lt;/Template&gt;&lt;Star&gt;0&lt;/Star&gt;&lt;Tag&gt;0&lt;/Tag&gt;&lt;Author&gt;Saxena, N; Bhatia, M; Joshi, Y K; Garg, P K; Tandon, R K&lt;/Author&gt;&lt;Year&gt;2001&lt;/Year&gt;&lt;Details&gt;&lt;_accession_num&gt;11339425&lt;/_accession_num&gt;&lt;_author_adr&gt;Department of Gastroenterology and Human Nutrition, All India Institute of Medical Sciences, New Delhi.&lt;/_author_adr&gt;&lt;_created&gt;62606095&lt;/_created&gt;&lt;_date&gt;2001-03-01&lt;/_date&gt;&lt;_date_display&gt;2001 Mar&lt;/_date_display&gt;&lt;_impact_factor&gt;   3.483&lt;/_impact_factor&gt;&lt;_isbn&gt;0815-9319 (Print); 0815-9319 (Linking)&lt;/_isbn&gt;&lt;_issue&gt;3&lt;/_issue&gt;&lt;_journal&gt;J Gastroenterol Hepatol&lt;/_journal&gt;&lt;_keywords&gt;Adolescent; Adult; Aged; Disease Progression; *Event-Related Potentials, P300; *Evoked Potentials, Auditory; Female; Follow-Up Studies; Hepatic Encephalopathy/*diagnosis/*etiology; Humans; Liver Cirrhosis/*complications; Male; Mathematics; Middle Aged; *Neuropsychological Tests; Reaction Time; Time Factors&lt;/_keywords&gt;&lt;_language&gt;eng&lt;/_language&gt;&lt;_modified&gt;62606095&lt;/_modified&gt;&lt;_pages&gt;322-7&lt;/_pages&gt;&lt;_tertiary_title&gt;Journal of gastroenterology and hepatology&lt;/_tertiary_title&gt;&lt;_type_work&gt;Journal Article&lt;/_type_work&gt;&lt;_url&gt;http://www.ncbi.nlm.nih.gov/entrez/query.fcgi?cmd=Retrieve&amp;amp;db=pubmed&amp;amp;dopt=Abstract&amp;amp;list_uids=11339425&amp;amp;query_hl=1&lt;/_url&gt;&lt;_volume&gt;16&lt;/_volume&gt;&lt;/Details&gt;&lt;Extra&gt;&lt;DBUID&gt;{9A7C78BD-F289-43CD-8CC7-97501B76739F}&lt;/DBUID&gt;&lt;/Extra&gt;&lt;/Item&gt;&lt;/References&gt;&lt;/Group&gt;&lt;Group&gt;&lt;References&gt;&lt;Item&gt;&lt;ID&gt;3631&lt;/ID&gt;&lt;UID&gt;{641C7C8D-14CE-476A-8211-960886F4F928}&lt;/UID&gt;&lt;Title&gt;Management options for minimal hepatic encephalopathy&lt;/Title&gt;&lt;Template&gt;Journal Article&lt;/Template&gt;&lt;Star&gt;0&lt;/Star&gt;&lt;Tag&gt;0&lt;/Tag&gt;&lt;Author&gt;Bajaj, J S&lt;/Author&gt;&lt;Year&gt;2008&lt;/Year&gt;&lt;Details&gt;&lt;_accession_num&gt;19090738&lt;/_accession_num&gt;&lt;_author_adr&gt;Division of Gastroenterology, Hepatology and Nutrition, Virginia Commonwealth University and McGuire VA Medical Center, 1201 Broad Rock Boulevard, Richmond, VA 23221, USA. jasmohan.bajaj@va.gov&lt;/_author_adr&gt;&lt;_created&gt;62606095&lt;/_created&gt;&lt;_date&gt;2008-12-01&lt;/_date&gt;&lt;_date_display&gt;2008 Dec&lt;/_date_display&gt;&lt;_doi&gt;10.1586/17474124.2.6.785&lt;/_doi&gt;&lt;_impact_factor&gt;   2.963&lt;/_impact_factor&gt;&lt;_isbn&gt;1747-4132 (Electronic); 1747-4124 (Linking)&lt;/_isbn&gt;&lt;_issue&gt;6&lt;/_issue&gt;&lt;_journal&gt;Expert Rev Gastroenterol Hepatol&lt;/_journal&gt;&lt;_keywords&gt;Cognition/physiology; Hepatic Encephalopathy/*diagnosis/psychology/*therapy; Humans; Lactulose/therapeutic use; Probiotics/therapeutic use; Psychometrics&lt;/_keywords&gt;&lt;_language&gt;eng&lt;/_language&gt;&lt;_modified&gt;62606105&lt;/_modified&gt;&lt;_pages&gt;785-90&lt;/_pages&gt;&lt;_tertiary_title&gt;Expert review of gastroenterology &amp;amp; hepatology&lt;/_tertiary_title&gt;&lt;_type_work&gt;Journal Article; Review&lt;/_type_work&gt;&lt;_url&gt;http://www.ncbi.nlm.nih.gov/entrez/query.fcgi?cmd=Retrieve&amp;amp;db=pubmed&amp;amp;dopt=Abstract&amp;amp;list_uids=19090738&amp;amp;query_hl=1&lt;/_url&gt;&lt;_volume&gt;2&lt;/_volume&gt;&lt;/Details&gt;&lt;Extra&gt;&lt;DBUID&gt;{9A7C78BD-F289-43CD-8CC7-97501B76739F}&lt;/DBUID&gt;&lt;/Extra&gt;&lt;/Item&gt;&lt;/References&gt;&lt;/Group&gt;&lt;/Citation&gt;_x000a_"/>
    <w:docVar w:name="NE.Ref{545D44C8-8578-4F2F-ABEC-73799F2BBA1F}" w:val=" ADDIN NE.Ref.{545D44C8-8578-4F2F-ABEC-73799F2BBA1F}&lt;Citation&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59B60DA1-E0F3-4CB6-9C82-BDBE0B7F0151}" w:val=" ADDIN NE.Ref.{59B60DA1-E0F3-4CB6-9C82-BDBE0B7F0151}&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Citation&gt;_x000a_"/>
    <w:docVar w:name="NE.Ref{674A039E-57A9-4088-BD5F-EB0303AD3423}" w:val=" ADDIN NE.Ref.{674A039E-57A9-4088-BD5F-EB0303AD342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69812CCE-F85C-4FDA-B92E-973BCADB0420}" w:val=" ADDIN NE.Ref.{69812CCE-F85C-4FDA-B92E-973BCADB0420}&lt;Citation&gt;&lt;Group&gt;&lt;References&gt;&lt;Item&gt;&lt;ID&gt;3019&lt;/ID&gt;&lt;UID&gt;{66CAD162-D6CA-4BF6-B8B8-166B54A20275}&lt;/UID&gt;&lt;Title&gt;要数据-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599439&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Group&gt;&lt;References&gt;&lt;Item&gt;&lt;ID&gt;3342&lt;/ID&gt;&lt;UID&gt;{15D079E8-E4D1-4936-849C-D427E80B4CAD}&lt;/UID&gt;&lt;Title&gt;Proton pump inhibitors increase the overall risk of developing bacterial infections in patients with cirrhosis&lt;/Title&gt;&lt;Template&gt;Journal Article&lt;/Template&gt;&lt;Star&gt;0&lt;/Star&gt;&lt;Tag&gt;0&lt;/Tag&gt;&lt;Author&gt;Lázaro-Pacheco, I B; Servín-Caamaño, A I; Pérez-Hernández, J L; Rojas-Loureiro, G; Servín-Abad, L; Higuera-De, La Tijera F&lt;/Author&gt;&lt;Year&gt;2018&lt;/Year&gt;&lt;Details&gt;&lt;_alternate_title&gt;Arq. Gastroenterol.Inibidores de bomba protônica aumentam o risco geral de desenvolver infecções bacterianas em pacientes com cirrose&lt;/_alternate_title&gt;&lt;_author_adr&gt;F. Higuera-De La Tijera, Gastroenterology and Hepatology Department, Hospital General de México, Dr. Eduardo Liceaga, Dr. Balmis 148, Mexico City, Mexico&lt;/_author_adr&gt;&lt;_created&gt;62599139&lt;/_created&gt;&lt;_date&gt;2018-01-01&lt;/_date&gt;&lt;_date_display&gt;2018&lt;/_date_display&gt;&lt;_doi&gt;10.1590/s0004-2803.201800000-09&lt;/_doi&gt;&lt;_isbn&gt;1678-4219&lt;/_isbn&gt;&lt;_issue&gt;1&lt;/_issue&gt;&lt;_journal&gt;Arquivos de Gastroenterologia&lt;/_journal&gt;&lt;_keywords&gt;albumin; alcohol; autoantibody; bilirubin; creatinine; proton pump inhibitor; sodium; adult; article; ascites; bacterial infection; bacterial peritonitis; bleeding; cellulitis; cohort analysis; esophagus candidiasis; hepatic encephalopathy; human; infection risk; liver cirrhosis; male; periodontal abscess; pneumonia; retrospective study; risk assessment; urinary tract infection; Varicella zoster virus&lt;/_keywords&gt;&lt;_modified&gt;62599214&lt;/_modified&gt;&lt;_pages&gt;28-32&lt;/_pages&gt;&lt;_url&gt;http://www.embase.com/search/results?subaction=viewrecord&amp;amp;from=export&amp;amp;id=L621325378_x000d__x000a_http://dx.doi.org/10.1590/s0004-2803.201800000-09&lt;/_url&gt;&lt;_volume&gt;55&lt;/_volume&gt;&lt;/Details&gt;&lt;Extra&gt;&lt;DBUID&gt;{9A7C78BD-F289-43CD-8CC7-97501B76739F}&lt;/DBUID&gt;&lt;/Extra&gt;&lt;/Item&gt;&lt;/References&gt;&lt;/Group&gt;&lt;Group&gt;&lt;References&gt;&lt;Item&gt;&lt;ID&gt;3458&lt;/ID&gt;&lt;UID&gt;{A6391D0D-BA26-4FF9-A2C3-1F66F2DE7873}&lt;/UID&gt;&lt;Title&gt;Proton pump inhibitor use is associated with spontaneous bacterial peritonitis in patients with liver cirrhosis&lt;/Title&gt;&lt;Template&gt;Journal Article&lt;/Template&gt;&lt;Star&gt;0&lt;/Star&gt;&lt;Tag&gt;0&lt;/Tag&gt;&lt;Author&gt;Miura, K; Tanaka, A; Yamamoto, T; Adachi, M; Takikawa, H&lt;/Author&gt;&lt;Year&gt;2014&lt;/Year&gt;&lt;Details&gt;&lt;_alternate_title&gt;Intern. Med.&lt;/_alternate_title&gt;&lt;_author_adr&gt;A. Tanaka, Department of Medicine, Teikyo University School of Medicine, Japan&lt;/_author_adr&gt;&lt;_collection_scope&gt;SCIE;&lt;/_collection_scope&gt;&lt;_created&gt;62599139&lt;/_created&gt;&lt;_date&gt;2014-01-01&lt;/_date&gt;&lt;_date_display&gt;2014&lt;/_date_display&gt;&lt;_doi&gt;10.2169/internalmedicine.53.2021&lt;/_doi&gt;&lt;_impact_factor&gt;   0.817&lt;/_impact_factor&gt;&lt;_isbn&gt;1349-7235&lt;/_isbn&gt;&lt;_issue&gt;10&lt;/_issue&gt;&lt;_journal&gt;Internal Medicine&lt;/_journal&gt;&lt;_keywords&gt;albumin; bilirubin; ceftriaxone; creatinine; diuretic agent; histamine H2 receptor antagonist; kanamycin; lansoprazole; omeprazole; proton pump inhibitor; rabeprazole; aged; article; bacterial peritonitis; Child Pugh score; community acquired infection; controlled study; disease association; female; hepatic encephalopathy; human; international normalized ratio; leukocyte count; liver cell carcinoma; liver cirrhosis; major clinical study; male; Model For End Stage Liver Disease Score; prevalence; retrospective study; risk factor; stomach hemorrhage; platelet count; urinary tract infection&lt;/_keywords&gt;&lt;_modified&gt;62599179&lt;/_modified&gt;&lt;_pages&gt;1037-1042&lt;/_pages&gt;&lt;_url&gt;http://www.embase.com/search/results?subaction=viewrecord&amp;amp;from=export&amp;amp;id=L373126061_x000d__x000a_http://dx.doi.org/10.2169/internalmedicine.53.2021&lt;/_url&gt;&lt;_volume&gt;53&lt;/_volume&gt;&lt;/Details&gt;&lt;Extra&gt;&lt;DBUID&gt;{9A7C78BD-F289-43CD-8CC7-97501B76739F}&lt;/DBUID&gt;&lt;/Extra&gt;&lt;/Item&gt;&lt;/References&gt;&lt;/Group&gt;&lt;Group&gt;&lt;References&gt;&lt;Item&gt;&lt;ID&gt;3542&lt;/ID&gt;&lt;UID&gt;{916E04FE-1436-43E7-8357-4B94AAE6C615}&lt;/UID&gt;&lt;Title&gt;Proton pump inhibitor (PPI) use is independently associated with spontaneous bacterial peritonitis (SBP) in cirrhotics with ascites&lt;/Title&gt;&lt;Template&gt;Journal Article&lt;/Template&gt;&lt;Star&gt;0&lt;/Star&gt;&lt;Tag&gt;0&lt;/Tag&gt;&lt;Author&gt;Bulsiewicz, W J; Scherer, J R; Feinglass, J M; Howden, C W; Flamm, S L&lt;/Author&gt;&lt;Year&gt;2009&lt;/Year&gt;&lt;Details&gt;&lt;_alternate_title&gt;Gastroenterology&lt;/_alternate_title&gt;&lt;_author_adr&gt;W.J. Bulsiewicz&lt;/_author_adr&gt;&lt;_collection_scope&gt;SCI;SCIE;&lt;/_collection_scope&gt;&lt;_created&gt;62599139&lt;/_created&gt;&lt;_date&gt;2009-01-01&lt;/_date&gt;&lt;_date_display&gt;2009&lt;/_date_display&gt;&lt;_doi&gt;10.1016/S0016-5085(09)60053-6&lt;/_doi&gt;&lt;_impact_factor&gt;  20.773&lt;/_impact_factor&gt;&lt;_isbn&gt;0016-5085&lt;/_isbn&gt;&lt;_issue&gt;5&lt;/_issue&gt;&lt;_journal&gt;Gastroenterology&lt;/_journal&gt;&lt;_keywords&gt;proton pump inhibitor; antibiotic agent; ascites; gastrointestinal disease; bacterial peritonitis; patient; paracentesis; risk; male; laboratory; liver cirrhosis; Human immunodeficiency virus; animal model; hospital; cohort analysis; portosystemic anastomosis; liver graft; hospitalization; documentation; ascites fluid; multivariate logistic regression analysis; logistic regression analysis; dose response; hepatic encephalopathy; sodium blood level; prophylaxis; hyponatremia; risk factor; bacterial overgrowth&lt;/_keywords&gt;&lt;_modified&gt;62599156&lt;/_modified&gt;&lt;_pages&gt;A11&lt;/_pages&gt;&lt;_url&gt;http://www.embase.com/search/results?subaction=viewrecord&amp;amp;from=export&amp;amp;id=L70150636_x000d__x000a_http://dx.doi.org/10.1016/S0016-5085(09)60053-6&lt;/_url&gt;&lt;_volume&gt;136&lt;/_volume&gt;&lt;/Details&gt;&lt;Extra&gt;&lt;DBUID&gt;{9A7C78BD-F289-43CD-8CC7-97501B76739F}&lt;/DBUID&gt;&lt;/Extra&gt;&lt;/Item&gt;&lt;/References&gt;&lt;/Group&gt;&lt;/Citation&gt;_x000a_"/>
    <w:docVar w:name="NE.Ref{6BAFC9BA-CFB8-4B25-AB4B-30647F57BEF1}" w:val=" ADDIN NE.Ref.{6BAFC9BA-CFB8-4B25-AB4B-30647F57BEF1}&lt;Citation&gt;&lt;Group&gt;&lt;References&gt;&lt;Item&gt;&lt;ID&gt;3637&lt;/ID&gt;&lt;UID&gt;{22FBC8FE-3653-4635-BF3B-58938ED523E1}&lt;/UID&gt;&lt;Title&gt;Meta-analysis of observational studies in epidemiology: a proposal for reporting. Meta-analysis Of Observational Studies in Epidemiology (MOOSE) group&lt;/Title&gt;&lt;Template&gt;Journal Article&lt;/Template&gt;&lt;Star&gt;0&lt;/Star&gt;&lt;Tag&gt;0&lt;/Tag&gt;&lt;Author&gt;Stroup, D F; Berlin, J A; Morton, S C; Olkin, I; Williamson, G D; Rennie, D; Moher, D; Becker, B J; Sipe, T A; Thacker, S B&lt;/Author&gt;&lt;Year&gt;2000&lt;/Year&gt;&lt;Details&gt;&lt;_accession_num&gt;10789670&lt;/_accession_num&gt;&lt;_author_adr&gt;Centers for Disease Control and Prevention, Atlanta, GA 30333, USA. dfs2@cdc.gov&lt;/_author_adr&gt;&lt;_created&gt;61995521&lt;/_created&gt;&lt;_date&gt;2000-04-19&lt;/_date&gt;&lt;_date_display&gt;2000 Apr 19&lt;/_date_display&gt;&lt;_impact_factor&gt;  47.661&lt;/_impact_factor&gt;&lt;_isbn&gt;0098-7484 (Print); 0098-7484 (Linking)&lt;/_isbn&gt;&lt;_issue&gt;15&lt;/_issue&gt;&lt;_journal&gt;JAMA&lt;/_journal&gt;&lt;_keywords&gt;Epidemiology; *Meta-Analysis as Topic; Observation&lt;/_keywords&gt;&lt;_language&gt;eng&lt;/_language&gt;&lt;_modified&gt;62606397&lt;/_modified&gt;&lt;_pages&gt;2008-12&lt;/_pages&gt;&lt;_tertiary_title&gt;JAMA&lt;/_tertiary_title&gt;&lt;_type_work&gt;Consensus Development Conference; Journal Article; Research Support, U.S. Gov&amp;apos;t, P.H.S.; Review&lt;/_type_work&gt;&lt;_url&gt;http://www.ncbi.nlm.nih.gov/entrez/query.fcgi?cmd=Retrieve&amp;amp;db=pubmed&amp;amp;dopt=Abstract&amp;amp;list_uids=10789670&amp;amp;query_hl=1&lt;/_url&gt;&lt;_volume&gt;283&lt;/_volume&gt;&lt;/Details&gt;&lt;Extra&gt;&lt;DBUID&gt;{9A7C78BD-F289-43CD-8CC7-97501B76739F}&lt;/DBUID&gt;&lt;/Extra&gt;&lt;/Item&gt;&lt;/References&gt;&lt;/Group&gt;&lt;/Citation&gt;_x000a_"/>
    <w:docVar w:name="NE.Ref{6D848BAF-93E4-4352-BCC9-9E48C11A0F57}" w:val=" ADDIN NE.Ref.{6D848BAF-93E4-4352-BCC9-9E48C11A0F57}&lt;Citation&gt;&lt;Group&gt;&lt;References&gt;&lt;Item&gt;&lt;ID&gt;3651&lt;/ID&gt;&lt;UID&gt;{459B4C90-C567-49EA-9451-69E4822DC698}&lt;/UID&gt;&lt;Title&gt;Case-control studies: research in reverse&lt;/Title&gt;&lt;Template&gt;Journal Article&lt;/Template&gt;&lt;Star&gt;0&lt;/Star&gt;&lt;Tag&gt;0&lt;/Tag&gt;&lt;Author&gt;Schulz, Kenneth F; Grimes, David A&lt;/Author&gt;&lt;Year&gt;2002&lt;/Year&gt;&lt;Details&gt;&lt;_alternate_title&gt;The Lancet&lt;/_alternate_title&gt;&lt;_date_display&gt;2002_x000d__x000a_2002/02/02&lt;/_date_display&gt;&lt;_date&gt;2002-02-02&lt;/_date&gt;&lt;_doi&gt;10.1016/S0140-6736(02)07605-5&lt;/_doi&gt;&lt;_isbn&gt;0140-6736&lt;/_isbn&gt;&lt;_issue&gt;9304&lt;/_issue&gt;&lt;_journal&gt;The Lancet&lt;/_journal&gt;&lt;_ori_publication&gt;Elsevier&lt;/_ori_publication&gt;&lt;_pages&gt;431-434&lt;/_pages&gt;&lt;_url&gt;https://doi.org/10.1016/S0140-6736(02)07605-5&lt;/_url&gt;&lt;_volume&gt;359&lt;/_volume&gt;&lt;_created&gt;62609306&lt;/_created&gt;&lt;_modified&gt;62609306&lt;/_modified&gt;&lt;_impact_factor&gt;  53.254&lt;/_impact_factor&gt;&lt;/Details&gt;&lt;Extra&gt;&lt;DBUID&gt;{9A7C78BD-F289-43CD-8CC7-97501B76739F}&lt;/DBUID&gt;&lt;/Extra&gt;&lt;/Item&gt;&lt;/References&gt;&lt;/Group&gt;&lt;/Citation&gt;_x000a_"/>
    <w:docVar w:name="NE.Ref{797FCE14-136B-42D2-B11E-5CEBFB400A5F}" w:val=" ADDIN NE.Ref.{797FCE14-136B-42D2-B11E-5CEBFB400A5F}&lt;Citation&gt;&lt;Group&gt;&lt;References&gt;&lt;Item&gt;&lt;ID&gt;3636&lt;/ID&gt;&lt;UID&gt;{E48E8BA2-DC91-4B4B-B112-636ABF7DDEF7}&lt;/UID&gt;&lt;Title&gt;Altered bowel function and duodenal bacterial overgrowth in patients treated with omeprazole&lt;/Title&gt;&lt;Template&gt;Journal Article&lt;/Template&gt;&lt;Star&gt;0&lt;/Star&gt;&lt;Tag&gt;0&lt;/Tag&gt;&lt;Author&gt;Lewis, S J; Franco, S; Young, G; O&amp;apos;Keefe, S J&lt;/Author&gt;&lt;Year&gt;1996&lt;/Year&gt;&lt;Details&gt;&lt;_accession_num&gt;8853759&lt;/_accession_num&gt;&lt;_author_adr&gt;Gastro-Intestinal Clinic, Groote Schuur Hospital, Cape Town, South Africa.&lt;/_author_adr&gt;&lt;_created&gt;62606095&lt;/_created&gt;&lt;_date&gt;1996-08-01&lt;/_date&gt;&lt;_date_display&gt;1996 Aug&lt;/_date_display&gt;&lt;_impact_factor&gt;   7.357&lt;/_impact_factor&gt;&lt;_isbn&gt;0269-2813 (Print); 0269-2813 (Linking)&lt;/_isbn&gt;&lt;_issue&gt;4&lt;/_issue&gt;&lt;_journal&gt;Aliment Pharmacol Ther&lt;/_journal&gt;&lt;_keywords&gt;Adult; Anti-Ulcer Agents/*therapeutic use; Defecation/*drug effects; Duodenal Ulcer/*drug therapy; Duodenum/drug effects/*microbiology; Enzyme Inhibitors/*therapeutic use; Female; Gastrointestinal Transit/drug effects; Humans; Intestinal Absorption/drug effects; Male; Omeprazole/*therapeutic use; *Proton Pump Inhibitors; Xylose/metabolism&lt;/_keywords&gt;&lt;_language&gt;eng&lt;/_language&gt;&lt;_modified&gt;62609390&lt;/_modified&gt;&lt;_pages&gt;557-61&lt;/_pages&gt;&lt;_tertiary_title&gt;Alimentary pharmacology &amp;amp; therapeutics&lt;/_tertiary_title&gt;&lt;_type_work&gt;Clinical Trial; Comparative Study; Journal Article&lt;/_type_work&gt;&lt;_url&gt;http://www.ncbi.nlm.nih.gov/entrez/query.fcgi?cmd=Retrieve&amp;amp;db=pubmed&amp;amp;dopt=Abstract&amp;amp;list_uids=8853759&amp;amp;query_hl=1&lt;/_url&gt;&lt;_volume&gt;10&lt;/_volume&gt;&lt;/Details&gt;&lt;Extra&gt;&lt;DBUID&gt;{9A7C78BD-F289-43CD-8CC7-97501B76739F}&lt;/DBUID&gt;&lt;/Extra&gt;&lt;/Item&gt;&lt;/References&gt;&lt;/Group&gt;&lt;Group&gt;&lt;References&gt;&lt;Item&gt;&lt;ID&gt;3019&lt;/ID&gt;&lt;UID&gt;{66CAD162-D6CA-4BF6-B8B8-166B54A20275}&lt;/UID&gt;&lt;Title&gt;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606096&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Group&gt;&lt;References&gt;&lt;Item&gt;&lt;ID&gt;3342&lt;/ID&gt;&lt;UID&gt;{15D079E8-E4D1-4936-849C-D427E80B4CAD}&lt;/UID&gt;&lt;Title&gt;Proton pump inhibitors increase the overall risk of developing bacterial infections in patients with cirrhosis&lt;/Title&gt;&lt;Template&gt;Journal Article&lt;/Template&gt;&lt;Star&gt;0&lt;/Star&gt;&lt;Tag&gt;0&lt;/Tag&gt;&lt;Author&gt;Lázaro-Pacheco, I B; Servín-Caamaño, A I; Pérez-Hernández, J L; Rojas-Loureiro, G; Servín-Abad, L; Higuera-De, La Tijera F&lt;/Author&gt;&lt;Year&gt;2018&lt;/Year&gt;&lt;Details&gt;&lt;_alternate_title&gt;Arq. Gastroenterol.Inibidores de bomba protônica aumentam o risco geral de desenvolver infecções bacterianas em pacientes com cirrose&lt;/_alternate_title&gt;&lt;_author_adr&gt;F. Higuera-De La Tijera, Gastroenterology and Hepatology Department, Hospital General de México, Dr. Eduardo Liceaga, Dr. Balmis 148, Mexico City, Mexico&lt;/_author_adr&gt;&lt;_created&gt;62599139&lt;/_created&gt;&lt;_date&gt;2018-01-01&lt;/_date&gt;&lt;_date_display&gt;2018&lt;/_date_display&gt;&lt;_doi&gt;10.1590/s0004-2803.201800000-09&lt;/_doi&gt;&lt;_isbn&gt;1678-4219&lt;/_isbn&gt;&lt;_issue&gt;1&lt;/_issue&gt;&lt;_journal&gt;Arquivos de Gastroenterologia&lt;/_journal&gt;&lt;_keywords&gt;albumin; alcohol; autoantibody; bilirubin; creatinine; proton pump inhibitor; sodium; adult; article; ascites; bacterial infection; bacterial peritonitis; bleeding; cellulitis; cohort analysis; esophagus candidiasis; hepatic encephalopathy; human; infection risk; liver cirrhosis; male; periodontal abscess; pneumonia; retrospective study; risk assessment; urinary tract infection; Varicella zoster virus&lt;/_keywords&gt;&lt;_modified&gt;62599214&lt;/_modified&gt;&lt;_pages&gt;28-32&lt;/_pages&gt;&lt;_url&gt;http://www.embase.com/search/results?subaction=viewrecord&amp;amp;from=export&amp;amp;id=L621325378_x000d__x000a_http://dx.doi.org/10.1590/s0004-2803.201800000-09&lt;/_url&gt;&lt;_volume&gt;55&lt;/_volume&gt;&lt;/Details&gt;&lt;Extra&gt;&lt;DBUID&gt;{9A7C78BD-F289-43CD-8CC7-97501B76739F}&lt;/DBUID&gt;&lt;/Extra&gt;&lt;/Item&gt;&lt;/References&gt;&lt;/Group&gt;&lt;Group&gt;&lt;References&gt;&lt;Item&gt;&lt;ID&gt;3458&lt;/ID&gt;&lt;UID&gt;{A6391D0D-BA26-4FF9-A2C3-1F66F2DE7873}&lt;/UID&gt;&lt;Title&gt;Proton pump inhibitor use is associated with spontaneous bacterial peritonitis in patients with liver cirrhosis&lt;/Title&gt;&lt;Template&gt;Journal Article&lt;/Template&gt;&lt;Star&gt;0&lt;/Star&gt;&lt;Tag&gt;0&lt;/Tag&gt;&lt;Author&gt;Miura, K; Tanaka, A; Yamamoto, T; Adachi, M; Takikawa, H&lt;/Author&gt;&lt;Year&gt;2014&lt;/Year&gt;&lt;Details&gt;&lt;_alternate_title&gt;Intern. Med.&lt;/_alternate_title&gt;&lt;_author_adr&gt;A. Tanaka, Department of Medicine, Teikyo University School of Medicine, Japan&lt;/_author_adr&gt;&lt;_collection_scope&gt;SCIE;&lt;/_collection_scope&gt;&lt;_created&gt;62599139&lt;/_created&gt;&lt;_date&gt;2014-01-01&lt;/_date&gt;&lt;_date_display&gt;2014&lt;/_date_display&gt;&lt;_doi&gt;10.2169/internalmedicine.53.2021&lt;/_doi&gt;&lt;_impact_factor&gt;   0.817&lt;/_impact_factor&gt;&lt;_isbn&gt;1349-7235&lt;/_isbn&gt;&lt;_issue&gt;10&lt;/_issue&gt;&lt;_journal&gt;Internal Medicine&lt;/_journal&gt;&lt;_keywords&gt;albumin; bilirubin; ceftriaxone; creatinine; diuretic agent; histamine H2 receptor antagonist; kanamycin; lansoprazole; omeprazole; proton pump inhibitor; rabeprazole; aged; article; bacterial peritonitis; Child Pugh score; community acquired infection; controlled study; disease association; female; hepatic encephalopathy; human; international normalized ratio; leukocyte count; liver cell carcinoma; liver cirrhosis; major clinical study; male; Model For End Stage Liver Disease Score; prevalence; retrospective study; risk factor; stomach hemorrhage; platelet count; urinary tract infection&lt;/_keywords&gt;&lt;_modified&gt;62599179&lt;/_modified&gt;&lt;_pages&gt;1037-1042&lt;/_pages&gt;&lt;_url&gt;http://www.embase.com/search/results?subaction=viewrecord&amp;amp;from=export&amp;amp;id=L373126061_x000d__x000a_http://dx.doi.org/10.2169/internalmedicine.53.2021&lt;/_url&gt;&lt;_volume&gt;53&lt;/_volume&gt;&lt;/Details&gt;&lt;Extra&gt;&lt;DBUID&gt;{9A7C78BD-F289-43CD-8CC7-97501B76739F}&lt;/DBUID&gt;&lt;/Extra&gt;&lt;/Item&gt;&lt;/References&gt;&lt;/Group&gt;&lt;Group&gt;&lt;References&gt;&lt;Item&gt;&lt;ID&gt;3542&lt;/ID&gt;&lt;UID&gt;{916E04FE-1436-43E7-8357-4B94AAE6C615}&lt;/UID&gt;&lt;Title&gt;Proton pump inhibitor (PPI) use is independently associated with spontaneous bacterial peritonitis (SBP) in cirrhotics with ascites&lt;/Title&gt;&lt;Template&gt;Journal Article&lt;/Template&gt;&lt;Star&gt;0&lt;/Star&gt;&lt;Tag&gt;0&lt;/Tag&gt;&lt;Author&gt;Bulsiewicz, W J; Scherer, J R; Feinglass, J M; Howden, C W; Flamm, S L&lt;/Author&gt;&lt;Year&gt;2009&lt;/Year&gt;&lt;Details&gt;&lt;_alternate_title&gt;Gastroenterology&lt;/_alternate_title&gt;&lt;_author_adr&gt;W.J. Bulsiewicz&lt;/_author_adr&gt;&lt;_collection_scope&gt;SCI;SCIE;&lt;/_collection_scope&gt;&lt;_created&gt;62599139&lt;/_created&gt;&lt;_date&gt;2009-01-01&lt;/_date&gt;&lt;_date_display&gt;2009&lt;/_date_display&gt;&lt;_doi&gt;10.1016/S0016-5085(09)60053-6&lt;/_doi&gt;&lt;_impact_factor&gt;  20.773&lt;/_impact_factor&gt;&lt;_isbn&gt;0016-5085&lt;/_isbn&gt;&lt;_issue&gt;5&lt;/_issue&gt;&lt;_journal&gt;Gastroenterology&lt;/_journal&gt;&lt;_keywords&gt;proton pump inhibitor; antibiotic agent; ascites; gastrointestinal disease; bacterial peritonitis; patient; paracentesis; risk; male; laboratory; liver cirrhosis; Human immunodeficiency virus; animal model; hospital; cohort analysis; portosystemic anastomosis; liver graft; hospitalization; documentation; ascites fluid; multivariate logistic regression analysis; logistic regression analysis; dose response; hepatic encephalopathy; sodium blood level; prophylaxis; hyponatremia; risk factor; bacterial overgrowth&lt;/_keywords&gt;&lt;_modified&gt;62599156&lt;/_modified&gt;&lt;_pages&gt;A11&lt;/_pages&gt;&lt;_url&gt;http://www.embase.com/search/results?subaction=viewrecord&amp;amp;from=export&amp;amp;id=L70150636_x000d__x000a_http://dx.doi.org/10.1016/S0016-5085(09)60053-6&lt;/_url&gt;&lt;_volume&gt;136&lt;/_volume&gt;&lt;/Details&gt;&lt;Extra&gt;&lt;DBUID&gt;{9A7C78BD-F289-43CD-8CC7-97501B76739F}&lt;/DBUID&gt;&lt;/Extra&gt;&lt;/Item&gt;&lt;/References&gt;&lt;/Group&gt;&lt;/Citation&gt;_x000a_"/>
    <w:docVar w:name="NE.Ref{800BFB08-CC2C-473F-AB08-D612DD677663}" w:val=" ADDIN NE.Ref.{800BFB08-CC2C-473F-AB08-D612DD677663}&lt;Citation&gt;&lt;Group&gt;&lt;References&gt;&lt;Item&gt;&lt;ID&gt;3019&lt;/ID&gt;&lt;UID&gt;{66CAD162-D6CA-4BF6-B8B8-166B54A20275}&lt;/UID&gt;&lt;Title&gt;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606096&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Citation&gt;_x000a_"/>
    <w:docVar w:name="NE.Ref{8057537E-7FDA-45C7-AF7B-38513EF2D026}" w:val=" ADDIN NE.Ref.{8057537E-7FDA-45C7-AF7B-38513EF2D026}&lt;Citation&gt;&lt;Group&gt;&lt;References&gt;&lt;Item&gt;&lt;ID&gt;3633&lt;/ID&gt;&lt;UID&gt;{794F2207-933D-4B9C-A580-214C3335D897}&lt;/UID&gt;&lt;Title&gt;Use and overuse of proton pump inhibitors in cirrhotic patients&lt;/Title&gt;&lt;Template&gt;Journal Article&lt;/Template&gt;&lt;Star&gt;0&lt;/Star&gt;&lt;Tag&gt;0&lt;/Tag&gt;&lt;Author&gt;Chavez-Tapia, N C; Tellez-Avila, F I; Garcia-Leiva, J; Valdovinos, M A&lt;/Author&gt;&lt;Year&gt;2008&lt;/Year&gt;&lt;Details&gt;&lt;_accession_num&gt;18758417&lt;/_accession_num&gt;&lt;_author_adr&gt;Department of Gastroenterology, National Institute of Medical Science and Nutrition Salvador Zubiran, Mexico City, Mexico. khavez@gmail.com &amp;lt;khavez@gmail.com&amp;gt;&lt;/_author_adr&gt;&lt;_created&gt;62606095&lt;/_created&gt;&lt;_date&gt;2008-09-01&lt;/_date&gt;&lt;_date_display&gt;2008 Sep&lt;/_date_display&gt;&lt;_impact_factor&gt;   1.894&lt;/_impact_factor&gt;&lt;_isbn&gt;1643-3750 (Electronic); 1234-1010 (Linking)&lt;/_isbn&gt;&lt;_issue&gt;9&lt;/_issue&gt;&lt;_journal&gt;Med Sci Monit&lt;/_journal&gt;&lt;_keywords&gt;Adult; Aged; Analysis of Variance; Blood Chemical Analysis; Child; *Drug Utilization Review; Female; Humans; Liver Cirrhosis/*drug therapy/pathology/physiopathology; Middle Aged; *Proton Pump Inhibitors/standards/therapeutic use; Retrospective Studies&lt;/_keywords&gt;&lt;_language&gt;eng&lt;/_language&gt;&lt;_modified&gt;62606106&lt;/_modified&gt;&lt;_pages&gt;CR468-72&lt;/_pages&gt;&lt;_tertiary_title&gt;Medical science monitor : international medical journal of experimental and_x000d__x000a_      clinical research&lt;/_tertiary_title&gt;&lt;_type_work&gt;Journal Article&lt;/_type_work&gt;&lt;_url&gt;http://www.ncbi.nlm.nih.gov/entrez/query.fcgi?cmd=Retrieve&amp;amp;db=pubmed&amp;amp;dopt=Abstract&amp;amp;list_uids=18758417&amp;amp;query_hl=1&lt;/_url&gt;&lt;_volume&gt;14&lt;/_volume&gt;&lt;/Details&gt;&lt;Extra&gt;&lt;DBUID&gt;{9A7C78BD-F289-43CD-8CC7-97501B76739F}&lt;/DBUID&gt;&lt;/Extra&gt;&lt;/Item&gt;&lt;/References&gt;&lt;/Group&gt;&lt;Group&gt;&lt;References&gt;&lt;Item&gt;&lt;ID&gt;3634&lt;/ID&gt;&lt;UID&gt;{A4CE5CC3-3A4C-4812-B4CD-F517CF00B467}&lt;/UID&gt;&lt;Title&gt;Inadequate use of proton-pump inhibitors in patients with liver cirrhosis&lt;/Title&gt;&lt;Template&gt;Journal Article&lt;/Template&gt;&lt;Star&gt;0&lt;/Star&gt;&lt;Tag&gt;0&lt;/Tag&gt;&lt;Author&gt;Kalaitzakis, E; Bjornsson, E&lt;/Author&gt;&lt;Year&gt;2008&lt;/Year&gt;&lt;Details&gt;&lt;_accession_num&gt;18467910&lt;/_accession_num&gt;&lt;_author_adr&gt;Section of Gastroenterology and Hepatology, Department of Internal Medicine, Sahlgrenska University Hospital, Gothenburg, Sweden. evangelos.kalaitzakis@vgregion.se&lt;/_author_adr&gt;&lt;_created&gt;62606095&lt;/_created&gt;&lt;_date&gt;2008-06-01&lt;/_date&gt;&lt;_date_display&gt;2008 Jun&lt;/_date_display&gt;&lt;_doi&gt;10.1097/MEG.0b013e3282f4aa01&lt;/_doi&gt;&lt;_impact_factor&gt;   2.014&lt;/_impact_factor&gt;&lt;_isbn&gt;0954-691X (Print); 0954-691X (Linking)&lt;/_isbn&gt;&lt;_issue&gt;6&lt;/_issue&gt;&lt;_journal&gt;Eur J Gastroenterol Hepatol&lt;/_journal&gt;&lt;_keywords&gt;Adult; Aged; Dyspepsia/drug therapy/etiology; Esophageal and Gastric Varices/etiology; Female; Gastrointestinal Diseases/*drug therapy/etiology; Gastrointestinal Hemorrhage/etiology; Histamine H2 Antagonists/therapeutic use; Humans; Liver Cirrhosis/*complications; Male; Middle Aged; Prospective Studies; Proton Pump Inhibitors/*therapeutic use; Severity of Illness Index&lt;/_keywords&gt;&lt;_language&gt;eng&lt;/_language&gt;&lt;_modified&gt;62606642&lt;/_modified&gt;&lt;_pages&gt;512-8&lt;/_pages&gt;&lt;_tertiary_title&gt;European journal of gastroenterology &amp;amp; hepatology&lt;/_tertiary_title&gt;&lt;_type_work&gt;Journal Article&lt;/_type_work&gt;&lt;_url&gt;http://www.ncbi.nlm.nih.gov/entrez/query.fcgi?cmd=Retrieve&amp;amp;db=pubmed&amp;amp;dopt=Abstract&amp;amp;list_uids=18467910&amp;amp;query_hl=1&lt;/_url&gt;&lt;_volume&gt;20&lt;/_volume&gt;&lt;/Details&gt;&lt;Extra&gt;&lt;DBUID&gt;{9A7C78BD-F289-43CD-8CC7-97501B76739F}&lt;/DBUID&gt;&lt;/Extra&gt;&lt;/Item&gt;&lt;/References&gt;&lt;/Group&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Citation&gt;_x000a_"/>
    <w:docVar w:name="NE.Ref{8A0C927E-B543-4D8B-B54E-CC450DCF5C66}" w:val=" ADDIN NE.Ref.{8A0C927E-B543-4D8B-B54E-CC450DCF5C66}&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8A4451FE-C887-466E-9495-0B8FD327BE25}" w:val=" ADDIN NE.Ref.{8A4451FE-C887-466E-9495-0B8FD327BE25}&lt;Citation&gt;&lt;Group&gt;&lt;References&gt;&lt;Item&gt;&lt;ID&gt;3632&lt;/ID&gt;&lt;UID&gt;{34EE5783-F025-4034-8ED5-E3BFA042C0D0}&lt;/UID&gt;&lt;Title&gt;Patterns of proton pump inhibitor use in clinical practice&lt;/Title&gt;&lt;Template&gt;Journal Article&lt;/Template&gt;&lt;Star&gt;0&lt;/Star&gt;&lt;Tag&gt;0&lt;/Tag&gt;&lt;Author&gt;Barrison, A F; Jarboe, L A; Weinberg, B M; Nimmagadda, K; Sullivan, L M; Wolfe, M M&lt;/Author&gt;&lt;Year&gt;2001&lt;/Year&gt;&lt;Details&gt;&lt;_accession_num&gt;11690573&lt;/_accession_num&gt;&lt;_author_adr&gt;Section of Gastroenterology, Boston University School of Medicine and Boston Medical Center, 650 Albany Street, Boston, MA 02118-2393, USA.&lt;/_author_adr&gt;&lt;_collection_scope&gt;SCI;SCIE;&lt;/_collection_scope&gt;&lt;_created&gt;62606095&lt;/_created&gt;&lt;_date&gt;2001-10-15&lt;/_date&gt;&lt;_date_display&gt;2001 Oct 15&lt;/_date_display&gt;&lt;_impact_factor&gt;   5.117&lt;/_impact_factor&gt;&lt;_isbn&gt;0002-9343 (Print); 0002-9343 (Linking)&lt;/_isbn&gt;&lt;_issue&gt;6&lt;/_issue&gt;&lt;_journal&gt;Am J Med&lt;/_journal&gt;&lt;_keywords&gt;Adult; Aged; *Clinical Competence; Data Collection; Drug Prescriptions; Drug Utilization; *Gastroenterology; Humans; Middle Aged; *Practice Patterns, Physicians&amp;apos;; *Primary Health Care; *Proton Pump Inhibitors; Proton Pumps/*pharmacology; Random Allocation&lt;/_keywords&gt;&lt;_language&gt;eng&lt;/_language&gt;&lt;_modified&gt;62606105&lt;/_modified&gt;&lt;_pages&gt;469-73&lt;/_pages&gt;&lt;_tertiary_title&gt;The American journal of medicine&lt;/_tertiary_title&gt;&lt;_type_work&gt;Journal Article; Research Support, Non-U.S. Gov&amp;apos;t&lt;/_type_work&gt;&lt;_url&gt;http://www.ncbi.nlm.nih.gov/entrez/query.fcgi?cmd=Retrieve&amp;amp;db=pubmed&amp;amp;dopt=Abstract&amp;amp;list_uids=11690573&amp;amp;query_hl=1&lt;/_url&gt;&lt;_volume&gt;111&lt;/_volume&gt;&lt;/Details&gt;&lt;Extra&gt;&lt;DBUID&gt;{9A7C78BD-F289-43CD-8CC7-97501B76739F}&lt;/DBUID&gt;&lt;/Extra&gt;&lt;/Item&gt;&lt;/References&gt;&lt;/Group&gt;&lt;/Citation&gt;_x000a_"/>
    <w:docVar w:name="NE.Ref{8E0DEE67-A373-484D-8D62-E50E583B575D}" w:val=" ADDIN NE.Ref.{8E0DEE67-A373-484D-8D62-E50E583B575D}&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186EE2E-0684-44A8-A5BE-9EC5BCF727F3}" w:val=" ADDIN NE.Ref.{9186EE2E-0684-44A8-A5BE-9EC5BCF727F3}&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Group&gt;&lt;References&gt;&lt;Item&gt;&lt;ID&gt;3640&lt;/ID&gt;&lt;UID&gt;{7C864FA8-8D88-41D3-A825-FEE7F1557D46}&lt;/UID&gt;&lt;Title&gt;Proton pump inhibitor therapy and potential long-term harm&lt;/Title&gt;&lt;Template&gt;Journal Article&lt;/Template&gt;&lt;Star&gt;0&lt;/Star&gt;&lt;Tag&gt;0&lt;/Tag&gt;&lt;Author&gt;Corleto, V D; Festa, S; Di Giulio, E; Annibale, B&lt;/Author&gt;&lt;Year&gt;2014&lt;/Year&gt;&lt;Details&gt;&lt;_accession_num&gt;24310148&lt;/_accession_num&gt;&lt;_author_adr&gt;aDepartment of Gastroenterology and Digestive Endoscopy, School of Medicine and Psychology, Sapienza University of Rome, Sant&amp;apos;Andrea Hospital bCentro Ricerche S. Pietro, Ospedale S. Pietro, Rome, Italy.&lt;/_author_adr&gt;&lt;_date_display&gt;2014 Feb&lt;/_date_display&gt;&lt;_date&gt;2014-02-01&lt;/_date&gt;&lt;_doi&gt;10.1097/MED.0000000000000031&lt;/_doi&gt;&lt;_isbn&gt;1752-2978 (Electronic); 1752-296X (Linking)&lt;/_isbn&gt;&lt;_issue&gt;1&lt;/_issue&gt;&lt;_journal&gt;Curr Opin Endocrinol Diabetes Obes&lt;/_journal&gt;&lt;_keywords&gt;Achlorhydria/*chemically induced; Bone Density/*drug effects; Clostridium difficile/immunology; Delayed Diagnosis; Disease Susceptibility; Drug Interactions; Enterocolitis, Pseudomembranous/*chemically induced/immunology; Female; Gastroesophageal Reflux/*drug therapy; Humans; Hypocalcemia/*chemically induced; Magnesium Deficiency/congenital; Male; Practice Patterns, Physicians&amp;apos;; Proton Pump Inhibitors/administration &amp;amp;amp; dosage/*adverse effects; Renal Tubular Transport, Inborn Errors/*chemically induced; Time Factors&lt;/_keywords&gt;&lt;_language&gt;eng&lt;/_language&gt;&lt;_pages&gt;3-8&lt;/_pages&gt;&lt;_tertiary_title&gt;Current opinion in endocrinology, diabetes, and obesity&lt;/_tertiary_title&gt;&lt;_type_work&gt;Journal Article; Research Support, Non-U.S. Gov&amp;apos;t; Review&lt;/_type_work&gt;&lt;_url&gt;http://www.ncbi.nlm.nih.gov/entrez/query.fcgi?cmd=Retrieve&amp;amp;db=pubmed&amp;amp;dopt=Abstract&amp;amp;list_uids=24310148&amp;amp;query_hl=1&lt;/_url&gt;&lt;_volume&gt;21&lt;/_volume&gt;&lt;_created&gt;62609069&lt;/_created&gt;&lt;_modified&gt;62609069&lt;/_modified&gt;&lt;_db_updated&gt;PubMed&lt;/_db_updated&gt;&lt;/Details&gt;&lt;Extra&gt;&lt;DBUID&gt;{9A7C78BD-F289-43CD-8CC7-97501B76739F}&lt;/DBUID&gt;&lt;/Extra&gt;&lt;/Item&gt;&lt;/References&gt;&lt;/Group&gt;&lt;Group&gt;&lt;References&gt;&lt;Item&gt;&lt;ID&gt;3641&lt;/ID&gt;&lt;UID&gt;{3616B0A1-8513-4515-A2EA-78C5C9507927}&lt;/UID&gt;&lt;Title&gt;Use of Proton Pump Inhibitors and Risks of Fundic Gland Polyps and Gastric Cancer: Systematic Review and Meta-analysis&lt;/Title&gt;&lt;Template&gt;Journal Article&lt;/Template&gt;&lt;Star&gt;0&lt;/Star&gt;&lt;Tag&gt;0&lt;/Tag&gt;&lt;Author&gt;Tran-Duy, A; Spaetgens, B; Hoes, A W; de Wit, N J; Stehouwer, C D&lt;/Author&gt;&lt;Year&gt;2016&lt;/Year&gt;&lt;Details&gt;&lt;_accession_num&gt;27211501&lt;/_accession_num&gt;&lt;_author_adr&gt;Department of Internal Medicine, Maastricht University Medical Center, Maastricht, The Netherlands; Department of Clinical Epidemiology and Medical Technology Assessment, Maastricht University Medical Center, Maastricht, The Netherlands. Electronic address: an.tranduy@gmail.com.; Department of Internal Medicine, Maastricht University Medical Center, Maastricht, The Netherlands.; Julius Center for Health Sciences and Primary Care, UMC Utrecht, Utrecht, The Netherlands.; Julius Center for Health Sciences and Primary Care, UMC Utrecht, Utrecht, The Netherlands.; Department of Internal Medicine, Maastricht University Medical Center, Maastricht, The Netherlands.&lt;/_author_adr&gt;&lt;_date_display&gt;2016 Dec&lt;/_date_display&gt;&lt;_date&gt;2016-12-01&lt;/_date&gt;&lt;_doi&gt;10.1016/j.cgh.2016.05.018&lt;/_doi&gt;&lt;_isbn&gt;1542-7714 (Electronic); 1542-3565 (Linking)&lt;/_isbn&gt;&lt;_issue&gt;12&lt;/_issue&gt;&lt;_journal&gt;Clin Gastroenterol Hepatol&lt;/_journal&gt;&lt;_keywords&gt;Humans; Observational Studies as Topic; Polyps/*chemically induced/*epidemiology; Proton Pump Inhibitors/*adverse effects/*therapeutic use; Randomized Controlled Trials as Topic; Risk Assessment; Stomach Neoplasms/*chemically induced/*epidemiology*Acid-Suppressive Drug; *Neoplasm; *Side Effect; *Stomach Carcinoma&lt;/_keywords&gt;&lt;_language&gt;eng&lt;/_language&gt;&lt;_ori_publication&gt;Copyright (c) 2016 AGA Institute. Published by Elsevier Inc. All rights reserved.&lt;/_ori_publication&gt;&lt;_pages&gt;1706-1719.e5&lt;/_pages&gt;&lt;_tertiary_title&gt;Clinical gastroenterology and hepatology : the official clinical practice journal_x000d__x000a_      of the American Gastroenterological Association&lt;/_tertiary_title&gt;&lt;_type_work&gt;Journal Article; Review; Systematic Review&lt;/_type_work&gt;&lt;_url&gt;http://www.ncbi.nlm.nih.gov/entrez/query.fcgi?cmd=Retrieve&amp;amp;db=pubmed&amp;amp;dopt=Abstract&amp;amp;list_uids=27211501&amp;amp;query_hl=1&lt;/_url&gt;&lt;_volume&gt;14&lt;/_volume&gt;&lt;_created&gt;62609071&lt;/_created&gt;&lt;_modified&gt;62609071&lt;/_modified&gt;&lt;_db_updated&gt;PubMed&lt;/_db_updated&gt;&lt;_impact_factor&gt;   7.683&lt;/_impact_factor&gt;&lt;/Details&gt;&lt;Extra&gt;&lt;DBUID&gt;{9A7C78BD-F289-43CD-8CC7-97501B76739F}&lt;/DBUID&gt;&lt;/Extra&gt;&lt;/Item&gt;&lt;/References&gt;&lt;/Group&gt;&lt;/Citation&gt;_x000a_"/>
    <w:docVar w:name="NE.Ref{94876840-E804-4C2F-9407-16F58CFA277F}" w:val=" ADDIN NE.Ref.{94876840-E804-4C2F-9407-16F58CFA277F}&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5CDE37A-82E3-473F-B312-32120E06F068}" w:val=" ADDIN NE.Ref.{95CDE37A-82E3-473F-B312-32120E06F068}&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Citation&gt;_x000a_"/>
    <w:docVar w:name="NE.Ref{9B164747-2786-4123-8BF5-8D7128FF966A}" w:val=" ADDIN NE.Ref.{9B164747-2786-4123-8BF5-8D7128FF966A}&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Group&gt;&lt;References&gt;&lt;Item&gt;&lt;ID&gt;3633&lt;/ID&gt;&lt;UID&gt;{794F2207-933D-4B9C-A580-214C3335D897}&lt;/UID&gt;&lt;Title&gt;Use and overuse of proton pump inhibitors in cirrhotic patients&lt;/Title&gt;&lt;Template&gt;Journal Article&lt;/Template&gt;&lt;Star&gt;0&lt;/Star&gt;&lt;Tag&gt;0&lt;/Tag&gt;&lt;Author&gt;Chavez-Tapia, N C; Tellez-Avila, F I; Garcia-Leiva, J; Valdovinos, M A&lt;/Author&gt;&lt;Year&gt;2008&lt;/Year&gt;&lt;Details&gt;&lt;_accession_num&gt;18758417&lt;/_accession_num&gt;&lt;_author_adr&gt;Department of Gastroenterology, National Institute of Medical Science and Nutrition Salvador Zubiran, Mexico City, Mexico. khavez@gmail.com &amp;lt;khavez@gmail.com&amp;gt;&lt;/_author_adr&gt;&lt;_created&gt;62606095&lt;/_created&gt;&lt;_date&gt;2008-09-01&lt;/_date&gt;&lt;_date_display&gt;2008 Sep&lt;/_date_display&gt;&lt;_impact_factor&gt;   1.894&lt;/_impact_factor&gt;&lt;_isbn&gt;1643-3750 (Electronic); 1234-1010 (Linking)&lt;/_isbn&gt;&lt;_issue&gt;9&lt;/_issue&gt;&lt;_journal&gt;Med Sci Monit&lt;/_journal&gt;&lt;_keywords&gt;Adult; Aged; Analysis of Variance; Blood Chemical Analysis; Child; *Drug Utilization Review; Female; Humans; Liver Cirrhosis/*drug therapy/pathology/physiopathology; Middle Aged; *Proton Pump Inhibitors/standards/therapeutic use; Retrospective Studies&lt;/_keywords&gt;&lt;_language&gt;eng&lt;/_language&gt;&lt;_modified&gt;62606106&lt;/_modified&gt;&lt;_pages&gt;CR468-72&lt;/_pages&gt;&lt;_tertiary_title&gt;Medical science monitor : international medical journal of experimental and_x000d__x000a_      clinical research&lt;/_tertiary_title&gt;&lt;_type_work&gt;Journal Article&lt;/_type_work&gt;&lt;_url&gt;http://www.ncbi.nlm.nih.gov/entrez/query.fcgi?cmd=Retrieve&amp;amp;db=pubmed&amp;amp;dopt=Abstract&amp;amp;list_uids=18758417&amp;amp;query_hl=1&lt;/_url&gt;&lt;_volume&gt;14&lt;/_volume&gt;&lt;/Details&gt;&lt;Extra&gt;&lt;DBUID&gt;{9A7C78BD-F289-43CD-8CC7-97501B76739F}&lt;/DBUID&gt;&lt;/Extra&gt;&lt;/Item&gt;&lt;/References&gt;&lt;/Group&gt;&lt;/Citation&gt;_x000a_"/>
    <w:docVar w:name="NE.Ref{9B98F2F0-B98F-43A1-B724-089ED96A5197}" w:val=" ADDIN NE.Ref.{9B98F2F0-B98F-43A1-B724-089ED96A5197}&lt;Citation&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EE79AD8-0C97-4B81-A915-EDBB7339C923}" w:val=" ADDIN NE.Ref.{9EE79AD8-0C97-4B81-A915-EDBB7339C923}&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A800F447-C4B6-4F30-BF06-8B7E341AF000}" w:val=" ADDIN NE.Ref.{A800F447-C4B6-4F30-BF06-8B7E341AF000}&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Group&gt;&lt;References&gt;&lt;Item&gt;&lt;ID&gt;3629&lt;/ID&gt;&lt;UID&gt;{76F523F3-F94F-4065-ABC3-664728CFA27A}&lt;/UID&gt;&lt;Title&gt;Mechanisms, diagnosis and management of hepatic encephalopathy&lt;/Title&gt;&lt;Template&gt;Journal Article&lt;/Template&gt;&lt;Star&gt;0&lt;/Star&gt;&lt;Tag&gt;0&lt;/Tag&gt;&lt;Author&gt;Prakash, R; Mullen, K D&lt;/Author&gt;&lt;Year&gt;2010&lt;/Year&gt;&lt;Details&gt;&lt;_accession_num&gt;20703237&lt;/_accession_num&gt;&lt;_author_adr&gt;Division of Gastroenterology, MetroHealth Medical Center, Case Western Reserve University, 2500 MetroHealth Drive, Cleveland, OH 44109, USA.&lt;/_author_adr&gt;&lt;_created&gt;62606095&lt;/_created&gt;&lt;_date&gt;2010-09-01&lt;/_date&gt;&lt;_date_display&gt;2010 Sep&lt;/_date_display&gt;&lt;_doi&gt;10.1038/nrgastro.2010.116&lt;/_doi&gt;&lt;_impact_factor&gt;  16.990&lt;/_impact_factor&gt;&lt;_isbn&gt;1759-5053 (Electronic); 1759-5045 (Linking)&lt;/_isbn&gt;&lt;_issue&gt;9&lt;/_issue&gt;&lt;_journal&gt;Nat Rev Gastroenterol Hepatol&lt;/_journal&gt;&lt;_keywords&gt;Ammonia/metabolism; Gastrointestinal Agents/therapeutic use; Gastrointestinal Tract/metabolism; Hepatic Encephalopathy/*diagnosis/*drug therapy/etiology; Humans; Lactulose/therapeutic use; Neuropsychological Tests; Rifamycins/therapeutic use; Rifaximin&lt;/_keywords&gt;&lt;_language&gt;eng&lt;/_language&gt;&lt;_modified&gt;62609400&lt;/_modified&gt;&lt;_pages&gt;515-25&lt;/_pages&gt;&lt;_tertiary_title&gt;Nature reviews. Gastroenterology &amp;amp; hepatology&lt;/_tertiary_title&gt;&lt;_type_work&gt;Journal Article; Review&lt;/_type_work&gt;&lt;_url&gt;http://www.ncbi.nlm.nih.gov/entrez/query.fcgi?cmd=Retrieve&amp;amp;db=pubmed&amp;amp;dopt=Abstract&amp;amp;list_uids=20703237&amp;amp;query_hl=1&lt;/_url&gt;&lt;_volume&gt;7&lt;/_volume&gt;&lt;/Details&gt;&lt;Extra&gt;&lt;DBUID&gt;{9A7C78BD-F289-43CD-8CC7-97501B76739F}&lt;/DBUID&gt;&lt;/Extra&gt;&lt;/Item&gt;&lt;/References&gt;&lt;/Group&gt;&lt;/Citation&gt;_x000a_"/>
    <w:docVar w:name="NE.Ref{AA4780A0-383E-42C7-96BF-2892941DB556}" w:val=" ADDIN NE.Ref.{AA4780A0-383E-42C7-96BF-2892941DB556}&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B67A2359-3DA3-400D-8DAC-BA386EC0483D}" w:val=" ADDIN NE.Ref.{B67A2359-3DA3-400D-8DAC-BA386EC0483D}&lt;Citation&gt;&lt;Group&gt;&lt;References&gt;&lt;Item&gt;&lt;ID&gt;3644&lt;/ID&gt;&lt;UID&gt;{2F5B5006-E886-4B3F-BB57-C91B937EC55B}&lt;/UID&gt;&lt;Title&gt;Proton pump inhibitors affect the gut microbiome&lt;/Title&gt;&lt;Template&gt;Journal Article&lt;/Template&gt;&lt;Star&gt;0&lt;/Star&gt;&lt;Tag&gt;0&lt;/Tag&gt;&lt;Author&gt;Imhann, F; Bonder, M J; Vich, Vila A; Fu, J; Mujagic, Z; Vork, L; Tigchelaar, E F; Jankipersadsing, S A; Cenit, M C; Harmsen, H J; Dijkstra, G; Franke, L; Xavier, R J; Jonkers, D; Wijmenga, C; Weersma, R K; Zhernakova, A&lt;/Author&gt;&lt;Year&gt;2016&lt;/Year&gt;&lt;Details&gt;&lt;_accession_num&gt;26657899&lt;/_accession_num&gt;&lt;_author_adr&gt;University of Groningen and University Medical Center Groningen, Department of Gastroenterology and Hepatology, Groningen, The Netherlands.; University of Groningen and University Medical Center Groningen, Department of Genetics, Groningen, The Netherlands.; University of Groningen and University Medical Center Groningen, Department of Gastroenterology and Hepatology, Groningen, The Netherlands.; University of Groningen and University Medical Center Groningen, Department of Genetics, Groningen, The Netherlands.; Maastricht University Medical Center+, Division Gastroenterology-Hepatology, NUTRIM School for Nutrition and Translational Research in Metabolism, Maastricht, The Netherlands.; Maastricht University Medical Center+, Division Gastroenterology-Hepatology, NUTRIM School for Nutrition and Translational Research in Metabolism, Maastricht, The Netherlands.; University of Groningen and University Medical Center Groningen, Department of Genetics, Groningen, The Netherlands.; University of Groningen and University Medical Center Groningen, Department of Genetics, Groningen, The Netherlands.; University of Groningen and University Medical Center Groningen, Department of Genetics, Groningen, The Netherlands.; University of Groningen and University Medical Center Groningen, Department of Medical Microbiology, Groningen, The Netherlands.; University of Groningen and University Medical Center Groningen, Department of Gastroenterology and Hepatology, Groningen, The Netherlands.; University of Groningen and University Medical Center Groningen, Department of Genetics, Groningen, The Netherlands.; Broad Institute of Harvard and MIT, Boston, Massachusetts, USA.; Maastricht University Medical Center+, Division Gastroenterology-Hepatology, NUTRIM School for Nutrition and Translational Research in Metabolism, Maastricht, The Netherlands.; University of Groningen and University Medical Center Groningen, Department of Genetics, Groningen, The Netherlands.; University of Groningen and University Medical Center Groningen, Department of Gastroenterology and Hepatology, Groningen, The Netherlands.; University of Groningen and University Medical Center Groningen, Department of Genetics, Groningen, The Netherlands.&lt;/_author_adr&gt;&lt;_date_display&gt;2016 May&lt;/_date_display&gt;&lt;_date&gt;2016-05-01&lt;/_date&gt;&lt;_doi&gt;10.1136/gutjnl-2015-310376&lt;/_doi&gt;&lt;_isbn&gt;1468-3288 (Electronic); 0017-5749 (Linking)&lt;/_isbn&gt;&lt;_issue&gt;5&lt;/_issue&gt;&lt;_journal&gt;Gut&lt;/_journal&gt;&lt;_keywords&gt;Adult; Female; Gastrointestinal Microbiome/*drug effects; Humans; Male; Middle Aged; Proton Pump Inhibitors/*pharmacologyENTERIC INFECTIONS; INTESTINAL BACTERIA; PROTON PUMP INHIBITION&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740-8&lt;/_pages&gt;&lt;_tertiary_title&gt;Gut&lt;/_tertiary_title&gt;&lt;_type_work&gt;Journal Article; Research Support, Non-U.S. Gov&amp;apos;t&lt;/_type_work&gt;&lt;_url&gt;http://www.ncbi.nlm.nih.gov/entrez/query.fcgi?cmd=Retrieve&amp;amp;db=pubmed&amp;amp;dopt=Abstract&amp;amp;list_uids=26657899&amp;amp;query_hl=1&lt;/_url&gt;&lt;_volume&gt;65&lt;/_volume&gt;&lt;_created&gt;62609257&lt;/_created&gt;&lt;_modified&gt;62609258&lt;/_modified&gt;&lt;_db_updated&gt;PubMed&lt;/_db_updated&gt;&lt;_impact_factor&gt;  17.016&lt;/_impact_factor&gt;&lt;_collection_scope&gt;SCI;SCIE;&lt;/_collection_scope&gt;&lt;/Details&gt;&lt;Extra&gt;&lt;DBUID&gt;{9A7C78BD-F289-43CD-8CC7-97501B76739F}&lt;/DBUID&gt;&lt;/Extra&gt;&lt;/Item&gt;&lt;/References&gt;&lt;/Group&gt;&lt;Group&gt;&lt;References&gt;&lt;Item&gt;&lt;ID&gt;3645&lt;/ID&gt;&lt;UID&gt;{2BEBCF82-5928-449B-ACBF-D3736D01C969}&lt;/UID&gt;&lt;Title&gt;Proton pump inhibitors alter the composition of the gut microbiota&lt;/Title&gt;&lt;Template&gt;Journal Article&lt;/Template&gt;&lt;Star&gt;0&lt;/Star&gt;&lt;Tag&gt;0&lt;/Tag&gt;&lt;Author&gt;Jackson, M A; Goodrich, J K; Maxan, M E; Freedberg, D E; Abrams, J A; Poole, A C; Sutter, J L; Welter, D; Ley, R E; Bell, J T; Spector, T D; Steves, C J&lt;/Author&gt;&lt;Year&gt;2016&lt;/Year&gt;&lt;Details&gt;&lt;_accession_num&gt;26719299&lt;/_accession_num&gt;&lt;_author_adr&gt;Department of Twin Research and Genetic Epidemiology, King&amp;apos;s College London, London, UK.; Department of Molecular Biology and Genetics, Cornell University, Ithaca, New York, USA Department of Microbiology, Cornell University, Ithaca, New York, USA.; Clinical Age Research Unit, Kings College Hospital Foundation Trust, London, UK.; Division of Digestive and Liver Diseases, Department of Medicine, Columbia University Medical Center, New York, New York, USA.; Division of Digestive and Liver Diseases, Department of Medicine, Columbia University Medical Center, New York,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Twin Research and Genetic Epidemiology, King&amp;apos;s College London, London, UK.; Department of Twin Research and Genetic Epidemiology, King&amp;apos;s College London, London, UK.; Department of Twin Research and Genetic Epidemiology, King&amp;apos;s College London, London, UK.&lt;/_author_adr&gt;&lt;_date_display&gt;2016 May&lt;/_date_display&gt;&lt;_date&gt;2016-05-01&lt;/_date&gt;&lt;_doi&gt;10.1136/gutjnl-2015-310861&lt;/_doi&gt;&lt;_isbn&gt;1468-3288 (Electronic); 0017-5749 (Linking)&lt;/_isbn&gt;&lt;_issue&gt;5&lt;/_issue&gt;&lt;_journal&gt;Gut&lt;/_journal&gt;&lt;_keywords&gt;Adult; Aged; Aged, 80 and over; Female; Gastrointestinal Microbiome/*drug effects; Humans; Male; Middle Aged; Proton Pump Inhibitors/*pharmacology; Upper Gastrointestinal Tract; Young AdultGASTRIC ACID; INTESTINAL MICROBIOLOGY; LACTIC ACID BACTERIA; LACTOBACILLUS; PROTON PUMP INHIBITION&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749-56&lt;/_pages&gt;&lt;_tertiary_title&gt;Gut&lt;/_tertiary_title&gt;&lt;_type_work&gt;Journal Article; Research Support, N.I.H., Extramural; Research Support, Non-U.S. Gov&amp;apos;t&lt;/_type_work&gt;&lt;_url&gt;http://www.ncbi.nlm.nih.gov/entrez/query.fcgi?cmd=Retrieve&amp;amp;db=pubmed&amp;amp;dopt=Abstract&amp;amp;list_uids=26719299&amp;amp;query_hl=1&lt;/_url&gt;&lt;_volume&gt;65&lt;/_volume&gt;&lt;_created&gt;62609257&lt;/_created&gt;&lt;_modified&gt;62609257&lt;/_modified&gt;&lt;_db_updated&gt;PubMed&lt;/_db_updated&gt;&lt;_impact_factor&gt;  17.016&lt;/_impact_factor&gt;&lt;_collection_scope&gt;SCI;SCIE;&lt;/_collection_scope&gt;&lt;/Details&gt;&lt;Extra&gt;&lt;DBUID&gt;{9A7C78BD-F289-43CD-8CC7-97501B76739F}&lt;/DBUID&gt;&lt;/Extra&gt;&lt;/Item&gt;&lt;/References&gt;&lt;/Group&gt;&lt;/Citation&gt;_x000a_"/>
    <w:docVar w:name="NE.Ref{B6AB2A86-29D2-4495-8BAE-34175D3D8449}" w:val=" ADDIN NE.Ref.{B6AB2A86-29D2-4495-8BAE-34175D3D8449}&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B93ABB7B-3DBB-4CDF-85D8-EE9169C0C2CD}" w:val=" ADDIN NE.Ref.{B93ABB7B-3DBB-4CDF-85D8-EE9169C0C2CD}&lt;Citation&gt;&lt;Group&gt;&lt;References&gt;&lt;Item&gt;&lt;ID&gt;3332&lt;/ID&gt;&lt;UID&gt;{866CF5DD-D5CB-49E4-BBA2-61813023AFD7}&lt;/UID&gt;&lt;Title&gt;Deleterious effect of proton pump inhibitors on the disease course of cirrhosis&lt;/Title&gt;&lt;Template&gt;Journal Article&lt;/Template&gt;&lt;Star&gt;0&lt;/Star&gt;&lt;Tag&gt;0&lt;/Tag&gt;&lt;Author&gt;Vitális, Z; Janka, T; Tornai, T; Tornai, I; Tornai, D; Papp, M&lt;/Author&gt;&lt;Year&gt;2018&lt;/Year&gt;&lt;Details&gt;&lt;_alternate_title&gt;J. Hepatol.&lt;/_alternate_title&gt;&lt;_author_adr&gt;Z. Vitális, University of Debrecen, Faculty of Medicine, Department of Gastroenterology, Debrecen, Hungary&lt;/_author_adr&gt;&lt;_collection_scope&gt;SCI;SCIE;&lt;/_collection_scope&gt;&lt;_created&gt;62599139&lt;/_created&gt;&lt;_date&gt;2018-01-01&lt;/_date&gt;&lt;_date_display&gt;2018&lt;/_date_display&gt;&lt;_impact_factor&gt;  14.911&lt;/_impact_factor&gt;&lt;_isbn&gt;1600-0641&lt;/_isbn&gt;&lt;_journal&gt;Journal of Hepatology&lt;/_journal&gt;&lt;_keywords&gt;alcohol; proton pump inhibitor; adult; ascites; bacterial peritonitis; bacterial translocation; cancer staging; Child Pugh score; cohort analysis; complication; conference abstract; controlled study; death; disease exacerbation; follow up; hepatic encephalopathy; human; liver cirrhosis; liver hemorrhage; major clinical study; male; middle aged; Model For End Stage Liver Disease Score; mortality; patient referral; probability&lt;/_keywords&gt;&lt;_modified&gt;62609713&lt;/_modified&gt;&lt;_pages&gt;S714&lt;/_pages&gt;&lt;_url&gt;http://www.embase.com/search/results?subaction=viewrecord&amp;amp;from=export&amp;amp;id=L621859770&lt;/_url&gt;&lt;_volume&gt;68&lt;/_volume&gt;&lt;/Details&gt;&lt;Extra&gt;&lt;DBUID&gt;{9A7C78BD-F289-43CD-8CC7-97501B76739F}&lt;/DBUID&gt;&lt;/Extra&gt;&lt;/Item&gt;&lt;/References&gt;&lt;/Group&gt;&lt;Group&gt;&lt;References&gt;&lt;Item&gt;&lt;ID&gt;3309&lt;/ID&gt;&lt;UID&gt;{888C55FC-3356-4892-AE69-BD6920DA638B}&lt;/UID&gt;&lt;Title&gt;Proton pump inhibitors do not increase the incidence of hepatic encephalopathy: A multicenter retrospective study in niigata prefecture&lt;/Title&gt;&lt;Template&gt;Journal Article&lt;/Template&gt;&lt;Star&gt;0&lt;/Star&gt;&lt;Tag&gt;0&lt;/Tag&gt;&lt;Author&gt;Sakamaki, A; Yokoo, T; Kamimura, K; Kimura, N; Setsu, T; Kamimura, H; Tsuchiya, A; Takamura, M; Terai, S&lt;/Author&gt;&lt;Year&gt;2018&lt;/Year&gt;&lt;Details&gt;&lt;_alternate_title&gt;Hepatology&lt;/_alternate_title&gt;&lt;_author_adr&gt;A. Sakamaki, Division of Gastroenterology and Hepatology, Niigata University,&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dult; age; cancer patient; conference abstract; controlled study; creatinine blood level; diagnosis; disease course; esophagus varices; female; fibrosis; gastrointestinal hemorrhage; hepatic encephalopathy; hepatitis; human; human tissue; incidence; ligation; liver cell carcinoma; liver cirrhosis; liver function; log rank test; major clinical study; male; multicenter study; portal hypertension; prevention; propensity score; prophylaxis; retrospective study; sclerotherapy&lt;/_keywords&gt;&lt;_modified&gt;62609713&lt;/_modified&gt;&lt;_pages&gt;1173A&lt;/_pages&gt;&lt;_url&gt;http://www.embase.com/search/results?subaction=viewrecord&amp;amp;from=export&amp;amp;id=L624565925_x000d__x000a_http://dx.doi.org/10.1002/hep.30257&lt;/_url&gt;&lt;_volume&gt;68&lt;/_volume&gt;&lt;/Details&gt;&lt;Extra&gt;&lt;DBUID&gt;{9A7C78BD-F289-43CD-8CC7-97501B76739F}&lt;/DBUID&gt;&lt;/Extra&gt;&lt;/Item&gt;&lt;/References&gt;&lt;/Group&gt;&lt;Group&gt;&lt;References&gt;&lt;Item&gt;&lt;ID&gt;3355&lt;/ID&gt;&lt;UID&gt;{68C29DF9-3478-4115-AE57-D7045264F713}&lt;/UID&gt;&lt;Title&gt;Proton pump inhibitors intake not associated with hepatic encephalopathy in cirrhotic patients&lt;/Title&gt;&lt;Template&gt;Book&lt;/Template&gt;&lt;Star&gt;0&lt;/Star&gt;&lt;Tag&gt;0&lt;/Tag&gt;&lt;Author&gt;Teixeira, C; Antunes, A; Dantas, E; Vaz, A M; Queirós, P; Alves, A L; Peixe, B; Cremers, I; Guerreiro, H; Oliveira, A P&lt;/Author&gt;&lt;Year&gt;2017&lt;/Year&gt;&lt;Details&gt;&lt;_alternate_title&gt;United Eur. Gastroenterol. J.&lt;/_alternate_title&gt;&lt;_author_adr&gt;C. Teixeira, Gastroenterology, Centro Hospitalar De Setubal, Setubal, Portugal&lt;/_author_adr&gt;&lt;_collection_scope&gt;SCIE;&lt;/_collection_scope&gt;&lt;_created&gt;62599139&lt;/_created&gt;&lt;_date&gt;2017-01-01&lt;/_date&gt;&lt;_date_display&gt;2017&lt;/_date_display&gt;&lt;_doi&gt;10.1177/2050640617725676&lt;/_doi&gt;&lt;_impact_factor&gt;   3.477&lt;/_impact_factor&gt;&lt;_isbn&gt;2050-6414&lt;/_isbn&gt;&lt;_issue&gt;5&lt;/_issue&gt;&lt;_journal&gt;United European Gastroenterology Journal&lt;/_journal&gt;&lt;_keywords&gt;alcohol; proton pump inhibitor; adult; animal model; blind loop syndrome; data analysis software; disease course; drug therapy; end stage liver disease; female; fibrosis; gastroenterology; gastrointestinal hemorrhage; gender; hepatic encephalopathy; Hepatitis C virus genotype 5; hospitalization; human; infection; liver cirrhosis; major clinical study; male; middle aged; Model For End Stage Liver Disease Score; multivariate analysis; nonhuman; retrospective study; statistical significance; univariate analysis&lt;/_keywords&gt;&lt;_modified&gt;62609713&lt;/_modified&gt;&lt;_pages&gt;A628&lt;/_pages&gt;&lt;_url&gt;http://www.embase.com/search/results?subaction=viewrecord&amp;amp;from=export&amp;amp;id=L619890666_x000d__x000a_http://dx.doi.org/10.1177/2050640617725676&lt;/_url&gt;&lt;_volume&gt;5&lt;/_volume&gt;&lt;/Details&gt;&lt;Extra&gt;&lt;DBUID&gt;{9A7C78BD-F289-43CD-8CC7-97501B76739F}&lt;/DBUID&gt;&lt;/Extra&gt;&lt;/Item&gt;&lt;/References&gt;&lt;/Group&gt;&lt;/Citation&gt;_x000a_"/>
    <w:docVar w:name="NE.Ref{BAC1F21F-AB9E-4D02-A0B0-625F22792285}" w:val=" ADDIN NE.Ref.{BAC1F21F-AB9E-4D02-A0B0-625F22792285}&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BC71C394-22E0-4852-9E99-F337C511BECC}" w:val=" ADDIN NE.Ref.{BC71C394-22E0-4852-9E99-F337C511BECC}&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BCBEE0F1-02B1-45F8-9B7E-6B2DC0220130}" w:val=" ADDIN NE.Ref.{BCBEE0F1-02B1-45F8-9B7E-6B2DC0220130}&lt;Citation&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Citation&gt;_x000a_"/>
    <w:docVar w:name="NE.Ref{C0AC343E-5B79-432B-A5C5-9774D4BAC681}" w:val=" ADDIN NE.Ref.{C0AC343E-5B79-432B-A5C5-9774D4BAC681}&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C119C97A-56B5-4049-8B7E-8D5E20E03E5F}" w:val=" ADDIN NE.Ref.{C119C97A-56B5-4049-8B7E-8D5E20E03E5F}&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Citation&gt;_x000a_"/>
    <w:docVar w:name="NE.Ref{CD55B69D-066F-4255-874A-43555CB6C4C2}" w:val=" ADDIN NE.Ref.{CD55B69D-066F-4255-874A-43555CB6C4C2}&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Citation&gt;_x000a_"/>
    <w:docVar w:name="NE.Ref{CDFF2D23-CA98-40E0-A31A-FC55B85C095F}" w:val=" ADDIN NE.Ref.{CDFF2D23-CA98-40E0-A31A-FC55B85C095F}&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CF667A3C-9D16-4B44-A8A3-E40D2539CD91}" w:val=" ADDIN NE.Ref.{CF667A3C-9D16-4B44-A8A3-E40D2539CD91}&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Citation&gt;_x000a_"/>
    <w:docVar w:name="NE.Ref{D3DD9F79-35AD-4FB8-98DD-198420637B05}" w:val=" ADDIN NE.Ref.{D3DD9F79-35AD-4FB8-98DD-198420637B05}&lt;Citation&gt;&lt;Group&gt;&lt;References&gt;&lt;Item&gt;&lt;ID&gt;3647&lt;/ID&gt;&lt;UID&gt;{6E6C1DAB-A0B1-4171-A3F8-0044F8BA7C04}&lt;/UID&gt;&lt;Title&gt;Role of small intestinal bacterial overgrowth and delayed gastrointestinal transit time in cirrhotic patients with minimal hepatic encephalopathy&lt;/Title&gt;&lt;Template&gt;Journal Article&lt;/Template&gt;&lt;Star&gt;0&lt;/Star&gt;&lt;Tag&gt;0&lt;/Tag&gt;&lt;Author&gt;Gupta, A; Dhiman, R K; Kumari, S; Rana, S; Agarwal, R; Duseja, A; Chawla, Y&lt;/Author&gt;&lt;Year&gt;2010&lt;/Year&gt;&lt;Details&gt;&lt;_accession_num&gt;20675008&lt;/_accession_num&gt;&lt;_author_adr&gt;Department of Internal Medicine, Postgraduate Institute of Medical Education &amp;amp;amp; Research, Chandigarh 160012, India.&lt;/_author_adr&gt;&lt;_date_display&gt;2010 Nov&lt;/_date_display&gt;&lt;_date&gt;2010-11-01&lt;/_date&gt;&lt;_doi&gt;10.1016/j.jhep.2010.05.017&lt;/_doi&gt;&lt;_isbn&gt;1600-0641 (Electronic); 0168-8278 (Linking)&lt;/_isbn&gt;&lt;_issue&gt;5&lt;/_issue&gt;&lt;_journal&gt;J Hepatol&lt;/_journal&gt;&lt;_keywords&gt;Adolescent; Adult; Aged; Aged, 80 and over; Bacteria/*growth &amp;amp;amp; development; Cross-Sectional Studies; Female; *Gastrointestinal Transit; Hepatic Encephalopathy/drug therapy/epidemiology/*etiology; Humans; Intestine, Small/*microbiology; Liver Cirrhosis/*complications; Male; Middle Aged; Multivariate Analysis; Prevalence&lt;/_keywords&gt;&lt;_language&gt;eng&lt;/_language&gt;&lt;_ori_publication&gt;Copyright (c) 2010 European Association for the Study of the Liver. Published by _x000d__x000a_      Elsevier B.V. All rights reserved.&lt;/_ori_publication&gt;&lt;_pages&gt;849-55&lt;/_pages&gt;&lt;_tertiary_title&gt;Journal of hepatology&lt;/_tertiary_title&gt;&lt;_type_work&gt;Journal Article&lt;/_type_work&gt;&lt;_url&gt;http://www.ncbi.nlm.nih.gov/entrez/query.fcgi?cmd=Retrieve&amp;amp;db=pubmed&amp;amp;dopt=Abstract&amp;amp;list_uids=20675008&amp;amp;query_hl=1&lt;/_url&gt;&lt;_volume&gt;53&lt;/_volume&gt;&lt;_created&gt;62609260&lt;/_created&gt;&lt;_modified&gt;62609266&lt;/_modified&gt;&lt;_db_updated&gt;PubMed&lt;/_db_updated&gt;&lt;_impact_factor&gt;  14.911&lt;/_impact_factor&gt;&lt;_collection_scope&gt;SCI;SCIE;&lt;/_collection_scope&gt;&lt;/Details&gt;&lt;Extra&gt;&lt;DBUID&gt;{9A7C78BD-F289-43CD-8CC7-97501B76739F}&lt;/DBUID&gt;&lt;/Extra&gt;&lt;/Item&gt;&lt;/References&gt;&lt;/Group&gt;&lt;Group&gt;&lt;References&gt;&lt;Item&gt;&lt;ID&gt;3648&lt;/ID&gt;&lt;UID&gt;{AEB65910-BF2E-40C8-8AC8-28361818BA16}&lt;/UID&gt;&lt;Title&gt;Bacterial infections in cirrhosis: role of proton pump inhibitors and intestinal  permeability&lt;/Title&gt;&lt;Template&gt;Journal Article&lt;/Template&gt;&lt;Star&gt;0&lt;/Star&gt;&lt;Tag&gt;0&lt;/Tag&gt;&lt;Author&gt;van Vlerken, L G; Huisman, E J; van Hoek, B; Renooij, W; de Rooij, F W; Siersema, P D; van Erpecum, K J&lt;/Author&gt;&lt;Year&gt;2012&lt;/Year&gt;&lt;Details&gt;&lt;_accession_num&gt;22288900&lt;/_accession_num&gt;&lt;_author_adr&gt;Department of Gastroenterology and Hepatology, University Medical Center Utrecht, Utrecht, The Netherlands.&lt;/_author_adr&gt;&lt;_date_display&gt;2012 Jul&lt;/_date_display&gt;&lt;_date&gt;2012-07-01&lt;/_date&gt;&lt;_doi&gt;10.1111/j.1365-2362.2011.02643.x&lt;/_doi&gt;&lt;_isbn&gt;1365-2362 (Electronic); 0014-2972 (Linking)&lt;/_isbn&gt;&lt;_issue&gt;7&lt;/_issue&gt;&lt;_journal&gt;Eur J Clin Invest&lt;/_journal&gt;&lt;_keywords&gt;2-Pyridinylmethylsulfinylbenzimidazoles/adverse effects; Adult; Aged; Animals; Bacteria/isolation &amp;amp;amp; purification; Bacterial Infections/*etiology; Cohort Studies; Female; Humans; Jejunum/metabolism/*microbiology; Liver Cirrhosis/*microbiology; Male; Middle Aged; Models, Animal; Netherlands; Omeprazole/adverse effects; Pantoprazole; Peritonitis/*microbiology; Permeability/drug effects; Polyethylene Glycols/metabolism; Proton Pump Inhibitors/*adverse effects; Ranitidine/adverse effects; Rats; Rats, Wistar; Risk Factors&lt;/_keywords&gt;&lt;_language&gt;eng&lt;/_language&gt;&lt;_ori_publication&gt;(c) 2011 The Authors. European Journal of Clinical Investigation (c) 2011_x000d__x000a_      Stichting European Society for Clinical Investigation Journal Foundation.&lt;/_ori_publication&gt;&lt;_pages&gt;760-7&lt;/_pages&gt;&lt;_tertiary_title&gt;European journal of clinical investigation&lt;/_tertiary_title&gt;&lt;_type_work&gt;Journal Article&lt;/_type_work&gt;&lt;_url&gt;http://www.ncbi.nlm.nih.gov/entrez/query.fcgi?cmd=Retrieve&amp;amp;db=pubmed&amp;amp;dopt=Abstract&amp;amp;list_uids=22288900&amp;amp;query_hl=1&lt;/_url&gt;&lt;_volume&gt;42&lt;/_volume&gt;&lt;_created&gt;62609262&lt;/_created&gt;&lt;_modified&gt;62609263&lt;/_modified&gt;&lt;_db_updated&gt;PubMed&lt;/_db_updated&gt;&lt;_impact_factor&gt;   3.086&lt;/_impact_factor&gt;&lt;_collection_scope&gt;SCI;SCIE;&lt;/_collection_scope&gt;&lt;/Details&gt;&lt;Extra&gt;&lt;DBUID&gt;{9A7C78BD-F289-43CD-8CC7-97501B76739F}&lt;/DBUID&gt;&lt;/Extra&gt;&lt;/Item&gt;&lt;/References&gt;&lt;/Group&gt;&lt;Group&gt;&lt;References&gt;&lt;Item&gt;&lt;ID&gt;3649&lt;/ID&gt;&lt;UID&gt;{0C452E94-5CCD-4DB3-9CCA-2BF2986A4F9A}&lt;/UID&gt;&lt;Title&gt;Proton pump inhibitors are associated with a high rate of serious infections in veterans with decompensated cirrhosis&lt;/Title&gt;&lt;Template&gt;Journal Article&lt;/Template&gt;&lt;Star&gt;0&lt;/Star&gt;&lt;Tag&gt;0&lt;/Tag&gt;&lt;Author&gt;Bajaj, J S; Ratliff, S M; Heuman, D M; Lapane, K L&lt;/Author&gt;&lt;Year&gt;2012&lt;/Year&gt;&lt;Details&gt;&lt;_accession_num&gt;22966967&lt;/_accession_num&gt;&lt;_author_adr&gt;Division of Gastroenterology, Hepatology and Nutrition, Virginia Commonwealth University and McGuire Veterans Affairs Medical Center, Richmond, VA, USA. jsbajaj@vcu.edu&lt;/_author_adr&gt;&lt;_date_display&gt;2012 Nov&lt;/_date_display&gt;&lt;_date&gt;2012-11-01&lt;/_date&gt;&lt;_doi&gt;10.1111/apt.12045&lt;/_doi&gt;&lt;_isbn&gt;1365-2036 (Electronic); 0269-2813 (Linking)&lt;/_isbn&gt;&lt;_issue&gt;9&lt;/_issue&gt;&lt;_journal&gt;Aliment Pharmacol Ther&lt;/_journal&gt;&lt;_keywords&gt;Adult; Aged; Aged, 80 and over; Bacteremia/*chemically induced; Clostridium Infections/*chemically induced; Female; Gastric Acid; Histamine H2 Antagonists/adverse effects; Humans; Liver Cirrhosis/*drug therapy; Male; Middle Aged; Proportional Hazards Models; Proton Pump Inhibitors/*adverse effects; Retrospective Studies; Risk Factors; United States; Veterans/statistics &amp;amp;amp; numerical data&lt;/_keywords&gt;&lt;_language&gt;eng&lt;/_language&gt;&lt;_pages&gt;866-74&lt;/_pages&gt;&lt;_tertiary_title&gt;Alimentary pharmacology &amp;amp;amp; therapeutics&lt;/_tertiary_title&gt;&lt;_type_work&gt;Journal Article; Research Support, N.I.H., Extramural; Research Support, Non-U.S. Gov&amp;apos;t; Research Support, U.S. Gov&amp;apos;t, Non-P.H.S.&lt;/_type_work&gt;&lt;_url&gt;http://www.ncbi.nlm.nih.gov/entrez/query.fcgi?cmd=Retrieve&amp;amp;db=pubmed&amp;amp;dopt=Abstract&amp;amp;list_uids=22966967&amp;amp;query_hl=1&lt;/_url&gt;&lt;_volume&gt;36&lt;/_volume&gt;&lt;_created&gt;62609264&lt;/_created&gt;&lt;_modified&gt;62609264&lt;/_modified&gt;&lt;_db_updated&gt;PubMed&lt;/_db_updated&gt;&lt;_impact_factor&gt;   7.357&lt;/_impact_factor&gt;&lt;/Details&gt;&lt;Extra&gt;&lt;DBUID&gt;{9A7C78BD-F289-43CD-8CC7-97501B76739F}&lt;/DBUID&gt;&lt;/Extra&gt;&lt;/Item&gt;&lt;/References&gt;&lt;/Group&gt;&lt;Group&gt;&lt;References&gt;&lt;Item&gt;&lt;ID&gt;3650&lt;/ID&gt;&lt;UID&gt;{D4685747-9CF3-4E92-9955-A2CB53E2D917}&lt;/UID&gt;&lt;Title&gt;The chronic use of beta-blockers and proton pump inhibitors may affect the rate of bacterial infections in cirrhosis&lt;/Title&gt;&lt;Template&gt;Journal Article&lt;/Template&gt;&lt;Star&gt;0&lt;/Star&gt;&lt;Tag&gt;0&lt;/Tag&gt;&lt;Author&gt;Merli, M; Lucidi, C; Di Gregorio, V; Giannelli, V; Giusto, M; Ceccarelli, G; Riggio, O; Venditti, M&lt;/Author&gt;&lt;Year&gt;2015&lt;/Year&gt;&lt;Details&gt;&lt;_accession_num&gt;24836902&lt;/_accession_num&gt;&lt;_author_adr&gt;Gastroenterology, Department of Clinical Medicine, &amp;apos;Sapienza&amp;apos; University of Rome, Rome, Italy.&lt;/_author_adr&gt;&lt;_date_display&gt;2015 Feb&lt;/_date_display&gt;&lt;_date&gt;2015-02-01&lt;/_date&gt;&lt;_doi&gt;10.1111/liv.12593&lt;/_doi&gt;&lt;_isbn&gt;1478-3231 (Electronic); 1478-3223 (Linking)&lt;/_isbn&gt;&lt;_issue&gt;2&lt;/_issue&gt;&lt;_journal&gt;Liver Int&lt;/_journal&gt;&lt;_keywords&gt;Adrenergic beta-Antagonists/*adverse effects/therapeutic use; Aged; Bacterial Infections/*epidemiology/*etiology; Cross-Sectional Studies; Female; Humans; Liver Cirrhosis/*drug therapy/microbiology; Male; Microbiota/physiology; Middle Aged; Prevalence; Proton Pump Inhibitors/*adverse effects/therapeutic use; Risk Factors; Statistics, Nonparametricdrugs; non-absorbable antibiotics; non-absorbable disaccharides; sepsis&lt;/_keywords&gt;&lt;_language&gt;eng&lt;/_language&gt;&lt;_ori_publication&gt;(c) 2014 John Wiley &amp;amp;amp; Sons A/S. Published by John Wiley &amp;amp;amp; Sons Ltd.&lt;/_ori_publication&gt;&lt;_pages&gt;362-9&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4836902&amp;amp;query_hl=1&lt;/_url&gt;&lt;_volume&gt;35&lt;/_volume&gt;&lt;_created&gt;62609265&lt;/_created&gt;&lt;_modified&gt;62609265&lt;/_modified&gt;&lt;_db_updated&gt;PubMed&lt;/_db_updated&gt;&lt;_impact_factor&gt;   4.500&lt;/_impact_factor&gt;&lt;_collection_scope&gt;SCI;SCIE;&lt;/_collection_scope&gt;&lt;/Details&gt;&lt;Extra&gt;&lt;DBUID&gt;{9A7C78BD-F289-43CD-8CC7-97501B76739F}&lt;/DBUID&gt;&lt;/Extra&gt;&lt;/Item&gt;&lt;/References&gt;&lt;/Group&gt;&lt;/Citation&gt;_x000a_"/>
    <w:docVar w:name="NE.Ref{D6C14A91-4DD2-4C87-BB3A-9F4E140A9EF9}" w:val=" ADDIN NE.Ref.{D6C14A91-4DD2-4C87-BB3A-9F4E140A9EF9}&lt;Citation&gt;&lt;Group&gt;&lt;References&gt;&lt;Item&gt;&lt;ID&gt;3642&lt;/ID&gt;&lt;UID&gt;{87FF155E-D118-49A0-9507-94224E060518}&lt;/UID&gt;&lt;Title&gt;Proton pump inhibitor use and the risk of small intestinal bacterial overgrowth:  a meta-analysis&lt;/Title&gt;&lt;Template&gt;Journal Article&lt;/Template&gt;&lt;Star&gt;0&lt;/Star&gt;&lt;Tag&gt;0&lt;/Tag&gt;&lt;Author&gt;Lo, W K; Chan, W W&lt;/Author&gt;&lt;Year&gt;2013&lt;/Year&gt;&lt;Details&gt;&lt;_accession_num&gt;23270866&lt;/_accession_num&gt;&lt;_author_adr&gt;Division of Gastroenterology, Brigham and Women&amp;apos;s Hospital, Harvard Medical School, Boston, Massachusetts, USA.&lt;/_author_adr&gt;&lt;_date_display&gt;2013 May&lt;/_date_display&gt;&lt;_date&gt;2013-05-01&lt;/_date&gt;&lt;_doi&gt;10.1016/j.cgh.2012.12.011&lt;/_doi&gt;&lt;_isbn&gt;1542-7714 (Electronic); 1542-3565 (Linking)&lt;/_isbn&gt;&lt;_issue&gt;5&lt;/_issue&gt;&lt;_journal&gt;Clin Gastroenterol Hepatol&lt;/_journal&gt;&lt;_keywords&gt;Bacterial Infections/*epidemiology; Humans; Intestine, Small/microbiology; Proton Pump Inhibitors/*adverse effects/*therapeutic use; Risk Assessment; Superinfection/*epidemiology&lt;/_keywords&gt;&lt;_language&gt;eng&lt;/_language&gt;&lt;_ori_publication&gt;Copyright (c) 2013 AGA Institute. Published by Elsevier Inc. All rights reserved.&lt;/_ori_publication&gt;&lt;_pages&gt;483-90&lt;/_pages&gt;&lt;_tertiary_title&gt;Clinical gastroenterology and hepatology : the official clinical practice journal_x000d__x000a_      of the American Gastroenterological Association&lt;/_tertiary_title&gt;&lt;_type_work&gt;Journal Article; Meta-Analysis; Review; Systematic Review&lt;/_type_work&gt;&lt;_url&gt;http://www.ncbi.nlm.nih.gov/entrez/query.fcgi?cmd=Retrieve&amp;amp;db=pubmed&amp;amp;dopt=Abstract&amp;amp;list_uids=23270866&amp;amp;query_hl=1&lt;/_url&gt;&lt;_volume&gt;11&lt;/_volume&gt;&lt;_created&gt;62609246&lt;/_created&gt;&lt;_modified&gt;62609256&lt;/_modified&gt;&lt;_db_updated&gt;PubMed&lt;/_db_updated&gt;&lt;_impact_factor&gt;   7.683&lt;/_impact_factor&gt;&lt;/Details&gt;&lt;Extra&gt;&lt;DBUID&gt;{9A7C78BD-F289-43CD-8CC7-97501B76739F}&lt;/DBUID&gt;&lt;/Extra&gt;&lt;/Item&gt;&lt;/References&gt;&lt;/Group&gt;&lt;Group&gt;&lt;References&gt;&lt;Item&gt;&lt;ID&gt;3643&lt;/ID&gt;&lt;UID&gt;{B8D59A25-1BFD-4D0E-A07D-A6712C985536}&lt;/UID&gt;&lt;Title&gt;Systems biology analysis of omeprazole therapy in cirrhosis demonstrates significant shifts in gut microbiota composition and function&lt;/Title&gt;&lt;Template&gt;Journal Article&lt;/Template&gt;&lt;Star&gt;0&lt;/Star&gt;&lt;Tag&gt;0&lt;/Tag&gt;&lt;Author&gt;Bajaj, J S; Cox, I J; Betrapally, N S; Heuman, D M; Schubert, M L; Ratneswaran, M; Hylemon, P B; White, M B; Daita, K; Noble, N A; Sikaroodi, M; Williams, R; Crossey, M M; Taylor-Robinson, S D; Gillevet, P M&lt;/Author&gt;&lt;Year&gt;2014&lt;/Year&gt;&lt;Details&gt;&lt;_accession_num&gt;25258407&lt;/_accession_num&gt;&lt;_author_adr&gt;Gastroenterology, Hepatology and Nutrition, McGuire VA Medical Center and Virginia Commonwealth University, Richmond, Virginia; jsbajaj@vcu.edu.; Institute of Hepatology London, Foundation for Liver Research, London, United Kingdom;; Microbiome Analysis Center, George Mason University, Manassas, Virginia;; Gastroenterology, Hepatology and Nutrition, McGuire VA Medical Center and Virginia Commonwealth University, Richmond, Virginia;; Gastroenterology, Hepatology and Nutrition, McGuire VA Medical Center and Virginia Commonwealth University, Richmond, Virginia;; Department of Medicine, Imperial College London, London, United Kingdom; and.; Microbiology, McGuire VA Medical Center and Virginia Commonwealth University, Richmond, Virginia.; Gastroenterology, Hepatology and Nutrition, McGuire VA Medical Center and Virginia Commonwealth University, Richmond, Virginia;; Gastroenterology, Hepatology and Nutrition, McGuire VA Medical Center and Virginia Commonwealth University, Richmond, Virginia;; Gastroenterology, Hepatology and Nutrition, McGuire VA Medical Center and Virginia Commonwealth University, Richmond, Virginia;; Microbiome Analysis Center, George Mason University, Manassas, Virginia;; Institute of Hepatology London, Foundation for Liver Research, London, United Kingdom;; Department of Medicine, Imperial College London, London, United Kingdom; and.; Department of Medicine, Imperial College London, London, United Kingdom; and.; Microbiome Analysis Center, George Mason University, Manassas, Virginia;&lt;/_author_adr&gt;&lt;_date_display&gt;2014 Nov 15&lt;/_date_display&gt;&lt;_date&gt;2014-11-15&lt;/_date&gt;&lt;_doi&gt;10.1152/ajpgi.00268.2014&lt;/_doi&gt;&lt;_isbn&gt;1522-1547 (Electronic); 0193-1857 (Linking)&lt;/_isbn&gt;&lt;_issue&gt;10&lt;/_issue&gt;&lt;_journal&gt;Am J Physiol Gastrointest Liver Physiol&lt;/_journal&gt;&lt;_keywords&gt;Arginine/analogs &amp;amp;amp; derivatives/urine; Biomarkers/blood/urine; Case-Control Studies; Feces/microbiology; Female; Gastrins/blood; Hippurates/urine; Humans; Intestines/*drug effects/microbiology; Lactic Acid/urine; Liver Cirrhosis/blood/complications/diagnosis/*microbiology/urine; Magnetic Resonance Spectroscopy; Male; Metabolomics; Microbiota/*drug effects; Middle Aged; Omeprazole/*adverse effects; Proton Pump Inhibitors/*adverse effects; Risk Factors; *Systems Biology/methods; Time Factors; Treatment Outcomegastrin; gut barrier; infection; metabolomics; microbiome; proton pump inhibitor&lt;/_keywords&gt;&lt;_language&gt;eng&lt;/_language&gt;&lt;_ori_publication&gt;Copyright (c) 2014 the American Physiological Society.&lt;/_ori_publication&gt;&lt;_pages&gt;G951-7&lt;/_pages&gt;&lt;_tertiary_title&gt;American journal of physiology. Gastrointestinal and liver physiology&lt;/_tertiary_title&gt;&lt;_type_work&gt;Controlled Clinical Trial; Journal Article; Research Support, N.I.H., Extramural; Research Support, Non-U.S. Gov&amp;apos;t&lt;/_type_work&gt;&lt;_url&gt;http://www.ncbi.nlm.nih.gov/entrez/query.fcgi?cmd=Retrieve&amp;amp;db=pubmed&amp;amp;dopt=Abstract&amp;amp;list_uids=25258407&amp;amp;query_hl=1&lt;/_url&gt;&lt;_volume&gt;307&lt;/_volume&gt;&lt;_created&gt;62609254&lt;/_created&gt;&lt;_modified&gt;62609256&lt;/_modified&gt;&lt;_db_updated&gt;PubMed&lt;/_db_updated&gt;&lt;_impact_factor&gt;   3.293&lt;/_impact_factor&gt;&lt;/Details&gt;&lt;Extra&gt;&lt;DBUID&gt;{9A7C78BD-F289-43CD-8CC7-97501B76739F}&lt;/DBUID&gt;&lt;/Extra&gt;&lt;/Item&gt;&lt;/References&gt;&lt;/Group&gt;&lt;/Citation&gt;_x000a_"/>
    <w:docVar w:name="NE.Ref{E8C833FE-7A22-41FB-88FF-77369EF6F57D}" w:val=" ADDIN NE.Ref.{E8C833FE-7A22-41FB-88FF-77369EF6F57D}&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04AFD8C-7573-4D7F-8A1F-97D16842F205}" w:val=" ADDIN NE.Ref.{F04AFD8C-7573-4D7F-8A1F-97D16842F205}&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Citation&gt;_x000a_"/>
    <w:docVar w:name="NE.Ref{F2C16B3E-47EC-4216-AC39-E4B4E825C8CC}" w:val=" ADDIN NE.Ref.{F2C16B3E-47EC-4216-AC39-E4B4E825C8CC}&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Citation&gt;_x000a_"/>
    <w:docVar w:name="NE.Ref{F9BE1827-26E5-4437-B6B4-68BB40859CE3}" w:val=" ADDIN NE.Ref.{F9BE1827-26E5-4437-B6B4-68BB40859CE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DE7D34F-AFDD-4CCD-B7DF-367FC9C8CB39}" w:val=" ADDIN NE.Ref.{FDE7D34F-AFDD-4CCD-B7DF-367FC9C8CB39}&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E0AA249-71C0-4BAB-9D58-D8990AEEF293}" w:val=" ADDIN NE.Ref.{FE0AA249-71C0-4BAB-9D58-D8990AEEF293}&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_docsoft" w:val="MSWord"/>
    <w:docVar w:name="ne_docversion" w:val="NoteExpress 2.0"/>
    <w:docVar w:name="ne_stylename" w:val="AMA (American Medical Association) 最新xin New"/>
  </w:docVars>
  <w:rsids>
    <w:rsidRoot w:val="00181725"/>
    <w:rsid w:val="00000AD5"/>
    <w:rsid w:val="00002715"/>
    <w:rsid w:val="00003DE9"/>
    <w:rsid w:val="0000524C"/>
    <w:rsid w:val="000059D2"/>
    <w:rsid w:val="000065E0"/>
    <w:rsid w:val="000068DD"/>
    <w:rsid w:val="00010AFE"/>
    <w:rsid w:val="000112F8"/>
    <w:rsid w:val="00012A27"/>
    <w:rsid w:val="00013632"/>
    <w:rsid w:val="00013DA9"/>
    <w:rsid w:val="0001664A"/>
    <w:rsid w:val="000178DB"/>
    <w:rsid w:val="00017910"/>
    <w:rsid w:val="0002059A"/>
    <w:rsid w:val="000216DC"/>
    <w:rsid w:val="00021793"/>
    <w:rsid w:val="000226F0"/>
    <w:rsid w:val="00024D06"/>
    <w:rsid w:val="00025FD9"/>
    <w:rsid w:val="00026220"/>
    <w:rsid w:val="000267A2"/>
    <w:rsid w:val="0002696C"/>
    <w:rsid w:val="00026BD2"/>
    <w:rsid w:val="000273F1"/>
    <w:rsid w:val="000309BE"/>
    <w:rsid w:val="000325AF"/>
    <w:rsid w:val="00032FE5"/>
    <w:rsid w:val="00033192"/>
    <w:rsid w:val="000335D1"/>
    <w:rsid w:val="0003458D"/>
    <w:rsid w:val="0003586B"/>
    <w:rsid w:val="00035C63"/>
    <w:rsid w:val="00036898"/>
    <w:rsid w:val="00036EDA"/>
    <w:rsid w:val="000370C9"/>
    <w:rsid w:val="0003713A"/>
    <w:rsid w:val="00037F13"/>
    <w:rsid w:val="00042609"/>
    <w:rsid w:val="00042B1A"/>
    <w:rsid w:val="00043586"/>
    <w:rsid w:val="00043D24"/>
    <w:rsid w:val="00044091"/>
    <w:rsid w:val="000446A6"/>
    <w:rsid w:val="00045E11"/>
    <w:rsid w:val="0004673F"/>
    <w:rsid w:val="00046FFE"/>
    <w:rsid w:val="00047F03"/>
    <w:rsid w:val="00050371"/>
    <w:rsid w:val="00051A67"/>
    <w:rsid w:val="0005375F"/>
    <w:rsid w:val="00054B18"/>
    <w:rsid w:val="00054C30"/>
    <w:rsid w:val="00057017"/>
    <w:rsid w:val="00057A64"/>
    <w:rsid w:val="0006046D"/>
    <w:rsid w:val="00060C2F"/>
    <w:rsid w:val="000613E5"/>
    <w:rsid w:val="00061C40"/>
    <w:rsid w:val="000630AC"/>
    <w:rsid w:val="000630DB"/>
    <w:rsid w:val="000663BB"/>
    <w:rsid w:val="00066CE9"/>
    <w:rsid w:val="00070551"/>
    <w:rsid w:val="0007156B"/>
    <w:rsid w:val="0007159F"/>
    <w:rsid w:val="00071DED"/>
    <w:rsid w:val="000725EA"/>
    <w:rsid w:val="00072F54"/>
    <w:rsid w:val="00073406"/>
    <w:rsid w:val="00075992"/>
    <w:rsid w:val="00075E23"/>
    <w:rsid w:val="00075EF6"/>
    <w:rsid w:val="0007641E"/>
    <w:rsid w:val="00076F67"/>
    <w:rsid w:val="0007711E"/>
    <w:rsid w:val="000776DB"/>
    <w:rsid w:val="00085FAE"/>
    <w:rsid w:val="00086800"/>
    <w:rsid w:val="00086E90"/>
    <w:rsid w:val="0008768D"/>
    <w:rsid w:val="0009016C"/>
    <w:rsid w:val="000906DB"/>
    <w:rsid w:val="00093FFB"/>
    <w:rsid w:val="0009461B"/>
    <w:rsid w:val="000966AA"/>
    <w:rsid w:val="0009778C"/>
    <w:rsid w:val="000A06F5"/>
    <w:rsid w:val="000A073D"/>
    <w:rsid w:val="000A1480"/>
    <w:rsid w:val="000A1B63"/>
    <w:rsid w:val="000A29FE"/>
    <w:rsid w:val="000A3C48"/>
    <w:rsid w:val="000A3DDE"/>
    <w:rsid w:val="000A4F20"/>
    <w:rsid w:val="000A5B8E"/>
    <w:rsid w:val="000A6EB4"/>
    <w:rsid w:val="000B0CF5"/>
    <w:rsid w:val="000B2415"/>
    <w:rsid w:val="000B4E99"/>
    <w:rsid w:val="000B692C"/>
    <w:rsid w:val="000B6DC4"/>
    <w:rsid w:val="000B70B9"/>
    <w:rsid w:val="000B7147"/>
    <w:rsid w:val="000C18B4"/>
    <w:rsid w:val="000C31CF"/>
    <w:rsid w:val="000C3FC2"/>
    <w:rsid w:val="000C4B2E"/>
    <w:rsid w:val="000C5071"/>
    <w:rsid w:val="000C5659"/>
    <w:rsid w:val="000C5E38"/>
    <w:rsid w:val="000C6989"/>
    <w:rsid w:val="000D1BE8"/>
    <w:rsid w:val="000D3B58"/>
    <w:rsid w:val="000D479D"/>
    <w:rsid w:val="000D4B29"/>
    <w:rsid w:val="000D5CFA"/>
    <w:rsid w:val="000D6211"/>
    <w:rsid w:val="000E0752"/>
    <w:rsid w:val="000E0D06"/>
    <w:rsid w:val="000E1EE6"/>
    <w:rsid w:val="000E41A8"/>
    <w:rsid w:val="000E4200"/>
    <w:rsid w:val="000E52A4"/>
    <w:rsid w:val="000E5A4D"/>
    <w:rsid w:val="000E6516"/>
    <w:rsid w:val="000F022F"/>
    <w:rsid w:val="000F184A"/>
    <w:rsid w:val="000F1BBE"/>
    <w:rsid w:val="000F2B70"/>
    <w:rsid w:val="000F51D7"/>
    <w:rsid w:val="000F5ACD"/>
    <w:rsid w:val="000F62F2"/>
    <w:rsid w:val="000F7423"/>
    <w:rsid w:val="00100A78"/>
    <w:rsid w:val="00100C1E"/>
    <w:rsid w:val="001010CC"/>
    <w:rsid w:val="001016D9"/>
    <w:rsid w:val="00101B23"/>
    <w:rsid w:val="00102B5D"/>
    <w:rsid w:val="0010316F"/>
    <w:rsid w:val="00103B8D"/>
    <w:rsid w:val="00104B64"/>
    <w:rsid w:val="00105327"/>
    <w:rsid w:val="00105DC7"/>
    <w:rsid w:val="00106496"/>
    <w:rsid w:val="00106D29"/>
    <w:rsid w:val="001078FB"/>
    <w:rsid w:val="001100EB"/>
    <w:rsid w:val="0011201D"/>
    <w:rsid w:val="00112F1B"/>
    <w:rsid w:val="00113829"/>
    <w:rsid w:val="00113FA7"/>
    <w:rsid w:val="0011544C"/>
    <w:rsid w:val="00115E78"/>
    <w:rsid w:val="00115F98"/>
    <w:rsid w:val="00116B26"/>
    <w:rsid w:val="00117208"/>
    <w:rsid w:val="0011762A"/>
    <w:rsid w:val="00117880"/>
    <w:rsid w:val="001178AF"/>
    <w:rsid w:val="001178BF"/>
    <w:rsid w:val="00121B2D"/>
    <w:rsid w:val="00122B2A"/>
    <w:rsid w:val="00124BF7"/>
    <w:rsid w:val="00126FD6"/>
    <w:rsid w:val="0012715F"/>
    <w:rsid w:val="00127BC3"/>
    <w:rsid w:val="00127E5F"/>
    <w:rsid w:val="00132BE9"/>
    <w:rsid w:val="00134FCE"/>
    <w:rsid w:val="0013606F"/>
    <w:rsid w:val="001360F9"/>
    <w:rsid w:val="0013688A"/>
    <w:rsid w:val="00136E8C"/>
    <w:rsid w:val="00137155"/>
    <w:rsid w:val="00140050"/>
    <w:rsid w:val="001422AA"/>
    <w:rsid w:val="0014432A"/>
    <w:rsid w:val="00145D16"/>
    <w:rsid w:val="00146327"/>
    <w:rsid w:val="00146838"/>
    <w:rsid w:val="001474BA"/>
    <w:rsid w:val="00147A9F"/>
    <w:rsid w:val="0015089F"/>
    <w:rsid w:val="00150C7D"/>
    <w:rsid w:val="0015445B"/>
    <w:rsid w:val="001557D5"/>
    <w:rsid w:val="00157683"/>
    <w:rsid w:val="00157ACA"/>
    <w:rsid w:val="00157DA4"/>
    <w:rsid w:val="001602C5"/>
    <w:rsid w:val="00161EA6"/>
    <w:rsid w:val="00164239"/>
    <w:rsid w:val="001660D2"/>
    <w:rsid w:val="001662A5"/>
    <w:rsid w:val="001668AC"/>
    <w:rsid w:val="00166BAD"/>
    <w:rsid w:val="0016766A"/>
    <w:rsid w:val="001679B0"/>
    <w:rsid w:val="001705B2"/>
    <w:rsid w:val="00170880"/>
    <w:rsid w:val="00170922"/>
    <w:rsid w:val="0017271C"/>
    <w:rsid w:val="0017283B"/>
    <w:rsid w:val="00173218"/>
    <w:rsid w:val="001756D2"/>
    <w:rsid w:val="001810A4"/>
    <w:rsid w:val="001815A6"/>
    <w:rsid w:val="00181725"/>
    <w:rsid w:val="00181CDC"/>
    <w:rsid w:val="00183173"/>
    <w:rsid w:val="00183683"/>
    <w:rsid w:val="00183ACB"/>
    <w:rsid w:val="00184627"/>
    <w:rsid w:val="001871D3"/>
    <w:rsid w:val="001903B7"/>
    <w:rsid w:val="001939AF"/>
    <w:rsid w:val="001945C2"/>
    <w:rsid w:val="00194C4A"/>
    <w:rsid w:val="00194DD0"/>
    <w:rsid w:val="0019589C"/>
    <w:rsid w:val="00195BD0"/>
    <w:rsid w:val="00196930"/>
    <w:rsid w:val="00196A0C"/>
    <w:rsid w:val="00197BC5"/>
    <w:rsid w:val="00197C01"/>
    <w:rsid w:val="001A002C"/>
    <w:rsid w:val="001A0760"/>
    <w:rsid w:val="001A094F"/>
    <w:rsid w:val="001A09C5"/>
    <w:rsid w:val="001A23AC"/>
    <w:rsid w:val="001A287B"/>
    <w:rsid w:val="001A3458"/>
    <w:rsid w:val="001A3DC9"/>
    <w:rsid w:val="001A4E32"/>
    <w:rsid w:val="001A52D1"/>
    <w:rsid w:val="001A52E2"/>
    <w:rsid w:val="001A5694"/>
    <w:rsid w:val="001A59FD"/>
    <w:rsid w:val="001B02FE"/>
    <w:rsid w:val="001B032D"/>
    <w:rsid w:val="001B0A37"/>
    <w:rsid w:val="001B2D13"/>
    <w:rsid w:val="001B3896"/>
    <w:rsid w:val="001B5D78"/>
    <w:rsid w:val="001B6394"/>
    <w:rsid w:val="001C0CBD"/>
    <w:rsid w:val="001C2E27"/>
    <w:rsid w:val="001C2F38"/>
    <w:rsid w:val="001C32D4"/>
    <w:rsid w:val="001C3612"/>
    <w:rsid w:val="001C4059"/>
    <w:rsid w:val="001C5C58"/>
    <w:rsid w:val="001C604A"/>
    <w:rsid w:val="001C7A57"/>
    <w:rsid w:val="001D01B3"/>
    <w:rsid w:val="001D0D66"/>
    <w:rsid w:val="001D26C2"/>
    <w:rsid w:val="001D34A7"/>
    <w:rsid w:val="001D4B89"/>
    <w:rsid w:val="001D5292"/>
    <w:rsid w:val="001D5D47"/>
    <w:rsid w:val="001D7B5B"/>
    <w:rsid w:val="001D7FA8"/>
    <w:rsid w:val="001E2560"/>
    <w:rsid w:val="001E326D"/>
    <w:rsid w:val="001E3308"/>
    <w:rsid w:val="001E4FCA"/>
    <w:rsid w:val="001E5043"/>
    <w:rsid w:val="001E6387"/>
    <w:rsid w:val="001E78F1"/>
    <w:rsid w:val="001E7F8B"/>
    <w:rsid w:val="001F0051"/>
    <w:rsid w:val="001F0CA3"/>
    <w:rsid w:val="001F2725"/>
    <w:rsid w:val="001F3A17"/>
    <w:rsid w:val="001F6641"/>
    <w:rsid w:val="001F7BB3"/>
    <w:rsid w:val="001F7ED9"/>
    <w:rsid w:val="002015BF"/>
    <w:rsid w:val="0020359C"/>
    <w:rsid w:val="00205E0C"/>
    <w:rsid w:val="00206055"/>
    <w:rsid w:val="002065CB"/>
    <w:rsid w:val="00207A9C"/>
    <w:rsid w:val="0021067C"/>
    <w:rsid w:val="00212B64"/>
    <w:rsid w:val="002133D4"/>
    <w:rsid w:val="0021367D"/>
    <w:rsid w:val="002178B7"/>
    <w:rsid w:val="00217B50"/>
    <w:rsid w:val="00217E5F"/>
    <w:rsid w:val="00221F67"/>
    <w:rsid w:val="002238DB"/>
    <w:rsid w:val="0022393E"/>
    <w:rsid w:val="00224C55"/>
    <w:rsid w:val="00226860"/>
    <w:rsid w:val="002277FF"/>
    <w:rsid w:val="00227A88"/>
    <w:rsid w:val="00227C83"/>
    <w:rsid w:val="002323AF"/>
    <w:rsid w:val="00235699"/>
    <w:rsid w:val="002358C6"/>
    <w:rsid w:val="00235D8A"/>
    <w:rsid w:val="00236A62"/>
    <w:rsid w:val="00236FA9"/>
    <w:rsid w:val="00237A94"/>
    <w:rsid w:val="002403B8"/>
    <w:rsid w:val="002416C0"/>
    <w:rsid w:val="00241893"/>
    <w:rsid w:val="0024253C"/>
    <w:rsid w:val="00242896"/>
    <w:rsid w:val="002435AD"/>
    <w:rsid w:val="00244BC3"/>
    <w:rsid w:val="00250A9A"/>
    <w:rsid w:val="00251D08"/>
    <w:rsid w:val="00251EDB"/>
    <w:rsid w:val="002527E1"/>
    <w:rsid w:val="0025331F"/>
    <w:rsid w:val="002535EB"/>
    <w:rsid w:val="00254A01"/>
    <w:rsid w:val="002561C6"/>
    <w:rsid w:val="002632D2"/>
    <w:rsid w:val="00263DD3"/>
    <w:rsid w:val="00264C16"/>
    <w:rsid w:val="00265E74"/>
    <w:rsid w:val="00266A7C"/>
    <w:rsid w:val="0026736D"/>
    <w:rsid w:val="00267CD1"/>
    <w:rsid w:val="00270EF1"/>
    <w:rsid w:val="00271949"/>
    <w:rsid w:val="002719FB"/>
    <w:rsid w:val="00271B1C"/>
    <w:rsid w:val="00273490"/>
    <w:rsid w:val="00273662"/>
    <w:rsid w:val="00273721"/>
    <w:rsid w:val="00274344"/>
    <w:rsid w:val="00274465"/>
    <w:rsid w:val="0027589F"/>
    <w:rsid w:val="002759C9"/>
    <w:rsid w:val="0027677E"/>
    <w:rsid w:val="00280D8F"/>
    <w:rsid w:val="00281A02"/>
    <w:rsid w:val="00283700"/>
    <w:rsid w:val="002839FD"/>
    <w:rsid w:val="00284532"/>
    <w:rsid w:val="00284A9A"/>
    <w:rsid w:val="00285DEE"/>
    <w:rsid w:val="00286822"/>
    <w:rsid w:val="00286AA5"/>
    <w:rsid w:val="002877A1"/>
    <w:rsid w:val="002878A3"/>
    <w:rsid w:val="002909AD"/>
    <w:rsid w:val="00290B36"/>
    <w:rsid w:val="00290B59"/>
    <w:rsid w:val="00290F92"/>
    <w:rsid w:val="002925DC"/>
    <w:rsid w:val="00292F9D"/>
    <w:rsid w:val="00293462"/>
    <w:rsid w:val="002947C4"/>
    <w:rsid w:val="00294E23"/>
    <w:rsid w:val="00295AA5"/>
    <w:rsid w:val="00296054"/>
    <w:rsid w:val="002961A0"/>
    <w:rsid w:val="00296842"/>
    <w:rsid w:val="00296D98"/>
    <w:rsid w:val="00297713"/>
    <w:rsid w:val="002A11FC"/>
    <w:rsid w:val="002A2F62"/>
    <w:rsid w:val="002A4FF2"/>
    <w:rsid w:val="002A5FAF"/>
    <w:rsid w:val="002A64CA"/>
    <w:rsid w:val="002A6DC4"/>
    <w:rsid w:val="002A7141"/>
    <w:rsid w:val="002B0031"/>
    <w:rsid w:val="002B0372"/>
    <w:rsid w:val="002B0FB7"/>
    <w:rsid w:val="002B1AE8"/>
    <w:rsid w:val="002B2668"/>
    <w:rsid w:val="002B27E0"/>
    <w:rsid w:val="002B4BF9"/>
    <w:rsid w:val="002B5CA4"/>
    <w:rsid w:val="002B7409"/>
    <w:rsid w:val="002C0632"/>
    <w:rsid w:val="002C2449"/>
    <w:rsid w:val="002C272B"/>
    <w:rsid w:val="002C4280"/>
    <w:rsid w:val="002C4384"/>
    <w:rsid w:val="002C4EBB"/>
    <w:rsid w:val="002D446D"/>
    <w:rsid w:val="002D5233"/>
    <w:rsid w:val="002D576C"/>
    <w:rsid w:val="002D582B"/>
    <w:rsid w:val="002D6BF6"/>
    <w:rsid w:val="002D6E4C"/>
    <w:rsid w:val="002E03A0"/>
    <w:rsid w:val="002E0B2D"/>
    <w:rsid w:val="002E21DD"/>
    <w:rsid w:val="002E250F"/>
    <w:rsid w:val="002E26EC"/>
    <w:rsid w:val="002E494A"/>
    <w:rsid w:val="002E513A"/>
    <w:rsid w:val="002E6E64"/>
    <w:rsid w:val="002E74B7"/>
    <w:rsid w:val="002F11EE"/>
    <w:rsid w:val="002F15DE"/>
    <w:rsid w:val="002F21B0"/>
    <w:rsid w:val="002F2901"/>
    <w:rsid w:val="002F2FE6"/>
    <w:rsid w:val="002F38CC"/>
    <w:rsid w:val="002F3B38"/>
    <w:rsid w:val="002F3DB7"/>
    <w:rsid w:val="002F6085"/>
    <w:rsid w:val="002F6155"/>
    <w:rsid w:val="002F697C"/>
    <w:rsid w:val="002F6D60"/>
    <w:rsid w:val="002F71A7"/>
    <w:rsid w:val="003009F5"/>
    <w:rsid w:val="00300CFE"/>
    <w:rsid w:val="00303A00"/>
    <w:rsid w:val="003077DF"/>
    <w:rsid w:val="00307D2A"/>
    <w:rsid w:val="00311014"/>
    <w:rsid w:val="0031163A"/>
    <w:rsid w:val="00312AE9"/>
    <w:rsid w:val="00312B52"/>
    <w:rsid w:val="00313AFE"/>
    <w:rsid w:val="003144A2"/>
    <w:rsid w:val="00316376"/>
    <w:rsid w:val="00316A0F"/>
    <w:rsid w:val="00316AA2"/>
    <w:rsid w:val="00316B06"/>
    <w:rsid w:val="0031716D"/>
    <w:rsid w:val="0031719E"/>
    <w:rsid w:val="00317755"/>
    <w:rsid w:val="00317DC0"/>
    <w:rsid w:val="00320A66"/>
    <w:rsid w:val="00322BDD"/>
    <w:rsid w:val="00323C30"/>
    <w:rsid w:val="00324E56"/>
    <w:rsid w:val="0032567E"/>
    <w:rsid w:val="00325E44"/>
    <w:rsid w:val="00326BDC"/>
    <w:rsid w:val="00326C98"/>
    <w:rsid w:val="00330955"/>
    <w:rsid w:val="00331D57"/>
    <w:rsid w:val="003320EA"/>
    <w:rsid w:val="003323C3"/>
    <w:rsid w:val="00332E98"/>
    <w:rsid w:val="00333387"/>
    <w:rsid w:val="003337C8"/>
    <w:rsid w:val="003344D3"/>
    <w:rsid w:val="00335423"/>
    <w:rsid w:val="003354A5"/>
    <w:rsid w:val="0033599D"/>
    <w:rsid w:val="00336E95"/>
    <w:rsid w:val="00337ACE"/>
    <w:rsid w:val="00342772"/>
    <w:rsid w:val="003431FE"/>
    <w:rsid w:val="003439BA"/>
    <w:rsid w:val="0034493D"/>
    <w:rsid w:val="00345088"/>
    <w:rsid w:val="00346619"/>
    <w:rsid w:val="003467CE"/>
    <w:rsid w:val="00346DCB"/>
    <w:rsid w:val="003475B0"/>
    <w:rsid w:val="003506FD"/>
    <w:rsid w:val="003512E2"/>
    <w:rsid w:val="00352E48"/>
    <w:rsid w:val="00353415"/>
    <w:rsid w:val="00353562"/>
    <w:rsid w:val="00354A60"/>
    <w:rsid w:val="00355497"/>
    <w:rsid w:val="003556F6"/>
    <w:rsid w:val="0035583E"/>
    <w:rsid w:val="0035758F"/>
    <w:rsid w:val="003601ED"/>
    <w:rsid w:val="00362C48"/>
    <w:rsid w:val="00362E9A"/>
    <w:rsid w:val="00363BE1"/>
    <w:rsid w:val="0036456F"/>
    <w:rsid w:val="00364789"/>
    <w:rsid w:val="003671C7"/>
    <w:rsid w:val="003679C5"/>
    <w:rsid w:val="00367D33"/>
    <w:rsid w:val="00367D34"/>
    <w:rsid w:val="00367E62"/>
    <w:rsid w:val="00371A4E"/>
    <w:rsid w:val="00371EED"/>
    <w:rsid w:val="00372454"/>
    <w:rsid w:val="00375697"/>
    <w:rsid w:val="00375CCB"/>
    <w:rsid w:val="003764C4"/>
    <w:rsid w:val="00377DBE"/>
    <w:rsid w:val="003826D1"/>
    <w:rsid w:val="0038426F"/>
    <w:rsid w:val="00384C62"/>
    <w:rsid w:val="003853E6"/>
    <w:rsid w:val="0038544D"/>
    <w:rsid w:val="0038585E"/>
    <w:rsid w:val="00386877"/>
    <w:rsid w:val="00387FC9"/>
    <w:rsid w:val="00390B7A"/>
    <w:rsid w:val="00390ECE"/>
    <w:rsid w:val="003922AA"/>
    <w:rsid w:val="003929FA"/>
    <w:rsid w:val="00393E9A"/>
    <w:rsid w:val="0039439E"/>
    <w:rsid w:val="00394EE8"/>
    <w:rsid w:val="003955CD"/>
    <w:rsid w:val="00396A2D"/>
    <w:rsid w:val="003A156B"/>
    <w:rsid w:val="003A2059"/>
    <w:rsid w:val="003A41DF"/>
    <w:rsid w:val="003A49D8"/>
    <w:rsid w:val="003A5C5A"/>
    <w:rsid w:val="003A607A"/>
    <w:rsid w:val="003A713B"/>
    <w:rsid w:val="003A7994"/>
    <w:rsid w:val="003B0A92"/>
    <w:rsid w:val="003B130A"/>
    <w:rsid w:val="003B17F0"/>
    <w:rsid w:val="003B20B6"/>
    <w:rsid w:val="003B311B"/>
    <w:rsid w:val="003B3E5D"/>
    <w:rsid w:val="003B5DE2"/>
    <w:rsid w:val="003B61E1"/>
    <w:rsid w:val="003B6646"/>
    <w:rsid w:val="003B6E15"/>
    <w:rsid w:val="003C0665"/>
    <w:rsid w:val="003C0B4C"/>
    <w:rsid w:val="003C0C41"/>
    <w:rsid w:val="003C121D"/>
    <w:rsid w:val="003C43F2"/>
    <w:rsid w:val="003C54B3"/>
    <w:rsid w:val="003C6273"/>
    <w:rsid w:val="003C6623"/>
    <w:rsid w:val="003C70E8"/>
    <w:rsid w:val="003D1031"/>
    <w:rsid w:val="003D168F"/>
    <w:rsid w:val="003D1923"/>
    <w:rsid w:val="003D1D83"/>
    <w:rsid w:val="003D1E4B"/>
    <w:rsid w:val="003D21C6"/>
    <w:rsid w:val="003D23BD"/>
    <w:rsid w:val="003D297F"/>
    <w:rsid w:val="003D2C4C"/>
    <w:rsid w:val="003D344D"/>
    <w:rsid w:val="003D3FE4"/>
    <w:rsid w:val="003D5031"/>
    <w:rsid w:val="003D64C9"/>
    <w:rsid w:val="003D6DE2"/>
    <w:rsid w:val="003D732A"/>
    <w:rsid w:val="003E071B"/>
    <w:rsid w:val="003E0AB7"/>
    <w:rsid w:val="003E1882"/>
    <w:rsid w:val="003E23BF"/>
    <w:rsid w:val="003E2A93"/>
    <w:rsid w:val="003E425F"/>
    <w:rsid w:val="003E49DF"/>
    <w:rsid w:val="003E4D07"/>
    <w:rsid w:val="003F040C"/>
    <w:rsid w:val="003F14C2"/>
    <w:rsid w:val="003F15F2"/>
    <w:rsid w:val="003F35B0"/>
    <w:rsid w:val="003F38F1"/>
    <w:rsid w:val="003F476F"/>
    <w:rsid w:val="003F7762"/>
    <w:rsid w:val="003F7972"/>
    <w:rsid w:val="00400601"/>
    <w:rsid w:val="0040102F"/>
    <w:rsid w:val="00401C3E"/>
    <w:rsid w:val="00402E06"/>
    <w:rsid w:val="0040305E"/>
    <w:rsid w:val="00403328"/>
    <w:rsid w:val="004033E2"/>
    <w:rsid w:val="004035EF"/>
    <w:rsid w:val="0040398F"/>
    <w:rsid w:val="00403B35"/>
    <w:rsid w:val="00404469"/>
    <w:rsid w:val="004051E6"/>
    <w:rsid w:val="004058EE"/>
    <w:rsid w:val="0041030B"/>
    <w:rsid w:val="0041116B"/>
    <w:rsid w:val="00412ADE"/>
    <w:rsid w:val="00412BC8"/>
    <w:rsid w:val="00413772"/>
    <w:rsid w:val="0041389F"/>
    <w:rsid w:val="00414223"/>
    <w:rsid w:val="004143B2"/>
    <w:rsid w:val="00415151"/>
    <w:rsid w:val="0041529F"/>
    <w:rsid w:val="00416809"/>
    <w:rsid w:val="00416ED0"/>
    <w:rsid w:val="00417D58"/>
    <w:rsid w:val="0042019C"/>
    <w:rsid w:val="00420BDC"/>
    <w:rsid w:val="00420F82"/>
    <w:rsid w:val="00422EC4"/>
    <w:rsid w:val="00423EDA"/>
    <w:rsid w:val="00424FD1"/>
    <w:rsid w:val="00424FEA"/>
    <w:rsid w:val="00431722"/>
    <w:rsid w:val="004331AA"/>
    <w:rsid w:val="00433798"/>
    <w:rsid w:val="00433DE6"/>
    <w:rsid w:val="004343C7"/>
    <w:rsid w:val="00435DDD"/>
    <w:rsid w:val="00436FFD"/>
    <w:rsid w:val="00440270"/>
    <w:rsid w:val="00440960"/>
    <w:rsid w:val="00441237"/>
    <w:rsid w:val="00442170"/>
    <w:rsid w:val="00442D51"/>
    <w:rsid w:val="0044365F"/>
    <w:rsid w:val="00444AA5"/>
    <w:rsid w:val="00445D68"/>
    <w:rsid w:val="004466AF"/>
    <w:rsid w:val="00446A29"/>
    <w:rsid w:val="0044719F"/>
    <w:rsid w:val="004519F5"/>
    <w:rsid w:val="00452C26"/>
    <w:rsid w:val="00452F51"/>
    <w:rsid w:val="00453142"/>
    <w:rsid w:val="00453F84"/>
    <w:rsid w:val="00455EA6"/>
    <w:rsid w:val="004568ED"/>
    <w:rsid w:val="00456A55"/>
    <w:rsid w:val="004573E6"/>
    <w:rsid w:val="004577A2"/>
    <w:rsid w:val="00460EA0"/>
    <w:rsid w:val="00461234"/>
    <w:rsid w:val="004614A1"/>
    <w:rsid w:val="0046249B"/>
    <w:rsid w:val="004629E9"/>
    <w:rsid w:val="0046402F"/>
    <w:rsid w:val="0046427C"/>
    <w:rsid w:val="004647BD"/>
    <w:rsid w:val="00465CE8"/>
    <w:rsid w:val="004660F8"/>
    <w:rsid w:val="0046698A"/>
    <w:rsid w:val="00466F88"/>
    <w:rsid w:val="00467326"/>
    <w:rsid w:val="004673D6"/>
    <w:rsid w:val="00467610"/>
    <w:rsid w:val="004677D1"/>
    <w:rsid w:val="004708D6"/>
    <w:rsid w:val="00472DB2"/>
    <w:rsid w:val="00474F34"/>
    <w:rsid w:val="00475732"/>
    <w:rsid w:val="004759C4"/>
    <w:rsid w:val="00480584"/>
    <w:rsid w:val="004805FD"/>
    <w:rsid w:val="004813ED"/>
    <w:rsid w:val="004815B0"/>
    <w:rsid w:val="0048163B"/>
    <w:rsid w:val="00481EA5"/>
    <w:rsid w:val="00483461"/>
    <w:rsid w:val="004859E5"/>
    <w:rsid w:val="00485A90"/>
    <w:rsid w:val="00485B32"/>
    <w:rsid w:val="00486087"/>
    <w:rsid w:val="00486968"/>
    <w:rsid w:val="00487220"/>
    <w:rsid w:val="00487591"/>
    <w:rsid w:val="00487B98"/>
    <w:rsid w:val="00490CF8"/>
    <w:rsid w:val="00490E0E"/>
    <w:rsid w:val="00491274"/>
    <w:rsid w:val="00491DC0"/>
    <w:rsid w:val="00494D64"/>
    <w:rsid w:val="00495339"/>
    <w:rsid w:val="0049587A"/>
    <w:rsid w:val="00496097"/>
    <w:rsid w:val="004962DD"/>
    <w:rsid w:val="00496DBE"/>
    <w:rsid w:val="004A00C7"/>
    <w:rsid w:val="004A056B"/>
    <w:rsid w:val="004A0996"/>
    <w:rsid w:val="004A0B3D"/>
    <w:rsid w:val="004A0D8D"/>
    <w:rsid w:val="004A2CD8"/>
    <w:rsid w:val="004A446A"/>
    <w:rsid w:val="004A499B"/>
    <w:rsid w:val="004A4D0E"/>
    <w:rsid w:val="004A5006"/>
    <w:rsid w:val="004A5836"/>
    <w:rsid w:val="004A6262"/>
    <w:rsid w:val="004A692A"/>
    <w:rsid w:val="004A6D2C"/>
    <w:rsid w:val="004A7A1D"/>
    <w:rsid w:val="004B0031"/>
    <w:rsid w:val="004B101B"/>
    <w:rsid w:val="004B18C7"/>
    <w:rsid w:val="004B19F1"/>
    <w:rsid w:val="004B1A67"/>
    <w:rsid w:val="004B2818"/>
    <w:rsid w:val="004B2F83"/>
    <w:rsid w:val="004B3657"/>
    <w:rsid w:val="004B46F3"/>
    <w:rsid w:val="004B4DBC"/>
    <w:rsid w:val="004B5306"/>
    <w:rsid w:val="004B5AC2"/>
    <w:rsid w:val="004B6AA4"/>
    <w:rsid w:val="004B71E4"/>
    <w:rsid w:val="004B7C22"/>
    <w:rsid w:val="004C0C4C"/>
    <w:rsid w:val="004C189E"/>
    <w:rsid w:val="004C1F21"/>
    <w:rsid w:val="004C2DA5"/>
    <w:rsid w:val="004C3AC7"/>
    <w:rsid w:val="004C3EEF"/>
    <w:rsid w:val="004C444C"/>
    <w:rsid w:val="004C4662"/>
    <w:rsid w:val="004C584E"/>
    <w:rsid w:val="004C5D9E"/>
    <w:rsid w:val="004C65EE"/>
    <w:rsid w:val="004D03C7"/>
    <w:rsid w:val="004D14F0"/>
    <w:rsid w:val="004D256A"/>
    <w:rsid w:val="004D3632"/>
    <w:rsid w:val="004D3A91"/>
    <w:rsid w:val="004D3ADF"/>
    <w:rsid w:val="004D4057"/>
    <w:rsid w:val="004D4849"/>
    <w:rsid w:val="004D4C6B"/>
    <w:rsid w:val="004D4E04"/>
    <w:rsid w:val="004D6FB9"/>
    <w:rsid w:val="004E117C"/>
    <w:rsid w:val="004E1C88"/>
    <w:rsid w:val="004E3BFA"/>
    <w:rsid w:val="004E40CE"/>
    <w:rsid w:val="004E5FA5"/>
    <w:rsid w:val="004E74C4"/>
    <w:rsid w:val="004E7DCF"/>
    <w:rsid w:val="004F0F0E"/>
    <w:rsid w:val="004F305D"/>
    <w:rsid w:val="004F4076"/>
    <w:rsid w:val="004F6109"/>
    <w:rsid w:val="005005D9"/>
    <w:rsid w:val="00502395"/>
    <w:rsid w:val="00502575"/>
    <w:rsid w:val="00503181"/>
    <w:rsid w:val="00503C74"/>
    <w:rsid w:val="00505A44"/>
    <w:rsid w:val="00505F84"/>
    <w:rsid w:val="005073D6"/>
    <w:rsid w:val="0050761C"/>
    <w:rsid w:val="00507806"/>
    <w:rsid w:val="0051033D"/>
    <w:rsid w:val="00511749"/>
    <w:rsid w:val="00512553"/>
    <w:rsid w:val="005131F0"/>
    <w:rsid w:val="00514815"/>
    <w:rsid w:val="00514F23"/>
    <w:rsid w:val="00514FE2"/>
    <w:rsid w:val="00515154"/>
    <w:rsid w:val="00515788"/>
    <w:rsid w:val="00516B63"/>
    <w:rsid w:val="00516CC8"/>
    <w:rsid w:val="00516D70"/>
    <w:rsid w:val="00520BD4"/>
    <w:rsid w:val="00521B7F"/>
    <w:rsid w:val="00523A48"/>
    <w:rsid w:val="005252C3"/>
    <w:rsid w:val="00526FA4"/>
    <w:rsid w:val="005308A5"/>
    <w:rsid w:val="0053255D"/>
    <w:rsid w:val="00533330"/>
    <w:rsid w:val="00534BEC"/>
    <w:rsid w:val="0053548F"/>
    <w:rsid w:val="00535942"/>
    <w:rsid w:val="00535DCC"/>
    <w:rsid w:val="00536005"/>
    <w:rsid w:val="00536166"/>
    <w:rsid w:val="00537324"/>
    <w:rsid w:val="0053766A"/>
    <w:rsid w:val="00540B73"/>
    <w:rsid w:val="00540F48"/>
    <w:rsid w:val="00541A2B"/>
    <w:rsid w:val="00541F38"/>
    <w:rsid w:val="005433CC"/>
    <w:rsid w:val="00543B46"/>
    <w:rsid w:val="00543B61"/>
    <w:rsid w:val="005460A5"/>
    <w:rsid w:val="00547A0C"/>
    <w:rsid w:val="00551715"/>
    <w:rsid w:val="0055241E"/>
    <w:rsid w:val="0055318D"/>
    <w:rsid w:val="005535BD"/>
    <w:rsid w:val="00553633"/>
    <w:rsid w:val="005536BE"/>
    <w:rsid w:val="00555774"/>
    <w:rsid w:val="0055582C"/>
    <w:rsid w:val="00555DA7"/>
    <w:rsid w:val="005565AB"/>
    <w:rsid w:val="00556A7F"/>
    <w:rsid w:val="00557609"/>
    <w:rsid w:val="00560438"/>
    <w:rsid w:val="0056171D"/>
    <w:rsid w:val="00561F0A"/>
    <w:rsid w:val="0056203D"/>
    <w:rsid w:val="00563F3E"/>
    <w:rsid w:val="005641D4"/>
    <w:rsid w:val="005679A1"/>
    <w:rsid w:val="00567BEF"/>
    <w:rsid w:val="005704B1"/>
    <w:rsid w:val="00570B9F"/>
    <w:rsid w:val="00570C7F"/>
    <w:rsid w:val="00571E49"/>
    <w:rsid w:val="0057267A"/>
    <w:rsid w:val="00573EAC"/>
    <w:rsid w:val="005741D4"/>
    <w:rsid w:val="00574612"/>
    <w:rsid w:val="00575508"/>
    <w:rsid w:val="005755BE"/>
    <w:rsid w:val="00576144"/>
    <w:rsid w:val="005768AB"/>
    <w:rsid w:val="00576D4B"/>
    <w:rsid w:val="00577624"/>
    <w:rsid w:val="00577B70"/>
    <w:rsid w:val="00581619"/>
    <w:rsid w:val="0058275B"/>
    <w:rsid w:val="00582923"/>
    <w:rsid w:val="00582C91"/>
    <w:rsid w:val="00582E6A"/>
    <w:rsid w:val="0058310D"/>
    <w:rsid w:val="00584E2E"/>
    <w:rsid w:val="00585180"/>
    <w:rsid w:val="00586E43"/>
    <w:rsid w:val="005874FB"/>
    <w:rsid w:val="005878AE"/>
    <w:rsid w:val="0059014F"/>
    <w:rsid w:val="00591702"/>
    <w:rsid w:val="00592C04"/>
    <w:rsid w:val="00593E3F"/>
    <w:rsid w:val="00593FD2"/>
    <w:rsid w:val="005940EF"/>
    <w:rsid w:val="0059482C"/>
    <w:rsid w:val="00594BDC"/>
    <w:rsid w:val="00595009"/>
    <w:rsid w:val="005952C9"/>
    <w:rsid w:val="00595B9B"/>
    <w:rsid w:val="00596108"/>
    <w:rsid w:val="00596C95"/>
    <w:rsid w:val="005977AE"/>
    <w:rsid w:val="00597C37"/>
    <w:rsid w:val="005A0F56"/>
    <w:rsid w:val="005A1473"/>
    <w:rsid w:val="005A182F"/>
    <w:rsid w:val="005A1E44"/>
    <w:rsid w:val="005A292E"/>
    <w:rsid w:val="005A35EB"/>
    <w:rsid w:val="005A3756"/>
    <w:rsid w:val="005A499C"/>
    <w:rsid w:val="005A6D52"/>
    <w:rsid w:val="005A71EC"/>
    <w:rsid w:val="005A73AA"/>
    <w:rsid w:val="005A7426"/>
    <w:rsid w:val="005B0906"/>
    <w:rsid w:val="005B0DC1"/>
    <w:rsid w:val="005B11F4"/>
    <w:rsid w:val="005B2C13"/>
    <w:rsid w:val="005B3165"/>
    <w:rsid w:val="005B455D"/>
    <w:rsid w:val="005B56BB"/>
    <w:rsid w:val="005B77EE"/>
    <w:rsid w:val="005C1A0D"/>
    <w:rsid w:val="005C1A58"/>
    <w:rsid w:val="005C3BEE"/>
    <w:rsid w:val="005C55EC"/>
    <w:rsid w:val="005C5EF6"/>
    <w:rsid w:val="005C60BA"/>
    <w:rsid w:val="005C7110"/>
    <w:rsid w:val="005C7D59"/>
    <w:rsid w:val="005D1240"/>
    <w:rsid w:val="005D1316"/>
    <w:rsid w:val="005D29B9"/>
    <w:rsid w:val="005D29DE"/>
    <w:rsid w:val="005D31C6"/>
    <w:rsid w:val="005D3B68"/>
    <w:rsid w:val="005D545A"/>
    <w:rsid w:val="005D573D"/>
    <w:rsid w:val="005D58AB"/>
    <w:rsid w:val="005D6360"/>
    <w:rsid w:val="005D6E9A"/>
    <w:rsid w:val="005E0D9B"/>
    <w:rsid w:val="005E176C"/>
    <w:rsid w:val="005E1835"/>
    <w:rsid w:val="005E19BF"/>
    <w:rsid w:val="005E3FA4"/>
    <w:rsid w:val="005E40C6"/>
    <w:rsid w:val="005E4A7D"/>
    <w:rsid w:val="005E7784"/>
    <w:rsid w:val="005E77CF"/>
    <w:rsid w:val="005E7F47"/>
    <w:rsid w:val="005F0869"/>
    <w:rsid w:val="005F17FF"/>
    <w:rsid w:val="005F182F"/>
    <w:rsid w:val="005F4FBF"/>
    <w:rsid w:val="005F6085"/>
    <w:rsid w:val="005F7E8B"/>
    <w:rsid w:val="006002BC"/>
    <w:rsid w:val="00600384"/>
    <w:rsid w:val="00600501"/>
    <w:rsid w:val="006019F1"/>
    <w:rsid w:val="00601AEF"/>
    <w:rsid w:val="00601B40"/>
    <w:rsid w:val="006025B0"/>
    <w:rsid w:val="00603280"/>
    <w:rsid w:val="0060343A"/>
    <w:rsid w:val="00605254"/>
    <w:rsid w:val="006054C0"/>
    <w:rsid w:val="0060599D"/>
    <w:rsid w:val="00605EEB"/>
    <w:rsid w:val="00606111"/>
    <w:rsid w:val="006103AE"/>
    <w:rsid w:val="00610760"/>
    <w:rsid w:val="0061103F"/>
    <w:rsid w:val="006115CF"/>
    <w:rsid w:val="0061169B"/>
    <w:rsid w:val="00613377"/>
    <w:rsid w:val="00614253"/>
    <w:rsid w:val="00614A81"/>
    <w:rsid w:val="00614DDD"/>
    <w:rsid w:val="006154D0"/>
    <w:rsid w:val="006178B7"/>
    <w:rsid w:val="00617E26"/>
    <w:rsid w:val="006203AD"/>
    <w:rsid w:val="00620A83"/>
    <w:rsid w:val="006213D6"/>
    <w:rsid w:val="006219B2"/>
    <w:rsid w:val="00622284"/>
    <w:rsid w:val="006229EA"/>
    <w:rsid w:val="00624122"/>
    <w:rsid w:val="006241E4"/>
    <w:rsid w:val="0062421B"/>
    <w:rsid w:val="00624BE4"/>
    <w:rsid w:val="006252F4"/>
    <w:rsid w:val="00627BAF"/>
    <w:rsid w:val="00630767"/>
    <w:rsid w:val="00631716"/>
    <w:rsid w:val="006317A4"/>
    <w:rsid w:val="0063253F"/>
    <w:rsid w:val="006333AF"/>
    <w:rsid w:val="00633EFF"/>
    <w:rsid w:val="006346D3"/>
    <w:rsid w:val="00637639"/>
    <w:rsid w:val="006406CF"/>
    <w:rsid w:val="00641E32"/>
    <w:rsid w:val="00641EAE"/>
    <w:rsid w:val="006420BD"/>
    <w:rsid w:val="006421DB"/>
    <w:rsid w:val="006428A8"/>
    <w:rsid w:val="00642CA7"/>
    <w:rsid w:val="006430C2"/>
    <w:rsid w:val="006431F3"/>
    <w:rsid w:val="006439FE"/>
    <w:rsid w:val="00643E05"/>
    <w:rsid w:val="00644132"/>
    <w:rsid w:val="006452C7"/>
    <w:rsid w:val="00650CF4"/>
    <w:rsid w:val="00651F9F"/>
    <w:rsid w:val="006524E6"/>
    <w:rsid w:val="00652518"/>
    <w:rsid w:val="0065387D"/>
    <w:rsid w:val="00653A27"/>
    <w:rsid w:val="00660194"/>
    <w:rsid w:val="00660579"/>
    <w:rsid w:val="00661DA2"/>
    <w:rsid w:val="006624A2"/>
    <w:rsid w:val="00662602"/>
    <w:rsid w:val="00662CAC"/>
    <w:rsid w:val="00663B7A"/>
    <w:rsid w:val="00665822"/>
    <w:rsid w:val="006670AD"/>
    <w:rsid w:val="00670858"/>
    <w:rsid w:val="00671CD3"/>
    <w:rsid w:val="006722FB"/>
    <w:rsid w:val="00672B18"/>
    <w:rsid w:val="006733D0"/>
    <w:rsid w:val="006737B0"/>
    <w:rsid w:val="0067446C"/>
    <w:rsid w:val="0067482F"/>
    <w:rsid w:val="00674CDB"/>
    <w:rsid w:val="00675A74"/>
    <w:rsid w:val="00675AB2"/>
    <w:rsid w:val="00675F7E"/>
    <w:rsid w:val="0068062B"/>
    <w:rsid w:val="00683383"/>
    <w:rsid w:val="006843DE"/>
    <w:rsid w:val="00684952"/>
    <w:rsid w:val="00685BBA"/>
    <w:rsid w:val="00685F32"/>
    <w:rsid w:val="0068604F"/>
    <w:rsid w:val="006863AC"/>
    <w:rsid w:val="00686C46"/>
    <w:rsid w:val="00687A74"/>
    <w:rsid w:val="00690879"/>
    <w:rsid w:val="006914AC"/>
    <w:rsid w:val="0069256C"/>
    <w:rsid w:val="0069405D"/>
    <w:rsid w:val="006945D5"/>
    <w:rsid w:val="0069460C"/>
    <w:rsid w:val="006978FD"/>
    <w:rsid w:val="006A012B"/>
    <w:rsid w:val="006A0F91"/>
    <w:rsid w:val="006A1C10"/>
    <w:rsid w:val="006A220F"/>
    <w:rsid w:val="006A2692"/>
    <w:rsid w:val="006A30B4"/>
    <w:rsid w:val="006A3314"/>
    <w:rsid w:val="006A3615"/>
    <w:rsid w:val="006A4DF7"/>
    <w:rsid w:val="006A52E9"/>
    <w:rsid w:val="006A537F"/>
    <w:rsid w:val="006A5D82"/>
    <w:rsid w:val="006A6342"/>
    <w:rsid w:val="006A7E6A"/>
    <w:rsid w:val="006B00F5"/>
    <w:rsid w:val="006B09CA"/>
    <w:rsid w:val="006B0B8A"/>
    <w:rsid w:val="006B19CA"/>
    <w:rsid w:val="006B1D51"/>
    <w:rsid w:val="006B2D27"/>
    <w:rsid w:val="006B3827"/>
    <w:rsid w:val="006B6933"/>
    <w:rsid w:val="006B6C32"/>
    <w:rsid w:val="006C0E50"/>
    <w:rsid w:val="006C0FF9"/>
    <w:rsid w:val="006C252F"/>
    <w:rsid w:val="006C27D3"/>
    <w:rsid w:val="006C4504"/>
    <w:rsid w:val="006C4D0D"/>
    <w:rsid w:val="006C4D51"/>
    <w:rsid w:val="006C6B19"/>
    <w:rsid w:val="006C73D3"/>
    <w:rsid w:val="006D04A4"/>
    <w:rsid w:val="006D1CB9"/>
    <w:rsid w:val="006D2A33"/>
    <w:rsid w:val="006D3441"/>
    <w:rsid w:val="006D48AF"/>
    <w:rsid w:val="006D54A9"/>
    <w:rsid w:val="006D6534"/>
    <w:rsid w:val="006D676D"/>
    <w:rsid w:val="006D759C"/>
    <w:rsid w:val="006D7A88"/>
    <w:rsid w:val="006E0921"/>
    <w:rsid w:val="006E11BC"/>
    <w:rsid w:val="006E13FC"/>
    <w:rsid w:val="006E1BBA"/>
    <w:rsid w:val="006E2E8A"/>
    <w:rsid w:val="006E628B"/>
    <w:rsid w:val="006F0D23"/>
    <w:rsid w:val="006F0DFA"/>
    <w:rsid w:val="006F10D4"/>
    <w:rsid w:val="006F13A6"/>
    <w:rsid w:val="006F1AC1"/>
    <w:rsid w:val="006F1E82"/>
    <w:rsid w:val="006F2DFE"/>
    <w:rsid w:val="006F4B2A"/>
    <w:rsid w:val="006F4EAA"/>
    <w:rsid w:val="006F5EE5"/>
    <w:rsid w:val="006F6BFD"/>
    <w:rsid w:val="006F7515"/>
    <w:rsid w:val="006F7D58"/>
    <w:rsid w:val="00700024"/>
    <w:rsid w:val="00700198"/>
    <w:rsid w:val="007011F4"/>
    <w:rsid w:val="00702B30"/>
    <w:rsid w:val="007049E1"/>
    <w:rsid w:val="00706224"/>
    <w:rsid w:val="0070629D"/>
    <w:rsid w:val="00707685"/>
    <w:rsid w:val="007079F0"/>
    <w:rsid w:val="00707D94"/>
    <w:rsid w:val="0071072E"/>
    <w:rsid w:val="00711DD5"/>
    <w:rsid w:val="00712A5C"/>
    <w:rsid w:val="007130BF"/>
    <w:rsid w:val="00713174"/>
    <w:rsid w:val="0071460C"/>
    <w:rsid w:val="0071527C"/>
    <w:rsid w:val="007200E2"/>
    <w:rsid w:val="007203DE"/>
    <w:rsid w:val="00720885"/>
    <w:rsid w:val="00720A5F"/>
    <w:rsid w:val="007210F9"/>
    <w:rsid w:val="007226EF"/>
    <w:rsid w:val="00722C3A"/>
    <w:rsid w:val="00723B5D"/>
    <w:rsid w:val="007241E3"/>
    <w:rsid w:val="0072523C"/>
    <w:rsid w:val="00726F60"/>
    <w:rsid w:val="00727049"/>
    <w:rsid w:val="0072729E"/>
    <w:rsid w:val="00730269"/>
    <w:rsid w:val="00731377"/>
    <w:rsid w:val="007317D0"/>
    <w:rsid w:val="00731CDD"/>
    <w:rsid w:val="00733C16"/>
    <w:rsid w:val="00733C98"/>
    <w:rsid w:val="007365A8"/>
    <w:rsid w:val="0073673C"/>
    <w:rsid w:val="0073691D"/>
    <w:rsid w:val="00737525"/>
    <w:rsid w:val="00737E78"/>
    <w:rsid w:val="0074083F"/>
    <w:rsid w:val="007434B9"/>
    <w:rsid w:val="00743BB1"/>
    <w:rsid w:val="0074557D"/>
    <w:rsid w:val="00745F90"/>
    <w:rsid w:val="00747C4E"/>
    <w:rsid w:val="00750BB4"/>
    <w:rsid w:val="00750EB1"/>
    <w:rsid w:val="0075126D"/>
    <w:rsid w:val="0075211A"/>
    <w:rsid w:val="00752153"/>
    <w:rsid w:val="00752352"/>
    <w:rsid w:val="00752CB7"/>
    <w:rsid w:val="00752F74"/>
    <w:rsid w:val="007537B8"/>
    <w:rsid w:val="00753AEF"/>
    <w:rsid w:val="007561CB"/>
    <w:rsid w:val="00756879"/>
    <w:rsid w:val="00756BEA"/>
    <w:rsid w:val="00757351"/>
    <w:rsid w:val="007577A7"/>
    <w:rsid w:val="00760D9F"/>
    <w:rsid w:val="0076121D"/>
    <w:rsid w:val="007616E9"/>
    <w:rsid w:val="0076346C"/>
    <w:rsid w:val="00763747"/>
    <w:rsid w:val="007638C6"/>
    <w:rsid w:val="007643A9"/>
    <w:rsid w:val="00764581"/>
    <w:rsid w:val="007659BC"/>
    <w:rsid w:val="007701AD"/>
    <w:rsid w:val="00770821"/>
    <w:rsid w:val="00771B96"/>
    <w:rsid w:val="00771C1A"/>
    <w:rsid w:val="00772680"/>
    <w:rsid w:val="00773620"/>
    <w:rsid w:val="007754DF"/>
    <w:rsid w:val="00775CC8"/>
    <w:rsid w:val="007760A4"/>
    <w:rsid w:val="00776BC5"/>
    <w:rsid w:val="007824FC"/>
    <w:rsid w:val="00782512"/>
    <w:rsid w:val="0078565E"/>
    <w:rsid w:val="00785C2D"/>
    <w:rsid w:val="00786D87"/>
    <w:rsid w:val="007873C3"/>
    <w:rsid w:val="00787840"/>
    <w:rsid w:val="00787D7E"/>
    <w:rsid w:val="00791100"/>
    <w:rsid w:val="007919F0"/>
    <w:rsid w:val="00791C28"/>
    <w:rsid w:val="00794B73"/>
    <w:rsid w:val="007973EE"/>
    <w:rsid w:val="00797A6D"/>
    <w:rsid w:val="007A0081"/>
    <w:rsid w:val="007A0C41"/>
    <w:rsid w:val="007A0D0E"/>
    <w:rsid w:val="007A168D"/>
    <w:rsid w:val="007A21BB"/>
    <w:rsid w:val="007A2AAB"/>
    <w:rsid w:val="007A3A43"/>
    <w:rsid w:val="007A4A37"/>
    <w:rsid w:val="007A4C5F"/>
    <w:rsid w:val="007A57FB"/>
    <w:rsid w:val="007A622B"/>
    <w:rsid w:val="007A7F0B"/>
    <w:rsid w:val="007B04EC"/>
    <w:rsid w:val="007B23D4"/>
    <w:rsid w:val="007B2970"/>
    <w:rsid w:val="007B362B"/>
    <w:rsid w:val="007B46E8"/>
    <w:rsid w:val="007B49D9"/>
    <w:rsid w:val="007B4FEF"/>
    <w:rsid w:val="007B696A"/>
    <w:rsid w:val="007B7D15"/>
    <w:rsid w:val="007C0A14"/>
    <w:rsid w:val="007C1092"/>
    <w:rsid w:val="007C1485"/>
    <w:rsid w:val="007C1FEA"/>
    <w:rsid w:val="007C3282"/>
    <w:rsid w:val="007C49C7"/>
    <w:rsid w:val="007C4CB5"/>
    <w:rsid w:val="007C4FB7"/>
    <w:rsid w:val="007C7CD0"/>
    <w:rsid w:val="007D0D40"/>
    <w:rsid w:val="007D1913"/>
    <w:rsid w:val="007D2258"/>
    <w:rsid w:val="007D26F9"/>
    <w:rsid w:val="007D3F7A"/>
    <w:rsid w:val="007D4042"/>
    <w:rsid w:val="007D4074"/>
    <w:rsid w:val="007D6D22"/>
    <w:rsid w:val="007D7207"/>
    <w:rsid w:val="007E0BD6"/>
    <w:rsid w:val="007E1672"/>
    <w:rsid w:val="007E1B6C"/>
    <w:rsid w:val="007E2A49"/>
    <w:rsid w:val="007E31CF"/>
    <w:rsid w:val="007E3E5C"/>
    <w:rsid w:val="007E4AA6"/>
    <w:rsid w:val="007E522D"/>
    <w:rsid w:val="007E5A94"/>
    <w:rsid w:val="007E5AAC"/>
    <w:rsid w:val="007E6B11"/>
    <w:rsid w:val="007E6E35"/>
    <w:rsid w:val="007F121F"/>
    <w:rsid w:val="007F1DE7"/>
    <w:rsid w:val="007F2A2C"/>
    <w:rsid w:val="007F3C7A"/>
    <w:rsid w:val="007F4042"/>
    <w:rsid w:val="007F412A"/>
    <w:rsid w:val="007F5B42"/>
    <w:rsid w:val="007F5BB7"/>
    <w:rsid w:val="007F60B7"/>
    <w:rsid w:val="007F680B"/>
    <w:rsid w:val="007F7132"/>
    <w:rsid w:val="008005AC"/>
    <w:rsid w:val="00800C8A"/>
    <w:rsid w:val="0080128F"/>
    <w:rsid w:val="00801762"/>
    <w:rsid w:val="00801E41"/>
    <w:rsid w:val="00802811"/>
    <w:rsid w:val="00803591"/>
    <w:rsid w:val="00803959"/>
    <w:rsid w:val="00804435"/>
    <w:rsid w:val="00804B3F"/>
    <w:rsid w:val="00805C7D"/>
    <w:rsid w:val="00806BCD"/>
    <w:rsid w:val="008071C2"/>
    <w:rsid w:val="0081134F"/>
    <w:rsid w:val="008117AE"/>
    <w:rsid w:val="00813316"/>
    <w:rsid w:val="00814237"/>
    <w:rsid w:val="0081491A"/>
    <w:rsid w:val="00814A09"/>
    <w:rsid w:val="00815069"/>
    <w:rsid w:val="00815177"/>
    <w:rsid w:val="00815668"/>
    <w:rsid w:val="00815732"/>
    <w:rsid w:val="008161B7"/>
    <w:rsid w:val="0081669E"/>
    <w:rsid w:val="008168D5"/>
    <w:rsid w:val="00816E80"/>
    <w:rsid w:val="00817714"/>
    <w:rsid w:val="00817DBD"/>
    <w:rsid w:val="008206AE"/>
    <w:rsid w:val="0082385A"/>
    <w:rsid w:val="008240BF"/>
    <w:rsid w:val="008241BF"/>
    <w:rsid w:val="00824278"/>
    <w:rsid w:val="008256B1"/>
    <w:rsid w:val="00826329"/>
    <w:rsid w:val="00826829"/>
    <w:rsid w:val="008268A3"/>
    <w:rsid w:val="00826BF0"/>
    <w:rsid w:val="008326A6"/>
    <w:rsid w:val="00833094"/>
    <w:rsid w:val="00834453"/>
    <w:rsid w:val="008371CC"/>
    <w:rsid w:val="0084242E"/>
    <w:rsid w:val="00842D5E"/>
    <w:rsid w:val="00843AFE"/>
    <w:rsid w:val="00843C88"/>
    <w:rsid w:val="00844C56"/>
    <w:rsid w:val="00844E77"/>
    <w:rsid w:val="00846396"/>
    <w:rsid w:val="00846C8D"/>
    <w:rsid w:val="00847AA8"/>
    <w:rsid w:val="00847B04"/>
    <w:rsid w:val="008503A7"/>
    <w:rsid w:val="00851487"/>
    <w:rsid w:val="008527CE"/>
    <w:rsid w:val="008554AC"/>
    <w:rsid w:val="00855551"/>
    <w:rsid w:val="00857C09"/>
    <w:rsid w:val="00860A2F"/>
    <w:rsid w:val="00860C3F"/>
    <w:rsid w:val="0086293F"/>
    <w:rsid w:val="008657EF"/>
    <w:rsid w:val="00866CFA"/>
    <w:rsid w:val="008674BC"/>
    <w:rsid w:val="0087058B"/>
    <w:rsid w:val="00870693"/>
    <w:rsid w:val="00870840"/>
    <w:rsid w:val="00875184"/>
    <w:rsid w:val="00875EE3"/>
    <w:rsid w:val="00876669"/>
    <w:rsid w:val="00877064"/>
    <w:rsid w:val="0087750C"/>
    <w:rsid w:val="00877D7C"/>
    <w:rsid w:val="00880B9E"/>
    <w:rsid w:val="0088137E"/>
    <w:rsid w:val="0088176F"/>
    <w:rsid w:val="008821A6"/>
    <w:rsid w:val="00885BDB"/>
    <w:rsid w:val="0089143A"/>
    <w:rsid w:val="008929B4"/>
    <w:rsid w:val="00893D35"/>
    <w:rsid w:val="00895943"/>
    <w:rsid w:val="008968EF"/>
    <w:rsid w:val="00897969"/>
    <w:rsid w:val="00897F8A"/>
    <w:rsid w:val="008A05D1"/>
    <w:rsid w:val="008A5103"/>
    <w:rsid w:val="008A6878"/>
    <w:rsid w:val="008A6B3F"/>
    <w:rsid w:val="008B0576"/>
    <w:rsid w:val="008B0DD5"/>
    <w:rsid w:val="008B13FD"/>
    <w:rsid w:val="008B512A"/>
    <w:rsid w:val="008B551A"/>
    <w:rsid w:val="008B5FD3"/>
    <w:rsid w:val="008B63ED"/>
    <w:rsid w:val="008C00FE"/>
    <w:rsid w:val="008C0137"/>
    <w:rsid w:val="008C0CD6"/>
    <w:rsid w:val="008C1009"/>
    <w:rsid w:val="008C1927"/>
    <w:rsid w:val="008C1A6F"/>
    <w:rsid w:val="008C341E"/>
    <w:rsid w:val="008C3630"/>
    <w:rsid w:val="008C5F0C"/>
    <w:rsid w:val="008C623B"/>
    <w:rsid w:val="008C72BB"/>
    <w:rsid w:val="008D010C"/>
    <w:rsid w:val="008D02A6"/>
    <w:rsid w:val="008D0C33"/>
    <w:rsid w:val="008D1DED"/>
    <w:rsid w:val="008D29CD"/>
    <w:rsid w:val="008D2C86"/>
    <w:rsid w:val="008D38FD"/>
    <w:rsid w:val="008D3E85"/>
    <w:rsid w:val="008D4B4B"/>
    <w:rsid w:val="008D5AD0"/>
    <w:rsid w:val="008D6DD6"/>
    <w:rsid w:val="008D6F67"/>
    <w:rsid w:val="008D71C0"/>
    <w:rsid w:val="008E0573"/>
    <w:rsid w:val="008E08B4"/>
    <w:rsid w:val="008E0F6C"/>
    <w:rsid w:val="008E1D66"/>
    <w:rsid w:val="008E2504"/>
    <w:rsid w:val="008E2544"/>
    <w:rsid w:val="008E3208"/>
    <w:rsid w:val="008E3CDD"/>
    <w:rsid w:val="008E3EA8"/>
    <w:rsid w:val="008E5DBD"/>
    <w:rsid w:val="008E6BB3"/>
    <w:rsid w:val="008E7DAB"/>
    <w:rsid w:val="008F2B58"/>
    <w:rsid w:val="008F3625"/>
    <w:rsid w:val="008F4586"/>
    <w:rsid w:val="008F48D9"/>
    <w:rsid w:val="008F4B1C"/>
    <w:rsid w:val="008F698C"/>
    <w:rsid w:val="008F78F2"/>
    <w:rsid w:val="0090268B"/>
    <w:rsid w:val="0090326D"/>
    <w:rsid w:val="009033C8"/>
    <w:rsid w:val="00903747"/>
    <w:rsid w:val="0090380A"/>
    <w:rsid w:val="00906EF5"/>
    <w:rsid w:val="00907A96"/>
    <w:rsid w:val="00907F4F"/>
    <w:rsid w:val="00910FFD"/>
    <w:rsid w:val="0091418D"/>
    <w:rsid w:val="0091427F"/>
    <w:rsid w:val="0091482E"/>
    <w:rsid w:val="009158E6"/>
    <w:rsid w:val="009163C1"/>
    <w:rsid w:val="00917496"/>
    <w:rsid w:val="009179CD"/>
    <w:rsid w:val="00917E4D"/>
    <w:rsid w:val="0092033F"/>
    <w:rsid w:val="009243CC"/>
    <w:rsid w:val="0092592A"/>
    <w:rsid w:val="00926011"/>
    <w:rsid w:val="009278F3"/>
    <w:rsid w:val="00927C1B"/>
    <w:rsid w:val="00930278"/>
    <w:rsid w:val="00930E5B"/>
    <w:rsid w:val="00931D88"/>
    <w:rsid w:val="0093248D"/>
    <w:rsid w:val="00932ACA"/>
    <w:rsid w:val="00933B94"/>
    <w:rsid w:val="00933F79"/>
    <w:rsid w:val="00935370"/>
    <w:rsid w:val="00935673"/>
    <w:rsid w:val="009357D0"/>
    <w:rsid w:val="00935846"/>
    <w:rsid w:val="0093619A"/>
    <w:rsid w:val="0093707C"/>
    <w:rsid w:val="009376FD"/>
    <w:rsid w:val="0093774F"/>
    <w:rsid w:val="00937CDC"/>
    <w:rsid w:val="0094332A"/>
    <w:rsid w:val="00943F6B"/>
    <w:rsid w:val="009445D5"/>
    <w:rsid w:val="00944BD6"/>
    <w:rsid w:val="00944CF2"/>
    <w:rsid w:val="009453FF"/>
    <w:rsid w:val="00945733"/>
    <w:rsid w:val="00946B03"/>
    <w:rsid w:val="00946BF5"/>
    <w:rsid w:val="00947462"/>
    <w:rsid w:val="00947DDE"/>
    <w:rsid w:val="00950FF4"/>
    <w:rsid w:val="009514B7"/>
    <w:rsid w:val="009522E2"/>
    <w:rsid w:val="00952342"/>
    <w:rsid w:val="0095249F"/>
    <w:rsid w:val="00952576"/>
    <w:rsid w:val="00952DEA"/>
    <w:rsid w:val="00953DA5"/>
    <w:rsid w:val="00955FF0"/>
    <w:rsid w:val="00956B02"/>
    <w:rsid w:val="00957D11"/>
    <w:rsid w:val="0096104F"/>
    <w:rsid w:val="00961084"/>
    <w:rsid w:val="00961201"/>
    <w:rsid w:val="00961AF7"/>
    <w:rsid w:val="00962BA2"/>
    <w:rsid w:val="00965C88"/>
    <w:rsid w:val="00965E8D"/>
    <w:rsid w:val="009671D6"/>
    <w:rsid w:val="009675B3"/>
    <w:rsid w:val="00967A88"/>
    <w:rsid w:val="00967D66"/>
    <w:rsid w:val="00970C30"/>
    <w:rsid w:val="00970D80"/>
    <w:rsid w:val="00970D92"/>
    <w:rsid w:val="00970FEC"/>
    <w:rsid w:val="0097125A"/>
    <w:rsid w:val="00971A4F"/>
    <w:rsid w:val="00975916"/>
    <w:rsid w:val="00975ADB"/>
    <w:rsid w:val="00976219"/>
    <w:rsid w:val="00977272"/>
    <w:rsid w:val="009778D1"/>
    <w:rsid w:val="00977CE5"/>
    <w:rsid w:val="00981DC7"/>
    <w:rsid w:val="00981E09"/>
    <w:rsid w:val="00983B8D"/>
    <w:rsid w:val="00986ADE"/>
    <w:rsid w:val="00987514"/>
    <w:rsid w:val="0099018B"/>
    <w:rsid w:val="00990381"/>
    <w:rsid w:val="00994553"/>
    <w:rsid w:val="009945BA"/>
    <w:rsid w:val="009955B6"/>
    <w:rsid w:val="009960ED"/>
    <w:rsid w:val="009963FE"/>
    <w:rsid w:val="0099652C"/>
    <w:rsid w:val="009A1C5A"/>
    <w:rsid w:val="009A2866"/>
    <w:rsid w:val="009A3028"/>
    <w:rsid w:val="009A3B20"/>
    <w:rsid w:val="009A4435"/>
    <w:rsid w:val="009A4638"/>
    <w:rsid w:val="009A5B1E"/>
    <w:rsid w:val="009A5F9B"/>
    <w:rsid w:val="009A625B"/>
    <w:rsid w:val="009A75FC"/>
    <w:rsid w:val="009A79EE"/>
    <w:rsid w:val="009B0515"/>
    <w:rsid w:val="009B0A3A"/>
    <w:rsid w:val="009B1222"/>
    <w:rsid w:val="009B14FD"/>
    <w:rsid w:val="009B2FA0"/>
    <w:rsid w:val="009B6029"/>
    <w:rsid w:val="009B6343"/>
    <w:rsid w:val="009B6347"/>
    <w:rsid w:val="009C01D5"/>
    <w:rsid w:val="009C1024"/>
    <w:rsid w:val="009C1337"/>
    <w:rsid w:val="009C1633"/>
    <w:rsid w:val="009C1FD7"/>
    <w:rsid w:val="009C2C57"/>
    <w:rsid w:val="009C3C0B"/>
    <w:rsid w:val="009C57B3"/>
    <w:rsid w:val="009C5941"/>
    <w:rsid w:val="009C5F7F"/>
    <w:rsid w:val="009C6235"/>
    <w:rsid w:val="009C6361"/>
    <w:rsid w:val="009D1630"/>
    <w:rsid w:val="009D426A"/>
    <w:rsid w:val="009D4D1E"/>
    <w:rsid w:val="009D5F1F"/>
    <w:rsid w:val="009D6258"/>
    <w:rsid w:val="009D69F2"/>
    <w:rsid w:val="009D73F8"/>
    <w:rsid w:val="009D7601"/>
    <w:rsid w:val="009D7789"/>
    <w:rsid w:val="009D7880"/>
    <w:rsid w:val="009D7C30"/>
    <w:rsid w:val="009E3224"/>
    <w:rsid w:val="009E3F0C"/>
    <w:rsid w:val="009E46B3"/>
    <w:rsid w:val="009E46FB"/>
    <w:rsid w:val="009E6C0F"/>
    <w:rsid w:val="009E7C18"/>
    <w:rsid w:val="009E7D78"/>
    <w:rsid w:val="009E7F18"/>
    <w:rsid w:val="009E7FF0"/>
    <w:rsid w:val="009F131C"/>
    <w:rsid w:val="009F17FC"/>
    <w:rsid w:val="009F1DD3"/>
    <w:rsid w:val="009F3CB2"/>
    <w:rsid w:val="009F4206"/>
    <w:rsid w:val="009F6A2E"/>
    <w:rsid w:val="009F7B43"/>
    <w:rsid w:val="00A04B70"/>
    <w:rsid w:val="00A05194"/>
    <w:rsid w:val="00A065D9"/>
    <w:rsid w:val="00A07F78"/>
    <w:rsid w:val="00A133AB"/>
    <w:rsid w:val="00A13664"/>
    <w:rsid w:val="00A151C5"/>
    <w:rsid w:val="00A15BA3"/>
    <w:rsid w:val="00A20267"/>
    <w:rsid w:val="00A20AB9"/>
    <w:rsid w:val="00A227EA"/>
    <w:rsid w:val="00A22950"/>
    <w:rsid w:val="00A22A07"/>
    <w:rsid w:val="00A2364D"/>
    <w:rsid w:val="00A25242"/>
    <w:rsid w:val="00A26FD6"/>
    <w:rsid w:val="00A27D1A"/>
    <w:rsid w:val="00A31A8D"/>
    <w:rsid w:val="00A321A4"/>
    <w:rsid w:val="00A3307B"/>
    <w:rsid w:val="00A33BF0"/>
    <w:rsid w:val="00A343B5"/>
    <w:rsid w:val="00A35CED"/>
    <w:rsid w:val="00A35F6F"/>
    <w:rsid w:val="00A36A2E"/>
    <w:rsid w:val="00A36EF0"/>
    <w:rsid w:val="00A40B75"/>
    <w:rsid w:val="00A41656"/>
    <w:rsid w:val="00A426C2"/>
    <w:rsid w:val="00A433AD"/>
    <w:rsid w:val="00A434B7"/>
    <w:rsid w:val="00A43ED8"/>
    <w:rsid w:val="00A452F4"/>
    <w:rsid w:val="00A47556"/>
    <w:rsid w:val="00A504B5"/>
    <w:rsid w:val="00A513A2"/>
    <w:rsid w:val="00A52F1B"/>
    <w:rsid w:val="00A54F64"/>
    <w:rsid w:val="00A5551D"/>
    <w:rsid w:val="00A61282"/>
    <w:rsid w:val="00A61F19"/>
    <w:rsid w:val="00A621D0"/>
    <w:rsid w:val="00A63E62"/>
    <w:rsid w:val="00A64E42"/>
    <w:rsid w:val="00A651CC"/>
    <w:rsid w:val="00A659A0"/>
    <w:rsid w:val="00A661AF"/>
    <w:rsid w:val="00A679BD"/>
    <w:rsid w:val="00A67DBC"/>
    <w:rsid w:val="00A67F7A"/>
    <w:rsid w:val="00A71565"/>
    <w:rsid w:val="00A71B05"/>
    <w:rsid w:val="00A71D09"/>
    <w:rsid w:val="00A72A34"/>
    <w:rsid w:val="00A7306F"/>
    <w:rsid w:val="00A73F83"/>
    <w:rsid w:val="00A74A35"/>
    <w:rsid w:val="00A74B6B"/>
    <w:rsid w:val="00A760F5"/>
    <w:rsid w:val="00A7691E"/>
    <w:rsid w:val="00A778A7"/>
    <w:rsid w:val="00A82FFE"/>
    <w:rsid w:val="00A83AE9"/>
    <w:rsid w:val="00A84882"/>
    <w:rsid w:val="00A8606F"/>
    <w:rsid w:val="00A86493"/>
    <w:rsid w:val="00A8710A"/>
    <w:rsid w:val="00A87C55"/>
    <w:rsid w:val="00A90FE5"/>
    <w:rsid w:val="00A91242"/>
    <w:rsid w:val="00A92389"/>
    <w:rsid w:val="00A92BF5"/>
    <w:rsid w:val="00A9335C"/>
    <w:rsid w:val="00A93B26"/>
    <w:rsid w:val="00A93D28"/>
    <w:rsid w:val="00A96715"/>
    <w:rsid w:val="00A96F08"/>
    <w:rsid w:val="00AA1054"/>
    <w:rsid w:val="00AA1104"/>
    <w:rsid w:val="00AA25DB"/>
    <w:rsid w:val="00AA3703"/>
    <w:rsid w:val="00AA3C68"/>
    <w:rsid w:val="00AA42B3"/>
    <w:rsid w:val="00AA6823"/>
    <w:rsid w:val="00AA74E2"/>
    <w:rsid w:val="00AB0868"/>
    <w:rsid w:val="00AB1634"/>
    <w:rsid w:val="00AB1E31"/>
    <w:rsid w:val="00AB2389"/>
    <w:rsid w:val="00AB414E"/>
    <w:rsid w:val="00AB4713"/>
    <w:rsid w:val="00AB70D0"/>
    <w:rsid w:val="00AC4B2F"/>
    <w:rsid w:val="00AC5B18"/>
    <w:rsid w:val="00AC6874"/>
    <w:rsid w:val="00AD027D"/>
    <w:rsid w:val="00AD0C65"/>
    <w:rsid w:val="00AD3C88"/>
    <w:rsid w:val="00AD4033"/>
    <w:rsid w:val="00AD6A77"/>
    <w:rsid w:val="00AD7368"/>
    <w:rsid w:val="00AD7555"/>
    <w:rsid w:val="00AE0C82"/>
    <w:rsid w:val="00AE0DFA"/>
    <w:rsid w:val="00AE3ACE"/>
    <w:rsid w:val="00AE3D8B"/>
    <w:rsid w:val="00AE5E3B"/>
    <w:rsid w:val="00AF16F4"/>
    <w:rsid w:val="00AF2195"/>
    <w:rsid w:val="00AF29E4"/>
    <w:rsid w:val="00AF32A8"/>
    <w:rsid w:val="00AF6A13"/>
    <w:rsid w:val="00AF7141"/>
    <w:rsid w:val="00B0075B"/>
    <w:rsid w:val="00B017F4"/>
    <w:rsid w:val="00B01E35"/>
    <w:rsid w:val="00B02217"/>
    <w:rsid w:val="00B04F07"/>
    <w:rsid w:val="00B054FE"/>
    <w:rsid w:val="00B05E2D"/>
    <w:rsid w:val="00B06904"/>
    <w:rsid w:val="00B06F6A"/>
    <w:rsid w:val="00B0799C"/>
    <w:rsid w:val="00B07E8A"/>
    <w:rsid w:val="00B10FCF"/>
    <w:rsid w:val="00B125AB"/>
    <w:rsid w:val="00B14144"/>
    <w:rsid w:val="00B14935"/>
    <w:rsid w:val="00B14C57"/>
    <w:rsid w:val="00B15363"/>
    <w:rsid w:val="00B157DD"/>
    <w:rsid w:val="00B15DC5"/>
    <w:rsid w:val="00B17536"/>
    <w:rsid w:val="00B21619"/>
    <w:rsid w:val="00B21C78"/>
    <w:rsid w:val="00B21F66"/>
    <w:rsid w:val="00B21FE9"/>
    <w:rsid w:val="00B223FC"/>
    <w:rsid w:val="00B225C7"/>
    <w:rsid w:val="00B23DD7"/>
    <w:rsid w:val="00B25B4E"/>
    <w:rsid w:val="00B25BEE"/>
    <w:rsid w:val="00B26783"/>
    <w:rsid w:val="00B26C4B"/>
    <w:rsid w:val="00B273A1"/>
    <w:rsid w:val="00B31CA5"/>
    <w:rsid w:val="00B3212F"/>
    <w:rsid w:val="00B32EF2"/>
    <w:rsid w:val="00B34713"/>
    <w:rsid w:val="00B34C00"/>
    <w:rsid w:val="00B34CCB"/>
    <w:rsid w:val="00B3538A"/>
    <w:rsid w:val="00B35CA1"/>
    <w:rsid w:val="00B365C9"/>
    <w:rsid w:val="00B3765A"/>
    <w:rsid w:val="00B40934"/>
    <w:rsid w:val="00B41BDB"/>
    <w:rsid w:val="00B43D40"/>
    <w:rsid w:val="00B44683"/>
    <w:rsid w:val="00B44B57"/>
    <w:rsid w:val="00B450D6"/>
    <w:rsid w:val="00B47B7D"/>
    <w:rsid w:val="00B47CE1"/>
    <w:rsid w:val="00B515DF"/>
    <w:rsid w:val="00B51C9A"/>
    <w:rsid w:val="00B51D04"/>
    <w:rsid w:val="00B521DF"/>
    <w:rsid w:val="00B5250C"/>
    <w:rsid w:val="00B528E9"/>
    <w:rsid w:val="00B52FEE"/>
    <w:rsid w:val="00B532C8"/>
    <w:rsid w:val="00B53EE5"/>
    <w:rsid w:val="00B5437C"/>
    <w:rsid w:val="00B55333"/>
    <w:rsid w:val="00B557E2"/>
    <w:rsid w:val="00B55CF7"/>
    <w:rsid w:val="00B55D01"/>
    <w:rsid w:val="00B57D36"/>
    <w:rsid w:val="00B61259"/>
    <w:rsid w:val="00B617EA"/>
    <w:rsid w:val="00B63ADA"/>
    <w:rsid w:val="00B645FE"/>
    <w:rsid w:val="00B64D6E"/>
    <w:rsid w:val="00B65977"/>
    <w:rsid w:val="00B65FCA"/>
    <w:rsid w:val="00B66F86"/>
    <w:rsid w:val="00B67061"/>
    <w:rsid w:val="00B67076"/>
    <w:rsid w:val="00B673F5"/>
    <w:rsid w:val="00B679FC"/>
    <w:rsid w:val="00B67EAD"/>
    <w:rsid w:val="00B71150"/>
    <w:rsid w:val="00B71254"/>
    <w:rsid w:val="00B72AA1"/>
    <w:rsid w:val="00B72E42"/>
    <w:rsid w:val="00B73506"/>
    <w:rsid w:val="00B74154"/>
    <w:rsid w:val="00B7655F"/>
    <w:rsid w:val="00B80E46"/>
    <w:rsid w:val="00B81670"/>
    <w:rsid w:val="00B82848"/>
    <w:rsid w:val="00B83D82"/>
    <w:rsid w:val="00B8712A"/>
    <w:rsid w:val="00B87D04"/>
    <w:rsid w:val="00B905B3"/>
    <w:rsid w:val="00B90987"/>
    <w:rsid w:val="00B91F81"/>
    <w:rsid w:val="00B93E25"/>
    <w:rsid w:val="00B93E5C"/>
    <w:rsid w:val="00B94402"/>
    <w:rsid w:val="00B94B81"/>
    <w:rsid w:val="00B96850"/>
    <w:rsid w:val="00B96D8C"/>
    <w:rsid w:val="00B96E3B"/>
    <w:rsid w:val="00B9778C"/>
    <w:rsid w:val="00B97D67"/>
    <w:rsid w:val="00BA0A3A"/>
    <w:rsid w:val="00BA23E9"/>
    <w:rsid w:val="00BA2C31"/>
    <w:rsid w:val="00BA3484"/>
    <w:rsid w:val="00BA3C42"/>
    <w:rsid w:val="00BA3D93"/>
    <w:rsid w:val="00BA422E"/>
    <w:rsid w:val="00BA5823"/>
    <w:rsid w:val="00BA63CB"/>
    <w:rsid w:val="00BA7948"/>
    <w:rsid w:val="00BB1F28"/>
    <w:rsid w:val="00BB22C2"/>
    <w:rsid w:val="00BB3F4E"/>
    <w:rsid w:val="00BB4AF3"/>
    <w:rsid w:val="00BB5880"/>
    <w:rsid w:val="00BB5A48"/>
    <w:rsid w:val="00BB651A"/>
    <w:rsid w:val="00BB7C8B"/>
    <w:rsid w:val="00BB7D61"/>
    <w:rsid w:val="00BC0522"/>
    <w:rsid w:val="00BC3666"/>
    <w:rsid w:val="00BC4438"/>
    <w:rsid w:val="00BC4ADD"/>
    <w:rsid w:val="00BC58A1"/>
    <w:rsid w:val="00BC6551"/>
    <w:rsid w:val="00BD072C"/>
    <w:rsid w:val="00BD10C5"/>
    <w:rsid w:val="00BD14DB"/>
    <w:rsid w:val="00BD71A4"/>
    <w:rsid w:val="00BE3253"/>
    <w:rsid w:val="00BE4355"/>
    <w:rsid w:val="00BE46A7"/>
    <w:rsid w:val="00BE5E8F"/>
    <w:rsid w:val="00BE66CB"/>
    <w:rsid w:val="00BE670C"/>
    <w:rsid w:val="00BE79BE"/>
    <w:rsid w:val="00BE7C9C"/>
    <w:rsid w:val="00BE7F56"/>
    <w:rsid w:val="00BF02E1"/>
    <w:rsid w:val="00BF08EE"/>
    <w:rsid w:val="00BF18B9"/>
    <w:rsid w:val="00BF1983"/>
    <w:rsid w:val="00BF21B1"/>
    <w:rsid w:val="00BF280A"/>
    <w:rsid w:val="00BF48A2"/>
    <w:rsid w:val="00BF7306"/>
    <w:rsid w:val="00BF7BC7"/>
    <w:rsid w:val="00C02DAD"/>
    <w:rsid w:val="00C03F1E"/>
    <w:rsid w:val="00C05C2B"/>
    <w:rsid w:val="00C05C68"/>
    <w:rsid w:val="00C05D98"/>
    <w:rsid w:val="00C0695A"/>
    <w:rsid w:val="00C07685"/>
    <w:rsid w:val="00C07799"/>
    <w:rsid w:val="00C101D8"/>
    <w:rsid w:val="00C11F16"/>
    <w:rsid w:val="00C13FB6"/>
    <w:rsid w:val="00C15FDD"/>
    <w:rsid w:val="00C1752C"/>
    <w:rsid w:val="00C20BFB"/>
    <w:rsid w:val="00C21650"/>
    <w:rsid w:val="00C235C9"/>
    <w:rsid w:val="00C2383F"/>
    <w:rsid w:val="00C246FA"/>
    <w:rsid w:val="00C25F5D"/>
    <w:rsid w:val="00C264C1"/>
    <w:rsid w:val="00C26709"/>
    <w:rsid w:val="00C2708A"/>
    <w:rsid w:val="00C307B9"/>
    <w:rsid w:val="00C30CCE"/>
    <w:rsid w:val="00C32325"/>
    <w:rsid w:val="00C32BE7"/>
    <w:rsid w:val="00C332B3"/>
    <w:rsid w:val="00C33778"/>
    <w:rsid w:val="00C35626"/>
    <w:rsid w:val="00C36E3B"/>
    <w:rsid w:val="00C370AB"/>
    <w:rsid w:val="00C374B8"/>
    <w:rsid w:val="00C377AB"/>
    <w:rsid w:val="00C37A78"/>
    <w:rsid w:val="00C37C6A"/>
    <w:rsid w:val="00C40831"/>
    <w:rsid w:val="00C41B88"/>
    <w:rsid w:val="00C424DD"/>
    <w:rsid w:val="00C42C07"/>
    <w:rsid w:val="00C42DC0"/>
    <w:rsid w:val="00C432F0"/>
    <w:rsid w:val="00C433B5"/>
    <w:rsid w:val="00C4352E"/>
    <w:rsid w:val="00C43A12"/>
    <w:rsid w:val="00C43B69"/>
    <w:rsid w:val="00C44A05"/>
    <w:rsid w:val="00C44ABE"/>
    <w:rsid w:val="00C45889"/>
    <w:rsid w:val="00C45A09"/>
    <w:rsid w:val="00C46AF4"/>
    <w:rsid w:val="00C46BFE"/>
    <w:rsid w:val="00C47DCE"/>
    <w:rsid w:val="00C50524"/>
    <w:rsid w:val="00C51908"/>
    <w:rsid w:val="00C5220B"/>
    <w:rsid w:val="00C53B7F"/>
    <w:rsid w:val="00C54E04"/>
    <w:rsid w:val="00C578A0"/>
    <w:rsid w:val="00C57C91"/>
    <w:rsid w:val="00C57D12"/>
    <w:rsid w:val="00C613D5"/>
    <w:rsid w:val="00C61ACC"/>
    <w:rsid w:val="00C624A4"/>
    <w:rsid w:val="00C62AE0"/>
    <w:rsid w:val="00C63E9E"/>
    <w:rsid w:val="00C63F2E"/>
    <w:rsid w:val="00C64C96"/>
    <w:rsid w:val="00C64CA9"/>
    <w:rsid w:val="00C64ECE"/>
    <w:rsid w:val="00C650D5"/>
    <w:rsid w:val="00C65421"/>
    <w:rsid w:val="00C655BD"/>
    <w:rsid w:val="00C7142C"/>
    <w:rsid w:val="00C71CB4"/>
    <w:rsid w:val="00C745C0"/>
    <w:rsid w:val="00C74B70"/>
    <w:rsid w:val="00C7683C"/>
    <w:rsid w:val="00C76F4D"/>
    <w:rsid w:val="00C77DD6"/>
    <w:rsid w:val="00C80372"/>
    <w:rsid w:val="00C80B22"/>
    <w:rsid w:val="00C80D24"/>
    <w:rsid w:val="00C81B4F"/>
    <w:rsid w:val="00C856C4"/>
    <w:rsid w:val="00C87153"/>
    <w:rsid w:val="00C90F9A"/>
    <w:rsid w:val="00C91F75"/>
    <w:rsid w:val="00C944C4"/>
    <w:rsid w:val="00C94639"/>
    <w:rsid w:val="00C94A74"/>
    <w:rsid w:val="00C97256"/>
    <w:rsid w:val="00CA2C9D"/>
    <w:rsid w:val="00CA3BA1"/>
    <w:rsid w:val="00CA4CB0"/>
    <w:rsid w:val="00CA4CF8"/>
    <w:rsid w:val="00CA4DB1"/>
    <w:rsid w:val="00CA58C5"/>
    <w:rsid w:val="00CA6A79"/>
    <w:rsid w:val="00CA75BB"/>
    <w:rsid w:val="00CB073F"/>
    <w:rsid w:val="00CB0F18"/>
    <w:rsid w:val="00CB2471"/>
    <w:rsid w:val="00CB3762"/>
    <w:rsid w:val="00CB45C3"/>
    <w:rsid w:val="00CB4EEF"/>
    <w:rsid w:val="00CB7BF5"/>
    <w:rsid w:val="00CB7DB1"/>
    <w:rsid w:val="00CC0158"/>
    <w:rsid w:val="00CC06BD"/>
    <w:rsid w:val="00CC154E"/>
    <w:rsid w:val="00CC1885"/>
    <w:rsid w:val="00CC1D63"/>
    <w:rsid w:val="00CC1DEA"/>
    <w:rsid w:val="00CC2F4B"/>
    <w:rsid w:val="00CC4CB2"/>
    <w:rsid w:val="00CC6DE8"/>
    <w:rsid w:val="00CD04DB"/>
    <w:rsid w:val="00CD2D99"/>
    <w:rsid w:val="00CD370B"/>
    <w:rsid w:val="00CD6197"/>
    <w:rsid w:val="00CE0833"/>
    <w:rsid w:val="00CE1358"/>
    <w:rsid w:val="00CE17CB"/>
    <w:rsid w:val="00CE1A18"/>
    <w:rsid w:val="00CE1CBB"/>
    <w:rsid w:val="00CE1DC0"/>
    <w:rsid w:val="00CE2EE4"/>
    <w:rsid w:val="00CE3E41"/>
    <w:rsid w:val="00CE3F69"/>
    <w:rsid w:val="00CE4345"/>
    <w:rsid w:val="00CE499C"/>
    <w:rsid w:val="00CE4B57"/>
    <w:rsid w:val="00CE4F68"/>
    <w:rsid w:val="00CE517F"/>
    <w:rsid w:val="00CE6612"/>
    <w:rsid w:val="00CE689A"/>
    <w:rsid w:val="00CE69B7"/>
    <w:rsid w:val="00CE6D84"/>
    <w:rsid w:val="00CF0D2E"/>
    <w:rsid w:val="00CF22BF"/>
    <w:rsid w:val="00CF27AA"/>
    <w:rsid w:val="00CF3839"/>
    <w:rsid w:val="00CF4290"/>
    <w:rsid w:val="00CF68BF"/>
    <w:rsid w:val="00CF6A08"/>
    <w:rsid w:val="00CF73A8"/>
    <w:rsid w:val="00CF7813"/>
    <w:rsid w:val="00CF793A"/>
    <w:rsid w:val="00CF7D25"/>
    <w:rsid w:val="00D01036"/>
    <w:rsid w:val="00D02294"/>
    <w:rsid w:val="00D023F8"/>
    <w:rsid w:val="00D025B0"/>
    <w:rsid w:val="00D040D8"/>
    <w:rsid w:val="00D05542"/>
    <w:rsid w:val="00D0565C"/>
    <w:rsid w:val="00D0757D"/>
    <w:rsid w:val="00D0766B"/>
    <w:rsid w:val="00D07AA1"/>
    <w:rsid w:val="00D07B53"/>
    <w:rsid w:val="00D104A2"/>
    <w:rsid w:val="00D11FCA"/>
    <w:rsid w:val="00D136C9"/>
    <w:rsid w:val="00D13B7A"/>
    <w:rsid w:val="00D149D7"/>
    <w:rsid w:val="00D152E7"/>
    <w:rsid w:val="00D1667D"/>
    <w:rsid w:val="00D168F3"/>
    <w:rsid w:val="00D16B88"/>
    <w:rsid w:val="00D16DB4"/>
    <w:rsid w:val="00D171CD"/>
    <w:rsid w:val="00D17BB2"/>
    <w:rsid w:val="00D20E21"/>
    <w:rsid w:val="00D210BB"/>
    <w:rsid w:val="00D212A9"/>
    <w:rsid w:val="00D22AE6"/>
    <w:rsid w:val="00D23CC6"/>
    <w:rsid w:val="00D242AE"/>
    <w:rsid w:val="00D24EBA"/>
    <w:rsid w:val="00D255F6"/>
    <w:rsid w:val="00D258E0"/>
    <w:rsid w:val="00D27096"/>
    <w:rsid w:val="00D27E32"/>
    <w:rsid w:val="00D30CF4"/>
    <w:rsid w:val="00D3273F"/>
    <w:rsid w:val="00D32FC2"/>
    <w:rsid w:val="00D3451A"/>
    <w:rsid w:val="00D345FB"/>
    <w:rsid w:val="00D35FD8"/>
    <w:rsid w:val="00D362BE"/>
    <w:rsid w:val="00D36F58"/>
    <w:rsid w:val="00D400BF"/>
    <w:rsid w:val="00D401C2"/>
    <w:rsid w:val="00D41EFF"/>
    <w:rsid w:val="00D434CC"/>
    <w:rsid w:val="00D455B6"/>
    <w:rsid w:val="00D46028"/>
    <w:rsid w:val="00D46270"/>
    <w:rsid w:val="00D4634B"/>
    <w:rsid w:val="00D46986"/>
    <w:rsid w:val="00D47956"/>
    <w:rsid w:val="00D47E09"/>
    <w:rsid w:val="00D504A9"/>
    <w:rsid w:val="00D506D2"/>
    <w:rsid w:val="00D506E8"/>
    <w:rsid w:val="00D5092B"/>
    <w:rsid w:val="00D5134B"/>
    <w:rsid w:val="00D51DE0"/>
    <w:rsid w:val="00D52AAF"/>
    <w:rsid w:val="00D5340B"/>
    <w:rsid w:val="00D536B4"/>
    <w:rsid w:val="00D53B2D"/>
    <w:rsid w:val="00D53E9F"/>
    <w:rsid w:val="00D544DA"/>
    <w:rsid w:val="00D54602"/>
    <w:rsid w:val="00D55342"/>
    <w:rsid w:val="00D555D7"/>
    <w:rsid w:val="00D5745B"/>
    <w:rsid w:val="00D61D62"/>
    <w:rsid w:val="00D62118"/>
    <w:rsid w:val="00D62249"/>
    <w:rsid w:val="00D62369"/>
    <w:rsid w:val="00D62568"/>
    <w:rsid w:val="00D62AFC"/>
    <w:rsid w:val="00D64D74"/>
    <w:rsid w:val="00D65091"/>
    <w:rsid w:val="00D67D01"/>
    <w:rsid w:val="00D70AC4"/>
    <w:rsid w:val="00D70AF7"/>
    <w:rsid w:val="00D7146D"/>
    <w:rsid w:val="00D71FCA"/>
    <w:rsid w:val="00D7210B"/>
    <w:rsid w:val="00D724D4"/>
    <w:rsid w:val="00D72B3D"/>
    <w:rsid w:val="00D72F04"/>
    <w:rsid w:val="00D75363"/>
    <w:rsid w:val="00D75423"/>
    <w:rsid w:val="00D764BC"/>
    <w:rsid w:val="00D80AF0"/>
    <w:rsid w:val="00D823BE"/>
    <w:rsid w:val="00D824DF"/>
    <w:rsid w:val="00D83547"/>
    <w:rsid w:val="00D84534"/>
    <w:rsid w:val="00D84769"/>
    <w:rsid w:val="00D86062"/>
    <w:rsid w:val="00D86304"/>
    <w:rsid w:val="00D86DE3"/>
    <w:rsid w:val="00D87BA8"/>
    <w:rsid w:val="00D90107"/>
    <w:rsid w:val="00D90259"/>
    <w:rsid w:val="00D94AA8"/>
    <w:rsid w:val="00D94D9E"/>
    <w:rsid w:val="00D958BA"/>
    <w:rsid w:val="00D95995"/>
    <w:rsid w:val="00D95FDF"/>
    <w:rsid w:val="00D96CCA"/>
    <w:rsid w:val="00D975F1"/>
    <w:rsid w:val="00DA18E4"/>
    <w:rsid w:val="00DA3907"/>
    <w:rsid w:val="00DA39C1"/>
    <w:rsid w:val="00DA45EB"/>
    <w:rsid w:val="00DA615B"/>
    <w:rsid w:val="00DA61CC"/>
    <w:rsid w:val="00DA6496"/>
    <w:rsid w:val="00DA7D6B"/>
    <w:rsid w:val="00DA7D86"/>
    <w:rsid w:val="00DB02F4"/>
    <w:rsid w:val="00DB0474"/>
    <w:rsid w:val="00DB09D1"/>
    <w:rsid w:val="00DB0D98"/>
    <w:rsid w:val="00DB177F"/>
    <w:rsid w:val="00DB3E86"/>
    <w:rsid w:val="00DB5686"/>
    <w:rsid w:val="00DB596D"/>
    <w:rsid w:val="00DB5DEC"/>
    <w:rsid w:val="00DB61B3"/>
    <w:rsid w:val="00DB6656"/>
    <w:rsid w:val="00DB6D5D"/>
    <w:rsid w:val="00DB79D7"/>
    <w:rsid w:val="00DC0007"/>
    <w:rsid w:val="00DC011A"/>
    <w:rsid w:val="00DC1517"/>
    <w:rsid w:val="00DC3268"/>
    <w:rsid w:val="00DC3C55"/>
    <w:rsid w:val="00DC6793"/>
    <w:rsid w:val="00DC6860"/>
    <w:rsid w:val="00DC71DB"/>
    <w:rsid w:val="00DC74D9"/>
    <w:rsid w:val="00DC7B16"/>
    <w:rsid w:val="00DD20EA"/>
    <w:rsid w:val="00DD28A8"/>
    <w:rsid w:val="00DD30F9"/>
    <w:rsid w:val="00DD37F9"/>
    <w:rsid w:val="00DD4A4B"/>
    <w:rsid w:val="00DD4AAC"/>
    <w:rsid w:val="00DD4EA1"/>
    <w:rsid w:val="00DD559B"/>
    <w:rsid w:val="00DD5A58"/>
    <w:rsid w:val="00DD5BC9"/>
    <w:rsid w:val="00DD6DD9"/>
    <w:rsid w:val="00DD7148"/>
    <w:rsid w:val="00DD74E7"/>
    <w:rsid w:val="00DE01F1"/>
    <w:rsid w:val="00DE10E6"/>
    <w:rsid w:val="00DE2005"/>
    <w:rsid w:val="00DE6E70"/>
    <w:rsid w:val="00DF0903"/>
    <w:rsid w:val="00DF2B59"/>
    <w:rsid w:val="00DF3936"/>
    <w:rsid w:val="00DF4636"/>
    <w:rsid w:val="00DF4C30"/>
    <w:rsid w:val="00DF5636"/>
    <w:rsid w:val="00DF5D17"/>
    <w:rsid w:val="00DF7C3C"/>
    <w:rsid w:val="00E0090F"/>
    <w:rsid w:val="00E02425"/>
    <w:rsid w:val="00E06432"/>
    <w:rsid w:val="00E065D0"/>
    <w:rsid w:val="00E079C6"/>
    <w:rsid w:val="00E10245"/>
    <w:rsid w:val="00E102A2"/>
    <w:rsid w:val="00E10932"/>
    <w:rsid w:val="00E1096F"/>
    <w:rsid w:val="00E109FA"/>
    <w:rsid w:val="00E11436"/>
    <w:rsid w:val="00E11701"/>
    <w:rsid w:val="00E11C35"/>
    <w:rsid w:val="00E128BF"/>
    <w:rsid w:val="00E13D7E"/>
    <w:rsid w:val="00E160C4"/>
    <w:rsid w:val="00E16FBD"/>
    <w:rsid w:val="00E200F9"/>
    <w:rsid w:val="00E20860"/>
    <w:rsid w:val="00E22202"/>
    <w:rsid w:val="00E25C36"/>
    <w:rsid w:val="00E267B5"/>
    <w:rsid w:val="00E26D1E"/>
    <w:rsid w:val="00E27D1B"/>
    <w:rsid w:val="00E30A2D"/>
    <w:rsid w:val="00E3179A"/>
    <w:rsid w:val="00E33A61"/>
    <w:rsid w:val="00E33DC1"/>
    <w:rsid w:val="00E3569A"/>
    <w:rsid w:val="00E36E03"/>
    <w:rsid w:val="00E37A32"/>
    <w:rsid w:val="00E40839"/>
    <w:rsid w:val="00E44230"/>
    <w:rsid w:val="00E45504"/>
    <w:rsid w:val="00E45FC4"/>
    <w:rsid w:val="00E460FB"/>
    <w:rsid w:val="00E47FE6"/>
    <w:rsid w:val="00E5002C"/>
    <w:rsid w:val="00E50C04"/>
    <w:rsid w:val="00E50F59"/>
    <w:rsid w:val="00E51A7E"/>
    <w:rsid w:val="00E52186"/>
    <w:rsid w:val="00E550D3"/>
    <w:rsid w:val="00E554A7"/>
    <w:rsid w:val="00E56DEB"/>
    <w:rsid w:val="00E611AB"/>
    <w:rsid w:val="00E61723"/>
    <w:rsid w:val="00E61D15"/>
    <w:rsid w:val="00E62734"/>
    <w:rsid w:val="00E62C8E"/>
    <w:rsid w:val="00E64059"/>
    <w:rsid w:val="00E66423"/>
    <w:rsid w:val="00E671A1"/>
    <w:rsid w:val="00E67FF8"/>
    <w:rsid w:val="00E713CB"/>
    <w:rsid w:val="00E73BE4"/>
    <w:rsid w:val="00E74979"/>
    <w:rsid w:val="00E74D0D"/>
    <w:rsid w:val="00E754ED"/>
    <w:rsid w:val="00E81E5F"/>
    <w:rsid w:val="00E8290A"/>
    <w:rsid w:val="00E82BEC"/>
    <w:rsid w:val="00E82E6A"/>
    <w:rsid w:val="00E83C71"/>
    <w:rsid w:val="00E843E0"/>
    <w:rsid w:val="00E85111"/>
    <w:rsid w:val="00E86392"/>
    <w:rsid w:val="00E86A7D"/>
    <w:rsid w:val="00E86D77"/>
    <w:rsid w:val="00E90801"/>
    <w:rsid w:val="00E90964"/>
    <w:rsid w:val="00E910E4"/>
    <w:rsid w:val="00E917B2"/>
    <w:rsid w:val="00E91D74"/>
    <w:rsid w:val="00E9206B"/>
    <w:rsid w:val="00E9518C"/>
    <w:rsid w:val="00EA03F2"/>
    <w:rsid w:val="00EA04C9"/>
    <w:rsid w:val="00EA1D2E"/>
    <w:rsid w:val="00EA498B"/>
    <w:rsid w:val="00EA5A29"/>
    <w:rsid w:val="00EA6EA1"/>
    <w:rsid w:val="00EA7951"/>
    <w:rsid w:val="00EA7E72"/>
    <w:rsid w:val="00EB04E0"/>
    <w:rsid w:val="00EB093E"/>
    <w:rsid w:val="00EB2E11"/>
    <w:rsid w:val="00EB32B4"/>
    <w:rsid w:val="00EB3440"/>
    <w:rsid w:val="00EB475C"/>
    <w:rsid w:val="00EB4797"/>
    <w:rsid w:val="00EB4B4B"/>
    <w:rsid w:val="00EB4FE0"/>
    <w:rsid w:val="00EB52F3"/>
    <w:rsid w:val="00EB60B3"/>
    <w:rsid w:val="00EB6A6D"/>
    <w:rsid w:val="00EC00C6"/>
    <w:rsid w:val="00EC014B"/>
    <w:rsid w:val="00EC1280"/>
    <w:rsid w:val="00EC4AA6"/>
    <w:rsid w:val="00EC711C"/>
    <w:rsid w:val="00EC7D84"/>
    <w:rsid w:val="00ED1602"/>
    <w:rsid w:val="00ED21C1"/>
    <w:rsid w:val="00ED2517"/>
    <w:rsid w:val="00ED378A"/>
    <w:rsid w:val="00ED4DAB"/>
    <w:rsid w:val="00ED50E5"/>
    <w:rsid w:val="00ED5C45"/>
    <w:rsid w:val="00ED7317"/>
    <w:rsid w:val="00ED7861"/>
    <w:rsid w:val="00EE15D1"/>
    <w:rsid w:val="00EE1653"/>
    <w:rsid w:val="00EE24E8"/>
    <w:rsid w:val="00EE3439"/>
    <w:rsid w:val="00EE3D6A"/>
    <w:rsid w:val="00EE44AE"/>
    <w:rsid w:val="00EE4C3C"/>
    <w:rsid w:val="00EE51BC"/>
    <w:rsid w:val="00EE56B3"/>
    <w:rsid w:val="00EE5FDD"/>
    <w:rsid w:val="00EE6829"/>
    <w:rsid w:val="00EE7625"/>
    <w:rsid w:val="00EE76CA"/>
    <w:rsid w:val="00EF0C40"/>
    <w:rsid w:val="00EF292C"/>
    <w:rsid w:val="00EF3D32"/>
    <w:rsid w:val="00EF3EB3"/>
    <w:rsid w:val="00EF58D7"/>
    <w:rsid w:val="00EF74EE"/>
    <w:rsid w:val="00F01225"/>
    <w:rsid w:val="00F01387"/>
    <w:rsid w:val="00F01C27"/>
    <w:rsid w:val="00F02F4B"/>
    <w:rsid w:val="00F0443E"/>
    <w:rsid w:val="00F04D98"/>
    <w:rsid w:val="00F054FE"/>
    <w:rsid w:val="00F055C1"/>
    <w:rsid w:val="00F06326"/>
    <w:rsid w:val="00F067D8"/>
    <w:rsid w:val="00F078BD"/>
    <w:rsid w:val="00F10996"/>
    <w:rsid w:val="00F10AF2"/>
    <w:rsid w:val="00F11209"/>
    <w:rsid w:val="00F11499"/>
    <w:rsid w:val="00F1157A"/>
    <w:rsid w:val="00F11E18"/>
    <w:rsid w:val="00F12587"/>
    <w:rsid w:val="00F13552"/>
    <w:rsid w:val="00F1432B"/>
    <w:rsid w:val="00F1624E"/>
    <w:rsid w:val="00F16C29"/>
    <w:rsid w:val="00F2076F"/>
    <w:rsid w:val="00F2143B"/>
    <w:rsid w:val="00F22133"/>
    <w:rsid w:val="00F24A65"/>
    <w:rsid w:val="00F24D23"/>
    <w:rsid w:val="00F25C43"/>
    <w:rsid w:val="00F264A9"/>
    <w:rsid w:val="00F30A6E"/>
    <w:rsid w:val="00F32234"/>
    <w:rsid w:val="00F32261"/>
    <w:rsid w:val="00F324B8"/>
    <w:rsid w:val="00F32934"/>
    <w:rsid w:val="00F32A08"/>
    <w:rsid w:val="00F32D0E"/>
    <w:rsid w:val="00F36A56"/>
    <w:rsid w:val="00F377EC"/>
    <w:rsid w:val="00F37900"/>
    <w:rsid w:val="00F40D41"/>
    <w:rsid w:val="00F43A6C"/>
    <w:rsid w:val="00F44D77"/>
    <w:rsid w:val="00F45F16"/>
    <w:rsid w:val="00F46133"/>
    <w:rsid w:val="00F46703"/>
    <w:rsid w:val="00F4717D"/>
    <w:rsid w:val="00F4793D"/>
    <w:rsid w:val="00F50757"/>
    <w:rsid w:val="00F50D0E"/>
    <w:rsid w:val="00F50FE9"/>
    <w:rsid w:val="00F52AA3"/>
    <w:rsid w:val="00F52BC7"/>
    <w:rsid w:val="00F5366F"/>
    <w:rsid w:val="00F543C7"/>
    <w:rsid w:val="00F55F9A"/>
    <w:rsid w:val="00F57EE2"/>
    <w:rsid w:val="00F60864"/>
    <w:rsid w:val="00F608B6"/>
    <w:rsid w:val="00F608CB"/>
    <w:rsid w:val="00F61485"/>
    <w:rsid w:val="00F61DFC"/>
    <w:rsid w:val="00F63B86"/>
    <w:rsid w:val="00F63D40"/>
    <w:rsid w:val="00F647C0"/>
    <w:rsid w:val="00F6525C"/>
    <w:rsid w:val="00F65C4D"/>
    <w:rsid w:val="00F66A03"/>
    <w:rsid w:val="00F67577"/>
    <w:rsid w:val="00F70379"/>
    <w:rsid w:val="00F70CB2"/>
    <w:rsid w:val="00F72892"/>
    <w:rsid w:val="00F72CAE"/>
    <w:rsid w:val="00F72E34"/>
    <w:rsid w:val="00F737EC"/>
    <w:rsid w:val="00F73BD2"/>
    <w:rsid w:val="00F73C00"/>
    <w:rsid w:val="00F74E2E"/>
    <w:rsid w:val="00F758E5"/>
    <w:rsid w:val="00F76284"/>
    <w:rsid w:val="00F806F5"/>
    <w:rsid w:val="00F807E2"/>
    <w:rsid w:val="00F80C80"/>
    <w:rsid w:val="00F828F5"/>
    <w:rsid w:val="00F83007"/>
    <w:rsid w:val="00F83210"/>
    <w:rsid w:val="00F843B2"/>
    <w:rsid w:val="00F850E0"/>
    <w:rsid w:val="00F85533"/>
    <w:rsid w:val="00F85960"/>
    <w:rsid w:val="00F85C30"/>
    <w:rsid w:val="00F8621F"/>
    <w:rsid w:val="00F8654A"/>
    <w:rsid w:val="00F86819"/>
    <w:rsid w:val="00F86F77"/>
    <w:rsid w:val="00F91D1B"/>
    <w:rsid w:val="00F92670"/>
    <w:rsid w:val="00F92F5A"/>
    <w:rsid w:val="00F955FE"/>
    <w:rsid w:val="00F95785"/>
    <w:rsid w:val="00F95A54"/>
    <w:rsid w:val="00F95A68"/>
    <w:rsid w:val="00FA025B"/>
    <w:rsid w:val="00FA12D7"/>
    <w:rsid w:val="00FA3529"/>
    <w:rsid w:val="00FA3592"/>
    <w:rsid w:val="00FA3D7A"/>
    <w:rsid w:val="00FA4A29"/>
    <w:rsid w:val="00FA5256"/>
    <w:rsid w:val="00FA5785"/>
    <w:rsid w:val="00FA62BC"/>
    <w:rsid w:val="00FA694E"/>
    <w:rsid w:val="00FA6F0C"/>
    <w:rsid w:val="00FA71DE"/>
    <w:rsid w:val="00FA7214"/>
    <w:rsid w:val="00FA749B"/>
    <w:rsid w:val="00FA7561"/>
    <w:rsid w:val="00FA79DD"/>
    <w:rsid w:val="00FB0655"/>
    <w:rsid w:val="00FB1B98"/>
    <w:rsid w:val="00FB1F6A"/>
    <w:rsid w:val="00FB2A6B"/>
    <w:rsid w:val="00FB2A96"/>
    <w:rsid w:val="00FB75E9"/>
    <w:rsid w:val="00FB7859"/>
    <w:rsid w:val="00FB7A9A"/>
    <w:rsid w:val="00FC00D4"/>
    <w:rsid w:val="00FC00D9"/>
    <w:rsid w:val="00FC01A0"/>
    <w:rsid w:val="00FC34AD"/>
    <w:rsid w:val="00FC433D"/>
    <w:rsid w:val="00FC46B8"/>
    <w:rsid w:val="00FC5B97"/>
    <w:rsid w:val="00FC6005"/>
    <w:rsid w:val="00FC6948"/>
    <w:rsid w:val="00FC6B76"/>
    <w:rsid w:val="00FC7234"/>
    <w:rsid w:val="00FD063B"/>
    <w:rsid w:val="00FD082D"/>
    <w:rsid w:val="00FD0DF9"/>
    <w:rsid w:val="00FD1F2E"/>
    <w:rsid w:val="00FD21B4"/>
    <w:rsid w:val="00FD279E"/>
    <w:rsid w:val="00FD2875"/>
    <w:rsid w:val="00FD29E6"/>
    <w:rsid w:val="00FD2C19"/>
    <w:rsid w:val="00FD3301"/>
    <w:rsid w:val="00FD3B46"/>
    <w:rsid w:val="00FD69E8"/>
    <w:rsid w:val="00FD6E77"/>
    <w:rsid w:val="00FE1188"/>
    <w:rsid w:val="00FE45F5"/>
    <w:rsid w:val="00FE468D"/>
    <w:rsid w:val="00FE50DA"/>
    <w:rsid w:val="00FE53C1"/>
    <w:rsid w:val="00FE6EC1"/>
    <w:rsid w:val="00FE740F"/>
    <w:rsid w:val="00FF16BE"/>
    <w:rsid w:val="00FF22D9"/>
    <w:rsid w:val="00FF28A8"/>
    <w:rsid w:val="00FF334F"/>
    <w:rsid w:val="00FF34EF"/>
    <w:rsid w:val="00FF424E"/>
    <w:rsid w:val="00FF6412"/>
    <w:rsid w:val="00FF6814"/>
    <w:rsid w:val="00FF7056"/>
    <w:rsid w:val="00FF78A1"/>
    <w:rsid w:val="00FF7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0CB46"/>
  <w15:chartTrackingRefBased/>
  <w15:docId w15:val="{287DD7E1-9553-49CE-B8AA-D31D42F3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5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45BA"/>
  </w:style>
  <w:style w:type="character" w:styleId="a3">
    <w:name w:val="annotation reference"/>
    <w:basedOn w:val="a0"/>
    <w:uiPriority w:val="99"/>
    <w:unhideWhenUsed/>
    <w:qFormat/>
    <w:rsid w:val="00F1432B"/>
    <w:rPr>
      <w:sz w:val="21"/>
      <w:szCs w:val="21"/>
    </w:rPr>
  </w:style>
  <w:style w:type="paragraph" w:styleId="a4">
    <w:name w:val="annotation text"/>
    <w:basedOn w:val="a"/>
    <w:link w:val="Char"/>
    <w:uiPriority w:val="99"/>
    <w:unhideWhenUsed/>
    <w:qFormat/>
    <w:rsid w:val="00F1432B"/>
    <w:pPr>
      <w:jc w:val="left"/>
    </w:pPr>
  </w:style>
  <w:style w:type="character" w:customStyle="1" w:styleId="Char">
    <w:name w:val="批注文字 Char"/>
    <w:basedOn w:val="a0"/>
    <w:link w:val="a4"/>
    <w:uiPriority w:val="99"/>
    <w:semiHidden/>
    <w:rsid w:val="00F1432B"/>
  </w:style>
  <w:style w:type="paragraph" w:styleId="a5">
    <w:name w:val="annotation subject"/>
    <w:basedOn w:val="a4"/>
    <w:next w:val="a4"/>
    <w:link w:val="Char0"/>
    <w:uiPriority w:val="99"/>
    <w:semiHidden/>
    <w:unhideWhenUsed/>
    <w:rsid w:val="00F1432B"/>
    <w:rPr>
      <w:b/>
      <w:bCs/>
    </w:rPr>
  </w:style>
  <w:style w:type="character" w:customStyle="1" w:styleId="Char0">
    <w:name w:val="批注主题 Char"/>
    <w:basedOn w:val="Char"/>
    <w:link w:val="a5"/>
    <w:uiPriority w:val="99"/>
    <w:semiHidden/>
    <w:rsid w:val="00F1432B"/>
    <w:rPr>
      <w:b/>
      <w:bCs/>
    </w:rPr>
  </w:style>
  <w:style w:type="paragraph" w:styleId="a6">
    <w:name w:val="Balloon Text"/>
    <w:basedOn w:val="a"/>
    <w:link w:val="Char1"/>
    <w:uiPriority w:val="99"/>
    <w:semiHidden/>
    <w:unhideWhenUsed/>
    <w:rsid w:val="00F1432B"/>
    <w:rPr>
      <w:sz w:val="18"/>
      <w:szCs w:val="18"/>
    </w:rPr>
  </w:style>
  <w:style w:type="character" w:customStyle="1" w:styleId="Char1">
    <w:name w:val="批注框文本 Char"/>
    <w:basedOn w:val="a0"/>
    <w:link w:val="a6"/>
    <w:uiPriority w:val="99"/>
    <w:semiHidden/>
    <w:rsid w:val="00F1432B"/>
    <w:rPr>
      <w:sz w:val="18"/>
      <w:szCs w:val="18"/>
    </w:rPr>
  </w:style>
  <w:style w:type="paragraph" w:styleId="a7">
    <w:name w:val="List Paragraph"/>
    <w:basedOn w:val="a"/>
    <w:uiPriority w:val="34"/>
    <w:qFormat/>
    <w:rsid w:val="00547A0C"/>
    <w:pPr>
      <w:ind w:firstLineChars="200" w:firstLine="420"/>
    </w:pPr>
  </w:style>
  <w:style w:type="paragraph" w:styleId="a8">
    <w:name w:val="header"/>
    <w:basedOn w:val="a"/>
    <w:link w:val="Char2"/>
    <w:uiPriority w:val="99"/>
    <w:unhideWhenUsed/>
    <w:rsid w:val="007E6E3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7E6E35"/>
    <w:rPr>
      <w:sz w:val="18"/>
      <w:szCs w:val="18"/>
    </w:rPr>
  </w:style>
  <w:style w:type="paragraph" w:styleId="a9">
    <w:name w:val="footer"/>
    <w:basedOn w:val="a"/>
    <w:link w:val="Char3"/>
    <w:uiPriority w:val="99"/>
    <w:unhideWhenUsed/>
    <w:rsid w:val="007E6E35"/>
    <w:pPr>
      <w:tabs>
        <w:tab w:val="center" w:pos="4153"/>
        <w:tab w:val="right" w:pos="8306"/>
      </w:tabs>
      <w:snapToGrid w:val="0"/>
      <w:jc w:val="left"/>
    </w:pPr>
    <w:rPr>
      <w:sz w:val="18"/>
      <w:szCs w:val="18"/>
    </w:rPr>
  </w:style>
  <w:style w:type="character" w:customStyle="1" w:styleId="Char3">
    <w:name w:val="页脚 Char"/>
    <w:basedOn w:val="a0"/>
    <w:link w:val="a9"/>
    <w:uiPriority w:val="99"/>
    <w:rsid w:val="007E6E35"/>
    <w:rPr>
      <w:sz w:val="18"/>
      <w:szCs w:val="18"/>
    </w:rPr>
  </w:style>
  <w:style w:type="character" w:customStyle="1" w:styleId="internalref">
    <w:name w:val="internalref"/>
    <w:basedOn w:val="a0"/>
    <w:rsid w:val="00C50524"/>
  </w:style>
  <w:style w:type="character" w:styleId="aa">
    <w:name w:val="Hyperlink"/>
    <w:basedOn w:val="a0"/>
    <w:uiPriority w:val="99"/>
    <w:unhideWhenUsed/>
    <w:rsid w:val="00C50524"/>
    <w:rPr>
      <w:color w:val="0000FF"/>
      <w:u w:val="single"/>
    </w:rPr>
  </w:style>
  <w:style w:type="character" w:styleId="ab">
    <w:name w:val="Emphasis"/>
    <w:basedOn w:val="a0"/>
    <w:uiPriority w:val="20"/>
    <w:qFormat/>
    <w:rsid w:val="00C50524"/>
    <w:rPr>
      <w:i/>
      <w:iCs/>
    </w:rPr>
  </w:style>
  <w:style w:type="paragraph" w:styleId="ac">
    <w:name w:val="Revision"/>
    <w:hidden/>
    <w:uiPriority w:val="99"/>
    <w:semiHidden/>
    <w:rsid w:val="002878A3"/>
  </w:style>
  <w:style w:type="character" w:customStyle="1" w:styleId="1">
    <w:name w:val="未处理的提及1"/>
    <w:basedOn w:val="a0"/>
    <w:uiPriority w:val="99"/>
    <w:semiHidden/>
    <w:unhideWhenUsed/>
    <w:rsid w:val="00AC4B2F"/>
    <w:rPr>
      <w:color w:val="605E5C"/>
      <w:shd w:val="clear" w:color="auto" w:fill="E1DFDD"/>
    </w:rPr>
  </w:style>
  <w:style w:type="character" w:customStyle="1" w:styleId="10">
    <w:name w:val="批注文字 字符1"/>
    <w:basedOn w:val="a0"/>
    <w:uiPriority w:val="99"/>
    <w:qFormat/>
    <w:rsid w:val="00D3451A"/>
    <w:rPr>
      <w:rFonts w:ascii="Calibri" w:eastAsia="宋体" w:hAnsi="Calibri" w:cs="Times New Roman"/>
      <w:kern w:val="0"/>
      <w:sz w:val="22"/>
      <w:lang w:val="en-GB" w:eastAsia="en-US"/>
    </w:rPr>
  </w:style>
  <w:style w:type="character" w:styleId="ad">
    <w:name w:val="Strong"/>
    <w:basedOn w:val="a0"/>
    <w:uiPriority w:val="22"/>
    <w:qFormat/>
    <w:rsid w:val="00D3451A"/>
    <w:rPr>
      <w:b/>
      <w:bCs/>
    </w:rPr>
  </w:style>
  <w:style w:type="paragraph" w:styleId="ae">
    <w:name w:val="Normal (Web)"/>
    <w:basedOn w:val="a"/>
    <w:uiPriority w:val="99"/>
    <w:unhideWhenUsed/>
    <w:rsid w:val="00D3451A"/>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f">
    <w:name w:val="line number"/>
    <w:basedOn w:val="a0"/>
    <w:uiPriority w:val="99"/>
    <w:semiHidden/>
    <w:unhideWhenUsed/>
    <w:rsid w:val="0096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164157">
      <w:bodyDiv w:val="1"/>
      <w:marLeft w:val="0"/>
      <w:marRight w:val="0"/>
      <w:marTop w:val="0"/>
      <w:marBottom w:val="0"/>
      <w:divBdr>
        <w:top w:val="none" w:sz="0" w:space="0" w:color="auto"/>
        <w:left w:val="none" w:sz="0" w:space="0" w:color="auto"/>
        <w:bottom w:val="none" w:sz="0" w:space="0" w:color="auto"/>
        <w:right w:val="none" w:sz="0" w:space="0" w:color="auto"/>
      </w:divBdr>
    </w:div>
    <w:div w:id="1245602685">
      <w:bodyDiv w:val="1"/>
      <w:marLeft w:val="0"/>
      <w:marRight w:val="0"/>
      <w:marTop w:val="0"/>
      <w:marBottom w:val="0"/>
      <w:divBdr>
        <w:top w:val="none" w:sz="0" w:space="0" w:color="auto"/>
        <w:left w:val="none" w:sz="0" w:space="0" w:color="auto"/>
        <w:bottom w:val="none" w:sz="0" w:space="0" w:color="auto"/>
        <w:right w:val="none" w:sz="0" w:space="0" w:color="auto"/>
      </w:divBdr>
      <w:divsChild>
        <w:div w:id="1336300243">
          <w:marLeft w:val="0"/>
          <w:marRight w:val="0"/>
          <w:marTop w:val="90"/>
          <w:marBottom w:val="90"/>
          <w:divBdr>
            <w:top w:val="none" w:sz="0" w:space="0" w:color="auto"/>
            <w:left w:val="none" w:sz="0" w:space="0" w:color="auto"/>
            <w:bottom w:val="none" w:sz="0" w:space="0" w:color="auto"/>
            <w:right w:val="none" w:sz="0" w:space="0" w:color="auto"/>
          </w:divBdr>
        </w:div>
      </w:divsChild>
    </w:div>
    <w:div w:id="1257325827">
      <w:bodyDiv w:val="1"/>
      <w:marLeft w:val="0"/>
      <w:marRight w:val="0"/>
      <w:marTop w:val="0"/>
      <w:marBottom w:val="0"/>
      <w:divBdr>
        <w:top w:val="none" w:sz="0" w:space="0" w:color="auto"/>
        <w:left w:val="none" w:sz="0" w:space="0" w:color="auto"/>
        <w:bottom w:val="none" w:sz="0" w:space="0" w:color="auto"/>
        <w:right w:val="none" w:sz="0" w:space="0" w:color="auto"/>
      </w:divBdr>
    </w:div>
    <w:div w:id="1658920775">
      <w:bodyDiv w:val="1"/>
      <w:marLeft w:val="0"/>
      <w:marRight w:val="0"/>
      <w:marTop w:val="0"/>
      <w:marBottom w:val="0"/>
      <w:divBdr>
        <w:top w:val="none" w:sz="0" w:space="0" w:color="auto"/>
        <w:left w:val="none" w:sz="0" w:space="0" w:color="auto"/>
        <w:bottom w:val="none" w:sz="0" w:space="0" w:color="auto"/>
        <w:right w:val="none" w:sz="0" w:space="0" w:color="auto"/>
      </w:divBdr>
    </w:div>
    <w:div w:id="1843355226">
      <w:bodyDiv w:val="1"/>
      <w:marLeft w:val="0"/>
      <w:marRight w:val="0"/>
      <w:marTop w:val="0"/>
      <w:marBottom w:val="0"/>
      <w:divBdr>
        <w:top w:val="none" w:sz="0" w:space="0" w:color="auto"/>
        <w:left w:val="none" w:sz="0" w:space="0" w:color="auto"/>
        <w:bottom w:val="none" w:sz="0" w:space="0" w:color="auto"/>
        <w:right w:val="none" w:sz="0" w:space="0" w:color="auto"/>
      </w:divBdr>
    </w:div>
    <w:div w:id="193378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f"/><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5968D-1650-456F-BCA6-0A20CBBB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7339</Words>
  <Characters>41834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NE.Rep</dc:description>
  <cp:lastModifiedBy>Wang Tianqi</cp:lastModifiedBy>
  <cp:revision>2</cp:revision>
  <dcterms:created xsi:type="dcterms:W3CDTF">2019-05-08T02:23:00Z</dcterms:created>
  <dcterms:modified xsi:type="dcterms:W3CDTF">2019-05-08T02:23:00Z</dcterms:modified>
</cp:coreProperties>
</file>