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FBD" w:rsidRPr="00321926" w:rsidRDefault="00715FBD" w:rsidP="00321926">
      <w:pPr>
        <w:spacing w:line="360" w:lineRule="auto"/>
        <w:jc w:val="both"/>
        <w:rPr>
          <w:rFonts w:ascii="Book Antiqua" w:hAnsi="Book Antiqua" w:cs="Tahoma"/>
          <w:b/>
          <w:color w:val="000000"/>
        </w:rPr>
      </w:pPr>
      <w:r w:rsidRPr="00321926">
        <w:rPr>
          <w:rFonts w:ascii="Book Antiqua" w:hAnsi="Book Antiqua" w:cs="Tahoma"/>
          <w:b/>
          <w:color w:val="0000FF"/>
        </w:rPr>
        <w:t xml:space="preserve">Name of journal: </w:t>
      </w:r>
      <w:r w:rsidRPr="00321926">
        <w:rPr>
          <w:rFonts w:ascii="Book Antiqua" w:hAnsi="Book Antiqua" w:cs="Tahoma"/>
          <w:b/>
          <w:color w:val="000000"/>
        </w:rPr>
        <w:t>World Journal of Gastroenterology</w:t>
      </w:r>
    </w:p>
    <w:p w:rsidR="00715FBD" w:rsidRPr="00321926" w:rsidRDefault="00715FBD" w:rsidP="00321926">
      <w:pPr>
        <w:spacing w:line="360" w:lineRule="auto"/>
        <w:jc w:val="both"/>
        <w:rPr>
          <w:rFonts w:ascii="Book Antiqua" w:eastAsia="宋体" w:hAnsi="Book Antiqua" w:cs="Tahoma"/>
          <w:b/>
          <w:color w:val="0000FF"/>
          <w:lang w:eastAsia="zh-CN"/>
        </w:rPr>
      </w:pPr>
      <w:r w:rsidRPr="00321926">
        <w:rPr>
          <w:rFonts w:ascii="Book Antiqua" w:hAnsi="Book Antiqua" w:cs="Tahoma"/>
          <w:b/>
          <w:color w:val="0000FF"/>
        </w:rPr>
        <w:t xml:space="preserve">ESPS Manuscript NO: </w:t>
      </w:r>
      <w:r w:rsidRPr="00321926">
        <w:rPr>
          <w:rFonts w:ascii="Book Antiqua" w:eastAsia="宋体" w:hAnsi="Book Antiqua" w:cs="Tahoma"/>
          <w:b/>
          <w:color w:val="0000FF"/>
          <w:lang w:eastAsia="zh-CN"/>
        </w:rPr>
        <w:t>4706</w:t>
      </w:r>
    </w:p>
    <w:p w:rsidR="00715FBD" w:rsidRPr="00321926" w:rsidRDefault="00715FBD" w:rsidP="00321926">
      <w:pPr>
        <w:spacing w:line="360" w:lineRule="auto"/>
        <w:jc w:val="both"/>
        <w:rPr>
          <w:rFonts w:ascii="Book Antiqua" w:hAnsi="Book Antiqua" w:cs="Tahoma"/>
          <w:b/>
          <w:color w:val="0000FF"/>
        </w:rPr>
      </w:pPr>
      <w:r w:rsidRPr="00321926">
        <w:rPr>
          <w:rFonts w:ascii="Book Antiqua" w:hAnsi="Book Antiqua" w:cs="Tahoma"/>
          <w:b/>
          <w:color w:val="0000FF"/>
        </w:rPr>
        <w:t xml:space="preserve">Columns: </w:t>
      </w:r>
      <w:r w:rsidRPr="00321926">
        <w:rPr>
          <w:rFonts w:ascii="Book Antiqua" w:hAnsi="Book Antiqua" w:cs="Tahoma"/>
          <w:b/>
          <w:color w:val="000000"/>
        </w:rPr>
        <w:t>BRIEF ARTICLE</w:t>
      </w:r>
    </w:p>
    <w:p w:rsidR="00715FBD" w:rsidRPr="00321926" w:rsidRDefault="00715FBD" w:rsidP="00321926">
      <w:pPr>
        <w:spacing w:line="360" w:lineRule="auto"/>
        <w:jc w:val="both"/>
        <w:rPr>
          <w:rFonts w:ascii="Book Antiqua" w:hAnsi="Book Antiqua"/>
          <w:b/>
        </w:rPr>
      </w:pPr>
    </w:p>
    <w:p w:rsidR="00715FBD" w:rsidRPr="00321926" w:rsidRDefault="00715FBD" w:rsidP="00321926">
      <w:pPr>
        <w:spacing w:line="360" w:lineRule="auto"/>
        <w:jc w:val="both"/>
        <w:rPr>
          <w:rFonts w:ascii="Book Antiqua" w:hAnsi="Book Antiqua"/>
          <w:b/>
        </w:rPr>
      </w:pPr>
      <w:r w:rsidRPr="00321926">
        <w:rPr>
          <w:rFonts w:ascii="Book Antiqua" w:hAnsi="Book Antiqua"/>
          <w:b/>
        </w:rPr>
        <w:t>Prevalence and characteristics of dyspepsia among college students in Zhejiang Province</w:t>
      </w:r>
    </w:p>
    <w:p w:rsidR="00715FBD" w:rsidRPr="00EC40EF" w:rsidRDefault="00715FBD" w:rsidP="00321926">
      <w:pPr>
        <w:spacing w:line="360" w:lineRule="auto"/>
        <w:jc w:val="both"/>
        <w:rPr>
          <w:rFonts w:ascii="Book Antiqua" w:hAnsi="Book Antiqua"/>
        </w:rPr>
      </w:pPr>
      <w:r w:rsidRPr="00321926">
        <w:rPr>
          <w:rFonts w:ascii="Book Antiqua" w:hAnsi="Book Antiqua"/>
        </w:rPr>
        <w:br/>
      </w:r>
      <w:r w:rsidRPr="00EC40EF">
        <w:rPr>
          <w:rFonts w:ascii="Book Antiqua" w:hAnsi="Book Antiqua"/>
        </w:rPr>
        <w:t xml:space="preserve">Li M </w:t>
      </w:r>
      <w:r w:rsidRPr="00EC40EF">
        <w:rPr>
          <w:rFonts w:ascii="Book Antiqua" w:hAnsi="Book Antiqua"/>
          <w:i/>
        </w:rPr>
        <w:t>et al</w:t>
      </w:r>
      <w:r w:rsidRPr="00EC40EF">
        <w:rPr>
          <w:rFonts w:ascii="Book Antiqua" w:hAnsi="Book Antiqua"/>
        </w:rPr>
        <w:t>. Dyspepsia among Chinese college students</w:t>
      </w:r>
    </w:p>
    <w:p w:rsidR="00715FBD" w:rsidRPr="00321926" w:rsidRDefault="00715FBD" w:rsidP="00321926">
      <w:pPr>
        <w:spacing w:line="360" w:lineRule="auto"/>
        <w:jc w:val="both"/>
        <w:rPr>
          <w:rFonts w:ascii="Book Antiqua" w:hAnsi="Book Antiqua"/>
        </w:rPr>
      </w:pPr>
    </w:p>
    <w:p w:rsidR="00715FBD" w:rsidRPr="00321926" w:rsidRDefault="00715FBD" w:rsidP="00321926">
      <w:pPr>
        <w:spacing w:line="360" w:lineRule="auto"/>
        <w:jc w:val="both"/>
        <w:rPr>
          <w:rFonts w:ascii="Book Antiqua" w:hAnsi="Book Antiqua"/>
        </w:rPr>
      </w:pPr>
      <w:r w:rsidRPr="00321926">
        <w:rPr>
          <w:rFonts w:ascii="Book Antiqua" w:hAnsi="Book Antiqua"/>
        </w:rPr>
        <w:t>Meng Li, Bin Lu, Li Chu, Hong Zhou, Ming</w:t>
      </w:r>
      <w:r w:rsidRPr="00321926">
        <w:rPr>
          <w:rFonts w:ascii="Book Antiqua" w:eastAsia="宋体" w:hAnsi="Book Antiqua"/>
          <w:lang w:eastAsia="zh-CN"/>
        </w:rPr>
        <w:t>-</w:t>
      </w:r>
      <w:r w:rsidRPr="00321926">
        <w:rPr>
          <w:rFonts w:ascii="Book Antiqua" w:hAnsi="Book Antiqua"/>
        </w:rPr>
        <w:t>Yan Chen</w:t>
      </w:r>
    </w:p>
    <w:p w:rsidR="00715FBD" w:rsidRPr="00321926" w:rsidRDefault="008C53E2" w:rsidP="00321926">
      <w:pPr>
        <w:spacing w:line="360" w:lineRule="auto"/>
        <w:jc w:val="both"/>
        <w:rPr>
          <w:rFonts w:ascii="Book Antiqua" w:hAnsi="Book Antiqua"/>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212090</wp:posOffset>
                </wp:positionV>
                <wp:extent cx="5544185" cy="14605"/>
                <wp:effectExtent l="0" t="0" r="18415" b="2349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44185" cy="14605"/>
                        </a:xfrm>
                        <a:prstGeom prst="line">
                          <a:avLst/>
                        </a:prstGeom>
                        <a:noFill/>
                        <a:ln w="25400">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7pt" to="436.2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" strokecolor="#a6a6a6" strokeweight="2pt"/>
            </w:pict>
          </mc:Fallback>
        </mc:AlternateContent>
      </w:r>
      <w:r w:rsidR="00715FBD" w:rsidRPr="00321926">
        <w:rPr>
          <w:rFonts w:ascii="Book Antiqua" w:hAnsi="Book Antiqua"/>
        </w:rPr>
        <w:br/>
      </w:r>
    </w:p>
    <w:p w:rsidR="00715FBD" w:rsidRPr="00321926" w:rsidRDefault="00715FBD" w:rsidP="00321926">
      <w:pPr>
        <w:spacing w:line="360" w:lineRule="auto"/>
        <w:jc w:val="both"/>
        <w:rPr>
          <w:rFonts w:ascii="Book Antiqua" w:hAnsi="Book Antiqua"/>
        </w:rPr>
      </w:pPr>
      <w:r w:rsidRPr="00321926">
        <w:rPr>
          <w:rFonts w:ascii="Book Antiqua" w:hAnsi="Book Antiqua"/>
          <w:b/>
        </w:rPr>
        <w:t xml:space="preserve">Meng Li, Bin Lu, Li Chu, Hong Zhou, Ming-Yan Chen, </w:t>
      </w:r>
      <w:r w:rsidRPr="00321926">
        <w:rPr>
          <w:rFonts w:ascii="Book Antiqua" w:hAnsi="Book Antiqua"/>
        </w:rPr>
        <w:t>Department of Gastroenterology, First Affiliated Hospital of Zhejiang Chinese Medical University, Hangzhou 310006, Zhejiang Province</w:t>
      </w:r>
      <w:r w:rsidRPr="00321926">
        <w:rPr>
          <w:rFonts w:ascii="Book Antiqua" w:eastAsia="宋体" w:hAnsi="Book Antiqua"/>
          <w:lang w:eastAsia="zh-CN"/>
        </w:rPr>
        <w:t>,</w:t>
      </w:r>
      <w:r w:rsidRPr="00321926">
        <w:rPr>
          <w:rFonts w:ascii="Book Antiqua" w:hAnsi="Book Antiqua"/>
        </w:rPr>
        <w:t xml:space="preserve"> China</w:t>
      </w:r>
    </w:p>
    <w:p w:rsidR="00715FBD" w:rsidRPr="00321926" w:rsidRDefault="00715FBD" w:rsidP="00321926">
      <w:pPr>
        <w:spacing w:line="360" w:lineRule="auto"/>
        <w:jc w:val="both"/>
        <w:rPr>
          <w:rFonts w:ascii="Book Antiqua" w:hAnsi="Book Antiqua"/>
        </w:rPr>
      </w:pPr>
      <w:r w:rsidRPr="00321926">
        <w:rPr>
          <w:rFonts w:ascii="Book Antiqua" w:hAnsi="Book Antiqua"/>
        </w:rPr>
        <w:br/>
      </w:r>
      <w:r w:rsidRPr="00321926">
        <w:rPr>
          <w:rFonts w:ascii="Book Antiqua" w:hAnsi="Book Antiqua"/>
          <w:b/>
        </w:rPr>
        <w:t>Author contributions:</w:t>
      </w:r>
      <w:r w:rsidRPr="00321926">
        <w:rPr>
          <w:rFonts w:ascii="Book Antiqua" w:hAnsi="Book Antiqua"/>
        </w:rPr>
        <w:t xml:space="preserve"> Lu B designed and supervised the study; Li M, Chu L, Zhou H, and Chen M conducted the survey; Li M analyzed and interpreted the data and wrote the manuscript</w:t>
      </w:r>
      <w:r w:rsidRPr="00321926">
        <w:rPr>
          <w:rFonts w:ascii="Book Antiqua" w:eastAsia="宋体" w:hAnsi="Book Antiqua"/>
          <w:lang w:eastAsia="zh-CN"/>
        </w:rPr>
        <w:t xml:space="preserve">; </w:t>
      </w:r>
      <w:r w:rsidRPr="00321926">
        <w:rPr>
          <w:rFonts w:ascii="Book Antiqua" w:hAnsi="Book Antiqua"/>
        </w:rPr>
        <w:t>All authors read and approved the final version for publication.</w:t>
      </w:r>
    </w:p>
    <w:p w:rsidR="00715FBD" w:rsidRPr="00321926" w:rsidRDefault="00715FBD" w:rsidP="00321926">
      <w:pPr>
        <w:spacing w:line="360" w:lineRule="auto"/>
        <w:jc w:val="both"/>
        <w:rPr>
          <w:rFonts w:ascii="Book Antiqua" w:hAnsi="Book Antiqua"/>
        </w:rPr>
      </w:pPr>
      <w:r w:rsidRPr="00321926">
        <w:rPr>
          <w:rFonts w:ascii="Book Antiqua" w:hAnsi="Book Antiqua"/>
        </w:rPr>
        <w:br/>
      </w:r>
      <w:r w:rsidRPr="00321926">
        <w:rPr>
          <w:rFonts w:ascii="Book Antiqua" w:hAnsi="Book Antiqua"/>
          <w:b/>
        </w:rPr>
        <w:t xml:space="preserve">Supported by </w:t>
      </w:r>
      <w:r w:rsidRPr="00321926">
        <w:rPr>
          <w:rFonts w:ascii="Book Antiqua" w:hAnsi="Book Antiqua"/>
        </w:rPr>
        <w:t>The</w:t>
      </w:r>
      <w:r w:rsidRPr="00321926">
        <w:rPr>
          <w:rFonts w:ascii="Book Antiqua" w:eastAsia="宋体" w:hAnsi="Book Antiqua"/>
          <w:b/>
          <w:lang w:eastAsia="zh-CN"/>
        </w:rPr>
        <w:t xml:space="preserve"> </w:t>
      </w:r>
      <w:r w:rsidRPr="00321926">
        <w:rPr>
          <w:rFonts w:ascii="Book Antiqua" w:hAnsi="Book Antiqua"/>
        </w:rPr>
        <w:t>Natural Science Foundation of China</w:t>
      </w:r>
    </w:p>
    <w:p w:rsidR="00715FBD" w:rsidRPr="00321926" w:rsidRDefault="00715FBD" w:rsidP="00321926">
      <w:pPr>
        <w:spacing w:line="360" w:lineRule="auto"/>
        <w:jc w:val="both"/>
        <w:rPr>
          <w:rFonts w:ascii="Book Antiqua" w:hAnsi="Book Antiqua"/>
        </w:rPr>
      </w:pPr>
    </w:p>
    <w:p w:rsidR="00715FBD" w:rsidRPr="00321926" w:rsidRDefault="00715FBD" w:rsidP="00321926">
      <w:pPr>
        <w:spacing w:line="360" w:lineRule="auto"/>
        <w:jc w:val="both"/>
        <w:rPr>
          <w:rFonts w:ascii="Book Antiqua" w:hAnsi="Book Antiqua"/>
        </w:rPr>
      </w:pPr>
      <w:r w:rsidRPr="00321926">
        <w:rPr>
          <w:rFonts w:ascii="Book Antiqua" w:hAnsi="Book Antiqua"/>
          <w:b/>
        </w:rPr>
        <w:t>Correspondence to: Bin Lu, MD,</w:t>
      </w:r>
      <w:r w:rsidRPr="00321926">
        <w:rPr>
          <w:rFonts w:ascii="Book Antiqua" w:hAnsi="Book Antiqua"/>
        </w:rPr>
        <w:t xml:space="preserve"> Department of Gastroenterology, First Affiliated Hospital of Zhejiang Chinese Medical University, 54 Youdian Road, Hangzhou 310006, Zhejiang Province</w:t>
      </w:r>
      <w:r w:rsidRPr="00321926">
        <w:rPr>
          <w:rFonts w:ascii="Book Antiqua" w:eastAsia="宋体" w:hAnsi="Book Antiqua"/>
          <w:lang w:eastAsia="zh-CN"/>
        </w:rPr>
        <w:t>,</w:t>
      </w:r>
      <w:r w:rsidRPr="00321926">
        <w:rPr>
          <w:rFonts w:ascii="Book Antiqua" w:hAnsi="Book Antiqua"/>
        </w:rPr>
        <w:t xml:space="preserve"> China. lvbin@medmail.com.cn</w:t>
      </w:r>
      <w:r w:rsidRPr="00321926">
        <w:rPr>
          <w:rFonts w:ascii="Book Antiqua" w:hAnsi="Book Antiqua"/>
        </w:rPr>
        <w:br/>
      </w:r>
      <w:r w:rsidRPr="00321926">
        <w:rPr>
          <w:rFonts w:ascii="Book Antiqua" w:hAnsi="Book Antiqua"/>
          <w:b/>
        </w:rPr>
        <w:t>Telephone:</w:t>
      </w:r>
      <w:r w:rsidRPr="00321926">
        <w:rPr>
          <w:rFonts w:ascii="Book Antiqua" w:hAnsi="Book Antiqua"/>
        </w:rPr>
        <w:t xml:space="preserve"> +86</w:t>
      </w:r>
      <w:r w:rsidRPr="00321926">
        <w:rPr>
          <w:rFonts w:ascii="Book Antiqua" w:eastAsia="宋体" w:hAnsi="Book Antiqua"/>
          <w:lang w:eastAsia="zh-CN"/>
        </w:rPr>
        <w:t>-</w:t>
      </w:r>
      <w:r w:rsidRPr="00321926">
        <w:rPr>
          <w:rFonts w:ascii="Book Antiqua" w:hAnsi="Book Antiqua"/>
        </w:rPr>
        <w:t>571</w:t>
      </w:r>
      <w:r w:rsidRPr="00321926">
        <w:rPr>
          <w:rFonts w:ascii="Book Antiqua" w:eastAsia="宋体" w:hAnsi="Book Antiqua"/>
          <w:lang w:eastAsia="zh-CN"/>
        </w:rPr>
        <w:t>-</w:t>
      </w:r>
      <w:r w:rsidRPr="00321926">
        <w:rPr>
          <w:rFonts w:ascii="Book Antiqua" w:hAnsi="Book Antiqua"/>
        </w:rPr>
        <w:t xml:space="preserve">87032028  </w:t>
      </w:r>
      <w:r w:rsidRPr="00321926">
        <w:rPr>
          <w:rFonts w:ascii="Book Antiqua" w:hAnsi="Book Antiqua"/>
          <w:b/>
        </w:rPr>
        <w:t>Fax:</w:t>
      </w:r>
      <w:r w:rsidRPr="00321926">
        <w:rPr>
          <w:rFonts w:ascii="Book Antiqua" w:hAnsi="Book Antiqua"/>
        </w:rPr>
        <w:t xml:space="preserve"> +86</w:t>
      </w:r>
      <w:r w:rsidRPr="00321926">
        <w:rPr>
          <w:rFonts w:ascii="Book Antiqua" w:eastAsia="宋体" w:hAnsi="Book Antiqua"/>
          <w:lang w:eastAsia="zh-CN"/>
        </w:rPr>
        <w:t>-</w:t>
      </w:r>
      <w:r w:rsidRPr="00321926">
        <w:rPr>
          <w:rFonts w:ascii="Book Antiqua" w:hAnsi="Book Antiqua"/>
        </w:rPr>
        <w:t>571</w:t>
      </w:r>
      <w:r w:rsidRPr="00321926">
        <w:rPr>
          <w:rFonts w:ascii="Book Antiqua" w:eastAsia="宋体" w:hAnsi="Book Antiqua"/>
          <w:lang w:eastAsia="zh-CN"/>
        </w:rPr>
        <w:t>-</w:t>
      </w:r>
      <w:r w:rsidRPr="00321926">
        <w:rPr>
          <w:rFonts w:ascii="Book Antiqua" w:hAnsi="Book Antiqua"/>
        </w:rPr>
        <w:t>87077785</w:t>
      </w:r>
    </w:p>
    <w:p w:rsidR="00715FBD" w:rsidRPr="00321926" w:rsidRDefault="00715FBD" w:rsidP="00321926">
      <w:pPr>
        <w:spacing w:line="360" w:lineRule="auto"/>
        <w:jc w:val="both"/>
        <w:rPr>
          <w:rFonts w:ascii="Book Antiqua" w:eastAsia="宋体" w:hAnsi="Book Antiqua"/>
          <w:b/>
          <w:lang w:eastAsia="zh-CN"/>
        </w:rPr>
      </w:pPr>
    </w:p>
    <w:p w:rsidR="00715FBD" w:rsidRPr="00321926" w:rsidRDefault="00715FBD" w:rsidP="00321926">
      <w:pPr>
        <w:spacing w:line="360" w:lineRule="auto"/>
        <w:jc w:val="both"/>
        <w:rPr>
          <w:rFonts w:ascii="Book Antiqua" w:eastAsia="宋体" w:hAnsi="Book Antiqua"/>
          <w:b/>
          <w:lang w:eastAsia="zh-CN"/>
        </w:rPr>
      </w:pPr>
      <w:r w:rsidRPr="00321926">
        <w:rPr>
          <w:rFonts w:ascii="Book Antiqua" w:hAnsi="Book Antiqua"/>
          <w:b/>
        </w:rPr>
        <w:t>Received:</w:t>
      </w:r>
      <w:bookmarkStart w:id="0" w:name="OLE_LINK25"/>
      <w:bookmarkStart w:id="1" w:name="OLE_LINK26"/>
      <w:bookmarkStart w:id="2" w:name="OLE_LINK182"/>
      <w:bookmarkStart w:id="3" w:name="OLE_LINK185"/>
      <w:r w:rsidRPr="00494BD3">
        <w:rPr>
          <w:rFonts w:ascii="Book Antiqua" w:hAnsi="Book Antiqua"/>
        </w:rPr>
        <w:t xml:space="preserve"> </w:t>
      </w:r>
      <w:r w:rsidRPr="00421E83">
        <w:rPr>
          <w:rFonts w:ascii="Book Antiqua" w:hAnsi="Book Antiqua"/>
        </w:rPr>
        <w:t>July</w:t>
      </w:r>
      <w:bookmarkEnd w:id="0"/>
      <w:bookmarkEnd w:id="1"/>
      <w:bookmarkEnd w:id="2"/>
      <w:bookmarkEnd w:id="3"/>
      <w:r>
        <w:rPr>
          <w:rFonts w:ascii="Book Antiqua" w:eastAsia="宋体" w:hAnsi="Book Antiqua"/>
          <w:lang w:eastAsia="zh-CN"/>
        </w:rPr>
        <w:t xml:space="preserve"> 17, 2013 </w:t>
      </w:r>
      <w:r w:rsidRPr="00321926">
        <w:rPr>
          <w:rFonts w:ascii="Book Antiqua" w:hAnsi="Book Antiqua"/>
          <w:b/>
        </w:rPr>
        <w:t xml:space="preserve"> </w:t>
      </w:r>
      <w:r w:rsidRPr="00321926">
        <w:rPr>
          <w:rFonts w:ascii="Book Antiqua" w:hAnsi="Book Antiqua"/>
          <w:b/>
        </w:rPr>
        <w:tab/>
      </w:r>
      <w:r w:rsidRPr="00321926">
        <w:rPr>
          <w:rFonts w:ascii="Book Antiqua" w:hAnsi="Book Antiqua"/>
          <w:b/>
        </w:rPr>
        <w:tab/>
      </w:r>
      <w:r>
        <w:rPr>
          <w:rFonts w:ascii="Book Antiqua" w:hAnsi="Book Antiqua"/>
          <w:b/>
        </w:rPr>
        <w:t>Revised:</w:t>
      </w:r>
      <w:r>
        <w:rPr>
          <w:rFonts w:ascii="Book Antiqua" w:eastAsia="宋体" w:hAnsi="Book Antiqua"/>
          <w:b/>
          <w:lang w:eastAsia="zh-CN"/>
        </w:rPr>
        <w:t xml:space="preserve"> </w:t>
      </w:r>
      <w:bookmarkStart w:id="4" w:name="OLE_LINK1"/>
      <w:bookmarkStart w:id="5" w:name="OLE_LINK2"/>
      <w:bookmarkStart w:id="6" w:name="OLE_LINK3"/>
      <w:r w:rsidRPr="00421E83">
        <w:rPr>
          <w:rFonts w:ascii="Book Antiqua" w:hAnsi="Book Antiqua"/>
        </w:rPr>
        <w:t>November</w:t>
      </w:r>
      <w:bookmarkEnd w:id="4"/>
      <w:bookmarkEnd w:id="5"/>
      <w:bookmarkEnd w:id="6"/>
      <w:r>
        <w:rPr>
          <w:rFonts w:ascii="Book Antiqua" w:eastAsia="宋体" w:hAnsi="Book Antiqua"/>
          <w:lang w:eastAsia="zh-CN"/>
        </w:rPr>
        <w:t xml:space="preserve"> 19, 2013</w:t>
      </w:r>
      <w:r w:rsidRPr="00321926">
        <w:rPr>
          <w:rFonts w:ascii="Book Antiqua" w:hAnsi="Book Antiqua"/>
          <w:b/>
        </w:rPr>
        <w:t xml:space="preserve"> </w:t>
      </w:r>
      <w:r w:rsidRPr="00321926">
        <w:rPr>
          <w:rFonts w:ascii="Book Antiqua" w:hAnsi="Book Antiqua"/>
          <w:b/>
        </w:rPr>
        <w:tab/>
      </w:r>
      <w:r w:rsidRPr="00321926">
        <w:rPr>
          <w:rFonts w:ascii="Book Antiqua" w:hAnsi="Book Antiqua"/>
          <w:b/>
        </w:rPr>
        <w:tab/>
      </w:r>
    </w:p>
    <w:p w:rsidR="00097E9C" w:rsidRPr="005065E4" w:rsidRDefault="00715FBD" w:rsidP="00097E9C">
      <w:pPr>
        <w:rPr>
          <w:rFonts w:ascii="Book Antiqua" w:hAnsi="Book Antiqua"/>
        </w:rPr>
      </w:pPr>
      <w:r w:rsidRPr="00321926">
        <w:rPr>
          <w:rFonts w:ascii="Book Antiqua" w:hAnsi="Book Antiqua"/>
          <w:b/>
        </w:rPr>
        <w:lastRenderedPageBreak/>
        <w:t>Accepted:</w:t>
      </w:r>
      <w:r w:rsidR="00097E9C" w:rsidRPr="00097E9C">
        <w:rPr>
          <w:rFonts w:ascii="Book Antiqua" w:hAnsi="Book Antiqua"/>
        </w:rPr>
        <w:t xml:space="preserve"> </w:t>
      </w:r>
      <w:r w:rsidR="00097E9C" w:rsidRPr="005065E4">
        <w:rPr>
          <w:rFonts w:ascii="Book Antiqua" w:hAnsi="Book Antiqua"/>
        </w:rPr>
        <w:t>January 2, 2014</w:t>
      </w:r>
    </w:p>
    <w:p w:rsidR="00715FBD" w:rsidRPr="00321926" w:rsidRDefault="00715FBD" w:rsidP="00321926">
      <w:pPr>
        <w:spacing w:line="360" w:lineRule="auto"/>
        <w:jc w:val="both"/>
        <w:rPr>
          <w:rFonts w:ascii="Book Antiqua" w:hAnsi="Book Antiqua"/>
          <w:b/>
        </w:rPr>
      </w:pPr>
      <w:bookmarkStart w:id="7" w:name="_GoBack"/>
      <w:bookmarkEnd w:id="7"/>
    </w:p>
    <w:p w:rsidR="00715FBD" w:rsidRPr="00321926" w:rsidRDefault="00715FBD" w:rsidP="00321926">
      <w:pPr>
        <w:spacing w:line="360" w:lineRule="auto"/>
        <w:jc w:val="both"/>
        <w:rPr>
          <w:rFonts w:ascii="Book Antiqua" w:hAnsi="Book Antiqua"/>
          <w:b/>
        </w:rPr>
      </w:pPr>
      <w:r w:rsidRPr="00321926">
        <w:rPr>
          <w:rFonts w:ascii="Book Antiqua" w:hAnsi="Book Antiqua"/>
          <w:b/>
        </w:rPr>
        <w:t>Published online:</w:t>
      </w:r>
    </w:p>
    <w:p w:rsidR="00715FBD" w:rsidRPr="00321926" w:rsidRDefault="00715FBD" w:rsidP="00321926">
      <w:pPr>
        <w:spacing w:line="360" w:lineRule="auto"/>
        <w:jc w:val="both"/>
        <w:rPr>
          <w:rFonts w:ascii="Book Antiqua" w:hAnsi="Book Antiqua"/>
        </w:rPr>
      </w:pPr>
      <w:r w:rsidRPr="00321926">
        <w:rPr>
          <w:rFonts w:ascii="Book Antiqua" w:hAnsi="Book Antiqua"/>
        </w:rPr>
        <w:br/>
      </w:r>
      <w:r w:rsidRPr="00321926">
        <w:rPr>
          <w:rFonts w:ascii="Book Antiqua" w:hAnsi="Book Antiqua"/>
        </w:rPr>
        <w:br/>
      </w:r>
      <w:r w:rsidRPr="00321926">
        <w:rPr>
          <w:rFonts w:ascii="Book Antiqua" w:hAnsi="Book Antiqua"/>
        </w:rPr>
        <w:br/>
      </w:r>
      <w:r w:rsidRPr="00321926">
        <w:rPr>
          <w:rFonts w:ascii="Book Antiqua" w:hAnsi="Book Antiqua"/>
        </w:rPr>
        <w:br/>
      </w:r>
      <w:r w:rsidRPr="00321926">
        <w:rPr>
          <w:rFonts w:ascii="Book Antiqua" w:hAnsi="Book Antiqua"/>
        </w:rPr>
        <w:br w:type="page"/>
      </w:r>
    </w:p>
    <w:p w:rsidR="00715FBD" w:rsidRPr="00321926" w:rsidRDefault="00715FBD" w:rsidP="00321926">
      <w:pPr>
        <w:spacing w:line="360" w:lineRule="auto"/>
        <w:jc w:val="both"/>
        <w:rPr>
          <w:rFonts w:ascii="Book Antiqua" w:hAnsi="Book Antiqua"/>
        </w:rPr>
      </w:pPr>
      <w:r w:rsidRPr="00321926">
        <w:rPr>
          <w:rFonts w:ascii="Book Antiqua" w:hAnsi="Book Antiqua"/>
          <w:b/>
        </w:rPr>
        <w:t>Abstract</w:t>
      </w:r>
      <w:r w:rsidRPr="00321926">
        <w:rPr>
          <w:rFonts w:ascii="Book Antiqua" w:hAnsi="Book Antiqua"/>
          <w:b/>
        </w:rPr>
        <w:br/>
        <w:t>AIM:</w:t>
      </w:r>
      <w:r w:rsidRPr="00321926">
        <w:rPr>
          <w:rFonts w:ascii="Book Antiqua" w:hAnsi="Book Antiqua"/>
        </w:rPr>
        <w:t xml:space="preserve"> To investigate the prevalence and characteristics of uninvestigated dyspepsia (UD) among college students in the Zhejiang province.</w:t>
      </w:r>
    </w:p>
    <w:p w:rsidR="00715FBD" w:rsidRPr="00321926" w:rsidRDefault="00715FBD" w:rsidP="00321926">
      <w:pPr>
        <w:spacing w:line="360" w:lineRule="auto"/>
        <w:jc w:val="both"/>
        <w:rPr>
          <w:rFonts w:ascii="Book Antiqua" w:hAnsi="Book Antiqua"/>
        </w:rPr>
      </w:pPr>
      <w:r w:rsidRPr="00321926">
        <w:rPr>
          <w:rFonts w:ascii="Book Antiqua" w:hAnsi="Book Antiqua"/>
        </w:rPr>
        <w:br/>
      </w:r>
      <w:r w:rsidRPr="00321926">
        <w:rPr>
          <w:rFonts w:ascii="Book Antiqua" w:hAnsi="Book Antiqua"/>
          <w:b/>
        </w:rPr>
        <w:t xml:space="preserve">METHODS: </w:t>
      </w:r>
      <w:r w:rsidRPr="00321926">
        <w:rPr>
          <w:rFonts w:ascii="Book Antiqua" w:hAnsi="Book Antiqua"/>
        </w:rPr>
        <w:t>Young adult college students attending undergraduate (within the 4-year program) and graduate (only first-year students) colleges in Zhejiang Province were recruited between November 2010 and March 2011 to participate in the self-report survey study. The questionnaire was designed to collect data of demographics (sex and age), general health (weight and height, to calculate body mass index (BMI)), and physical episodes related to gastrointestinal disorders. Diagnosis of dyspepsia and irritable bowel syndrome (IBS) was made according to the Rome III criteria. Gastroesophageal reflux disease (GERD) was defined by episodes of heartburn and/or acid reflux that occurred at least once a week, corresponding to the Montreal definition.</w:t>
      </w:r>
    </w:p>
    <w:p w:rsidR="00715FBD" w:rsidRPr="00321926" w:rsidRDefault="00715FBD" w:rsidP="00321926">
      <w:pPr>
        <w:spacing w:line="360" w:lineRule="auto"/>
        <w:jc w:val="both"/>
        <w:rPr>
          <w:rFonts w:ascii="Book Antiqua" w:hAnsi="Book Antiqua"/>
        </w:rPr>
      </w:pPr>
      <w:r w:rsidRPr="00321926">
        <w:rPr>
          <w:rFonts w:ascii="Book Antiqua" w:hAnsi="Book Antiqua"/>
        </w:rPr>
        <w:br/>
      </w:r>
      <w:r w:rsidRPr="00321926">
        <w:rPr>
          <w:rFonts w:ascii="Book Antiqua" w:hAnsi="Book Antiqua"/>
          <w:b/>
        </w:rPr>
        <w:t>RESULTS:</w:t>
      </w:r>
      <w:r w:rsidRPr="00321926">
        <w:rPr>
          <w:rFonts w:ascii="Book Antiqua" w:hAnsi="Book Antiqua"/>
        </w:rPr>
        <w:t xml:space="preserve"> Of the 2520 students recruited for survey participation, only 1870 (males: 967; age range: 17 - 32 years, mean age: 21.3-years-old) returned a completed questionnaire. One-hundred-and-eight (5.67%) of the student participants fit the criteria for dyspepsia diagnosis. Stratification analysis of dyspepsia and non-dyspepsia cases showed no statistically significant differences in age or BMI; however, the prevalence of dyspepsia was significantly higher in women than in men (7.53% </w:t>
      </w:r>
      <w:r w:rsidRPr="00321926">
        <w:rPr>
          <w:rFonts w:ascii="Book Antiqua" w:hAnsi="Book Antiqua"/>
          <w:i/>
        </w:rPr>
        <w:t>vs</w:t>
      </w:r>
      <w:r w:rsidRPr="00321926">
        <w:rPr>
          <w:rFonts w:ascii="Book Antiqua" w:hAnsi="Book Antiqua"/>
        </w:rPr>
        <w:t xml:space="preserve"> 4.14%, </w:t>
      </w:r>
      <w:r w:rsidRPr="00321926">
        <w:rPr>
          <w:rFonts w:ascii="Book Antiqua" w:hAnsi="Book Antiqua"/>
          <w:i/>
        </w:rPr>
        <w:t>P &lt;</w:t>
      </w:r>
      <w:r w:rsidRPr="00321926">
        <w:rPr>
          <w:rFonts w:ascii="Book Antiqua" w:hAnsi="Book Antiqua"/>
        </w:rPr>
        <w:t xml:space="preserve"> 0.05). Stratification analysis of dyspepsia by grade level showed that year-4 undergraduate students had a significantly higher prevalence of dyspepsia (10.00% </w:t>
      </w:r>
      <w:r w:rsidRPr="00321926">
        <w:rPr>
          <w:rFonts w:ascii="Book Antiqua" w:hAnsi="Book Antiqua"/>
          <w:i/>
        </w:rPr>
        <w:t>vs</w:t>
      </w:r>
      <w:r w:rsidRPr="00321926">
        <w:rPr>
          <w:rFonts w:ascii="Book Antiqua" w:hAnsi="Book Antiqua"/>
        </w:rPr>
        <w:t xml:space="preserve"> undergraduate year-1: 5.87%, year-2: 3.53% and year-3: 7.24%, and graduate year-1: 3.32%). Nearly all (95.37%) students with dyspepsia reported symptoms of postprandial distress syndrome, but only a small portion (4.63%) reported symptoms suggestive of abdominal pain syndrome. The students with </w:t>
      </w:r>
      <w:r w:rsidRPr="00321926">
        <w:rPr>
          <w:rFonts w:ascii="Book Antiqua" w:hAnsi="Book Antiqua"/>
        </w:rPr>
        <w:lastRenderedPageBreak/>
        <w:t xml:space="preserve">dyspepsia also showed significantly higher rates of IBS (16.67% </w:t>
      </w:r>
      <w:r w:rsidRPr="00321926">
        <w:rPr>
          <w:rFonts w:ascii="Book Antiqua" w:hAnsi="Book Antiqua"/>
          <w:i/>
        </w:rPr>
        <w:t>vs</w:t>
      </w:r>
      <w:r w:rsidRPr="00321926">
        <w:rPr>
          <w:rFonts w:ascii="Book Antiqua" w:hAnsi="Book Antiqua"/>
        </w:rPr>
        <w:t xml:space="preserve"> non-dyspepsia students: 6.30%, </w:t>
      </w:r>
      <w:r w:rsidRPr="00321926">
        <w:rPr>
          <w:rFonts w:ascii="Book Antiqua" w:hAnsi="Book Antiqua"/>
          <w:i/>
        </w:rPr>
        <w:t>P &lt;</w:t>
      </w:r>
      <w:r w:rsidRPr="00321926">
        <w:rPr>
          <w:rFonts w:ascii="Book Antiqua" w:hAnsi="Book Antiqua"/>
        </w:rPr>
        <w:t xml:space="preserve"> 0.05) and GERD (11.11% </w:t>
      </w:r>
      <w:r w:rsidRPr="00321926">
        <w:rPr>
          <w:rFonts w:ascii="Book Antiqua" w:hAnsi="Book Antiqua"/>
          <w:i/>
        </w:rPr>
        <w:t>vs</w:t>
      </w:r>
      <w:r w:rsidRPr="00321926">
        <w:rPr>
          <w:rFonts w:ascii="Book Antiqua" w:hAnsi="Book Antiqua"/>
        </w:rPr>
        <w:t xml:space="preserve"> 0.28%, </w:t>
      </w:r>
      <w:r w:rsidRPr="00321926">
        <w:rPr>
          <w:rFonts w:ascii="Book Antiqua" w:hAnsi="Book Antiqua"/>
          <w:i/>
        </w:rPr>
        <w:t>P &lt;</w:t>
      </w:r>
      <w:r w:rsidRPr="00321926">
        <w:rPr>
          <w:rFonts w:ascii="Book Antiqua" w:hAnsi="Book Antiqua"/>
        </w:rPr>
        <w:t xml:space="preserve"> 0.05). </w:t>
      </w:r>
    </w:p>
    <w:p w:rsidR="00715FBD" w:rsidRPr="00321926" w:rsidRDefault="00715FBD" w:rsidP="00321926">
      <w:pPr>
        <w:spacing w:line="360" w:lineRule="auto"/>
        <w:jc w:val="both"/>
        <w:rPr>
          <w:rFonts w:ascii="Book Antiqua" w:hAnsi="Book Antiqua"/>
        </w:rPr>
      </w:pPr>
      <w:r w:rsidRPr="00321926">
        <w:rPr>
          <w:rFonts w:ascii="Book Antiqua" w:hAnsi="Book Antiqua"/>
        </w:rPr>
        <w:br/>
      </w:r>
      <w:r w:rsidRPr="00321926">
        <w:rPr>
          <w:rFonts w:ascii="Book Antiqua" w:hAnsi="Book Antiqua"/>
          <w:b/>
        </w:rPr>
        <w:t xml:space="preserve">CONCLUSION: </w:t>
      </w:r>
      <w:r w:rsidRPr="00321926">
        <w:rPr>
          <w:rFonts w:ascii="Book Antiqua" w:hAnsi="Book Antiqua"/>
        </w:rPr>
        <w:t>Although the incidence of dyspepsia among Zhejiang college students is low, the significantly higher rates of concomitant IBS and GERD suggest common pathophysiological disturbances.</w:t>
      </w:r>
    </w:p>
    <w:p w:rsidR="00715FBD" w:rsidRPr="00321926" w:rsidRDefault="00715FBD" w:rsidP="00321926">
      <w:pPr>
        <w:spacing w:line="360" w:lineRule="auto"/>
        <w:jc w:val="both"/>
        <w:rPr>
          <w:rFonts w:ascii="Book Antiqua" w:hAnsi="Book Antiqua"/>
        </w:rPr>
      </w:pPr>
      <w:r w:rsidRPr="00321926">
        <w:rPr>
          <w:rFonts w:ascii="Book Antiqua" w:hAnsi="Book Antiqua"/>
        </w:rPr>
        <w:br/>
        <w:t>© 2013 Baishideng Publishing Group Co., Limited. All rights reserved.</w:t>
      </w:r>
    </w:p>
    <w:p w:rsidR="00715FBD" w:rsidRPr="00321926" w:rsidRDefault="00715FBD" w:rsidP="00321926">
      <w:pPr>
        <w:spacing w:line="360" w:lineRule="auto"/>
        <w:jc w:val="both"/>
        <w:rPr>
          <w:rFonts w:ascii="Book Antiqua" w:hAnsi="Book Antiqua"/>
          <w:b/>
        </w:rPr>
      </w:pPr>
    </w:p>
    <w:p w:rsidR="00715FBD" w:rsidRPr="00321926" w:rsidRDefault="00715FBD" w:rsidP="00321926">
      <w:pPr>
        <w:spacing w:line="360" w:lineRule="auto"/>
        <w:jc w:val="both"/>
        <w:rPr>
          <w:rFonts w:ascii="Book Antiqua" w:hAnsi="Book Antiqua"/>
        </w:rPr>
      </w:pPr>
      <w:r w:rsidRPr="00321926">
        <w:rPr>
          <w:rFonts w:ascii="Book Antiqua" w:hAnsi="Book Antiqua"/>
          <w:b/>
        </w:rPr>
        <w:t xml:space="preserve">Key words: </w:t>
      </w:r>
      <w:r w:rsidRPr="00321926">
        <w:rPr>
          <w:rFonts w:ascii="Book Antiqua" w:hAnsi="Book Antiqua"/>
        </w:rPr>
        <w:t xml:space="preserve">College student; Dyspepsia; Gastroesophageal; Irritable bowel syndrome  </w:t>
      </w:r>
    </w:p>
    <w:p w:rsidR="00715FBD" w:rsidRPr="00321926" w:rsidRDefault="00715FBD" w:rsidP="00321926">
      <w:pPr>
        <w:spacing w:line="360" w:lineRule="auto"/>
        <w:jc w:val="both"/>
        <w:rPr>
          <w:rFonts w:ascii="Book Antiqua" w:hAnsi="Book Antiqua"/>
        </w:rPr>
      </w:pPr>
      <w:r w:rsidRPr="00321926">
        <w:rPr>
          <w:rFonts w:ascii="Book Antiqua" w:hAnsi="Book Antiqua"/>
        </w:rPr>
        <w:br/>
      </w:r>
      <w:r w:rsidRPr="00321926">
        <w:rPr>
          <w:rFonts w:ascii="Book Antiqua" w:hAnsi="Book Antiqua"/>
          <w:b/>
        </w:rPr>
        <w:t>Core tip:</w:t>
      </w:r>
      <w:r w:rsidRPr="00321926">
        <w:rPr>
          <w:rFonts w:ascii="Book Antiqua" w:hAnsi="Book Antiqua"/>
        </w:rPr>
        <w:t xml:space="preserve"> This college-based population survey aimed to determine the incidence and investigate the characteristics of uninvestigated dyspepsia (UD, according to Rome III criteria) in Zhejiang Province, China. The overall incidence of UD was relatively low (5.67% in 1870 students), but female sex and senior (year-4) undergraduate status were represented more frequently among the UD cases. In addition, UD cases were more likely to have concomitant IBS or GERD, suggesting the existence of common etiologies or molecular mechanisms among these gastrointestinal disorders.</w:t>
      </w:r>
    </w:p>
    <w:p w:rsidR="00715FBD" w:rsidRPr="00321926" w:rsidRDefault="00715FBD" w:rsidP="00321926">
      <w:pPr>
        <w:spacing w:line="360" w:lineRule="auto"/>
        <w:jc w:val="both"/>
        <w:rPr>
          <w:rFonts w:ascii="Book Antiqua" w:eastAsia="宋体" w:hAnsi="Book Antiqua"/>
          <w:lang w:eastAsia="zh-CN"/>
        </w:rPr>
      </w:pPr>
      <w:r w:rsidRPr="00321926">
        <w:rPr>
          <w:rFonts w:ascii="Book Antiqua" w:hAnsi="Book Antiqua"/>
        </w:rPr>
        <w:br/>
        <w:t xml:space="preserve">Li M, Lu B, Chu L, Zhou H, Chen M. Prevalence and characteristics of dyspepsia among college students in Zhejiang Province. </w:t>
      </w:r>
    </w:p>
    <w:p w:rsidR="00715FBD" w:rsidRPr="00321926" w:rsidRDefault="00715FBD" w:rsidP="00321926">
      <w:pPr>
        <w:spacing w:line="360" w:lineRule="auto"/>
        <w:jc w:val="both"/>
        <w:rPr>
          <w:rFonts w:ascii="Book Antiqua" w:eastAsia="宋体" w:hAnsi="Book Antiqua"/>
          <w:lang w:eastAsia="zh-CN"/>
        </w:rPr>
      </w:pPr>
    </w:p>
    <w:p w:rsidR="00715FBD" w:rsidRPr="00321926" w:rsidRDefault="00715FBD" w:rsidP="00321926">
      <w:pPr>
        <w:spacing w:line="360" w:lineRule="auto"/>
        <w:jc w:val="both"/>
        <w:rPr>
          <w:rFonts w:ascii="Book Antiqua" w:hAnsi="Book Antiqua"/>
        </w:rPr>
      </w:pPr>
      <w:r w:rsidRPr="00321926">
        <w:rPr>
          <w:rFonts w:ascii="Book Antiqua" w:hAnsi="Book Antiqua"/>
          <w:b/>
        </w:rPr>
        <w:t xml:space="preserve">Available from: </w:t>
      </w:r>
    </w:p>
    <w:p w:rsidR="00715FBD" w:rsidRPr="00321926" w:rsidRDefault="00715FBD" w:rsidP="00321926">
      <w:pPr>
        <w:spacing w:line="360" w:lineRule="auto"/>
        <w:jc w:val="both"/>
        <w:rPr>
          <w:rFonts w:ascii="Book Antiqua" w:hAnsi="Book Antiqua"/>
        </w:rPr>
      </w:pPr>
      <w:r w:rsidRPr="00321926">
        <w:rPr>
          <w:rFonts w:ascii="Book Antiqua" w:hAnsi="Book Antiqua"/>
          <w:b/>
        </w:rPr>
        <w:t xml:space="preserve">DOI: </w:t>
      </w:r>
    </w:p>
    <w:p w:rsidR="00715FBD" w:rsidRPr="00321926" w:rsidRDefault="00715FBD" w:rsidP="00321926">
      <w:pPr>
        <w:spacing w:line="360" w:lineRule="auto"/>
        <w:jc w:val="both"/>
        <w:rPr>
          <w:rFonts w:ascii="Book Antiqua" w:hAnsi="Book Antiqua"/>
        </w:rPr>
      </w:pPr>
      <w:r w:rsidRPr="00321926">
        <w:rPr>
          <w:rFonts w:ascii="Book Antiqua" w:hAnsi="Book Antiqua"/>
        </w:rPr>
        <w:br/>
        <w:t xml:space="preserve"> </w:t>
      </w:r>
    </w:p>
    <w:p w:rsidR="00715FBD" w:rsidRPr="00321926" w:rsidRDefault="00715FBD" w:rsidP="00321926">
      <w:pPr>
        <w:spacing w:line="360" w:lineRule="auto"/>
        <w:jc w:val="both"/>
        <w:rPr>
          <w:rFonts w:ascii="Book Antiqua" w:hAnsi="Book Antiqua"/>
        </w:rPr>
      </w:pPr>
      <w:r w:rsidRPr="00321926">
        <w:rPr>
          <w:rFonts w:ascii="Book Antiqua" w:hAnsi="Book Antiqua"/>
        </w:rPr>
        <w:br w:type="page"/>
      </w:r>
    </w:p>
    <w:p w:rsidR="00715FBD" w:rsidRPr="00321926" w:rsidRDefault="00715FBD" w:rsidP="00321926">
      <w:pPr>
        <w:spacing w:line="360" w:lineRule="auto"/>
        <w:jc w:val="both"/>
        <w:rPr>
          <w:rFonts w:ascii="Book Antiqua" w:hAnsi="Book Antiqua"/>
        </w:rPr>
      </w:pPr>
      <w:r w:rsidRPr="00321926">
        <w:rPr>
          <w:rFonts w:ascii="Book Antiqua" w:hAnsi="Book Antiqua"/>
          <w:b/>
        </w:rPr>
        <w:t>INTRODUCTION</w:t>
      </w:r>
      <w:r w:rsidRPr="00321926">
        <w:rPr>
          <w:rFonts w:ascii="Book Antiqua" w:hAnsi="Book Antiqua"/>
          <w:b/>
        </w:rPr>
        <w:br/>
      </w:r>
      <w:r w:rsidRPr="00321926">
        <w:rPr>
          <w:rFonts w:ascii="Book Antiqua" w:hAnsi="Book Antiqua"/>
        </w:rPr>
        <w:t>The gastroduodenal symptoms of dyspepsia are relatively non-specific, and include general abdominal discomfort, early satiety, and bloating. Patients will often ignore the condition and not present to clinic until more severe symptoms manifest, such as belching, heartburn, nausea, vomiting, and pain. While untreated dyspepsia is not associated with an increased risk of death, its pathology can put the individual at greater risk of secondary tissue injury, such as mucosal erosion by gastric reflux leading to a chronic inflammation state, or may mask symptoms of other gastrointestinal diseases. Epidemiological surveys have estimated the global prevalence of uninvestigated dyspepsia (UD) to be as low as 7% and as high as 45%</w:t>
      </w:r>
      <w:r w:rsidRPr="00321926">
        <w:rPr>
          <w:rFonts w:ascii="Book Antiqua" w:hAnsi="Book Antiqua"/>
          <w:vertAlign w:val="superscript"/>
        </w:rPr>
        <w:t>[1]</w:t>
      </w:r>
      <w:r w:rsidRPr="00321926">
        <w:rPr>
          <w:rFonts w:ascii="Book Antiqua" w:hAnsi="Book Antiqua"/>
        </w:rPr>
        <w:t xml:space="preserve">. </w:t>
      </w:r>
    </w:p>
    <w:p w:rsidR="00715FBD" w:rsidRPr="00321926" w:rsidRDefault="00715FBD" w:rsidP="00321926">
      <w:pPr>
        <w:spacing w:line="360" w:lineRule="auto"/>
        <w:ind w:firstLine="720"/>
        <w:jc w:val="both"/>
        <w:rPr>
          <w:rFonts w:ascii="Book Antiqua" w:hAnsi="Book Antiqua"/>
        </w:rPr>
      </w:pPr>
      <w:r w:rsidRPr="00321926">
        <w:rPr>
          <w:rFonts w:ascii="Book Antiqua" w:hAnsi="Book Antiqua"/>
        </w:rPr>
        <w:t xml:space="preserve">Results from clinical investigations are used to classify the dyspepsia diagnosis as functional dyspepsia (FD) or organic dyspepsia. For both dyspepsia types, some readily-modifiable factors have been identified as potential etiologies, including diet and gastrointestinal infection (mainly </w:t>
      </w:r>
      <w:r w:rsidRPr="00321926">
        <w:rPr>
          <w:rFonts w:ascii="Book Antiqua" w:hAnsi="Book Antiqua"/>
          <w:i/>
        </w:rPr>
        <w:t>Helicobacter pylori</w:t>
      </w:r>
      <w:r w:rsidRPr="00321926">
        <w:rPr>
          <w:rFonts w:ascii="Book Antiqua" w:hAnsi="Book Antiqua"/>
        </w:rPr>
        <w:t>); in addition, clinical management of a co-existing organic disease may help to reduce or eliminate the dyspeptic condition</w:t>
      </w:r>
      <w:r w:rsidRPr="00321926">
        <w:rPr>
          <w:rFonts w:ascii="Book Antiqua" w:hAnsi="Book Antiqua"/>
          <w:vertAlign w:val="superscript"/>
        </w:rPr>
        <w:t>[2]</w:t>
      </w:r>
      <w:r w:rsidRPr="00321926">
        <w:rPr>
          <w:rFonts w:ascii="Book Antiqua" w:hAnsi="Book Antiqua"/>
        </w:rPr>
        <w:t>. The lack of an effective targeted therapy, however, means that many patients suffer from chronic dyspepsia and an accompanying detrimental impact to quality of life</w:t>
      </w:r>
      <w:r w:rsidRPr="00321926">
        <w:rPr>
          <w:rFonts w:ascii="Book Antiqua" w:hAnsi="Book Antiqua"/>
          <w:vertAlign w:val="superscript"/>
        </w:rPr>
        <w:t>[3]</w:t>
      </w:r>
      <w:r w:rsidRPr="00321926">
        <w:rPr>
          <w:rFonts w:ascii="Book Antiqua" w:hAnsi="Book Antiqua"/>
        </w:rPr>
        <w:t>.</w:t>
      </w:r>
    </w:p>
    <w:p w:rsidR="00715FBD" w:rsidRPr="00321926" w:rsidRDefault="00715FBD" w:rsidP="00321926">
      <w:pPr>
        <w:spacing w:line="360" w:lineRule="auto"/>
        <w:ind w:firstLine="720"/>
        <w:jc w:val="both"/>
        <w:rPr>
          <w:rFonts w:ascii="Book Antiqua" w:hAnsi="Book Antiqua"/>
        </w:rPr>
      </w:pPr>
      <w:r w:rsidRPr="00321926">
        <w:rPr>
          <w:rFonts w:ascii="Book Antiqua" w:hAnsi="Book Antiqua"/>
        </w:rPr>
        <w:t>Demographic and national factors may play a role in the development and progression of dyspepsia. Epidemiologic studies of dyspepsia in Asian countries have reported incidence rates between 8% and 30%</w:t>
      </w:r>
      <w:r w:rsidRPr="00321926">
        <w:rPr>
          <w:rFonts w:ascii="Book Antiqua" w:hAnsi="Book Antiqua"/>
          <w:vertAlign w:val="superscript"/>
        </w:rPr>
        <w:t>[2]</w:t>
      </w:r>
      <w:r w:rsidRPr="00321926">
        <w:rPr>
          <w:rFonts w:ascii="Book Antiqua" w:hAnsi="Book Antiqua"/>
        </w:rPr>
        <w:t>, and have suggested that variable symptom profiles of the evaluated subjects and inconsistent diagnostic criteria used by the researchers and healthcare providers may explain this wide range. One survey in Malaysia demonstrated that the economic impact of dyspepsia is greater in urban settings, compared to a rural settings</w:t>
      </w:r>
      <w:r w:rsidRPr="00321926">
        <w:rPr>
          <w:rFonts w:ascii="Book Antiqua" w:hAnsi="Book Antiqua"/>
          <w:vertAlign w:val="superscript"/>
        </w:rPr>
        <w:t>[4]</w:t>
      </w:r>
      <w:r w:rsidRPr="00321926">
        <w:rPr>
          <w:rFonts w:ascii="Book Antiqua" w:hAnsi="Book Antiqua"/>
        </w:rPr>
        <w:t xml:space="preserve">, in conjunction with the greater disease prevalence in the former. A key differential feature of urban and rural settings is the socio-economic status, which affects </w:t>
      </w:r>
      <w:r w:rsidRPr="00321926">
        <w:rPr>
          <w:rFonts w:ascii="Book Antiqua" w:hAnsi="Book Antiqua"/>
        </w:rPr>
        <w:lastRenderedPageBreak/>
        <w:t>nearly every aspect of life from living conditions and diet to working conditions and stress levels. Within Asian urban settings, university students represent a unique population of advanced and productive society members, living in a high stress environment with relatively better access to and understanding of healthcare than their rural counterparts.</w:t>
      </w:r>
    </w:p>
    <w:p w:rsidR="00715FBD" w:rsidRPr="00321926" w:rsidRDefault="00715FBD" w:rsidP="00321926">
      <w:pPr>
        <w:spacing w:line="360" w:lineRule="auto"/>
        <w:ind w:firstLine="720"/>
        <w:jc w:val="both"/>
        <w:rPr>
          <w:rFonts w:ascii="Book Antiqua" w:hAnsi="Book Antiqua"/>
        </w:rPr>
      </w:pPr>
      <w:r w:rsidRPr="00321926">
        <w:rPr>
          <w:rFonts w:ascii="Book Antiqua" w:hAnsi="Book Antiqua"/>
        </w:rPr>
        <w:t xml:space="preserve">Adolescents and young adults, between the ages of 14- and 29-years-old, account for roughly one-fourth of China’s population and a large portion of city dwellers (State Statistical Bureau of the People’s Republic of China, 2009). The Zhejiang province, located at the heart of the Yangtze River Delta, is one of the fastest developing urban areas in China and is facing the challenge of establishing a healthcare system adequately equipped and staffed to address the healthcare needs of its expanding population. Considerations for such an endeavor include the particularly high rates of gastric diseases in China, such as gastric cancer and </w:t>
      </w:r>
      <w:r w:rsidRPr="00321926">
        <w:rPr>
          <w:rFonts w:ascii="Book Antiqua" w:hAnsi="Book Antiqua"/>
          <w:i/>
        </w:rPr>
        <w:t>H. pylori</w:t>
      </w:r>
      <w:r w:rsidRPr="00321926">
        <w:rPr>
          <w:rFonts w:ascii="Book Antiqua" w:hAnsi="Book Antiqua"/>
        </w:rPr>
        <w:t xml:space="preserve"> infection (although the reported correlation with dyspepsia was relatively weak)</w:t>
      </w:r>
      <w:r w:rsidRPr="00321926">
        <w:rPr>
          <w:rFonts w:ascii="Book Antiqua" w:hAnsi="Book Antiqua"/>
          <w:vertAlign w:val="superscript"/>
        </w:rPr>
        <w:t>[5]</w:t>
      </w:r>
      <w:r w:rsidRPr="00321926">
        <w:rPr>
          <w:rFonts w:ascii="Book Antiqua" w:hAnsi="Book Antiqua"/>
        </w:rPr>
        <w:t>; however, the epidemiological characteristics of dyspepsia among urban-dwelling populations of Chinese young adults remain largely unknown. The current study was designed as a self-report survey of college students in the Zhejiang province to determine the prevalence of UD and investigate its relation to various demographic and physical parameters as well as other common gastrointestinal disorders.</w:t>
      </w:r>
    </w:p>
    <w:p w:rsidR="00715FBD" w:rsidRPr="00321926" w:rsidRDefault="00715FBD" w:rsidP="00321926">
      <w:pPr>
        <w:spacing w:line="360" w:lineRule="auto"/>
        <w:jc w:val="both"/>
        <w:rPr>
          <w:rFonts w:ascii="Book Antiqua" w:hAnsi="Book Antiqua"/>
          <w:b/>
        </w:rPr>
      </w:pPr>
      <w:r w:rsidRPr="00321926">
        <w:rPr>
          <w:rFonts w:ascii="Book Antiqua" w:hAnsi="Book Antiqua"/>
        </w:rPr>
        <w:br/>
      </w:r>
      <w:r w:rsidRPr="00321926">
        <w:rPr>
          <w:rFonts w:ascii="Book Antiqua" w:hAnsi="Book Antiqua"/>
          <w:b/>
        </w:rPr>
        <w:t>MATERIALS AND METHODS</w:t>
      </w:r>
    </w:p>
    <w:p w:rsidR="00715FBD" w:rsidRPr="00321926" w:rsidRDefault="00715FBD" w:rsidP="00321926">
      <w:pPr>
        <w:spacing w:line="360" w:lineRule="auto"/>
        <w:jc w:val="both"/>
        <w:rPr>
          <w:rFonts w:ascii="Book Antiqua" w:hAnsi="Book Antiqua"/>
          <w:b/>
          <w:i/>
        </w:rPr>
      </w:pPr>
      <w:r w:rsidRPr="00321926">
        <w:rPr>
          <w:rFonts w:ascii="Book Antiqua" w:hAnsi="Book Antiqua"/>
          <w:b/>
          <w:i/>
        </w:rPr>
        <w:t>Study population</w:t>
      </w:r>
    </w:p>
    <w:p w:rsidR="00715FBD" w:rsidRPr="00321926" w:rsidRDefault="00715FBD" w:rsidP="00321926">
      <w:pPr>
        <w:spacing w:line="360" w:lineRule="auto"/>
        <w:jc w:val="both"/>
        <w:rPr>
          <w:rFonts w:ascii="Book Antiqua" w:hAnsi="Book Antiqua"/>
        </w:rPr>
      </w:pPr>
      <w:r w:rsidRPr="00321926">
        <w:rPr>
          <w:rFonts w:ascii="Book Antiqua" w:hAnsi="Book Antiqua"/>
        </w:rPr>
        <w:t xml:space="preserve">Study recruitment was conducted at two college campuses in the Zhejiang province between November 2010 and March 2011. Matriculated students in the undergraduate (within the 4-year program) and graduate (only first-year students) programs were offered study inclusion. A total of 2520 students (48% males; mean age: 22.6 ± 3.0 years) were interviewed and offered the survey </w:t>
      </w:r>
      <w:r w:rsidRPr="00321926">
        <w:rPr>
          <w:rFonts w:ascii="Book Antiqua" w:hAnsi="Book Antiqua"/>
        </w:rPr>
        <w:lastRenderedPageBreak/>
        <w:t xml:space="preserve">questionnaire for self-completion. Unreturned or incomplete questionnaires were excluded from the study. </w:t>
      </w:r>
    </w:p>
    <w:p w:rsidR="00715FBD" w:rsidRPr="00321926" w:rsidRDefault="00715FBD" w:rsidP="00321926">
      <w:pPr>
        <w:spacing w:line="360" w:lineRule="auto"/>
        <w:jc w:val="both"/>
        <w:rPr>
          <w:rFonts w:ascii="Book Antiqua" w:hAnsi="Book Antiqua"/>
        </w:rPr>
      </w:pPr>
    </w:p>
    <w:p w:rsidR="00715FBD" w:rsidRPr="00321926" w:rsidRDefault="00715FBD" w:rsidP="00321926">
      <w:pPr>
        <w:spacing w:line="360" w:lineRule="auto"/>
        <w:jc w:val="both"/>
        <w:rPr>
          <w:rFonts w:ascii="Book Antiqua" w:hAnsi="Book Antiqua"/>
        </w:rPr>
      </w:pPr>
      <w:r w:rsidRPr="00321926">
        <w:rPr>
          <w:rFonts w:ascii="Book Antiqua" w:hAnsi="Book Antiqua"/>
          <w:b/>
          <w:i/>
        </w:rPr>
        <w:t>Survey</w:t>
      </w:r>
      <w:r w:rsidRPr="00321926">
        <w:rPr>
          <w:rFonts w:ascii="Book Antiqua" w:hAnsi="Book Antiqua"/>
          <w:b/>
          <w:i/>
        </w:rPr>
        <w:br/>
      </w:r>
      <w:r w:rsidRPr="00321926">
        <w:rPr>
          <w:rFonts w:ascii="Book Antiqua" w:hAnsi="Book Antiqua"/>
        </w:rPr>
        <w:t>The questionnaire was designed to collect data of demographics (sex and age), general health (weight and height, to calculate body mass index (BMI)), and physical episodes related to gastrointestinal disorders. Data related to dyspepsia and irritable bowel syndrome (IBS) were chosen according to the ROME III criteria</w:t>
      </w:r>
      <w:r w:rsidRPr="00321926">
        <w:rPr>
          <w:rFonts w:ascii="Book Antiqua" w:hAnsi="Book Antiqua"/>
          <w:vertAlign w:val="superscript"/>
        </w:rPr>
        <w:t>[9]</w:t>
      </w:r>
      <w:r w:rsidRPr="00321926">
        <w:rPr>
          <w:rFonts w:ascii="Book Antiqua" w:hAnsi="Book Antiqua"/>
        </w:rPr>
        <w:t>. An individual was classified as having UD if they reported experiencing at least one of the following symptoms during the previous 3 months, with the first instance occurring at least 6 months earlier: (</w:t>
      </w:r>
      <w:r w:rsidRPr="00321926">
        <w:rPr>
          <w:rFonts w:ascii="Book Antiqua" w:eastAsia="宋体" w:hAnsi="Book Antiqua"/>
          <w:lang w:eastAsia="zh-CN"/>
        </w:rPr>
        <w:t>1</w:t>
      </w:r>
      <w:r w:rsidRPr="00321926">
        <w:rPr>
          <w:rFonts w:ascii="Book Antiqua" w:hAnsi="Book Antiqua"/>
        </w:rPr>
        <w:t>) bothersome postprandial fullness</w:t>
      </w:r>
      <w:r w:rsidRPr="00321926">
        <w:rPr>
          <w:rFonts w:ascii="Book Antiqua" w:eastAsia="宋体" w:hAnsi="Book Antiqua"/>
          <w:lang w:eastAsia="zh-CN"/>
        </w:rPr>
        <w:t>;</w:t>
      </w:r>
      <w:r w:rsidRPr="00321926">
        <w:rPr>
          <w:rFonts w:ascii="Book Antiqua" w:hAnsi="Book Antiqua"/>
        </w:rPr>
        <w:t xml:space="preserve"> (</w:t>
      </w:r>
      <w:r w:rsidRPr="00321926">
        <w:rPr>
          <w:rFonts w:ascii="Book Antiqua" w:eastAsia="宋体" w:hAnsi="Book Antiqua"/>
          <w:lang w:eastAsia="zh-CN"/>
        </w:rPr>
        <w:t>2</w:t>
      </w:r>
      <w:r w:rsidRPr="00321926">
        <w:rPr>
          <w:rFonts w:ascii="Book Antiqua" w:hAnsi="Book Antiqua"/>
        </w:rPr>
        <w:t>) early satiety</w:t>
      </w:r>
      <w:r w:rsidRPr="00321926">
        <w:rPr>
          <w:rFonts w:ascii="Book Antiqua" w:eastAsia="宋体" w:hAnsi="Book Antiqua"/>
          <w:lang w:eastAsia="zh-CN"/>
        </w:rPr>
        <w:t>;</w:t>
      </w:r>
      <w:r w:rsidRPr="00321926">
        <w:rPr>
          <w:rFonts w:ascii="Book Antiqua" w:hAnsi="Book Antiqua"/>
        </w:rPr>
        <w:t xml:space="preserve"> (</w:t>
      </w:r>
      <w:r w:rsidRPr="00321926">
        <w:rPr>
          <w:rFonts w:ascii="Book Antiqua" w:eastAsia="宋体" w:hAnsi="Book Antiqua"/>
          <w:lang w:eastAsia="zh-CN"/>
        </w:rPr>
        <w:t>3</w:t>
      </w:r>
      <w:r w:rsidRPr="00321926">
        <w:rPr>
          <w:rFonts w:ascii="Book Antiqua" w:hAnsi="Book Antiqua"/>
        </w:rPr>
        <w:t>) epigastric pain</w:t>
      </w:r>
      <w:r w:rsidRPr="00321926">
        <w:rPr>
          <w:rFonts w:ascii="Book Antiqua" w:eastAsia="宋体" w:hAnsi="Book Antiqua"/>
          <w:lang w:eastAsia="zh-CN"/>
        </w:rPr>
        <w:t>;</w:t>
      </w:r>
      <w:r w:rsidRPr="00321926">
        <w:rPr>
          <w:rFonts w:ascii="Book Antiqua" w:hAnsi="Book Antiqua"/>
        </w:rPr>
        <w:t xml:space="preserve"> or (</w:t>
      </w:r>
      <w:r w:rsidRPr="00321926">
        <w:rPr>
          <w:rFonts w:ascii="Book Antiqua" w:eastAsia="宋体" w:hAnsi="Book Antiqua"/>
          <w:lang w:eastAsia="zh-CN"/>
        </w:rPr>
        <w:t>4</w:t>
      </w:r>
      <w:r w:rsidRPr="00321926">
        <w:rPr>
          <w:rFonts w:ascii="Book Antiqua" w:hAnsi="Book Antiqua"/>
        </w:rPr>
        <w:t>) epigastric burning. Classification of IBS was made according to report of abdominal pain or discomfort persisting for at least 3 days at least once a month during the previous 3 months and accompanied by at least two of the following symptoms: (</w:t>
      </w:r>
      <w:r w:rsidRPr="00321926">
        <w:rPr>
          <w:rFonts w:ascii="Book Antiqua" w:eastAsia="宋体" w:hAnsi="Book Antiqua"/>
          <w:lang w:eastAsia="zh-CN"/>
        </w:rPr>
        <w:t>1</w:t>
      </w:r>
      <w:r w:rsidRPr="00321926">
        <w:rPr>
          <w:rFonts w:ascii="Book Antiqua" w:hAnsi="Book Antiqua"/>
        </w:rPr>
        <w:t>) relief of pain or discomfort attained after defecation</w:t>
      </w:r>
      <w:r w:rsidRPr="00321926">
        <w:rPr>
          <w:rFonts w:ascii="Book Antiqua" w:eastAsia="宋体" w:hAnsi="Book Antiqua"/>
          <w:lang w:eastAsia="zh-CN"/>
        </w:rPr>
        <w:t>;</w:t>
      </w:r>
      <w:r w:rsidRPr="00321926">
        <w:rPr>
          <w:rFonts w:ascii="Book Antiqua" w:hAnsi="Book Antiqua"/>
        </w:rPr>
        <w:t xml:space="preserve"> (</w:t>
      </w:r>
      <w:r w:rsidRPr="00321926">
        <w:rPr>
          <w:rFonts w:ascii="Book Antiqua" w:eastAsia="宋体" w:hAnsi="Book Antiqua"/>
          <w:lang w:eastAsia="zh-CN"/>
        </w:rPr>
        <w:t>2</w:t>
      </w:r>
      <w:r w:rsidRPr="00321926">
        <w:rPr>
          <w:rFonts w:ascii="Book Antiqua" w:hAnsi="Book Antiqua"/>
        </w:rPr>
        <w:t>) onset of pain or discomfort associated with a change in stool frequency</w:t>
      </w:r>
      <w:r w:rsidRPr="00321926">
        <w:rPr>
          <w:rFonts w:ascii="Book Antiqua" w:eastAsia="宋体" w:hAnsi="Book Antiqua"/>
          <w:lang w:eastAsia="zh-CN"/>
        </w:rPr>
        <w:t>;</w:t>
      </w:r>
      <w:r w:rsidRPr="00321926">
        <w:rPr>
          <w:rFonts w:ascii="Book Antiqua" w:hAnsi="Book Antiqua"/>
        </w:rPr>
        <w:t xml:space="preserve"> or (</w:t>
      </w:r>
      <w:r w:rsidRPr="00321926">
        <w:rPr>
          <w:rFonts w:ascii="Book Antiqua" w:eastAsia="宋体" w:hAnsi="Book Antiqua"/>
          <w:lang w:eastAsia="zh-CN"/>
        </w:rPr>
        <w:t>3</w:t>
      </w:r>
      <w:r w:rsidRPr="00321926">
        <w:rPr>
          <w:rFonts w:ascii="Book Antiqua" w:hAnsi="Book Antiqua"/>
        </w:rPr>
        <w:t>) onset of pain or discomfort associated with a change in stool appearance. Data related to gastroesophageal reflux disease (GERD) were chosen according to the Montreal definition for the diagnosis of GERD in population-based studies</w:t>
      </w:r>
      <w:r w:rsidRPr="00321926">
        <w:rPr>
          <w:rFonts w:ascii="Book Antiqua" w:hAnsi="Book Antiqua"/>
          <w:vertAlign w:val="superscript"/>
        </w:rPr>
        <w:t>[10]</w:t>
      </w:r>
      <w:r w:rsidRPr="00321926">
        <w:rPr>
          <w:rFonts w:ascii="Book Antiqua" w:hAnsi="Book Antiqua"/>
        </w:rPr>
        <w:t xml:space="preserve">. Individuals were classified as having GERD if they reported experiencing frequent (at least once weekly) episodes of heartburn or acid regurgitation. For each of the gastrointestinal disorders, the survey questions were translated from the original source into Chinese language by the authors. Any individual classified with two or more of the above disorders was categorized as “GI symptom complex overlap.” Individuals not meeting the criteria for any of the above disorders were categorized as “no functional GI disorder.” Finally, individuals were categorized as having postprandial distress syndrome if they reported bothersome </w:t>
      </w:r>
      <w:r w:rsidRPr="00321926">
        <w:rPr>
          <w:rFonts w:ascii="Book Antiqua" w:hAnsi="Book Antiqua"/>
        </w:rPr>
        <w:lastRenderedPageBreak/>
        <w:t>postprandial fullness experienced after an ordinary-sized meal and/or early satiety that prevented finishing the meal.</w:t>
      </w:r>
    </w:p>
    <w:p w:rsidR="00715FBD" w:rsidRPr="00321926" w:rsidRDefault="00715FBD" w:rsidP="00321926">
      <w:pPr>
        <w:spacing w:line="360" w:lineRule="auto"/>
        <w:jc w:val="both"/>
        <w:rPr>
          <w:rFonts w:ascii="Book Antiqua" w:hAnsi="Book Antiqua"/>
        </w:rPr>
      </w:pPr>
    </w:p>
    <w:p w:rsidR="00715FBD" w:rsidRPr="00321926" w:rsidRDefault="00715FBD" w:rsidP="00321926">
      <w:pPr>
        <w:spacing w:line="360" w:lineRule="auto"/>
        <w:jc w:val="both"/>
        <w:rPr>
          <w:rFonts w:ascii="Book Antiqua" w:hAnsi="Book Antiqua"/>
          <w:b/>
          <w:i/>
        </w:rPr>
      </w:pPr>
      <w:r w:rsidRPr="00321926">
        <w:rPr>
          <w:rFonts w:ascii="Book Antiqua" w:hAnsi="Book Antiqua"/>
          <w:b/>
          <w:i/>
        </w:rPr>
        <w:t>Statistical analysis</w:t>
      </w:r>
    </w:p>
    <w:p w:rsidR="00715FBD" w:rsidRPr="00321926" w:rsidRDefault="00715FBD" w:rsidP="00321926">
      <w:pPr>
        <w:spacing w:line="360" w:lineRule="auto"/>
        <w:jc w:val="both"/>
        <w:rPr>
          <w:rFonts w:ascii="Book Antiqua" w:hAnsi="Book Antiqua"/>
        </w:rPr>
      </w:pPr>
      <w:r w:rsidRPr="00321926">
        <w:rPr>
          <w:rFonts w:ascii="Book Antiqua" w:hAnsi="Book Antiqua"/>
        </w:rPr>
        <w:t xml:space="preserve">Data were expressed as frequency or mean with SD. Normally distributed data were analyzed by the </w:t>
      </w:r>
      <w:r w:rsidRPr="00321926">
        <w:rPr>
          <w:rFonts w:ascii="Book Antiqua" w:hAnsi="Book Antiqua"/>
          <w:i/>
        </w:rPr>
        <w:t>t-</w:t>
      </w:r>
      <w:r w:rsidRPr="00321926">
        <w:rPr>
          <w:rFonts w:ascii="Book Antiqua" w:hAnsi="Book Antiqua"/>
        </w:rPr>
        <w:t xml:space="preserve">test, and categorical data were analyzed by the </w:t>
      </w:r>
      <w:r w:rsidRPr="00321926">
        <w:rPr>
          <w:rFonts w:ascii="Book Antiqua" w:hAnsi="Book Antiqua"/>
        </w:rPr>
        <w:sym w:font="Symbol" w:char="F063"/>
      </w:r>
      <w:r w:rsidRPr="00321926">
        <w:rPr>
          <w:rFonts w:ascii="Book Antiqua" w:hAnsi="Book Antiqua"/>
          <w:vertAlign w:val="superscript"/>
        </w:rPr>
        <w:t>2</w:t>
      </w:r>
      <w:r w:rsidRPr="00321926">
        <w:rPr>
          <w:rFonts w:ascii="Book Antiqua" w:hAnsi="Book Antiqua"/>
        </w:rPr>
        <w:t xml:space="preserve"> test. A </w:t>
      </w:r>
      <w:r w:rsidRPr="00321926">
        <w:rPr>
          <w:rFonts w:ascii="Book Antiqua" w:hAnsi="Book Antiqua"/>
          <w:i/>
        </w:rPr>
        <w:t>P</w:t>
      </w:r>
      <w:r w:rsidRPr="00321926">
        <w:rPr>
          <w:rFonts w:ascii="Book Antiqua" w:hAnsi="Book Antiqua"/>
        </w:rPr>
        <w:t>-value of &lt;</w:t>
      </w:r>
      <w:r w:rsidRPr="00321926">
        <w:rPr>
          <w:rFonts w:ascii="Book Antiqua" w:eastAsia="宋体" w:hAnsi="Book Antiqua"/>
          <w:lang w:eastAsia="zh-CN"/>
        </w:rPr>
        <w:t xml:space="preserve"> </w:t>
      </w:r>
      <w:r w:rsidRPr="00321926">
        <w:rPr>
          <w:rFonts w:ascii="Book Antiqua" w:hAnsi="Book Antiqua"/>
        </w:rPr>
        <w:t xml:space="preserve">0.05 was considered to indicate statistical significance. All statistical analyses were carried out with the Statistical Package for Social Sciences v15 (SPSS Inc., Chicago, IL, </w:t>
      </w:r>
      <w:bookmarkStart w:id="8" w:name="OLE_LINK144"/>
      <w:bookmarkStart w:id="9" w:name="OLE_LINK145"/>
      <w:bookmarkStart w:id="10" w:name="OLE_LINK31"/>
      <w:r w:rsidRPr="00321926">
        <w:rPr>
          <w:rFonts w:ascii="Book Antiqua" w:hAnsi="Book Antiqua" w:cs="Garamond"/>
        </w:rPr>
        <w:t>United States</w:t>
      </w:r>
      <w:bookmarkEnd w:id="8"/>
      <w:bookmarkEnd w:id="9"/>
      <w:bookmarkEnd w:id="10"/>
      <w:r w:rsidRPr="00321926">
        <w:rPr>
          <w:rFonts w:ascii="Book Antiqua" w:hAnsi="Book Antiqua"/>
        </w:rPr>
        <w:t>).</w:t>
      </w:r>
    </w:p>
    <w:p w:rsidR="00715FBD" w:rsidRPr="00321926" w:rsidRDefault="00715FBD" w:rsidP="00321926">
      <w:pPr>
        <w:spacing w:line="360" w:lineRule="auto"/>
        <w:jc w:val="both"/>
        <w:rPr>
          <w:rFonts w:ascii="Book Antiqua" w:hAnsi="Book Antiqua"/>
        </w:rPr>
      </w:pPr>
      <w:r w:rsidRPr="00321926">
        <w:rPr>
          <w:rFonts w:ascii="Book Antiqua" w:hAnsi="Book Antiqua"/>
        </w:rPr>
        <w:t xml:space="preserve">  </w:t>
      </w:r>
      <w:r w:rsidRPr="00321926">
        <w:rPr>
          <w:rFonts w:ascii="Book Antiqua" w:hAnsi="Book Antiqua"/>
        </w:rPr>
        <w:br/>
      </w:r>
      <w:r w:rsidRPr="00321926">
        <w:rPr>
          <w:rFonts w:ascii="Book Antiqua" w:hAnsi="Book Antiqua"/>
          <w:b/>
        </w:rPr>
        <w:t>RESULTS</w:t>
      </w:r>
      <w:r w:rsidRPr="00321926">
        <w:rPr>
          <w:rFonts w:ascii="Book Antiqua" w:hAnsi="Book Antiqua"/>
          <w:b/>
        </w:rPr>
        <w:br/>
      </w:r>
      <w:r w:rsidRPr="00321926">
        <w:rPr>
          <w:rFonts w:ascii="Book Antiqua" w:hAnsi="Book Antiqua"/>
        </w:rPr>
        <w:t>Of the 2520 students recruited to the study, 315 declined participation and 335 failed to return or returned an incomplete questionnaire. Therefore, the study population consisted of 1870 students in total; the demographic data are summarized in Table 1. The male to female ratio was nearly 1:1. The mean age was 21.3 ± 2.6 years, and the average BMI was 22.28 ± 4.27. Only 5.67% of the total students met the criteria for UD diagnosis. The UD group had a statistically significant predominance of females (</w:t>
      </w:r>
      <w:r w:rsidRPr="00321926">
        <w:rPr>
          <w:rFonts w:ascii="Book Antiqua" w:hAnsi="Book Antiqua"/>
          <w:i/>
        </w:rPr>
        <w:t>P &lt;</w:t>
      </w:r>
      <w:r w:rsidRPr="00321926">
        <w:rPr>
          <w:rFonts w:ascii="Book Antiqua" w:hAnsi="Book Antiqua"/>
        </w:rPr>
        <w:t xml:space="preserve"> 0.05) and students in the final year of the 4-year undergraduate program (</w:t>
      </w:r>
      <w:r w:rsidRPr="00321926">
        <w:rPr>
          <w:rFonts w:ascii="Book Antiqua" w:hAnsi="Book Antiqua"/>
          <w:i/>
        </w:rPr>
        <w:t>vs</w:t>
      </w:r>
      <w:r w:rsidRPr="00321926">
        <w:rPr>
          <w:rFonts w:ascii="Book Antiqua" w:hAnsi="Book Antiqua"/>
        </w:rPr>
        <w:t xml:space="preserve"> undergraduate year-1, -2 and -3, and graduate year-1, all </w:t>
      </w:r>
      <w:r w:rsidRPr="00321926">
        <w:rPr>
          <w:rFonts w:ascii="Book Antiqua" w:hAnsi="Book Antiqua"/>
          <w:i/>
        </w:rPr>
        <w:t>P &lt;</w:t>
      </w:r>
      <w:r w:rsidRPr="00321926">
        <w:rPr>
          <w:rFonts w:ascii="Book Antiqua" w:hAnsi="Book Antiqua"/>
        </w:rPr>
        <w:t xml:space="preserve"> 0.05). The mean age and BMI of the UD group were statistically similar to those of the non-UD group. </w:t>
      </w:r>
    </w:p>
    <w:p w:rsidR="00715FBD" w:rsidRPr="00321926" w:rsidRDefault="00715FBD" w:rsidP="00321926">
      <w:pPr>
        <w:spacing w:line="360" w:lineRule="auto"/>
        <w:ind w:firstLine="720"/>
        <w:jc w:val="both"/>
        <w:rPr>
          <w:rFonts w:ascii="Book Antiqua" w:hAnsi="Book Antiqua"/>
        </w:rPr>
      </w:pPr>
      <w:r w:rsidRPr="00321926">
        <w:rPr>
          <w:rFonts w:ascii="Book Antiqua" w:hAnsi="Book Antiqua"/>
        </w:rPr>
        <w:t xml:space="preserve">Among the total study population, there were 17 (0.9%) and 129 (6.9%) students who met the criteria for GERD and IBS diagnoses, respectively. Nearly all (95.4%) of the students in the UD group had postprandial distress syndrome. The least frequently reported dyspepsia-related symptoms were intermittent pain or burning localized to the epigastric area (indicated by 4.6% of the UD group). Twenty-nine of the students had GI symptom complex overlap, with UD + IBS in 18 students (1.0%) and UD + GERD in 12 (0.6%) (Figure 1). The rates of both IBS and GERD were significantly higher in the UD group (IBS: 16.7% and </w:t>
      </w:r>
      <w:r w:rsidRPr="00321926">
        <w:rPr>
          <w:rFonts w:ascii="Book Antiqua" w:hAnsi="Book Antiqua"/>
        </w:rPr>
        <w:lastRenderedPageBreak/>
        <w:t xml:space="preserve">GERD: 11.1%) than in the non-UD group (IBS: </w:t>
      </w:r>
      <w:r w:rsidRPr="00321926">
        <w:rPr>
          <w:rFonts w:ascii="Book Antiqua" w:hAnsi="Book Antiqua"/>
          <w:i/>
        </w:rPr>
        <w:t>vs</w:t>
      </w:r>
      <w:r w:rsidRPr="00321926">
        <w:rPr>
          <w:rFonts w:ascii="Book Antiqua" w:hAnsi="Book Antiqua"/>
        </w:rPr>
        <w:t xml:space="preserve"> 6.3% and GERD: </w:t>
      </w:r>
      <w:r w:rsidRPr="00321926">
        <w:rPr>
          <w:rFonts w:ascii="Book Antiqua" w:hAnsi="Book Antiqua"/>
          <w:i/>
        </w:rPr>
        <w:t>vs</w:t>
      </w:r>
      <w:r w:rsidRPr="00321926">
        <w:rPr>
          <w:rFonts w:ascii="Book Antiqua" w:hAnsi="Book Antiqua"/>
        </w:rPr>
        <w:t xml:space="preserve"> 0.3%, both </w:t>
      </w:r>
      <w:r w:rsidRPr="00321926">
        <w:rPr>
          <w:rFonts w:ascii="Book Antiqua" w:hAnsi="Book Antiqua"/>
          <w:i/>
        </w:rPr>
        <w:t>P &lt;</w:t>
      </w:r>
      <w:r w:rsidRPr="00321926">
        <w:rPr>
          <w:rFonts w:ascii="Book Antiqua" w:hAnsi="Book Antiqua"/>
        </w:rPr>
        <w:t xml:space="preserve"> 0.05). Conversely, the rate of UD was significantly lower in non-IBS students (6.4% </w:t>
      </w:r>
      <w:r w:rsidRPr="00321926">
        <w:rPr>
          <w:rFonts w:ascii="Book Antiqua" w:hAnsi="Book Antiqua"/>
          <w:i/>
        </w:rPr>
        <w:t>vs</w:t>
      </w:r>
      <w:r w:rsidRPr="00321926">
        <w:rPr>
          <w:rFonts w:ascii="Book Antiqua" w:hAnsi="Book Antiqua"/>
        </w:rPr>
        <w:t xml:space="preserve"> IBS: 14.0</w:t>
      </w:r>
      <w:r w:rsidRPr="00321926">
        <w:rPr>
          <w:rFonts w:ascii="Book Antiqua" w:hAnsi="Book Antiqua"/>
          <w:i/>
        </w:rPr>
        <w:t>%, P &lt;</w:t>
      </w:r>
      <w:r w:rsidRPr="00321926">
        <w:rPr>
          <w:rFonts w:ascii="Book Antiqua" w:hAnsi="Book Antiqua"/>
        </w:rPr>
        <w:t xml:space="preserve"> 0.05) and non-GERD students (0.3% </w:t>
      </w:r>
      <w:r w:rsidRPr="00321926">
        <w:rPr>
          <w:rFonts w:ascii="Book Antiqua" w:hAnsi="Book Antiqua"/>
          <w:i/>
        </w:rPr>
        <w:t>vs</w:t>
      </w:r>
      <w:r w:rsidRPr="00321926">
        <w:rPr>
          <w:rFonts w:ascii="Book Antiqua" w:hAnsi="Book Antiqua"/>
        </w:rPr>
        <w:t xml:space="preserve"> GERD: 70.6%, </w:t>
      </w:r>
      <w:r w:rsidRPr="00321926">
        <w:rPr>
          <w:rFonts w:ascii="Book Antiqua" w:hAnsi="Book Antiqua"/>
          <w:i/>
        </w:rPr>
        <w:t>P &lt;</w:t>
      </w:r>
      <w:r w:rsidRPr="00321926">
        <w:rPr>
          <w:rFonts w:ascii="Book Antiqua" w:hAnsi="Book Antiqua"/>
        </w:rPr>
        <w:t xml:space="preserve"> 0.05).</w:t>
      </w:r>
    </w:p>
    <w:p w:rsidR="00715FBD" w:rsidRPr="00321926" w:rsidRDefault="00715FBD" w:rsidP="00321926">
      <w:pPr>
        <w:spacing w:line="360" w:lineRule="auto"/>
        <w:jc w:val="both"/>
        <w:rPr>
          <w:rFonts w:ascii="Book Antiqua" w:eastAsia="宋体" w:hAnsi="Book Antiqua"/>
          <w:b/>
          <w:lang w:eastAsia="zh-CN"/>
        </w:rPr>
      </w:pPr>
    </w:p>
    <w:p w:rsidR="00715FBD" w:rsidRPr="00321926" w:rsidRDefault="00715FBD" w:rsidP="00321926">
      <w:pPr>
        <w:spacing w:line="360" w:lineRule="auto"/>
        <w:jc w:val="both"/>
        <w:rPr>
          <w:rFonts w:ascii="Book Antiqua" w:hAnsi="Book Antiqua"/>
        </w:rPr>
      </w:pPr>
      <w:r w:rsidRPr="00321926">
        <w:rPr>
          <w:rFonts w:ascii="Book Antiqua" w:hAnsi="Book Antiqua"/>
          <w:b/>
        </w:rPr>
        <w:t>DISCUSSION</w:t>
      </w:r>
      <w:r w:rsidRPr="00321926">
        <w:rPr>
          <w:rFonts w:ascii="Book Antiqua" w:hAnsi="Book Antiqua"/>
          <w:b/>
        </w:rPr>
        <w:br/>
      </w:r>
      <w:r w:rsidRPr="00321926">
        <w:rPr>
          <w:rFonts w:ascii="Book Antiqua" w:hAnsi="Book Antiqua"/>
        </w:rPr>
        <w:t>Studies of UD prevalence in Asian populations have yielded varied results. Using the Rome I criteria, a study from Hong Kong found a rate of 18.4%</w:t>
      </w:r>
      <w:r w:rsidRPr="00321926">
        <w:rPr>
          <w:rFonts w:ascii="Book Antiqua" w:hAnsi="Book Antiqua"/>
          <w:vertAlign w:val="superscript"/>
        </w:rPr>
        <w:t>[11]</w:t>
      </w:r>
      <w:r w:rsidRPr="00321926">
        <w:rPr>
          <w:rFonts w:ascii="Book Antiqua" w:hAnsi="Book Antiqua"/>
        </w:rPr>
        <w:t>, while a cross-sectional community study from Singapore that defined UD by the presence of upper abdominal pain found a rate of 7.9%</w:t>
      </w:r>
      <w:r w:rsidRPr="00321926">
        <w:rPr>
          <w:rFonts w:ascii="Book Antiqua" w:hAnsi="Book Antiqua"/>
          <w:vertAlign w:val="superscript"/>
        </w:rPr>
        <w:t>[12]</w:t>
      </w:r>
      <w:r w:rsidRPr="00321926">
        <w:rPr>
          <w:rFonts w:ascii="Book Antiqua" w:hAnsi="Book Antiqua"/>
        </w:rPr>
        <w:t>; however, studies from Korea and Malaysia that both used the Rome II criteria found similar rates of UD (approximately 14%)</w:t>
      </w:r>
      <w:r w:rsidRPr="00321926">
        <w:rPr>
          <w:rFonts w:ascii="Book Antiqua" w:hAnsi="Book Antiqua"/>
          <w:vertAlign w:val="superscript"/>
        </w:rPr>
        <w:t>[13, 14]</w:t>
      </w:r>
      <w:r w:rsidRPr="00321926">
        <w:rPr>
          <w:rFonts w:ascii="Book Antiqua" w:hAnsi="Book Antiqua"/>
        </w:rPr>
        <w:t>. The limited numbers of these studies, though, precludes the ability to definitively conclude if the true rates of UD are associated with national/ethnic differences or the different criteria used to diagnose the condition. Nonetheless, these studies have provided insights into possible etiologic factors of UD in Asians, including age (predominance in older (&gt;</w:t>
      </w:r>
      <w:r w:rsidRPr="00321926">
        <w:rPr>
          <w:rFonts w:ascii="Book Antiqua" w:eastAsia="宋体" w:hAnsi="Book Antiqua"/>
          <w:lang w:eastAsia="zh-CN"/>
        </w:rPr>
        <w:t xml:space="preserve"> </w:t>
      </w:r>
      <w:r w:rsidRPr="00321926">
        <w:rPr>
          <w:rFonts w:ascii="Book Antiqua" w:hAnsi="Book Antiqua"/>
        </w:rPr>
        <w:t>40 years) subjects)</w:t>
      </w:r>
      <w:r w:rsidRPr="00321926">
        <w:rPr>
          <w:rFonts w:ascii="Book Antiqua" w:hAnsi="Book Antiqua"/>
          <w:vertAlign w:val="superscript"/>
        </w:rPr>
        <w:t>[15]</w:t>
      </w:r>
      <w:r w:rsidRPr="00321926">
        <w:rPr>
          <w:rFonts w:ascii="Book Antiqua" w:hAnsi="Book Antiqua"/>
        </w:rPr>
        <w:t>. In addition, several Asian studies have evaluated the rate of UD among college students, who represent a unique stress-heavy lifestyle model consisting of long hours of focused physical and cognitive activity under significant social-competitive pressure. As with the studies conducted in the general population, the rates of UD among college students have varied widely by country and study design. A study of college students in Japan found a UD rate of 6.7% using the Rome II criteria</w:t>
      </w:r>
      <w:r w:rsidRPr="00321926">
        <w:rPr>
          <w:rFonts w:ascii="Book Antiqua" w:hAnsi="Book Antiqua"/>
          <w:vertAlign w:val="superscript"/>
        </w:rPr>
        <w:t>[16]</w:t>
      </w:r>
      <w:r w:rsidRPr="00321926">
        <w:rPr>
          <w:rFonts w:ascii="Book Antiqua" w:hAnsi="Book Antiqua"/>
        </w:rPr>
        <w:t xml:space="preserve">, while the frequency of dyspepsia found in students from Beijing </w:t>
      </w:r>
      <w:r w:rsidRPr="00321926">
        <w:rPr>
          <w:rFonts w:ascii="Book Antiqua" w:eastAsia="宋体" w:hAnsi="Book Antiqua"/>
          <w:lang w:eastAsia="zh-CN"/>
        </w:rPr>
        <w:t>using Rome III</w:t>
      </w:r>
      <w:r w:rsidRPr="00321926">
        <w:rPr>
          <w:rFonts w:ascii="Book Antiqua" w:hAnsi="Book Antiqua"/>
        </w:rPr>
        <w:t xml:space="preserve"> and Anhui using </w:t>
      </w:r>
      <w:r w:rsidRPr="00321926">
        <w:rPr>
          <w:rFonts w:ascii="Book Antiqua" w:eastAsia="宋体" w:hAnsi="Book Antiqua"/>
          <w:lang w:eastAsia="zh-CN"/>
        </w:rPr>
        <w:t xml:space="preserve">Rome  II </w:t>
      </w:r>
      <w:r w:rsidRPr="00321926">
        <w:rPr>
          <w:rFonts w:ascii="Book Antiqua" w:hAnsi="Book Antiqua"/>
        </w:rPr>
        <w:t>was 1.6% and 8.3%, respectively</w:t>
      </w:r>
      <w:r w:rsidRPr="00321926">
        <w:rPr>
          <w:rFonts w:ascii="Book Antiqua" w:hAnsi="Book Antiqua"/>
          <w:vertAlign w:val="superscript"/>
        </w:rPr>
        <w:t>[17, 18]</w:t>
      </w:r>
      <w:r w:rsidRPr="00321926">
        <w:rPr>
          <w:rFonts w:ascii="Book Antiqua" w:hAnsi="Book Antiqua"/>
        </w:rPr>
        <w:t>.</w:t>
      </w:r>
    </w:p>
    <w:p w:rsidR="00715FBD" w:rsidRPr="00321926" w:rsidRDefault="00715FBD" w:rsidP="00321926">
      <w:pPr>
        <w:spacing w:line="360" w:lineRule="auto"/>
        <w:ind w:firstLine="720"/>
        <w:jc w:val="both"/>
        <w:rPr>
          <w:rFonts w:ascii="Book Antiqua" w:hAnsi="Book Antiqua"/>
        </w:rPr>
      </w:pPr>
      <w:r w:rsidRPr="00321926">
        <w:rPr>
          <w:rFonts w:ascii="Book Antiqua" w:hAnsi="Book Antiqua"/>
        </w:rPr>
        <w:t>The general clinical observation of gastrointestinal symptoms increasing with age has been confirmed by population-based studies</w:t>
      </w:r>
      <w:r w:rsidRPr="00321926">
        <w:rPr>
          <w:rFonts w:ascii="Book Antiqua" w:hAnsi="Book Antiqua"/>
          <w:vertAlign w:val="superscript"/>
        </w:rPr>
        <w:t>[19,20]</w:t>
      </w:r>
      <w:r w:rsidRPr="00321926">
        <w:rPr>
          <w:rFonts w:ascii="Book Antiqua" w:hAnsi="Book Antiqua"/>
        </w:rPr>
        <w:t xml:space="preserve"> and associated with diminished sensory responses of the gut tissues</w:t>
      </w:r>
      <w:r w:rsidRPr="00321926">
        <w:rPr>
          <w:rFonts w:ascii="Book Antiqua" w:hAnsi="Book Antiqua"/>
          <w:vertAlign w:val="superscript"/>
        </w:rPr>
        <w:t>[21]</w:t>
      </w:r>
      <w:r w:rsidRPr="00321926">
        <w:rPr>
          <w:rFonts w:ascii="Book Antiqua" w:hAnsi="Book Antiqua"/>
        </w:rPr>
        <w:t xml:space="preserve">. In addition, socioeconomic factors, such as gross domestic product (GDP), have been shown </w:t>
      </w:r>
      <w:r w:rsidRPr="00321926">
        <w:rPr>
          <w:rFonts w:ascii="Book Antiqua" w:hAnsi="Book Antiqua"/>
        </w:rPr>
        <w:lastRenderedPageBreak/>
        <w:t>to be inversely associated with dyspepsia</w:t>
      </w:r>
      <w:r w:rsidRPr="00321926">
        <w:rPr>
          <w:rFonts w:ascii="Book Antiqua" w:hAnsi="Book Antiqua"/>
          <w:vertAlign w:val="superscript"/>
        </w:rPr>
        <w:t>[22]</w:t>
      </w:r>
      <w:r w:rsidRPr="00321926">
        <w:rPr>
          <w:rFonts w:ascii="Book Antiqua" w:hAnsi="Book Antiqua"/>
        </w:rPr>
        <w:t>. The college students assessed in the current survey resided in an economically developed region; the relatively younger age, higher GDP, and features of the modern urban lifestyle (including high levels of internet connectivity) that characterize college life in Zhejiang Province may contribute to the relatively low rate of dyspepsia detected in our survey (5.8%). In addition, regular smoking was identified as a risk factor of dyspepsia in North Americans (</w:t>
      </w:r>
      <w:r w:rsidRPr="00321926">
        <w:rPr>
          <w:rFonts w:ascii="Book Antiqua" w:hAnsi="Book Antiqua"/>
          <w:i/>
        </w:rPr>
        <w:t>i.e</w:t>
      </w:r>
      <w:r w:rsidRPr="00321926">
        <w:rPr>
          <w:rFonts w:ascii="Book Antiqua" w:hAnsi="Book Antiqua"/>
        </w:rPr>
        <w:t>.</w:t>
      </w:r>
      <w:r w:rsidRPr="00321926">
        <w:rPr>
          <w:rFonts w:ascii="Book Antiqua" w:eastAsia="宋体" w:hAnsi="Book Antiqua"/>
          <w:lang w:eastAsia="zh-CN"/>
        </w:rPr>
        <w:t>,</w:t>
      </w:r>
      <w:r w:rsidRPr="00321926">
        <w:rPr>
          <w:rFonts w:ascii="Book Antiqua" w:hAnsi="Book Antiqua"/>
        </w:rPr>
        <w:t xml:space="preserve"> United States and Canada)</w:t>
      </w:r>
      <w:r w:rsidRPr="00321926">
        <w:rPr>
          <w:rFonts w:ascii="Book Antiqua" w:hAnsi="Book Antiqua"/>
          <w:vertAlign w:val="superscript"/>
        </w:rPr>
        <w:t>[23,24]</w:t>
      </w:r>
      <w:r w:rsidRPr="00321926">
        <w:rPr>
          <w:rFonts w:ascii="Book Antiqua" w:hAnsi="Book Antiqua"/>
        </w:rPr>
        <w:t>, and regular alcohol intake as a risk factor of UD in Asia-Pacific populations</w:t>
      </w:r>
      <w:r w:rsidRPr="00321926">
        <w:rPr>
          <w:rFonts w:ascii="Book Antiqua" w:hAnsi="Book Antiqua"/>
          <w:vertAlign w:val="superscript"/>
        </w:rPr>
        <w:t>[15,25]</w:t>
      </w:r>
      <w:r w:rsidRPr="00321926">
        <w:rPr>
          <w:rFonts w:ascii="Book Antiqua" w:hAnsi="Book Antiqua"/>
        </w:rPr>
        <w:t>. It is possible that the college students surveyed in the current study may have a generally healthier lifestyle, with lower rates of smoking and alcohol consumption than the general population. Another potential explanation for the lower rate detected in the current study, compared to other studies, may be the ROME III diagnostic criteria applied to UD diagnosis</w:t>
      </w:r>
      <w:r w:rsidRPr="00321926">
        <w:rPr>
          <w:rFonts w:ascii="Book Antiqua" w:hAnsi="Book Antiqua"/>
          <w:vertAlign w:val="superscript"/>
        </w:rPr>
        <w:t>[26]</w:t>
      </w:r>
      <w:r w:rsidRPr="00321926">
        <w:rPr>
          <w:rFonts w:ascii="Book Antiqua" w:hAnsi="Book Antiqua"/>
        </w:rPr>
        <w:t>.</w:t>
      </w:r>
    </w:p>
    <w:p w:rsidR="00715FBD" w:rsidRPr="00321926" w:rsidRDefault="00715FBD" w:rsidP="00321926">
      <w:pPr>
        <w:spacing w:line="360" w:lineRule="auto"/>
        <w:ind w:firstLine="720"/>
        <w:jc w:val="both"/>
        <w:rPr>
          <w:rFonts w:ascii="Book Antiqua" w:hAnsi="Book Antiqua"/>
        </w:rPr>
      </w:pPr>
      <w:r w:rsidRPr="00321926">
        <w:rPr>
          <w:rFonts w:ascii="Book Antiqua" w:hAnsi="Book Antiqua"/>
        </w:rPr>
        <w:t>The college students in the current study also showed a predominance of UD in females. In general, functional gastrointestinal disorders have a higher prevalence in women</w:t>
      </w:r>
      <w:r w:rsidRPr="00321926">
        <w:rPr>
          <w:rFonts w:ascii="Book Antiqua" w:hAnsi="Book Antiqua"/>
          <w:vertAlign w:val="superscript"/>
        </w:rPr>
        <w:t>[</w:t>
      </w:r>
      <w:r w:rsidRPr="00321926">
        <w:rPr>
          <w:rFonts w:ascii="Book Antiqua" w:eastAsia="宋体" w:hAnsi="Book Antiqua"/>
          <w:vertAlign w:val="superscript"/>
          <w:lang w:eastAsia="zh-CN"/>
        </w:rPr>
        <w:t>27</w:t>
      </w:r>
      <w:r w:rsidRPr="00321926">
        <w:rPr>
          <w:rFonts w:ascii="Book Antiqua" w:hAnsi="Book Antiqua"/>
          <w:vertAlign w:val="superscript"/>
        </w:rPr>
        <w:t>]</w:t>
      </w:r>
      <w:r w:rsidRPr="00321926">
        <w:rPr>
          <w:rFonts w:ascii="Book Antiqua" w:hAnsi="Book Antiqua"/>
        </w:rPr>
        <w:t>, possibly because women are more likely to present for diagnosis and undertake clinical management of such functional disorders, as was shown by a study of IBS and globus hystericus</w:t>
      </w:r>
      <w:r w:rsidRPr="00321926">
        <w:rPr>
          <w:rFonts w:ascii="Book Antiqua" w:hAnsi="Book Antiqua"/>
          <w:vertAlign w:val="superscript"/>
        </w:rPr>
        <w:t>[2</w:t>
      </w:r>
      <w:r w:rsidRPr="00321926">
        <w:rPr>
          <w:rFonts w:ascii="Book Antiqua" w:eastAsia="宋体" w:hAnsi="Book Antiqua"/>
          <w:vertAlign w:val="superscript"/>
          <w:lang w:eastAsia="zh-CN"/>
        </w:rPr>
        <w:t>8</w:t>
      </w:r>
      <w:r w:rsidRPr="00321926">
        <w:rPr>
          <w:rFonts w:ascii="Book Antiqua" w:hAnsi="Book Antiqua"/>
          <w:vertAlign w:val="superscript"/>
        </w:rPr>
        <w:t>]</w:t>
      </w:r>
      <w:r w:rsidRPr="00321926">
        <w:rPr>
          <w:rFonts w:ascii="Book Antiqua" w:hAnsi="Book Antiqua"/>
        </w:rPr>
        <w:t>; however, that same study showed no difference in the prevalence of FD between men and women</w:t>
      </w:r>
      <w:r w:rsidRPr="00321926">
        <w:rPr>
          <w:rFonts w:ascii="Book Antiqua" w:hAnsi="Book Antiqua"/>
          <w:vertAlign w:val="superscript"/>
        </w:rPr>
        <w:t>[2</w:t>
      </w:r>
      <w:r w:rsidRPr="00321926">
        <w:rPr>
          <w:rFonts w:ascii="Book Antiqua" w:eastAsia="宋体" w:hAnsi="Book Antiqua"/>
          <w:vertAlign w:val="superscript"/>
          <w:lang w:eastAsia="zh-CN"/>
        </w:rPr>
        <w:t>8</w:t>
      </w:r>
      <w:r w:rsidRPr="00321926">
        <w:rPr>
          <w:rFonts w:ascii="Book Antiqua" w:hAnsi="Book Antiqua"/>
          <w:vertAlign w:val="superscript"/>
        </w:rPr>
        <w:t>]</w:t>
      </w:r>
      <w:r w:rsidRPr="00321926">
        <w:rPr>
          <w:rFonts w:ascii="Book Antiqua" w:hAnsi="Book Antiqua"/>
        </w:rPr>
        <w:t>. Studies of individual dyspeptic symptoms have demonstrated sex-related differences in prevalence, as well as in gastric emptying and visceral sensitivity</w:t>
      </w:r>
      <w:r w:rsidRPr="00321926">
        <w:rPr>
          <w:rFonts w:ascii="Book Antiqua" w:hAnsi="Book Antiqua"/>
          <w:vertAlign w:val="superscript"/>
        </w:rPr>
        <w:t>[1,2</w:t>
      </w:r>
      <w:r w:rsidRPr="00321926">
        <w:rPr>
          <w:rFonts w:ascii="Book Antiqua" w:eastAsia="宋体" w:hAnsi="Book Antiqua"/>
          <w:vertAlign w:val="superscript"/>
          <w:lang w:eastAsia="zh-CN"/>
        </w:rPr>
        <w:t>9</w:t>
      </w:r>
      <w:r w:rsidRPr="00321926">
        <w:rPr>
          <w:rFonts w:ascii="Book Antiqua" w:hAnsi="Book Antiqua"/>
          <w:vertAlign w:val="superscript"/>
        </w:rPr>
        <w:t>]</w:t>
      </w:r>
      <w:r w:rsidRPr="00321926">
        <w:rPr>
          <w:rFonts w:ascii="Book Antiqua" w:hAnsi="Book Antiqua"/>
        </w:rPr>
        <w:t>. The female-predominant prevalence of UD observed in the current survey may be related to sex-related symptom profiles that were not evaluated in our study. Another key finding of the current study was the significantly higher levels of dyspeptic symptoms in senior level undergraduates (in year-4 of the program); it is possible that this result was related to an increased stressful environment, as these students are facing a rapidly approaching significant lifestyle change (from college matriculation to employment).</w:t>
      </w:r>
    </w:p>
    <w:p w:rsidR="00715FBD" w:rsidRPr="00321926" w:rsidRDefault="00715FBD" w:rsidP="00321926">
      <w:pPr>
        <w:spacing w:line="360" w:lineRule="auto"/>
        <w:ind w:firstLine="720"/>
        <w:jc w:val="both"/>
        <w:rPr>
          <w:rFonts w:ascii="Book Antiqua" w:hAnsi="Book Antiqua"/>
        </w:rPr>
      </w:pPr>
      <w:r w:rsidRPr="00321926">
        <w:rPr>
          <w:rFonts w:ascii="Book Antiqua" w:hAnsi="Book Antiqua"/>
        </w:rPr>
        <w:lastRenderedPageBreak/>
        <w:t>Dyspepsia, GERD, and IBS are common gastrointestinal conditions both in China and worldwide. The different prevalence rates of these three disorders observed in the current population of college students may also reflect the different strengths of associations with stress-related factors. For example, a study of the relation between psychological disorders and IBS, FD and non-erosive reflux disorder showed that anxiety was significantly more common in patients with IBS</w:t>
      </w:r>
      <w:r w:rsidRPr="00321926">
        <w:rPr>
          <w:rFonts w:ascii="Book Antiqua" w:hAnsi="Book Antiqua"/>
          <w:vertAlign w:val="superscript"/>
        </w:rPr>
        <w:t>[</w:t>
      </w:r>
      <w:r w:rsidRPr="00321926">
        <w:rPr>
          <w:rFonts w:ascii="Book Antiqua" w:eastAsia="宋体" w:hAnsi="Book Antiqua"/>
          <w:vertAlign w:val="superscript"/>
          <w:lang w:eastAsia="zh-CN"/>
        </w:rPr>
        <w:t>30</w:t>
      </w:r>
      <w:r w:rsidRPr="00321926">
        <w:rPr>
          <w:rFonts w:ascii="Book Antiqua" w:hAnsi="Book Antiqua"/>
          <w:vertAlign w:val="superscript"/>
        </w:rPr>
        <w:t>]</w:t>
      </w:r>
      <w:r w:rsidRPr="00321926">
        <w:rPr>
          <w:rFonts w:ascii="Book Antiqua" w:hAnsi="Book Antiqua"/>
        </w:rPr>
        <w:t>.College students are at higher risk of psychological disorders, such as anxiety</w:t>
      </w:r>
      <w:r w:rsidRPr="00321926">
        <w:rPr>
          <w:rFonts w:ascii="Book Antiqua" w:hAnsi="Book Antiqua"/>
          <w:vertAlign w:val="superscript"/>
        </w:rPr>
        <w:t>[3</w:t>
      </w:r>
      <w:r w:rsidRPr="00321926">
        <w:rPr>
          <w:rFonts w:ascii="Book Antiqua" w:eastAsia="宋体" w:hAnsi="Book Antiqua"/>
          <w:vertAlign w:val="superscript"/>
          <w:lang w:eastAsia="zh-CN"/>
        </w:rPr>
        <w:t>1</w:t>
      </w:r>
      <w:r w:rsidRPr="00321926">
        <w:rPr>
          <w:rFonts w:ascii="Book Antiqua" w:hAnsi="Book Antiqua"/>
          <w:vertAlign w:val="superscript"/>
        </w:rPr>
        <w:t>]</w:t>
      </w:r>
      <w:r w:rsidRPr="00321926">
        <w:rPr>
          <w:rFonts w:ascii="Book Antiqua" w:hAnsi="Book Antiqua"/>
        </w:rPr>
        <w:t>. However, the current study population showed a remarkably lower prevalence of GERD (&lt;</w:t>
      </w:r>
      <w:r w:rsidRPr="00321926">
        <w:rPr>
          <w:rFonts w:ascii="Book Antiqua" w:eastAsia="宋体" w:hAnsi="Book Antiqua"/>
          <w:lang w:eastAsia="zh-CN"/>
        </w:rPr>
        <w:t xml:space="preserve"> </w:t>
      </w:r>
      <w:r w:rsidRPr="00321926">
        <w:rPr>
          <w:rFonts w:ascii="Book Antiqua" w:hAnsi="Book Antiqua"/>
        </w:rPr>
        <w:t>1%) compared to the most recent worldwide estimates, which range between 10% and 20%</w:t>
      </w:r>
      <w:r w:rsidRPr="00321926">
        <w:rPr>
          <w:rFonts w:ascii="Book Antiqua" w:hAnsi="Book Antiqua"/>
          <w:vertAlign w:val="superscript"/>
        </w:rPr>
        <w:t>[10]</w:t>
      </w:r>
      <w:r w:rsidRPr="00321926">
        <w:rPr>
          <w:rFonts w:ascii="Book Antiqua" w:hAnsi="Book Antiqua"/>
        </w:rPr>
        <w:t>. The lower rate may be associated with the particularly younger age of the current study population and/or the lower BMI</w:t>
      </w:r>
      <w:r w:rsidRPr="00321926">
        <w:rPr>
          <w:rFonts w:ascii="Book Antiqua" w:hAnsi="Book Antiqua"/>
          <w:vertAlign w:val="superscript"/>
        </w:rPr>
        <w:t>[22]</w:t>
      </w:r>
      <w:r w:rsidRPr="00321926">
        <w:rPr>
          <w:rFonts w:ascii="Book Antiqua" w:hAnsi="Book Antiqua"/>
        </w:rPr>
        <w:t>. The rate of dyspepsia overlapping with GERD was higher, and closer to that previously reported from a Japanese cohort of college students</w:t>
      </w:r>
      <w:r w:rsidRPr="00321926">
        <w:rPr>
          <w:rFonts w:ascii="Book Antiqua" w:hAnsi="Book Antiqua"/>
          <w:vertAlign w:val="superscript"/>
        </w:rPr>
        <w:t>[16]</w:t>
      </w:r>
      <w:r w:rsidRPr="00321926">
        <w:rPr>
          <w:rFonts w:ascii="Book Antiqua" w:hAnsi="Book Antiqua"/>
        </w:rPr>
        <w:t xml:space="preserve">. </w:t>
      </w:r>
    </w:p>
    <w:p w:rsidR="00715FBD" w:rsidRPr="00321926" w:rsidRDefault="00715FBD" w:rsidP="00321926">
      <w:pPr>
        <w:spacing w:line="360" w:lineRule="auto"/>
        <w:ind w:firstLine="720"/>
        <w:jc w:val="both"/>
        <w:rPr>
          <w:rFonts w:ascii="Book Antiqua" w:hAnsi="Book Antiqua"/>
        </w:rPr>
      </w:pPr>
      <w:r w:rsidRPr="00321926">
        <w:rPr>
          <w:rFonts w:ascii="Book Antiqua" w:hAnsi="Book Antiqua"/>
        </w:rPr>
        <w:t>Several case reports of dyspepsia, IBS and GERD overlap exist</w:t>
      </w:r>
      <w:r w:rsidRPr="00321926">
        <w:rPr>
          <w:rFonts w:ascii="Book Antiqua" w:hAnsi="Book Antiqua"/>
          <w:vertAlign w:val="superscript"/>
        </w:rPr>
        <w:t>[3</w:t>
      </w:r>
      <w:r w:rsidRPr="00321926">
        <w:rPr>
          <w:rFonts w:ascii="Book Antiqua" w:eastAsia="宋体" w:hAnsi="Book Antiqua"/>
          <w:vertAlign w:val="superscript"/>
          <w:lang w:eastAsia="zh-CN"/>
        </w:rPr>
        <w:t>2</w:t>
      </w:r>
      <w:r w:rsidRPr="00321926">
        <w:rPr>
          <w:rFonts w:ascii="Book Antiqua" w:hAnsi="Book Antiqua"/>
          <w:vertAlign w:val="superscript"/>
        </w:rPr>
        <w:t>-3</w:t>
      </w:r>
      <w:r w:rsidRPr="00321926">
        <w:rPr>
          <w:rFonts w:ascii="Book Antiqua" w:eastAsia="宋体" w:hAnsi="Book Antiqua"/>
          <w:vertAlign w:val="superscript"/>
          <w:lang w:eastAsia="zh-CN"/>
        </w:rPr>
        <w:t>4</w:t>
      </w:r>
      <w:r w:rsidRPr="00321926">
        <w:rPr>
          <w:rFonts w:ascii="Book Antiqua" w:hAnsi="Book Antiqua"/>
          <w:vertAlign w:val="superscript"/>
        </w:rPr>
        <w:t>]</w:t>
      </w:r>
      <w:r w:rsidRPr="00321926">
        <w:rPr>
          <w:rFonts w:ascii="Book Antiqua" w:hAnsi="Book Antiqua"/>
        </w:rPr>
        <w:t>. In the same Japanese cohort, the prevalence of dyspepsia + IBS was significantly higher than that of dyspepsia + GERD</w:t>
      </w:r>
      <w:r w:rsidRPr="00321926">
        <w:rPr>
          <w:rFonts w:ascii="Book Antiqua" w:hAnsi="Book Antiqua"/>
          <w:vertAlign w:val="superscript"/>
        </w:rPr>
        <w:t>[16]</w:t>
      </w:r>
      <w:r w:rsidRPr="00321926">
        <w:rPr>
          <w:rFonts w:ascii="Book Antiqua" w:hAnsi="Book Antiqua"/>
        </w:rPr>
        <w:t>, which was similar to the findings in the current study of Chinese college students (1.0% and 0.6%, respectively). Collected data in the literature suggest that GERD is a common occurrence in dyspepsia, with rates of 22% to 50% being reported</w:t>
      </w:r>
      <w:r w:rsidRPr="00321926">
        <w:rPr>
          <w:rFonts w:ascii="Book Antiqua" w:hAnsi="Book Antiqua"/>
          <w:vertAlign w:val="superscript"/>
        </w:rPr>
        <w:t>[3</w:t>
      </w:r>
      <w:r w:rsidRPr="00321926">
        <w:rPr>
          <w:rFonts w:ascii="Book Antiqua" w:eastAsia="宋体" w:hAnsi="Book Antiqua"/>
          <w:vertAlign w:val="superscript"/>
          <w:lang w:eastAsia="zh-CN"/>
        </w:rPr>
        <w:t>5</w:t>
      </w:r>
      <w:r w:rsidRPr="00321926">
        <w:rPr>
          <w:rFonts w:ascii="Book Antiqua" w:hAnsi="Book Antiqua"/>
          <w:vertAlign w:val="superscript"/>
        </w:rPr>
        <w:t>-3</w:t>
      </w:r>
      <w:r w:rsidRPr="00321926">
        <w:rPr>
          <w:rFonts w:ascii="Book Antiqua" w:eastAsia="宋体" w:hAnsi="Book Antiqua"/>
          <w:vertAlign w:val="superscript"/>
          <w:lang w:eastAsia="zh-CN"/>
        </w:rPr>
        <w:t>8</w:t>
      </w:r>
      <w:r w:rsidRPr="00321926">
        <w:rPr>
          <w:rFonts w:ascii="Book Antiqua" w:hAnsi="Book Antiqua"/>
          <w:vertAlign w:val="superscript"/>
        </w:rPr>
        <w:t>]</w:t>
      </w:r>
      <w:r w:rsidRPr="00321926">
        <w:rPr>
          <w:rFonts w:ascii="Book Antiqua" w:hAnsi="Book Antiqua"/>
        </w:rPr>
        <w:t>. Similarly, some studies have suggested that the occurrence of IBS in dyspeptic patients is not uncommon; the current study population showed a rate of dyspepsia + IBS that fell within the range of prevalence rates previously reported for Asian populations</w:t>
      </w:r>
      <w:r w:rsidRPr="00321926">
        <w:rPr>
          <w:rFonts w:ascii="Book Antiqua" w:hAnsi="Book Antiqua"/>
          <w:vertAlign w:val="superscript"/>
        </w:rPr>
        <w:t>[16, 3</w:t>
      </w:r>
      <w:r w:rsidRPr="00321926">
        <w:rPr>
          <w:rFonts w:ascii="Book Antiqua" w:eastAsia="宋体" w:hAnsi="Book Antiqua"/>
          <w:vertAlign w:val="superscript"/>
          <w:lang w:eastAsia="zh-CN"/>
        </w:rPr>
        <w:t>9</w:t>
      </w:r>
      <w:r w:rsidRPr="00321926">
        <w:rPr>
          <w:rFonts w:ascii="Book Antiqua" w:hAnsi="Book Antiqua"/>
          <w:vertAlign w:val="superscript"/>
        </w:rPr>
        <w:t>-</w:t>
      </w:r>
      <w:r w:rsidRPr="00321926">
        <w:rPr>
          <w:rFonts w:ascii="Book Antiqua" w:eastAsia="宋体" w:hAnsi="Book Antiqua"/>
          <w:vertAlign w:val="superscript"/>
          <w:lang w:eastAsia="zh-CN"/>
        </w:rPr>
        <w:t>40</w:t>
      </w:r>
      <w:r w:rsidRPr="00321926">
        <w:rPr>
          <w:rFonts w:ascii="Book Antiqua" w:hAnsi="Book Antiqua"/>
          <w:vertAlign w:val="superscript"/>
        </w:rPr>
        <w:t>]</w:t>
      </w:r>
      <w:r w:rsidRPr="00321926">
        <w:rPr>
          <w:rFonts w:ascii="Book Antiqua" w:hAnsi="Book Antiqua"/>
        </w:rPr>
        <w:t>. While the precise mechanisms underlying such overlap in gastrointestinal disorders remain unknown, it is likely that pathophysiological factors shared between the three, such as altered motility, visceral hypersensitivity, brain-gut dysfunction or psychological distress, play key roles</w:t>
      </w:r>
      <w:r w:rsidRPr="00321926">
        <w:rPr>
          <w:rFonts w:ascii="Book Antiqua" w:hAnsi="Book Antiqua"/>
          <w:vertAlign w:val="superscript"/>
        </w:rPr>
        <w:t>[4</w:t>
      </w:r>
      <w:r w:rsidRPr="00321926">
        <w:rPr>
          <w:rFonts w:ascii="Book Antiqua" w:eastAsia="宋体" w:hAnsi="Book Antiqua"/>
          <w:vertAlign w:val="superscript"/>
          <w:lang w:eastAsia="zh-CN"/>
        </w:rPr>
        <w:t>1</w:t>
      </w:r>
      <w:r w:rsidRPr="00321926">
        <w:rPr>
          <w:rFonts w:ascii="Book Antiqua" w:hAnsi="Book Antiqua"/>
          <w:vertAlign w:val="superscript"/>
        </w:rPr>
        <w:t>-4</w:t>
      </w:r>
      <w:r w:rsidRPr="00321926">
        <w:rPr>
          <w:rFonts w:ascii="Book Antiqua" w:eastAsia="宋体" w:hAnsi="Book Antiqua"/>
          <w:vertAlign w:val="superscript"/>
          <w:lang w:eastAsia="zh-CN"/>
        </w:rPr>
        <w:t>4</w:t>
      </w:r>
      <w:r w:rsidRPr="00321926">
        <w:rPr>
          <w:rFonts w:ascii="Book Antiqua" w:hAnsi="Book Antiqua"/>
          <w:vertAlign w:val="superscript"/>
        </w:rPr>
        <w:t>]</w:t>
      </w:r>
      <w:r w:rsidRPr="00321926">
        <w:rPr>
          <w:rFonts w:ascii="Book Antiqua" w:hAnsi="Book Antiqua"/>
        </w:rPr>
        <w:t xml:space="preserve">. In addition, the significant overlap of symptoms among dyspepsia, IBS </w:t>
      </w:r>
      <w:r w:rsidRPr="00321926">
        <w:rPr>
          <w:rFonts w:ascii="Book Antiqua" w:hAnsi="Book Antiqua"/>
        </w:rPr>
        <w:lastRenderedPageBreak/>
        <w:t>and GERD raises the question of whether the functional gastrointestinal disorders actually represent multiple separate disorders or a single clinical entity.</w:t>
      </w:r>
    </w:p>
    <w:p w:rsidR="00715FBD" w:rsidRPr="00321926" w:rsidRDefault="00715FBD" w:rsidP="00321926">
      <w:pPr>
        <w:spacing w:line="360" w:lineRule="auto"/>
        <w:ind w:firstLine="720"/>
        <w:jc w:val="both"/>
        <w:rPr>
          <w:rFonts w:ascii="Book Antiqua" w:hAnsi="Book Antiqua"/>
        </w:rPr>
      </w:pPr>
      <w:r w:rsidRPr="00321926">
        <w:rPr>
          <w:rFonts w:ascii="Book Antiqua" w:hAnsi="Book Antiqua"/>
        </w:rPr>
        <w:t>Though dyspepsia is not fatal, it is associated with substantial impairment of quality of life and poses a significant burden on society, with sufferers experiencing higher rates of work absenteeism, reduced productivity, and higher reliance on healthcare resources than the general population</w:t>
      </w:r>
      <w:r w:rsidRPr="00321926">
        <w:rPr>
          <w:rFonts w:ascii="Book Antiqua" w:hAnsi="Book Antiqua"/>
          <w:vertAlign w:val="superscript"/>
        </w:rPr>
        <w:t>[4</w:t>
      </w:r>
      <w:r w:rsidRPr="00321926">
        <w:rPr>
          <w:rFonts w:ascii="Book Antiqua" w:eastAsia="宋体" w:hAnsi="Book Antiqua"/>
          <w:vertAlign w:val="superscript"/>
          <w:lang w:eastAsia="zh-CN"/>
        </w:rPr>
        <w:t>5</w:t>
      </w:r>
      <w:r w:rsidRPr="00321926">
        <w:rPr>
          <w:rFonts w:ascii="Book Antiqua" w:hAnsi="Book Antiqua"/>
          <w:vertAlign w:val="superscript"/>
        </w:rPr>
        <w:t>, 4</w:t>
      </w:r>
      <w:r w:rsidRPr="00321926">
        <w:rPr>
          <w:rFonts w:ascii="Book Antiqua" w:eastAsia="宋体" w:hAnsi="Book Antiqua"/>
          <w:vertAlign w:val="superscript"/>
          <w:lang w:eastAsia="zh-CN"/>
        </w:rPr>
        <w:t>6</w:t>
      </w:r>
      <w:r w:rsidRPr="00321926">
        <w:rPr>
          <w:rFonts w:ascii="Book Antiqua" w:hAnsi="Book Antiqua"/>
          <w:vertAlign w:val="superscript"/>
        </w:rPr>
        <w:t>]</w:t>
      </w:r>
      <w:r w:rsidRPr="00321926">
        <w:rPr>
          <w:rFonts w:ascii="Book Antiqua" w:hAnsi="Book Antiqua"/>
        </w:rPr>
        <w:t>. For college students, the symptoms associated with dyspepsia may have a marked impact on the individual’s study habits, ability to concentrate or attend classes, and performance on tests. To the best of our knowledge, no Chinese universities currently have a student outreach program to enhance their students’ knowledge of digestive health; by providing campus-wide health lectures, which would include symptoms and management of common stress-related psychological and physical disorders, the rates of gastrointestinal disorders, such as dyspepsia, may be reduced.</w:t>
      </w:r>
    </w:p>
    <w:p w:rsidR="00715FBD" w:rsidRPr="00321926" w:rsidRDefault="00715FBD" w:rsidP="00321926">
      <w:pPr>
        <w:spacing w:line="360" w:lineRule="auto"/>
        <w:ind w:firstLine="720"/>
        <w:jc w:val="both"/>
        <w:rPr>
          <w:rFonts w:ascii="Book Antiqua" w:hAnsi="Book Antiqua"/>
        </w:rPr>
      </w:pPr>
      <w:r w:rsidRPr="00321926">
        <w:rPr>
          <w:rFonts w:ascii="Book Antiqua" w:hAnsi="Book Antiqua"/>
        </w:rPr>
        <w:t>Although this investigation provides new insights into the prevalence and characteristics of UD in Chinese college students, it relied solely on data gathered from a self-report questionnaire; thus, the physical- and disease-related data may have been underreported or exaggerated. In addition, the questionnaire was newly developed according to the objectives of the current study. Since the questionnaire has not been validated, its test-retest reliability and validity are unknown. Moreover, the focus of questions to determine specific symptoms of dyspepsia, GERD and IBS precludes the ability of this study to analyze organic gastrointestinal diseases.</w:t>
      </w:r>
    </w:p>
    <w:p w:rsidR="00715FBD" w:rsidRPr="00321926" w:rsidRDefault="00715FBD" w:rsidP="00321926">
      <w:pPr>
        <w:spacing w:line="360" w:lineRule="auto"/>
        <w:ind w:firstLine="720"/>
        <w:jc w:val="both"/>
        <w:rPr>
          <w:rFonts w:ascii="Book Antiqua" w:hAnsi="Book Antiqua"/>
        </w:rPr>
      </w:pPr>
      <w:r w:rsidRPr="00321926">
        <w:rPr>
          <w:rFonts w:ascii="Book Antiqua" w:hAnsi="Book Antiqua"/>
        </w:rPr>
        <w:t>In conclusion, the prevalence of UD in college students from the Zhejiang province was low (5.7%), possibly due to the young age and low BMI of this population</w:t>
      </w:r>
      <w:r w:rsidRPr="00321926">
        <w:rPr>
          <w:rFonts w:ascii="Book Antiqua" w:hAnsi="Book Antiqua"/>
          <w:vertAlign w:val="superscript"/>
        </w:rPr>
        <w:t>[4</w:t>
      </w:r>
      <w:r w:rsidRPr="00321926">
        <w:rPr>
          <w:rFonts w:ascii="Book Antiqua" w:eastAsia="宋体" w:hAnsi="Book Antiqua"/>
          <w:vertAlign w:val="superscript"/>
          <w:lang w:eastAsia="zh-CN"/>
        </w:rPr>
        <w:t>7</w:t>
      </w:r>
      <w:r w:rsidRPr="00321926">
        <w:rPr>
          <w:rFonts w:ascii="Book Antiqua" w:hAnsi="Book Antiqua"/>
          <w:vertAlign w:val="superscript"/>
        </w:rPr>
        <w:t>]</w:t>
      </w:r>
      <w:r w:rsidRPr="00321926">
        <w:rPr>
          <w:rFonts w:ascii="Book Antiqua" w:hAnsi="Book Antiqua"/>
        </w:rPr>
        <w:t xml:space="preserve">. The UD rates were highest in students who were female and in the senior year of a 4-year undergraduate program. Nearly all of the students who fit the criteria for UD diagnosis also reported symptoms suggestive of postprandial distress syndrome and there was a remarkable portion of dyspepsia cases with </w:t>
      </w:r>
      <w:r w:rsidRPr="00321926">
        <w:rPr>
          <w:rFonts w:ascii="Book Antiqua" w:hAnsi="Book Antiqua"/>
        </w:rPr>
        <w:lastRenderedPageBreak/>
        <w:t>concomitant IBS or GERD, suggesting the existence of common etiologies or molecular mechanisms among these gastrointestinal disorders.</w:t>
      </w:r>
    </w:p>
    <w:p w:rsidR="00715FBD" w:rsidRDefault="00715FBD" w:rsidP="00321926">
      <w:pPr>
        <w:spacing w:line="360" w:lineRule="auto"/>
        <w:jc w:val="both"/>
        <w:rPr>
          <w:rFonts w:ascii="Book Antiqua" w:eastAsia="宋体" w:hAnsi="Book Antiqua"/>
          <w:lang w:eastAsia="zh-CN"/>
        </w:rPr>
      </w:pPr>
    </w:p>
    <w:p w:rsidR="00715FBD" w:rsidRPr="00321926" w:rsidRDefault="00715FBD" w:rsidP="00321926">
      <w:pPr>
        <w:spacing w:line="360" w:lineRule="auto"/>
        <w:jc w:val="both"/>
        <w:rPr>
          <w:rFonts w:ascii="Book Antiqua" w:hAnsi="Book Antiqua"/>
        </w:rPr>
      </w:pPr>
      <w:r w:rsidRPr="00321926">
        <w:rPr>
          <w:rFonts w:ascii="Book Antiqua" w:hAnsi="Book Antiqua"/>
          <w:b/>
        </w:rPr>
        <w:t>COMMENTS</w:t>
      </w:r>
      <w:r w:rsidRPr="00321926">
        <w:rPr>
          <w:rFonts w:ascii="Book Antiqua" w:hAnsi="Book Antiqua"/>
          <w:b/>
        </w:rPr>
        <w:br/>
      </w:r>
      <w:r w:rsidRPr="00321926">
        <w:rPr>
          <w:rFonts w:ascii="Book Antiqua" w:hAnsi="Book Antiqua"/>
          <w:b/>
          <w:i/>
        </w:rPr>
        <w:t>Background</w:t>
      </w:r>
      <w:r w:rsidRPr="00321926">
        <w:rPr>
          <w:rFonts w:ascii="Book Antiqua" w:hAnsi="Book Antiqua"/>
          <w:b/>
          <w:i/>
        </w:rPr>
        <w:br/>
      </w:r>
      <w:r w:rsidRPr="00321926">
        <w:rPr>
          <w:rFonts w:ascii="Book Antiqua" w:hAnsi="Book Antiqua"/>
        </w:rPr>
        <w:t xml:space="preserve">Epidemiological studies suggest that uninvestigated dyspepsia (UD) is a common gastrointestinal disorder worldwide. However, there is little data on the prevalence of UD and its overlap with other gastrointestinal diseases in China, and particularly among college students who represent a unique population of young adults living in urban settings under particularly high stress conditions.  </w:t>
      </w:r>
    </w:p>
    <w:p w:rsidR="00715FBD" w:rsidRPr="00321926" w:rsidRDefault="00715FBD" w:rsidP="00321926">
      <w:pPr>
        <w:spacing w:line="360" w:lineRule="auto"/>
        <w:jc w:val="both"/>
        <w:rPr>
          <w:rFonts w:ascii="Book Antiqua" w:hAnsi="Book Antiqua"/>
        </w:rPr>
      </w:pPr>
    </w:p>
    <w:p w:rsidR="00715FBD" w:rsidRPr="00321926" w:rsidRDefault="00715FBD" w:rsidP="00321926">
      <w:pPr>
        <w:spacing w:line="360" w:lineRule="auto"/>
        <w:jc w:val="both"/>
        <w:rPr>
          <w:rFonts w:ascii="Book Antiqua" w:hAnsi="Book Antiqua"/>
          <w:b/>
          <w:i/>
        </w:rPr>
      </w:pPr>
      <w:r w:rsidRPr="00321926">
        <w:rPr>
          <w:rFonts w:ascii="Book Antiqua" w:hAnsi="Book Antiqua"/>
          <w:b/>
          <w:i/>
        </w:rPr>
        <w:t xml:space="preserve">Research frontiers    </w:t>
      </w:r>
    </w:p>
    <w:p w:rsidR="00715FBD" w:rsidRPr="00321926" w:rsidRDefault="00715FBD" w:rsidP="00321926">
      <w:pPr>
        <w:spacing w:line="360" w:lineRule="auto"/>
        <w:jc w:val="both"/>
        <w:rPr>
          <w:rFonts w:ascii="Book Antiqua" w:hAnsi="Book Antiqua"/>
        </w:rPr>
      </w:pPr>
      <w:r w:rsidRPr="00321926">
        <w:rPr>
          <w:rFonts w:ascii="Book Antiqua" w:hAnsi="Book Antiqua"/>
        </w:rPr>
        <w:t>Using a questionnaire</w:t>
      </w:r>
      <w:r w:rsidRPr="00321926">
        <w:rPr>
          <w:rFonts w:ascii="Book Antiqua" w:eastAsia="宋体" w:hAnsi="Book Antiqua"/>
          <w:lang w:eastAsia="zh-CN"/>
        </w:rPr>
        <w:t xml:space="preserve"> with </w:t>
      </w:r>
      <w:r w:rsidRPr="00321926">
        <w:rPr>
          <w:rFonts w:ascii="Book Antiqua" w:hAnsi="Book Antiqua"/>
        </w:rPr>
        <w:t>validated Chinese language Rome III diagnostic</w:t>
      </w:r>
      <w:r w:rsidRPr="00321926">
        <w:rPr>
          <w:rFonts w:ascii="Book Antiqua" w:eastAsia="宋体" w:hAnsi="Book Antiqua"/>
          <w:lang w:eastAsia="zh-CN"/>
        </w:rPr>
        <w:t xml:space="preserve"> included</w:t>
      </w:r>
      <w:r w:rsidRPr="00321926">
        <w:rPr>
          <w:rFonts w:ascii="Book Antiqua" w:hAnsi="Book Antiqua"/>
        </w:rPr>
        <w:t>, this study surveyed undergraduate (4-year program) and graduate (in year 1) students residing in the Zhejiang province to determine prevalence and characteristics of UD.</w:t>
      </w:r>
    </w:p>
    <w:p w:rsidR="00715FBD" w:rsidRPr="00321926" w:rsidRDefault="00715FBD" w:rsidP="00321926">
      <w:pPr>
        <w:spacing w:line="360" w:lineRule="auto"/>
        <w:jc w:val="both"/>
        <w:rPr>
          <w:rFonts w:ascii="Book Antiqua" w:hAnsi="Book Antiqua"/>
        </w:rPr>
      </w:pPr>
    </w:p>
    <w:p w:rsidR="00715FBD" w:rsidRPr="00321926" w:rsidRDefault="00715FBD" w:rsidP="00321926">
      <w:pPr>
        <w:spacing w:line="360" w:lineRule="auto"/>
        <w:jc w:val="both"/>
        <w:rPr>
          <w:rFonts w:ascii="Book Antiqua" w:hAnsi="Book Antiqua"/>
          <w:b/>
          <w:i/>
        </w:rPr>
      </w:pPr>
      <w:r w:rsidRPr="00321926">
        <w:rPr>
          <w:rFonts w:ascii="Book Antiqua" w:hAnsi="Book Antiqua"/>
          <w:b/>
          <w:i/>
        </w:rPr>
        <w:t>Innovations and breakthroughs</w:t>
      </w:r>
    </w:p>
    <w:p w:rsidR="00715FBD" w:rsidRPr="00321926" w:rsidRDefault="00715FBD" w:rsidP="00321926">
      <w:pPr>
        <w:spacing w:line="360" w:lineRule="auto"/>
        <w:jc w:val="both"/>
        <w:rPr>
          <w:rFonts w:ascii="Book Antiqua" w:hAnsi="Book Antiqua"/>
        </w:rPr>
      </w:pPr>
      <w:r w:rsidRPr="00321926">
        <w:rPr>
          <w:rFonts w:ascii="Book Antiqua" w:hAnsi="Book Antiqua"/>
        </w:rPr>
        <w:t>According to Rome III criteria, the prevalence of UD in college students from the Zhejiang province was 5.7%. The symptoms of dyspepsia were most frequently reported by females and senior level (year-4) undergraduate students, suggesting sex- and/or stress-related components. There was a remarkable portion of dyspepsia cases with concomitant irritable bowel syndrome (IBS) or gastroesophageal reflux disease (GERD), suggesting the existence of common etiologies or molecular mechanisms among these gastrointestinal disorders.</w:t>
      </w:r>
    </w:p>
    <w:p w:rsidR="00715FBD" w:rsidRPr="00321926" w:rsidRDefault="00715FBD" w:rsidP="00321926">
      <w:pPr>
        <w:spacing w:line="360" w:lineRule="auto"/>
        <w:jc w:val="both"/>
        <w:rPr>
          <w:rFonts w:ascii="Book Antiqua" w:hAnsi="Book Antiqua"/>
        </w:rPr>
      </w:pPr>
    </w:p>
    <w:p w:rsidR="00715FBD" w:rsidRPr="00321926" w:rsidRDefault="00715FBD" w:rsidP="00321926">
      <w:pPr>
        <w:spacing w:line="360" w:lineRule="auto"/>
        <w:jc w:val="both"/>
        <w:rPr>
          <w:rFonts w:ascii="Book Antiqua" w:hAnsi="Book Antiqua"/>
        </w:rPr>
      </w:pPr>
      <w:r w:rsidRPr="00321926">
        <w:rPr>
          <w:rFonts w:ascii="Book Antiqua" w:hAnsi="Book Antiqua"/>
          <w:b/>
          <w:i/>
        </w:rPr>
        <w:t>Applications</w:t>
      </w:r>
      <w:r w:rsidRPr="00321926">
        <w:rPr>
          <w:rFonts w:ascii="Book Antiqua" w:hAnsi="Book Antiqua"/>
          <w:b/>
          <w:i/>
        </w:rPr>
        <w:br/>
      </w:r>
      <w:r w:rsidRPr="00321926">
        <w:rPr>
          <w:rFonts w:ascii="Book Antiqua" w:hAnsi="Book Antiqua"/>
        </w:rPr>
        <w:t xml:space="preserve">While the reasons for the relatively low prevalence rate of UD among college students from the Zhejiang province remain to be fully elucidated, the data </w:t>
      </w:r>
      <w:r w:rsidRPr="00321926">
        <w:rPr>
          <w:rFonts w:ascii="Book Antiqua" w:hAnsi="Book Antiqua"/>
        </w:rPr>
        <w:lastRenderedPageBreak/>
        <w:t>indicate that this condition is not infrequent among this population and deserves attention to promote both diagnosis and clinical management that may prevent potential damage caused by a chronic condition.</w:t>
      </w:r>
    </w:p>
    <w:p w:rsidR="00715FBD" w:rsidRPr="00321926" w:rsidRDefault="00715FBD" w:rsidP="00321926">
      <w:pPr>
        <w:spacing w:line="360" w:lineRule="auto"/>
        <w:jc w:val="both"/>
        <w:rPr>
          <w:rFonts w:ascii="Book Antiqua" w:hAnsi="Book Antiqua"/>
        </w:rPr>
      </w:pPr>
    </w:p>
    <w:p w:rsidR="00715FBD" w:rsidRPr="00321926" w:rsidRDefault="00715FBD" w:rsidP="00321926">
      <w:pPr>
        <w:spacing w:line="360" w:lineRule="auto"/>
        <w:jc w:val="both"/>
        <w:rPr>
          <w:rFonts w:ascii="Book Antiqua" w:hAnsi="Book Antiqua"/>
          <w:b/>
          <w:i/>
        </w:rPr>
      </w:pPr>
      <w:r w:rsidRPr="00321926">
        <w:rPr>
          <w:rFonts w:ascii="Book Antiqua" w:hAnsi="Book Antiqua"/>
          <w:b/>
          <w:i/>
        </w:rPr>
        <w:t>Peer review</w:t>
      </w:r>
    </w:p>
    <w:p w:rsidR="00715FBD" w:rsidRPr="00321926" w:rsidRDefault="00715FBD" w:rsidP="00321926">
      <w:pPr>
        <w:spacing w:line="360" w:lineRule="auto"/>
        <w:jc w:val="both"/>
        <w:rPr>
          <w:rFonts w:ascii="Book Antiqua" w:hAnsi="Book Antiqua"/>
        </w:rPr>
      </w:pPr>
      <w:r w:rsidRPr="00321926">
        <w:rPr>
          <w:rFonts w:ascii="Book Antiqua" w:hAnsi="Book Antiqua"/>
        </w:rPr>
        <w:t>This is a cross-sectional survey of 2520 Chinese college students in the Zhejiang province of China that examined the prevalence and characteristics of UD, including overlap with IBS and GERD. This study provides novel insights into the current epidemiologic state of UD in this population that represents a group of individuals living a modern urban lifestyle and under significant stress.</w:t>
      </w:r>
    </w:p>
    <w:p w:rsidR="00715FBD" w:rsidRPr="00321926" w:rsidRDefault="00715FBD" w:rsidP="00321926">
      <w:pPr>
        <w:spacing w:line="360" w:lineRule="auto"/>
        <w:jc w:val="both"/>
        <w:rPr>
          <w:rFonts w:ascii="Book Antiqua" w:hAnsi="Book Antiqua"/>
          <w:b/>
        </w:rPr>
      </w:pPr>
      <w:r w:rsidRPr="00321926">
        <w:rPr>
          <w:rFonts w:ascii="Book Antiqua" w:hAnsi="Book Antiqua"/>
        </w:rPr>
        <w:br/>
      </w:r>
      <w:r w:rsidRPr="00321926">
        <w:rPr>
          <w:rFonts w:ascii="Book Antiqua" w:hAnsi="Book Antiqua"/>
        </w:rPr>
        <w:br/>
        <w:t xml:space="preserve">  </w:t>
      </w:r>
      <w:r w:rsidRPr="00321926">
        <w:rPr>
          <w:rFonts w:ascii="Book Antiqua" w:hAnsi="Book Antiqua"/>
        </w:rPr>
        <w:br/>
      </w:r>
    </w:p>
    <w:p w:rsidR="00715FBD" w:rsidRPr="00321926" w:rsidRDefault="00715FBD" w:rsidP="00321926">
      <w:pPr>
        <w:spacing w:line="360" w:lineRule="auto"/>
        <w:jc w:val="both"/>
        <w:rPr>
          <w:rFonts w:ascii="Book Antiqua" w:hAnsi="Book Antiqua"/>
          <w:b/>
        </w:rPr>
      </w:pPr>
      <w:r w:rsidRPr="00321926">
        <w:rPr>
          <w:rFonts w:ascii="Book Antiqua" w:hAnsi="Book Antiqua"/>
          <w:b/>
        </w:rPr>
        <w:br w:type="page"/>
      </w:r>
    </w:p>
    <w:p w:rsidR="00715FBD" w:rsidRPr="00321926" w:rsidRDefault="00715FBD" w:rsidP="00321926">
      <w:pPr>
        <w:spacing w:line="360" w:lineRule="auto"/>
        <w:jc w:val="both"/>
        <w:rPr>
          <w:rFonts w:ascii="Book Antiqua" w:eastAsia="宋体" w:hAnsi="Book Antiqua" w:cs="宋体"/>
          <w:color w:val="000000"/>
          <w:lang w:eastAsia="zh-CN"/>
        </w:rPr>
      </w:pPr>
      <w:r w:rsidRPr="00321926">
        <w:rPr>
          <w:rFonts w:ascii="Book Antiqua" w:hAnsi="Book Antiqua"/>
          <w:b/>
        </w:rPr>
        <w:t>REFERENCES</w:t>
      </w:r>
      <w:r w:rsidRPr="00321926">
        <w:rPr>
          <w:rFonts w:ascii="Book Antiqua" w:hAnsi="Book Antiqua"/>
          <w:b/>
        </w:rPr>
        <w:br/>
      </w:r>
      <w:r w:rsidRPr="00321926">
        <w:rPr>
          <w:rFonts w:ascii="Book Antiqua" w:eastAsia="宋体" w:hAnsi="Book Antiqua" w:cs="宋体"/>
          <w:color w:val="000000"/>
          <w:lang w:eastAsia="zh-CN"/>
        </w:rPr>
        <w:t>1 </w:t>
      </w:r>
      <w:r w:rsidRPr="00321926">
        <w:rPr>
          <w:rFonts w:ascii="Book Antiqua" w:eastAsia="宋体" w:hAnsi="Book Antiqua" w:cs="宋体"/>
          <w:b/>
          <w:bCs/>
          <w:color w:val="000000"/>
          <w:lang w:eastAsia="zh-CN"/>
        </w:rPr>
        <w:t>Mahadeva S</w:t>
      </w:r>
      <w:r w:rsidRPr="00321926">
        <w:rPr>
          <w:rFonts w:ascii="Book Antiqua" w:eastAsia="宋体" w:hAnsi="Book Antiqua" w:cs="宋体"/>
          <w:color w:val="000000"/>
          <w:lang w:eastAsia="zh-CN"/>
        </w:rPr>
        <w:t>, Goh KL. Epidemiology of functional dyspepsia: a global perspective. </w:t>
      </w:r>
      <w:r w:rsidRPr="00321926">
        <w:rPr>
          <w:rFonts w:ascii="Book Antiqua" w:eastAsia="宋体" w:hAnsi="Book Antiqua" w:cs="宋体"/>
          <w:i/>
          <w:iCs/>
          <w:color w:val="000000"/>
          <w:lang w:eastAsia="zh-CN"/>
        </w:rPr>
        <w:t>World J Gastroenterol</w:t>
      </w:r>
      <w:r w:rsidRPr="00321926">
        <w:rPr>
          <w:rFonts w:ascii="Book Antiqua" w:eastAsia="宋体" w:hAnsi="Book Antiqua" w:cs="宋体"/>
          <w:color w:val="000000"/>
          <w:lang w:eastAsia="zh-CN"/>
        </w:rPr>
        <w:t> 2006; </w:t>
      </w:r>
      <w:r w:rsidRPr="00321926">
        <w:rPr>
          <w:rFonts w:ascii="Book Antiqua" w:eastAsia="宋体" w:hAnsi="Book Antiqua" w:cs="宋体"/>
          <w:b/>
          <w:bCs/>
          <w:color w:val="000000"/>
          <w:lang w:eastAsia="zh-CN"/>
        </w:rPr>
        <w:t>12</w:t>
      </w:r>
      <w:r w:rsidRPr="00321926">
        <w:rPr>
          <w:rFonts w:ascii="Book Antiqua" w:eastAsia="宋体" w:hAnsi="Book Antiqua" w:cs="宋体"/>
          <w:color w:val="000000"/>
          <w:lang w:eastAsia="zh-CN"/>
        </w:rPr>
        <w:t>: 2661-2666 [PMID: 16718749]</w:t>
      </w:r>
    </w:p>
    <w:p w:rsidR="00715FBD" w:rsidRPr="00321926" w:rsidRDefault="00715FBD" w:rsidP="00321926">
      <w:pPr>
        <w:spacing w:line="360" w:lineRule="auto"/>
        <w:jc w:val="both"/>
        <w:rPr>
          <w:rFonts w:ascii="Book Antiqua" w:eastAsia="宋体" w:hAnsi="Book Antiqua" w:cs="宋体"/>
          <w:color w:val="000000"/>
          <w:lang w:eastAsia="zh-CN"/>
        </w:rPr>
      </w:pPr>
      <w:r w:rsidRPr="00321926">
        <w:rPr>
          <w:rFonts w:ascii="Book Antiqua" w:eastAsia="宋体" w:hAnsi="Book Antiqua" w:cs="宋体"/>
          <w:color w:val="000000"/>
          <w:lang w:eastAsia="zh-CN"/>
        </w:rPr>
        <w:t>2 </w:t>
      </w:r>
      <w:r w:rsidRPr="00321926">
        <w:rPr>
          <w:rFonts w:ascii="Book Antiqua" w:eastAsia="宋体" w:hAnsi="Book Antiqua" w:cs="宋体"/>
          <w:b/>
          <w:bCs/>
          <w:color w:val="000000"/>
          <w:lang w:eastAsia="zh-CN"/>
        </w:rPr>
        <w:t>Ghoshal UC</w:t>
      </w:r>
      <w:r w:rsidRPr="00321926">
        <w:rPr>
          <w:rFonts w:ascii="Book Antiqua" w:eastAsia="宋体" w:hAnsi="Book Antiqua" w:cs="宋体"/>
          <w:color w:val="000000"/>
          <w:lang w:eastAsia="zh-CN"/>
        </w:rPr>
        <w:t>, Singh R, Chang FY, Hou X, Wong BC, Kachintorn U. Epidemiology of uninvestigated and functional dyspepsia in Asia: facts and fiction. </w:t>
      </w:r>
      <w:r w:rsidRPr="00321926">
        <w:rPr>
          <w:rFonts w:ascii="Book Antiqua" w:eastAsia="宋体" w:hAnsi="Book Antiqua" w:cs="宋体"/>
          <w:i/>
          <w:iCs/>
          <w:color w:val="000000"/>
          <w:lang w:eastAsia="zh-CN"/>
        </w:rPr>
        <w:t>J Neurogastroenterol Motil</w:t>
      </w:r>
      <w:r w:rsidRPr="00321926">
        <w:rPr>
          <w:rFonts w:ascii="Book Antiqua" w:eastAsia="宋体" w:hAnsi="Book Antiqua" w:cs="宋体"/>
          <w:color w:val="000000"/>
          <w:lang w:eastAsia="zh-CN"/>
        </w:rPr>
        <w:t> 2011; </w:t>
      </w:r>
      <w:r w:rsidRPr="00321926">
        <w:rPr>
          <w:rFonts w:ascii="Book Antiqua" w:eastAsia="宋体" w:hAnsi="Book Antiqua" w:cs="宋体"/>
          <w:b/>
          <w:bCs/>
          <w:color w:val="000000"/>
          <w:lang w:eastAsia="zh-CN"/>
        </w:rPr>
        <w:t>17</w:t>
      </w:r>
      <w:r w:rsidRPr="00321926">
        <w:rPr>
          <w:rFonts w:ascii="Book Antiqua" w:eastAsia="宋体" w:hAnsi="Book Antiqua" w:cs="宋体"/>
          <w:color w:val="000000"/>
          <w:lang w:eastAsia="zh-CN"/>
        </w:rPr>
        <w:t>: 235-244 [PMID: 21860815 DOI: 10.5056/jnm.2011.17.3.235]</w:t>
      </w:r>
    </w:p>
    <w:p w:rsidR="00715FBD" w:rsidRPr="00321926" w:rsidRDefault="00715FBD" w:rsidP="00321926">
      <w:pPr>
        <w:spacing w:line="360" w:lineRule="auto"/>
        <w:jc w:val="both"/>
        <w:rPr>
          <w:rFonts w:ascii="Book Antiqua" w:eastAsia="宋体" w:hAnsi="Book Antiqua" w:cs="宋体"/>
          <w:color w:val="000000"/>
          <w:lang w:eastAsia="zh-CN"/>
        </w:rPr>
      </w:pPr>
      <w:r w:rsidRPr="00321926">
        <w:rPr>
          <w:rFonts w:ascii="Book Antiqua" w:eastAsia="宋体" w:hAnsi="Book Antiqua" w:cs="宋体"/>
          <w:color w:val="000000"/>
          <w:lang w:eastAsia="zh-CN"/>
        </w:rPr>
        <w:t>3 </w:t>
      </w:r>
      <w:r w:rsidRPr="00321926">
        <w:rPr>
          <w:rFonts w:ascii="Book Antiqua" w:eastAsia="宋体" w:hAnsi="Book Antiqua" w:cs="宋体"/>
          <w:b/>
          <w:bCs/>
          <w:color w:val="000000"/>
          <w:lang w:eastAsia="zh-CN"/>
        </w:rPr>
        <w:t>El-Serag HB</w:t>
      </w:r>
      <w:r w:rsidRPr="00321926">
        <w:rPr>
          <w:rFonts w:ascii="Book Antiqua" w:eastAsia="宋体" w:hAnsi="Book Antiqua" w:cs="宋体"/>
          <w:color w:val="000000"/>
          <w:lang w:eastAsia="zh-CN"/>
        </w:rPr>
        <w:t>, Talley NJ. Health-related quality of life in functional dyspepsia. </w:t>
      </w:r>
      <w:r w:rsidRPr="00321926">
        <w:rPr>
          <w:rFonts w:ascii="Book Antiqua" w:eastAsia="宋体" w:hAnsi="Book Antiqua" w:cs="宋体"/>
          <w:i/>
          <w:iCs/>
          <w:color w:val="000000"/>
          <w:lang w:eastAsia="zh-CN"/>
        </w:rPr>
        <w:t>Aliment Pharmacol Ther</w:t>
      </w:r>
      <w:r w:rsidRPr="00321926">
        <w:rPr>
          <w:rFonts w:ascii="Book Antiqua" w:eastAsia="宋体" w:hAnsi="Book Antiqua" w:cs="宋体"/>
          <w:color w:val="000000"/>
          <w:lang w:eastAsia="zh-CN"/>
        </w:rPr>
        <w:t> 2003; </w:t>
      </w:r>
      <w:r w:rsidRPr="00321926">
        <w:rPr>
          <w:rFonts w:ascii="Book Antiqua" w:eastAsia="宋体" w:hAnsi="Book Antiqua" w:cs="宋体"/>
          <w:b/>
          <w:bCs/>
          <w:color w:val="000000"/>
          <w:lang w:eastAsia="zh-CN"/>
        </w:rPr>
        <w:t>18</w:t>
      </w:r>
      <w:r w:rsidRPr="00321926">
        <w:rPr>
          <w:rFonts w:ascii="Book Antiqua" w:eastAsia="宋体" w:hAnsi="Book Antiqua" w:cs="宋体"/>
          <w:color w:val="000000"/>
          <w:lang w:eastAsia="zh-CN"/>
        </w:rPr>
        <w:t>: 387-393 [PMID: 12940923 DOI: 10.1046/j.1365-2036.2003.01706.x]</w:t>
      </w:r>
    </w:p>
    <w:p w:rsidR="00715FBD" w:rsidRPr="00321926" w:rsidRDefault="00715FBD" w:rsidP="00321926">
      <w:pPr>
        <w:spacing w:line="360" w:lineRule="auto"/>
        <w:jc w:val="both"/>
        <w:rPr>
          <w:rFonts w:ascii="Book Antiqua" w:eastAsia="宋体" w:hAnsi="Book Antiqua" w:cs="宋体"/>
          <w:color w:val="000000"/>
          <w:lang w:eastAsia="zh-CN"/>
        </w:rPr>
      </w:pPr>
      <w:r w:rsidRPr="00321926">
        <w:rPr>
          <w:rFonts w:ascii="Book Antiqua" w:eastAsia="宋体" w:hAnsi="Book Antiqua" w:cs="宋体"/>
          <w:color w:val="000000"/>
          <w:lang w:eastAsia="zh-CN"/>
        </w:rPr>
        <w:t>4 </w:t>
      </w:r>
      <w:r w:rsidRPr="00321926">
        <w:rPr>
          <w:rFonts w:ascii="Book Antiqua" w:eastAsia="宋体" w:hAnsi="Book Antiqua" w:cs="宋体"/>
          <w:b/>
          <w:bCs/>
          <w:color w:val="000000"/>
          <w:lang w:eastAsia="zh-CN"/>
        </w:rPr>
        <w:t>Mahadeva S</w:t>
      </w:r>
      <w:r w:rsidRPr="00321926">
        <w:rPr>
          <w:rFonts w:ascii="Book Antiqua" w:eastAsia="宋体" w:hAnsi="Book Antiqua" w:cs="宋体"/>
          <w:color w:val="000000"/>
          <w:lang w:eastAsia="zh-CN"/>
        </w:rPr>
        <w:t>, Yadav H, Everett SM, Goh KL. Economic impact of dyspepsia in rural and urban malaysia: a population-based study. </w:t>
      </w:r>
      <w:r w:rsidRPr="00321926">
        <w:rPr>
          <w:rFonts w:ascii="Book Antiqua" w:eastAsia="宋体" w:hAnsi="Book Antiqua" w:cs="宋体"/>
          <w:i/>
          <w:iCs/>
          <w:color w:val="000000"/>
          <w:lang w:eastAsia="zh-CN"/>
        </w:rPr>
        <w:t>J Neurogastroenterol Motil</w:t>
      </w:r>
      <w:r w:rsidRPr="00321926">
        <w:rPr>
          <w:rFonts w:ascii="Book Antiqua" w:eastAsia="宋体" w:hAnsi="Book Antiqua" w:cs="宋体"/>
          <w:color w:val="000000"/>
          <w:lang w:eastAsia="zh-CN"/>
        </w:rPr>
        <w:t> 2012; </w:t>
      </w:r>
      <w:r w:rsidRPr="00321926">
        <w:rPr>
          <w:rFonts w:ascii="Book Antiqua" w:eastAsia="宋体" w:hAnsi="Book Antiqua" w:cs="宋体"/>
          <w:b/>
          <w:bCs/>
          <w:color w:val="000000"/>
          <w:lang w:eastAsia="zh-CN"/>
        </w:rPr>
        <w:t>18</w:t>
      </w:r>
      <w:r w:rsidRPr="00321926">
        <w:rPr>
          <w:rFonts w:ascii="Book Antiqua" w:eastAsia="宋体" w:hAnsi="Book Antiqua" w:cs="宋体"/>
          <w:color w:val="000000"/>
          <w:lang w:eastAsia="zh-CN"/>
        </w:rPr>
        <w:t>: 43-57 [PMID: 22323987 DOI: 10.5056/jnm.2012.18.1.43]</w:t>
      </w:r>
    </w:p>
    <w:p w:rsidR="00715FBD" w:rsidRPr="00321926" w:rsidRDefault="00715FBD" w:rsidP="00321926">
      <w:pPr>
        <w:spacing w:line="360" w:lineRule="auto"/>
        <w:jc w:val="both"/>
        <w:rPr>
          <w:rFonts w:ascii="Book Antiqua" w:eastAsia="宋体" w:hAnsi="Book Antiqua" w:cs="宋体"/>
          <w:color w:val="000000"/>
          <w:lang w:eastAsia="zh-CN"/>
        </w:rPr>
      </w:pPr>
      <w:r w:rsidRPr="00321926">
        <w:rPr>
          <w:rFonts w:ascii="Book Antiqua" w:eastAsia="宋体" w:hAnsi="Book Antiqua" w:cs="宋体"/>
          <w:color w:val="000000"/>
          <w:lang w:eastAsia="zh-CN"/>
        </w:rPr>
        <w:t>5 </w:t>
      </w:r>
      <w:r w:rsidRPr="00321926">
        <w:rPr>
          <w:rFonts w:ascii="Book Antiqua" w:eastAsia="宋体" w:hAnsi="Book Antiqua" w:cs="宋体"/>
          <w:b/>
          <w:bCs/>
          <w:color w:val="000000"/>
          <w:lang w:eastAsia="zh-CN"/>
        </w:rPr>
        <w:t>Shi R</w:t>
      </w:r>
      <w:r w:rsidRPr="00321926">
        <w:rPr>
          <w:rFonts w:ascii="Book Antiqua" w:eastAsia="宋体" w:hAnsi="Book Antiqua" w:cs="宋体"/>
          <w:color w:val="000000"/>
          <w:lang w:eastAsia="zh-CN"/>
        </w:rPr>
        <w:t>, Xu S, Zhang H, Ding Y, Sun G, Huang X, Chen X, Li X, Yan Z, Zhang G. Prevalence and risk factors for Helicobacter pylori infection in Chinese populations. </w:t>
      </w:r>
      <w:r w:rsidRPr="00321926">
        <w:rPr>
          <w:rFonts w:ascii="Book Antiqua" w:eastAsia="宋体" w:hAnsi="Book Antiqua" w:cs="宋体"/>
          <w:i/>
          <w:iCs/>
          <w:color w:val="000000"/>
          <w:lang w:eastAsia="zh-CN"/>
        </w:rPr>
        <w:t>Helicobacter</w:t>
      </w:r>
      <w:r w:rsidRPr="00321926">
        <w:rPr>
          <w:rFonts w:ascii="Book Antiqua" w:eastAsia="宋体" w:hAnsi="Book Antiqua" w:cs="宋体"/>
          <w:color w:val="000000"/>
          <w:lang w:eastAsia="zh-CN"/>
        </w:rPr>
        <w:t> 2008; </w:t>
      </w:r>
      <w:r w:rsidRPr="00321926">
        <w:rPr>
          <w:rFonts w:ascii="Book Antiqua" w:eastAsia="宋体" w:hAnsi="Book Antiqua" w:cs="宋体"/>
          <w:b/>
          <w:bCs/>
          <w:color w:val="000000"/>
          <w:lang w:eastAsia="zh-CN"/>
        </w:rPr>
        <w:t>13</w:t>
      </w:r>
      <w:r w:rsidRPr="00321926">
        <w:rPr>
          <w:rFonts w:ascii="Book Antiqua" w:eastAsia="宋体" w:hAnsi="Book Antiqua" w:cs="宋体"/>
          <w:color w:val="000000"/>
          <w:lang w:eastAsia="zh-CN"/>
        </w:rPr>
        <w:t>: 157-165 [PMID: 18321305 DOI: 10.1111/j.1523-5378.2008.00586.x.]</w:t>
      </w:r>
    </w:p>
    <w:p w:rsidR="00715FBD" w:rsidRPr="00321926" w:rsidRDefault="00715FBD" w:rsidP="00321926">
      <w:pPr>
        <w:spacing w:line="360" w:lineRule="auto"/>
        <w:jc w:val="both"/>
        <w:rPr>
          <w:rFonts w:ascii="Book Antiqua" w:eastAsia="宋体" w:hAnsi="Book Antiqua" w:cs="宋体"/>
          <w:color w:val="000000"/>
          <w:lang w:eastAsia="zh-CN"/>
        </w:rPr>
      </w:pPr>
      <w:r w:rsidRPr="00321926">
        <w:rPr>
          <w:rFonts w:ascii="Book Antiqua" w:eastAsia="宋体" w:hAnsi="Book Antiqua" w:cs="宋体"/>
          <w:color w:val="000000"/>
          <w:lang w:eastAsia="zh-CN"/>
        </w:rPr>
        <w:t>6 </w:t>
      </w:r>
      <w:r w:rsidRPr="00321926">
        <w:rPr>
          <w:rFonts w:ascii="Book Antiqua" w:eastAsia="宋体" w:hAnsi="Book Antiqua" w:cs="宋体"/>
          <w:b/>
          <w:bCs/>
          <w:color w:val="000000"/>
          <w:lang w:eastAsia="zh-CN"/>
        </w:rPr>
        <w:t>Lin JT</w:t>
      </w:r>
      <w:r w:rsidRPr="00321926">
        <w:rPr>
          <w:rFonts w:ascii="Book Antiqua" w:eastAsia="宋体" w:hAnsi="Book Antiqua" w:cs="宋体"/>
          <w:color w:val="000000"/>
          <w:lang w:eastAsia="zh-CN"/>
        </w:rPr>
        <w:t>, Wang JT, Wang TH, Wu MS, Lee TK, Chen CJ. Helicobacter pylori infection in a randomly selected population, healthy volunteers, and patients with gastric ulcer and gastric adenocarcinoma. A seroprevalence study in Taiwan. </w:t>
      </w:r>
      <w:r w:rsidRPr="00321926">
        <w:rPr>
          <w:rFonts w:ascii="Book Antiqua" w:eastAsia="宋体" w:hAnsi="Book Antiqua" w:cs="宋体"/>
          <w:i/>
          <w:iCs/>
          <w:color w:val="000000"/>
          <w:lang w:eastAsia="zh-CN"/>
        </w:rPr>
        <w:t>Scand J Gastroenterol</w:t>
      </w:r>
      <w:r w:rsidRPr="00321926">
        <w:rPr>
          <w:rFonts w:ascii="Book Antiqua" w:eastAsia="宋体" w:hAnsi="Book Antiqua" w:cs="宋体"/>
          <w:color w:val="000000"/>
          <w:lang w:eastAsia="zh-CN"/>
        </w:rPr>
        <w:t> 1993; </w:t>
      </w:r>
      <w:r w:rsidRPr="00321926">
        <w:rPr>
          <w:rFonts w:ascii="Book Antiqua" w:eastAsia="宋体" w:hAnsi="Book Antiqua" w:cs="宋体"/>
          <w:b/>
          <w:bCs/>
          <w:color w:val="000000"/>
          <w:lang w:eastAsia="zh-CN"/>
        </w:rPr>
        <w:t>28</w:t>
      </w:r>
      <w:r w:rsidRPr="00321926">
        <w:rPr>
          <w:rFonts w:ascii="Book Antiqua" w:eastAsia="宋体" w:hAnsi="Book Antiqua" w:cs="宋体"/>
          <w:color w:val="000000"/>
          <w:lang w:eastAsia="zh-CN"/>
        </w:rPr>
        <w:t>: 1067-1072 [PMID: 8303209 DOI: 10.3109/00365529309098311]</w:t>
      </w:r>
    </w:p>
    <w:p w:rsidR="00715FBD" w:rsidRPr="007E5786" w:rsidRDefault="00715FBD" w:rsidP="007E5786">
      <w:pPr>
        <w:spacing w:line="360" w:lineRule="auto"/>
        <w:jc w:val="both"/>
        <w:rPr>
          <w:rFonts w:ascii="Book Antiqua" w:eastAsia="宋体" w:hAnsi="Book Antiqua" w:cs="宋体"/>
          <w:color w:val="000000"/>
          <w:lang w:eastAsia="zh-CN"/>
        </w:rPr>
      </w:pPr>
      <w:r w:rsidRPr="007E5786">
        <w:rPr>
          <w:rFonts w:ascii="Book Antiqua" w:eastAsia="宋体" w:hAnsi="Book Antiqua" w:cs="宋体"/>
          <w:color w:val="000000"/>
          <w:lang w:eastAsia="zh-CN"/>
        </w:rPr>
        <w:t>7 </w:t>
      </w:r>
      <w:r w:rsidRPr="007E5786">
        <w:rPr>
          <w:rFonts w:ascii="Book Antiqua" w:eastAsia="宋体" w:hAnsi="Book Antiqua" w:cs="宋体"/>
          <w:b/>
          <w:bCs/>
          <w:color w:val="000000"/>
          <w:lang w:eastAsia="zh-CN"/>
        </w:rPr>
        <w:t>Lin DB</w:t>
      </w:r>
      <w:r w:rsidRPr="007E5786">
        <w:rPr>
          <w:rFonts w:ascii="Book Antiqua" w:eastAsia="宋体" w:hAnsi="Book Antiqua" w:cs="宋体"/>
          <w:color w:val="000000"/>
          <w:lang w:eastAsia="zh-CN"/>
        </w:rPr>
        <w:t>, Nieh WT, Wang HM, Hsiao MW, Ling UP, Changlai SP, Ho MS, You SL, Chen CJ. Seroepidemiology of Helicobacter pylori infection among preschool children in Taiwan. </w:t>
      </w:r>
      <w:r w:rsidRPr="007E5786">
        <w:rPr>
          <w:rFonts w:ascii="Book Antiqua" w:eastAsia="宋体" w:hAnsi="Book Antiqua" w:cs="宋体"/>
          <w:i/>
          <w:iCs/>
          <w:color w:val="000000"/>
          <w:lang w:eastAsia="zh-CN"/>
        </w:rPr>
        <w:t>Am J Trop Med Hyg</w:t>
      </w:r>
      <w:r w:rsidRPr="007E5786">
        <w:rPr>
          <w:rFonts w:ascii="Book Antiqua" w:eastAsia="宋体" w:hAnsi="Book Antiqua" w:cs="宋体"/>
          <w:color w:val="000000"/>
          <w:lang w:eastAsia="zh-CN"/>
        </w:rPr>
        <w:t> 1999; </w:t>
      </w:r>
      <w:r w:rsidRPr="007E5786">
        <w:rPr>
          <w:rFonts w:ascii="Book Antiqua" w:eastAsia="宋体" w:hAnsi="Book Antiqua" w:cs="宋体"/>
          <w:b/>
          <w:bCs/>
          <w:color w:val="000000"/>
          <w:lang w:eastAsia="zh-CN"/>
        </w:rPr>
        <w:t>61</w:t>
      </w:r>
      <w:r w:rsidRPr="007E5786">
        <w:rPr>
          <w:rFonts w:ascii="Book Antiqua" w:eastAsia="宋体" w:hAnsi="Book Antiqua" w:cs="宋体"/>
          <w:color w:val="000000"/>
          <w:lang w:eastAsia="zh-CN"/>
        </w:rPr>
        <w:t>: 554-558 [PMID: 10548288]</w:t>
      </w:r>
    </w:p>
    <w:p w:rsidR="00715FBD" w:rsidRPr="00321926" w:rsidRDefault="00715FBD" w:rsidP="00321926">
      <w:pPr>
        <w:spacing w:line="360" w:lineRule="auto"/>
        <w:jc w:val="both"/>
        <w:rPr>
          <w:rFonts w:ascii="Book Antiqua" w:eastAsia="宋体" w:hAnsi="Book Antiqua" w:cs="宋体"/>
          <w:color w:val="000000"/>
          <w:lang w:eastAsia="zh-CN"/>
        </w:rPr>
      </w:pPr>
      <w:r w:rsidRPr="00321926">
        <w:rPr>
          <w:rFonts w:ascii="Book Antiqua" w:eastAsia="宋体" w:hAnsi="Book Antiqua" w:cs="宋体"/>
          <w:color w:val="000000"/>
          <w:lang w:eastAsia="zh-CN"/>
        </w:rPr>
        <w:t>8 </w:t>
      </w:r>
      <w:r w:rsidRPr="00321926">
        <w:rPr>
          <w:rFonts w:ascii="Book Antiqua" w:eastAsia="宋体" w:hAnsi="Book Antiqua" w:cs="宋体"/>
          <w:b/>
          <w:bCs/>
          <w:color w:val="000000"/>
          <w:lang w:eastAsia="zh-CN"/>
        </w:rPr>
        <w:t>Wang LY</w:t>
      </w:r>
      <w:r w:rsidRPr="00321926">
        <w:rPr>
          <w:rFonts w:ascii="Book Antiqua" w:eastAsia="宋体" w:hAnsi="Book Antiqua" w:cs="宋体"/>
          <w:color w:val="000000"/>
          <w:lang w:eastAsia="zh-CN"/>
        </w:rPr>
        <w:t>, Lin JT, Cheng YW, Chou SJ, Chen CJ. Seroepidemiology of Helicobacter pylori among adolescents in Taiwan. </w:t>
      </w:r>
      <w:r w:rsidRPr="00321926">
        <w:rPr>
          <w:rFonts w:ascii="Book Antiqua" w:eastAsia="宋体" w:hAnsi="Book Antiqua" w:cs="宋体"/>
          <w:i/>
          <w:iCs/>
          <w:color w:val="000000"/>
          <w:lang w:eastAsia="zh-CN"/>
        </w:rPr>
        <w:t>Zhonghua Min Guo Wei Sheng Wu Ji Mian Yi Xue Za Zhi</w:t>
      </w:r>
      <w:r w:rsidRPr="00321926">
        <w:rPr>
          <w:rFonts w:ascii="Book Antiqua" w:eastAsia="宋体" w:hAnsi="Book Antiqua" w:cs="宋体"/>
          <w:color w:val="000000"/>
          <w:lang w:eastAsia="zh-CN"/>
        </w:rPr>
        <w:t> 1996; </w:t>
      </w:r>
      <w:r w:rsidRPr="00321926">
        <w:rPr>
          <w:rFonts w:ascii="Book Antiqua" w:eastAsia="宋体" w:hAnsi="Book Antiqua" w:cs="宋体"/>
          <w:b/>
          <w:bCs/>
          <w:color w:val="000000"/>
          <w:lang w:eastAsia="zh-CN"/>
        </w:rPr>
        <w:t>29</w:t>
      </w:r>
      <w:r w:rsidRPr="00321926">
        <w:rPr>
          <w:rFonts w:ascii="Book Antiqua" w:eastAsia="宋体" w:hAnsi="Book Antiqua" w:cs="宋体"/>
          <w:color w:val="000000"/>
          <w:lang w:eastAsia="zh-CN"/>
        </w:rPr>
        <w:t>: 10-17 [PMID: 10592783]</w:t>
      </w:r>
    </w:p>
    <w:p w:rsidR="00715FBD" w:rsidRPr="00321926" w:rsidRDefault="00715FBD" w:rsidP="00321926">
      <w:pPr>
        <w:spacing w:line="360" w:lineRule="auto"/>
        <w:jc w:val="both"/>
        <w:rPr>
          <w:rFonts w:ascii="Book Antiqua" w:eastAsia="宋体" w:hAnsi="Book Antiqua" w:cs="宋体"/>
          <w:color w:val="000000"/>
          <w:lang w:eastAsia="zh-CN"/>
        </w:rPr>
      </w:pPr>
      <w:r w:rsidRPr="00321926">
        <w:rPr>
          <w:rFonts w:ascii="Book Antiqua" w:eastAsia="宋体" w:hAnsi="Book Antiqua" w:cs="宋体"/>
          <w:color w:val="000000"/>
          <w:lang w:eastAsia="zh-CN"/>
        </w:rPr>
        <w:lastRenderedPageBreak/>
        <w:t>9 </w:t>
      </w:r>
      <w:r w:rsidRPr="00321926">
        <w:rPr>
          <w:rFonts w:ascii="Book Antiqua" w:eastAsia="宋体" w:hAnsi="Book Antiqua" w:cs="宋体"/>
          <w:b/>
          <w:bCs/>
          <w:color w:val="000000"/>
          <w:lang w:eastAsia="zh-CN"/>
        </w:rPr>
        <w:t>Drossman DA</w:t>
      </w:r>
      <w:r w:rsidRPr="00321926">
        <w:rPr>
          <w:rFonts w:ascii="Book Antiqua" w:eastAsia="宋体" w:hAnsi="Book Antiqua" w:cs="宋体"/>
          <w:color w:val="000000"/>
          <w:lang w:eastAsia="zh-CN"/>
        </w:rPr>
        <w:t>. The functional gastrointestinal disorders and the Rome III process. </w:t>
      </w:r>
      <w:r w:rsidRPr="00321926">
        <w:rPr>
          <w:rFonts w:ascii="Book Antiqua" w:eastAsia="宋体" w:hAnsi="Book Antiqua" w:cs="宋体"/>
          <w:i/>
          <w:iCs/>
          <w:color w:val="000000"/>
          <w:lang w:eastAsia="zh-CN"/>
        </w:rPr>
        <w:t>Gastroenterology</w:t>
      </w:r>
      <w:r w:rsidRPr="00321926">
        <w:rPr>
          <w:rFonts w:ascii="Book Antiqua" w:eastAsia="宋体" w:hAnsi="Book Antiqua" w:cs="宋体"/>
          <w:color w:val="000000"/>
          <w:lang w:eastAsia="zh-CN"/>
        </w:rPr>
        <w:t> 2006; </w:t>
      </w:r>
      <w:r w:rsidRPr="00321926">
        <w:rPr>
          <w:rFonts w:ascii="Book Antiqua" w:eastAsia="宋体" w:hAnsi="Book Antiqua" w:cs="宋体"/>
          <w:b/>
          <w:bCs/>
          <w:color w:val="000000"/>
          <w:lang w:eastAsia="zh-CN"/>
        </w:rPr>
        <w:t>130</w:t>
      </w:r>
      <w:r w:rsidRPr="00321926">
        <w:rPr>
          <w:rFonts w:ascii="Book Antiqua" w:eastAsia="宋体" w:hAnsi="Book Antiqua" w:cs="宋体"/>
          <w:color w:val="000000"/>
          <w:lang w:eastAsia="zh-CN"/>
        </w:rPr>
        <w:t>: 1377-1390 [PMID: 16678553 DOI: 10.1053/j.gastro.2006.03.008]</w:t>
      </w:r>
    </w:p>
    <w:p w:rsidR="00715FBD" w:rsidRPr="00321926" w:rsidRDefault="00715FBD" w:rsidP="00321926">
      <w:pPr>
        <w:spacing w:line="360" w:lineRule="auto"/>
        <w:jc w:val="both"/>
        <w:rPr>
          <w:rFonts w:ascii="Book Antiqua" w:eastAsia="宋体" w:hAnsi="Book Antiqua" w:cs="宋体"/>
          <w:color w:val="000000"/>
          <w:lang w:eastAsia="zh-CN"/>
        </w:rPr>
      </w:pPr>
      <w:r w:rsidRPr="00321926">
        <w:rPr>
          <w:rFonts w:ascii="Book Antiqua" w:eastAsia="宋体" w:hAnsi="Book Antiqua" w:cs="宋体"/>
          <w:color w:val="000000"/>
          <w:lang w:eastAsia="zh-CN"/>
        </w:rPr>
        <w:t>10 </w:t>
      </w:r>
      <w:r w:rsidRPr="00321926">
        <w:rPr>
          <w:rFonts w:ascii="Book Antiqua" w:eastAsia="宋体" w:hAnsi="Book Antiqua" w:cs="宋体"/>
          <w:b/>
          <w:bCs/>
          <w:color w:val="000000"/>
          <w:lang w:eastAsia="zh-CN"/>
        </w:rPr>
        <w:t>Vakil N</w:t>
      </w:r>
      <w:r w:rsidRPr="00321926">
        <w:rPr>
          <w:rFonts w:ascii="Book Antiqua" w:eastAsia="宋体" w:hAnsi="Book Antiqua" w:cs="宋体"/>
          <w:color w:val="000000"/>
          <w:lang w:eastAsia="zh-CN"/>
        </w:rPr>
        <w:t>, van Zanten SV, Kahrilas P, Dent J, Jones R. The Montreal definition and classification of gastroesophageal reflux disease: a global evidence-based consensus. </w:t>
      </w:r>
      <w:r w:rsidRPr="00321926">
        <w:rPr>
          <w:rFonts w:ascii="Book Antiqua" w:eastAsia="宋体" w:hAnsi="Book Antiqua" w:cs="宋体"/>
          <w:i/>
          <w:iCs/>
          <w:color w:val="000000"/>
          <w:lang w:eastAsia="zh-CN"/>
        </w:rPr>
        <w:t>Am J Gastroenterol</w:t>
      </w:r>
      <w:r w:rsidRPr="00321926">
        <w:rPr>
          <w:rFonts w:ascii="Book Antiqua" w:eastAsia="宋体" w:hAnsi="Book Antiqua" w:cs="宋体"/>
          <w:color w:val="000000"/>
          <w:lang w:eastAsia="zh-CN"/>
        </w:rPr>
        <w:t> 2006; </w:t>
      </w:r>
      <w:r w:rsidRPr="00321926">
        <w:rPr>
          <w:rFonts w:ascii="Book Antiqua" w:eastAsia="宋体" w:hAnsi="Book Antiqua" w:cs="宋体"/>
          <w:b/>
          <w:bCs/>
          <w:color w:val="000000"/>
          <w:lang w:eastAsia="zh-CN"/>
        </w:rPr>
        <w:t>101</w:t>
      </w:r>
      <w:r w:rsidRPr="00321926">
        <w:rPr>
          <w:rFonts w:ascii="Book Antiqua" w:eastAsia="宋体" w:hAnsi="Book Antiqua" w:cs="宋体"/>
          <w:color w:val="000000"/>
          <w:lang w:eastAsia="zh-CN"/>
        </w:rPr>
        <w:t>: 1900-120; quiz 1943 [PMID: 16928254 DOI: 10.1111/j.1572-0241.2006.00630.x]</w:t>
      </w:r>
    </w:p>
    <w:p w:rsidR="00715FBD" w:rsidRPr="00321926" w:rsidRDefault="00715FBD" w:rsidP="00321926">
      <w:pPr>
        <w:spacing w:line="360" w:lineRule="auto"/>
        <w:jc w:val="both"/>
        <w:rPr>
          <w:rFonts w:ascii="Book Antiqua" w:eastAsia="宋体" w:hAnsi="Book Antiqua" w:cs="宋体"/>
          <w:color w:val="000000"/>
          <w:lang w:eastAsia="zh-CN"/>
        </w:rPr>
      </w:pPr>
      <w:r w:rsidRPr="00321926">
        <w:rPr>
          <w:rFonts w:ascii="Book Antiqua" w:eastAsia="宋体" w:hAnsi="Book Antiqua" w:cs="宋体"/>
          <w:color w:val="000000"/>
          <w:lang w:eastAsia="zh-CN"/>
        </w:rPr>
        <w:t>11 </w:t>
      </w:r>
      <w:r w:rsidRPr="00321926">
        <w:rPr>
          <w:rFonts w:ascii="Book Antiqua" w:eastAsia="宋体" w:hAnsi="Book Antiqua" w:cs="宋体"/>
          <w:b/>
          <w:bCs/>
          <w:color w:val="000000"/>
          <w:lang w:eastAsia="zh-CN"/>
        </w:rPr>
        <w:t>Hu WH</w:t>
      </w:r>
      <w:r w:rsidRPr="00321926">
        <w:rPr>
          <w:rFonts w:ascii="Book Antiqua" w:eastAsia="宋体" w:hAnsi="Book Antiqua" w:cs="宋体"/>
          <w:color w:val="000000"/>
          <w:lang w:eastAsia="zh-CN"/>
        </w:rPr>
        <w:t>, Wong WM, Lam CL, Lam KF, Hui WM, Lai KC, Xia HX, Lam SK, Wong BC. Anxiety but not depression determines health care-seeking behaviour in Chinese patients with dyspepsia and irritable bowel syndrome: a population-based study. </w:t>
      </w:r>
      <w:r w:rsidRPr="00321926">
        <w:rPr>
          <w:rFonts w:ascii="Book Antiqua" w:eastAsia="宋体" w:hAnsi="Book Antiqua" w:cs="宋体"/>
          <w:i/>
          <w:iCs/>
          <w:color w:val="000000"/>
          <w:lang w:eastAsia="zh-CN"/>
        </w:rPr>
        <w:t>Aliment Pharmacol Ther</w:t>
      </w:r>
      <w:r w:rsidRPr="00321926">
        <w:rPr>
          <w:rFonts w:ascii="Book Antiqua" w:eastAsia="宋体" w:hAnsi="Book Antiqua" w:cs="宋体"/>
          <w:color w:val="000000"/>
          <w:lang w:eastAsia="zh-CN"/>
        </w:rPr>
        <w:t> 2002; </w:t>
      </w:r>
      <w:r w:rsidRPr="00321926">
        <w:rPr>
          <w:rFonts w:ascii="Book Antiqua" w:eastAsia="宋体" w:hAnsi="Book Antiqua" w:cs="宋体"/>
          <w:b/>
          <w:bCs/>
          <w:color w:val="000000"/>
          <w:lang w:eastAsia="zh-CN"/>
        </w:rPr>
        <w:t>16</w:t>
      </w:r>
      <w:r w:rsidRPr="00321926">
        <w:rPr>
          <w:rFonts w:ascii="Book Antiqua" w:eastAsia="宋体" w:hAnsi="Book Antiqua" w:cs="宋体"/>
          <w:color w:val="000000"/>
          <w:lang w:eastAsia="zh-CN"/>
        </w:rPr>
        <w:t>: 2081-2088 [PMID: 12452941 DOI: 10.1046/j.1365-2036.2002.01377.x]</w:t>
      </w:r>
    </w:p>
    <w:p w:rsidR="00715FBD" w:rsidRPr="00321926" w:rsidRDefault="00715FBD" w:rsidP="00321926">
      <w:pPr>
        <w:spacing w:line="360" w:lineRule="auto"/>
        <w:jc w:val="both"/>
        <w:rPr>
          <w:rFonts w:ascii="Book Antiqua" w:eastAsia="宋体" w:hAnsi="Book Antiqua" w:cs="宋体"/>
          <w:color w:val="000000"/>
          <w:lang w:eastAsia="zh-CN"/>
        </w:rPr>
      </w:pPr>
      <w:r w:rsidRPr="00321926">
        <w:rPr>
          <w:rFonts w:ascii="Book Antiqua" w:eastAsia="宋体" w:hAnsi="Book Antiqua" w:cs="宋体"/>
          <w:color w:val="000000"/>
          <w:lang w:eastAsia="zh-CN"/>
        </w:rPr>
        <w:t>12 </w:t>
      </w:r>
      <w:r w:rsidRPr="00321926">
        <w:rPr>
          <w:rFonts w:ascii="Book Antiqua" w:eastAsia="宋体" w:hAnsi="Book Antiqua" w:cs="宋体"/>
          <w:b/>
          <w:bCs/>
          <w:color w:val="000000"/>
          <w:lang w:eastAsia="zh-CN"/>
        </w:rPr>
        <w:t>Ho KY</w:t>
      </w:r>
      <w:r w:rsidRPr="00321926">
        <w:rPr>
          <w:rFonts w:ascii="Book Antiqua" w:eastAsia="宋体" w:hAnsi="Book Antiqua" w:cs="宋体"/>
          <w:color w:val="000000"/>
          <w:lang w:eastAsia="zh-CN"/>
        </w:rPr>
        <w:t>, Kang JY, Seow A. Prevalence of gastrointestinal symptoms in a multiracial Asian population, with particular reference to reflux-type symptoms. </w:t>
      </w:r>
      <w:r w:rsidRPr="00321926">
        <w:rPr>
          <w:rFonts w:ascii="Book Antiqua" w:eastAsia="宋体" w:hAnsi="Book Antiqua" w:cs="宋体"/>
          <w:i/>
          <w:iCs/>
          <w:color w:val="000000"/>
          <w:lang w:eastAsia="zh-CN"/>
        </w:rPr>
        <w:t>Am J Gastroenterol</w:t>
      </w:r>
      <w:r w:rsidRPr="00321926">
        <w:rPr>
          <w:rFonts w:ascii="Book Antiqua" w:eastAsia="宋体" w:hAnsi="Book Antiqua" w:cs="宋体"/>
          <w:color w:val="000000"/>
          <w:lang w:eastAsia="zh-CN"/>
        </w:rPr>
        <w:t> 1998; </w:t>
      </w:r>
      <w:r w:rsidRPr="00321926">
        <w:rPr>
          <w:rFonts w:ascii="Book Antiqua" w:eastAsia="宋体" w:hAnsi="Book Antiqua" w:cs="宋体"/>
          <w:b/>
          <w:bCs/>
          <w:color w:val="000000"/>
          <w:lang w:eastAsia="zh-CN"/>
        </w:rPr>
        <w:t>93</w:t>
      </w:r>
      <w:r w:rsidRPr="00321926">
        <w:rPr>
          <w:rFonts w:ascii="Book Antiqua" w:eastAsia="宋体" w:hAnsi="Book Antiqua" w:cs="宋体"/>
          <w:color w:val="000000"/>
          <w:lang w:eastAsia="zh-CN"/>
        </w:rPr>
        <w:t>: 1816-1822 [PMID: 9772037 DOI: 10.1111/j.1572-0241.1998.00526.x]</w:t>
      </w:r>
    </w:p>
    <w:p w:rsidR="00715FBD" w:rsidRPr="00321926" w:rsidRDefault="00715FBD" w:rsidP="00321926">
      <w:pPr>
        <w:spacing w:line="360" w:lineRule="auto"/>
        <w:jc w:val="both"/>
        <w:rPr>
          <w:rFonts w:ascii="Book Antiqua" w:eastAsia="宋体" w:hAnsi="Book Antiqua" w:cs="宋体"/>
          <w:color w:val="000000"/>
          <w:lang w:eastAsia="zh-CN"/>
        </w:rPr>
      </w:pPr>
      <w:r w:rsidRPr="00321926">
        <w:rPr>
          <w:rFonts w:ascii="Book Antiqua" w:eastAsia="宋体" w:hAnsi="Book Antiqua" w:cs="宋体"/>
          <w:color w:val="000000"/>
          <w:lang w:eastAsia="zh-CN"/>
        </w:rPr>
        <w:t>13 </w:t>
      </w:r>
      <w:r w:rsidRPr="00321926">
        <w:rPr>
          <w:rFonts w:ascii="Book Antiqua" w:eastAsia="宋体" w:hAnsi="Book Antiqua" w:cs="宋体"/>
          <w:b/>
          <w:bCs/>
          <w:color w:val="000000"/>
          <w:lang w:eastAsia="zh-CN"/>
        </w:rPr>
        <w:t>Jeong JJ</w:t>
      </w:r>
      <w:r w:rsidRPr="00321926">
        <w:rPr>
          <w:rFonts w:ascii="Book Antiqua" w:eastAsia="宋体" w:hAnsi="Book Antiqua" w:cs="宋体"/>
          <w:color w:val="000000"/>
          <w:lang w:eastAsia="zh-CN"/>
        </w:rPr>
        <w:t>, Choi MG, Cho YS, Lee SG, Oh JH, Park JM, Cho YK, Lee IS, Kim SW, Han SW, Choi KY, Chung IS. Chronic gastrointestinal symptoms and quality of life in the Korean population. </w:t>
      </w:r>
      <w:r w:rsidRPr="00321926">
        <w:rPr>
          <w:rFonts w:ascii="Book Antiqua" w:eastAsia="宋体" w:hAnsi="Book Antiqua" w:cs="宋体"/>
          <w:i/>
          <w:iCs/>
          <w:color w:val="000000"/>
          <w:lang w:eastAsia="zh-CN"/>
        </w:rPr>
        <w:t>World J Gastroenterol</w:t>
      </w:r>
      <w:r w:rsidRPr="00321926">
        <w:rPr>
          <w:rFonts w:ascii="Book Antiqua" w:eastAsia="宋体" w:hAnsi="Book Antiqua" w:cs="宋体"/>
          <w:color w:val="000000"/>
          <w:lang w:eastAsia="zh-CN"/>
        </w:rPr>
        <w:t> 2008; </w:t>
      </w:r>
      <w:r w:rsidRPr="00321926">
        <w:rPr>
          <w:rFonts w:ascii="Book Antiqua" w:eastAsia="宋体" w:hAnsi="Book Antiqua" w:cs="宋体"/>
          <w:b/>
          <w:bCs/>
          <w:color w:val="000000"/>
          <w:lang w:eastAsia="zh-CN"/>
        </w:rPr>
        <w:t>14</w:t>
      </w:r>
      <w:r w:rsidRPr="00321926">
        <w:rPr>
          <w:rFonts w:ascii="Book Antiqua" w:eastAsia="宋体" w:hAnsi="Book Antiqua" w:cs="宋体"/>
          <w:color w:val="000000"/>
          <w:lang w:eastAsia="zh-CN"/>
        </w:rPr>
        <w:t>: 6388-6394 [PMID: 19009657 DOI: 10.3748/wjg.14.6388]</w:t>
      </w:r>
    </w:p>
    <w:p w:rsidR="00715FBD" w:rsidRPr="00321926" w:rsidRDefault="00715FBD" w:rsidP="00321926">
      <w:pPr>
        <w:spacing w:line="360" w:lineRule="auto"/>
        <w:jc w:val="both"/>
        <w:rPr>
          <w:rFonts w:ascii="Book Antiqua" w:eastAsia="宋体" w:hAnsi="Book Antiqua" w:cs="宋体"/>
          <w:color w:val="000000"/>
          <w:lang w:eastAsia="zh-CN"/>
        </w:rPr>
      </w:pPr>
      <w:r w:rsidRPr="00321926">
        <w:rPr>
          <w:rFonts w:ascii="Book Antiqua" w:eastAsia="宋体" w:hAnsi="Book Antiqua" w:cs="宋体"/>
          <w:color w:val="000000"/>
          <w:lang w:eastAsia="zh-CN"/>
        </w:rPr>
        <w:t>14 </w:t>
      </w:r>
      <w:r w:rsidRPr="00321926">
        <w:rPr>
          <w:rFonts w:ascii="Book Antiqua" w:eastAsia="宋体" w:hAnsi="Book Antiqua" w:cs="宋体"/>
          <w:b/>
          <w:bCs/>
          <w:color w:val="000000"/>
          <w:lang w:eastAsia="zh-CN"/>
        </w:rPr>
        <w:t>Mahadeva S</w:t>
      </w:r>
      <w:r w:rsidRPr="00321926">
        <w:rPr>
          <w:rFonts w:ascii="Book Antiqua" w:eastAsia="宋体" w:hAnsi="Book Antiqua" w:cs="宋体"/>
          <w:color w:val="000000"/>
          <w:lang w:eastAsia="zh-CN"/>
        </w:rPr>
        <w:t>, Yadav H, Rampal S, Goh KL. Risk factors associated with dyspepsia in a rural Asian population and its impact on quality of life. </w:t>
      </w:r>
      <w:r w:rsidRPr="00321926">
        <w:rPr>
          <w:rFonts w:ascii="Book Antiqua" w:eastAsia="宋体" w:hAnsi="Book Antiqua" w:cs="宋体"/>
          <w:i/>
          <w:iCs/>
          <w:color w:val="000000"/>
          <w:lang w:eastAsia="zh-CN"/>
        </w:rPr>
        <w:t>Am J Gastroenterol</w:t>
      </w:r>
      <w:r w:rsidRPr="00321926">
        <w:rPr>
          <w:rFonts w:ascii="Book Antiqua" w:eastAsia="宋体" w:hAnsi="Book Antiqua" w:cs="宋体"/>
          <w:color w:val="000000"/>
          <w:lang w:eastAsia="zh-CN"/>
        </w:rPr>
        <w:t> 2010; </w:t>
      </w:r>
      <w:r w:rsidRPr="00321926">
        <w:rPr>
          <w:rFonts w:ascii="Book Antiqua" w:eastAsia="宋体" w:hAnsi="Book Antiqua" w:cs="宋体"/>
          <w:b/>
          <w:bCs/>
          <w:color w:val="000000"/>
          <w:lang w:eastAsia="zh-CN"/>
        </w:rPr>
        <w:t>105</w:t>
      </w:r>
      <w:r w:rsidRPr="00321926">
        <w:rPr>
          <w:rFonts w:ascii="Book Antiqua" w:eastAsia="宋体" w:hAnsi="Book Antiqua" w:cs="宋体"/>
          <w:color w:val="000000"/>
          <w:lang w:eastAsia="zh-CN"/>
        </w:rPr>
        <w:t>: 904-912 [PMID: 20179699 DOI: 10.1038/ajg.2010.26]</w:t>
      </w:r>
    </w:p>
    <w:p w:rsidR="00715FBD" w:rsidRPr="00321926" w:rsidRDefault="00715FBD" w:rsidP="00321926">
      <w:pPr>
        <w:spacing w:line="360" w:lineRule="auto"/>
        <w:jc w:val="both"/>
        <w:rPr>
          <w:rFonts w:ascii="Book Antiqua" w:eastAsia="宋体" w:hAnsi="Book Antiqua" w:cs="宋体"/>
          <w:color w:val="000000"/>
          <w:lang w:eastAsia="zh-CN"/>
        </w:rPr>
      </w:pPr>
      <w:r w:rsidRPr="00321926">
        <w:rPr>
          <w:rFonts w:ascii="Book Antiqua" w:eastAsia="宋体" w:hAnsi="Book Antiqua" w:cs="宋体"/>
          <w:color w:val="000000"/>
          <w:lang w:eastAsia="zh-CN"/>
        </w:rPr>
        <w:t>15 </w:t>
      </w:r>
      <w:r w:rsidRPr="00321926">
        <w:rPr>
          <w:rFonts w:ascii="Book Antiqua" w:eastAsia="宋体" w:hAnsi="Book Antiqua" w:cs="宋体"/>
          <w:b/>
          <w:bCs/>
          <w:color w:val="000000"/>
          <w:lang w:eastAsia="zh-CN"/>
        </w:rPr>
        <w:t>Shah SS</w:t>
      </w:r>
      <w:r w:rsidRPr="00321926">
        <w:rPr>
          <w:rFonts w:ascii="Book Antiqua" w:eastAsia="宋体" w:hAnsi="Book Antiqua" w:cs="宋体"/>
          <w:color w:val="000000"/>
          <w:lang w:eastAsia="zh-CN"/>
        </w:rPr>
        <w:t>, Bhatia SJ, Mistry FP. Epidemiology of dyspepsia in the general population in Mumbai. </w:t>
      </w:r>
      <w:r w:rsidRPr="00321926">
        <w:rPr>
          <w:rFonts w:ascii="Book Antiqua" w:eastAsia="宋体" w:hAnsi="Book Antiqua" w:cs="宋体"/>
          <w:i/>
          <w:iCs/>
          <w:color w:val="000000"/>
          <w:lang w:eastAsia="zh-CN"/>
        </w:rPr>
        <w:t>Indian J Gastroenterol</w:t>
      </w:r>
      <w:r w:rsidRPr="00321926">
        <w:rPr>
          <w:rFonts w:ascii="Book Antiqua" w:eastAsia="宋体" w:hAnsi="Book Antiqua" w:cs="宋体"/>
          <w:color w:val="000000"/>
          <w:lang w:eastAsia="zh-CN"/>
        </w:rPr>
        <w:t> </w:t>
      </w:r>
      <w:r w:rsidRPr="00F24757">
        <w:rPr>
          <w:rFonts w:ascii="Book Antiqua" w:eastAsia="宋体" w:hAnsi="Book Antiqua" w:cs="宋体"/>
          <w:color w:val="000000"/>
          <w:lang w:eastAsia="zh-CN"/>
        </w:rPr>
        <w:t>2001</w:t>
      </w:r>
      <w:r w:rsidRPr="00321926">
        <w:rPr>
          <w:rFonts w:ascii="Book Antiqua" w:eastAsia="宋体" w:hAnsi="Book Antiqua" w:cs="宋体"/>
          <w:color w:val="000000"/>
          <w:lang w:eastAsia="zh-CN"/>
        </w:rPr>
        <w:t>; </w:t>
      </w:r>
      <w:r w:rsidRPr="00321926">
        <w:rPr>
          <w:rFonts w:ascii="Book Antiqua" w:eastAsia="宋体" w:hAnsi="Book Antiqua" w:cs="宋体"/>
          <w:b/>
          <w:bCs/>
          <w:color w:val="000000"/>
          <w:lang w:eastAsia="zh-CN"/>
        </w:rPr>
        <w:t>20</w:t>
      </w:r>
      <w:r w:rsidRPr="00321926">
        <w:rPr>
          <w:rFonts w:ascii="Book Antiqua" w:eastAsia="宋体" w:hAnsi="Book Antiqua" w:cs="宋体"/>
          <w:color w:val="000000"/>
          <w:lang w:eastAsia="zh-CN"/>
        </w:rPr>
        <w:t>: 103-106 [PMID: 11400800]</w:t>
      </w:r>
    </w:p>
    <w:p w:rsidR="00715FBD" w:rsidRPr="00321926" w:rsidRDefault="00715FBD" w:rsidP="00321926">
      <w:pPr>
        <w:spacing w:line="360" w:lineRule="auto"/>
        <w:jc w:val="both"/>
        <w:rPr>
          <w:rFonts w:ascii="Book Antiqua" w:eastAsia="宋体" w:hAnsi="Book Antiqua" w:cs="宋体"/>
          <w:color w:val="000000"/>
          <w:lang w:eastAsia="zh-CN"/>
        </w:rPr>
      </w:pPr>
      <w:r w:rsidRPr="00321926">
        <w:rPr>
          <w:rFonts w:ascii="Book Antiqua" w:eastAsia="宋体" w:hAnsi="Book Antiqua" w:cs="宋体"/>
          <w:color w:val="000000"/>
          <w:lang w:eastAsia="zh-CN"/>
        </w:rPr>
        <w:t>16 </w:t>
      </w:r>
      <w:r w:rsidRPr="00321926">
        <w:rPr>
          <w:rFonts w:ascii="Book Antiqua" w:eastAsia="宋体" w:hAnsi="Book Antiqua" w:cs="宋体"/>
          <w:b/>
          <w:bCs/>
          <w:color w:val="000000"/>
          <w:lang w:eastAsia="zh-CN"/>
        </w:rPr>
        <w:t>Hori K</w:t>
      </w:r>
      <w:r w:rsidRPr="00321926">
        <w:rPr>
          <w:rFonts w:ascii="Book Antiqua" w:eastAsia="宋体" w:hAnsi="Book Antiqua" w:cs="宋体"/>
          <w:color w:val="000000"/>
          <w:lang w:eastAsia="zh-CN"/>
        </w:rPr>
        <w:t>, Matsumoto T, Miwa H. Analysis of the gastrointestinal symptoms of uninvestigated dyspepsia and irritable bowel syndrome. </w:t>
      </w:r>
      <w:r w:rsidRPr="00321926">
        <w:rPr>
          <w:rFonts w:ascii="Book Antiqua" w:eastAsia="宋体" w:hAnsi="Book Antiqua" w:cs="宋体"/>
          <w:i/>
          <w:iCs/>
          <w:color w:val="000000"/>
          <w:lang w:eastAsia="zh-CN"/>
        </w:rPr>
        <w:t>Gut Liver</w:t>
      </w:r>
      <w:r w:rsidRPr="00321926">
        <w:rPr>
          <w:rFonts w:ascii="Book Antiqua" w:eastAsia="宋体" w:hAnsi="Book Antiqua" w:cs="宋体"/>
          <w:color w:val="000000"/>
          <w:lang w:eastAsia="zh-CN"/>
        </w:rPr>
        <w:t> 2009; </w:t>
      </w:r>
      <w:r w:rsidRPr="00321926">
        <w:rPr>
          <w:rFonts w:ascii="Book Antiqua" w:eastAsia="宋体" w:hAnsi="Book Antiqua" w:cs="宋体"/>
          <w:b/>
          <w:bCs/>
          <w:color w:val="000000"/>
          <w:lang w:eastAsia="zh-CN"/>
        </w:rPr>
        <w:t>3</w:t>
      </w:r>
      <w:r w:rsidRPr="00321926">
        <w:rPr>
          <w:rFonts w:ascii="Book Antiqua" w:eastAsia="宋体" w:hAnsi="Book Antiqua" w:cs="宋体"/>
          <w:color w:val="000000"/>
          <w:lang w:eastAsia="zh-CN"/>
        </w:rPr>
        <w:t>: 192-196 [PMID: 20431745 DOI: 10.5009/gnl.2009.3.3.192]</w:t>
      </w:r>
    </w:p>
    <w:p w:rsidR="00715FBD" w:rsidRPr="00321926" w:rsidRDefault="00715FBD" w:rsidP="00321926">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lastRenderedPageBreak/>
        <w:t xml:space="preserve">17 </w:t>
      </w:r>
      <w:r w:rsidRPr="00321926">
        <w:rPr>
          <w:rFonts w:ascii="Book Antiqua" w:eastAsia="宋体" w:hAnsi="Book Antiqua" w:cs="宋体"/>
          <w:b/>
          <w:color w:val="000000"/>
          <w:lang w:eastAsia="zh-CN"/>
        </w:rPr>
        <w:t>Hu J</w:t>
      </w:r>
      <w:r w:rsidRPr="00321926">
        <w:rPr>
          <w:rFonts w:ascii="Book Antiqua" w:eastAsia="宋体" w:hAnsi="Book Antiqua" w:cs="宋体"/>
          <w:color w:val="000000"/>
          <w:lang w:eastAsia="zh-CN"/>
        </w:rPr>
        <w:t xml:space="preserve">, Yang YS, Peng LH, Sun G, Guo X, Wang WF. Investigation of the risk factors of FD in Beijing university students. </w:t>
      </w:r>
      <w:r w:rsidRPr="00A33C0A">
        <w:rPr>
          <w:rFonts w:ascii="Book Antiqua" w:eastAsia="宋体" w:hAnsi="Book Antiqua" w:cs="宋体"/>
          <w:i/>
          <w:color w:val="000000"/>
          <w:lang w:eastAsia="zh-CN"/>
        </w:rPr>
        <w:t>Di san jun yi da xue xue bao</w:t>
      </w:r>
      <w:r w:rsidRPr="00321926">
        <w:rPr>
          <w:rFonts w:ascii="Book Antiqua" w:eastAsia="宋体" w:hAnsi="Book Antiqua" w:cs="宋体"/>
          <w:i/>
          <w:color w:val="000000"/>
          <w:lang w:eastAsia="zh-CN"/>
        </w:rPr>
        <w:t xml:space="preserve"> </w:t>
      </w:r>
      <w:r w:rsidRPr="00321926">
        <w:rPr>
          <w:rFonts w:ascii="Book Antiqua" w:eastAsia="宋体" w:hAnsi="Book Antiqua" w:cs="宋体"/>
          <w:color w:val="000000"/>
          <w:lang w:eastAsia="zh-CN"/>
        </w:rPr>
        <w:t>2009;</w:t>
      </w:r>
      <w:r w:rsidRPr="00321926">
        <w:rPr>
          <w:rFonts w:ascii="Book Antiqua" w:eastAsia="宋体" w:hAnsi="Book Antiqua" w:cs="宋体"/>
          <w:b/>
          <w:color w:val="000000"/>
          <w:lang w:eastAsia="zh-CN"/>
        </w:rPr>
        <w:t xml:space="preserve"> 31</w:t>
      </w:r>
      <w:r w:rsidRPr="00321926">
        <w:rPr>
          <w:rFonts w:ascii="Book Antiqua" w:eastAsia="宋体" w:hAnsi="Book Antiqua" w:cs="宋体"/>
          <w:color w:val="000000"/>
          <w:lang w:eastAsia="zh-CN"/>
        </w:rPr>
        <w:t>: 1498-1501</w:t>
      </w:r>
    </w:p>
    <w:p w:rsidR="00715FBD" w:rsidRPr="00321926" w:rsidRDefault="00715FBD" w:rsidP="00321926">
      <w:pPr>
        <w:spacing w:line="360" w:lineRule="auto"/>
        <w:jc w:val="both"/>
        <w:rPr>
          <w:rFonts w:ascii="Book Antiqua" w:eastAsia="宋体" w:hAnsi="Book Antiqua" w:cs="宋体"/>
          <w:color w:val="000000"/>
          <w:lang w:eastAsia="zh-CN"/>
        </w:rPr>
      </w:pPr>
      <w:r w:rsidRPr="00321926">
        <w:rPr>
          <w:rFonts w:ascii="Book Antiqua" w:eastAsia="宋体" w:hAnsi="Book Antiqua" w:cs="宋体"/>
          <w:color w:val="000000"/>
          <w:lang w:eastAsia="zh-CN"/>
        </w:rPr>
        <w:t xml:space="preserve">18 </w:t>
      </w:r>
      <w:r w:rsidRPr="00321926">
        <w:rPr>
          <w:rFonts w:ascii="Book Antiqua" w:eastAsia="宋体" w:hAnsi="Book Antiqua" w:cs="宋体"/>
          <w:b/>
          <w:color w:val="000000"/>
          <w:lang w:eastAsia="zh-CN"/>
        </w:rPr>
        <w:t>Wang QM</w:t>
      </w:r>
      <w:r w:rsidRPr="00321926">
        <w:rPr>
          <w:rFonts w:ascii="Book Antiqua" w:eastAsia="宋体" w:hAnsi="Book Antiqua" w:cs="宋体"/>
          <w:color w:val="000000"/>
          <w:lang w:eastAsia="zh-CN"/>
        </w:rPr>
        <w:t xml:space="preserve">, Wu ZX, Yin BS, Zheng BH, Zhang KG, Ding XP, Zhang ML. Epidemiological survey of functional dyspepsia among students of college in Hefei. </w:t>
      </w:r>
      <w:r w:rsidRPr="00575A30">
        <w:rPr>
          <w:rFonts w:ascii="Book Antiqua" w:eastAsia="宋体" w:hAnsi="Book Antiqua" w:cs="宋体"/>
          <w:i/>
          <w:color w:val="000000"/>
          <w:lang w:eastAsia="zh-CN"/>
        </w:rPr>
        <w:t>Zhongguo Linchuang Baojian Zazhi</w:t>
      </w:r>
      <w:r w:rsidRPr="00321926">
        <w:rPr>
          <w:rFonts w:ascii="Book Antiqua" w:eastAsia="宋体" w:hAnsi="Book Antiqua" w:cs="宋体"/>
          <w:i/>
          <w:color w:val="000000"/>
          <w:lang w:eastAsia="zh-CN"/>
        </w:rPr>
        <w:t xml:space="preserve"> </w:t>
      </w:r>
      <w:r w:rsidRPr="00321926">
        <w:rPr>
          <w:rFonts w:ascii="Book Antiqua" w:eastAsia="宋体" w:hAnsi="Book Antiqua" w:cs="宋体"/>
          <w:color w:val="000000"/>
          <w:lang w:eastAsia="zh-CN"/>
        </w:rPr>
        <w:t xml:space="preserve">2005; </w:t>
      </w:r>
      <w:r w:rsidRPr="00321926">
        <w:rPr>
          <w:rFonts w:ascii="Book Antiqua" w:eastAsia="宋体" w:hAnsi="Book Antiqua" w:cs="宋体"/>
          <w:b/>
          <w:color w:val="000000"/>
          <w:lang w:eastAsia="zh-CN"/>
        </w:rPr>
        <w:t>8</w:t>
      </w:r>
      <w:r w:rsidRPr="00321926">
        <w:rPr>
          <w:rFonts w:ascii="Book Antiqua" w:eastAsia="宋体" w:hAnsi="Book Antiqua" w:cs="宋体"/>
          <w:color w:val="000000"/>
          <w:lang w:eastAsia="zh-CN"/>
        </w:rPr>
        <w:t>: 205-207.</w:t>
      </w:r>
    </w:p>
    <w:p w:rsidR="00715FBD" w:rsidRPr="00321926" w:rsidRDefault="00715FBD" w:rsidP="00321926">
      <w:pPr>
        <w:spacing w:line="360" w:lineRule="auto"/>
        <w:jc w:val="both"/>
        <w:rPr>
          <w:rFonts w:ascii="Book Antiqua" w:eastAsia="宋体" w:hAnsi="Book Antiqua" w:cs="宋体"/>
          <w:color w:val="000000"/>
          <w:lang w:eastAsia="zh-CN"/>
        </w:rPr>
      </w:pPr>
      <w:r w:rsidRPr="00321926">
        <w:rPr>
          <w:rFonts w:ascii="Book Antiqua" w:eastAsia="宋体" w:hAnsi="Book Antiqua" w:cs="宋体"/>
          <w:color w:val="000000"/>
          <w:lang w:eastAsia="zh-CN"/>
        </w:rPr>
        <w:t>19 </w:t>
      </w:r>
      <w:r w:rsidRPr="00321926">
        <w:rPr>
          <w:rFonts w:ascii="Book Antiqua" w:eastAsia="宋体" w:hAnsi="Book Antiqua" w:cs="宋体"/>
          <w:b/>
          <w:bCs/>
          <w:color w:val="000000"/>
          <w:lang w:eastAsia="zh-CN"/>
        </w:rPr>
        <w:t>Nocon M</w:t>
      </w:r>
      <w:r w:rsidRPr="00321926">
        <w:rPr>
          <w:rFonts w:ascii="Book Antiqua" w:eastAsia="宋体" w:hAnsi="Book Antiqua" w:cs="宋体"/>
          <w:color w:val="000000"/>
          <w:lang w:eastAsia="zh-CN"/>
        </w:rPr>
        <w:t>, Keil T, Willich SN. Prevalence and sociodemographics of reflux symptoms in Germany--results from a national survey. </w:t>
      </w:r>
      <w:r w:rsidRPr="00321926">
        <w:rPr>
          <w:rFonts w:ascii="Book Antiqua" w:eastAsia="宋体" w:hAnsi="Book Antiqua" w:cs="宋体"/>
          <w:i/>
          <w:iCs/>
          <w:color w:val="000000"/>
          <w:lang w:eastAsia="zh-CN"/>
        </w:rPr>
        <w:t>Aliment Pharmacol Ther</w:t>
      </w:r>
      <w:r w:rsidRPr="00321926">
        <w:rPr>
          <w:rFonts w:ascii="Book Antiqua" w:eastAsia="宋体" w:hAnsi="Book Antiqua" w:cs="宋体"/>
          <w:color w:val="000000"/>
          <w:lang w:eastAsia="zh-CN"/>
        </w:rPr>
        <w:t> 2006; </w:t>
      </w:r>
      <w:r w:rsidRPr="00321926">
        <w:rPr>
          <w:rFonts w:ascii="Book Antiqua" w:eastAsia="宋体" w:hAnsi="Book Antiqua" w:cs="宋体"/>
          <w:b/>
          <w:bCs/>
          <w:color w:val="000000"/>
          <w:lang w:eastAsia="zh-CN"/>
        </w:rPr>
        <w:t>23</w:t>
      </w:r>
      <w:r w:rsidRPr="00321926">
        <w:rPr>
          <w:rFonts w:ascii="Book Antiqua" w:eastAsia="宋体" w:hAnsi="Book Antiqua" w:cs="宋体"/>
          <w:color w:val="000000"/>
          <w:lang w:eastAsia="zh-CN"/>
        </w:rPr>
        <w:t>: 1601-1605 [PMID: 16696809 DOI: 10.1111/j.1365-2036.2006.02924.x]</w:t>
      </w:r>
    </w:p>
    <w:p w:rsidR="00715FBD" w:rsidRPr="00321926" w:rsidRDefault="00715FBD" w:rsidP="00321926">
      <w:pPr>
        <w:spacing w:line="360" w:lineRule="auto"/>
        <w:jc w:val="both"/>
        <w:rPr>
          <w:rFonts w:ascii="Book Antiqua" w:eastAsia="宋体" w:hAnsi="Book Antiqua" w:cs="宋体"/>
          <w:color w:val="000000"/>
          <w:lang w:eastAsia="zh-CN"/>
        </w:rPr>
      </w:pPr>
      <w:r w:rsidRPr="00321926">
        <w:rPr>
          <w:rFonts w:ascii="Book Antiqua" w:eastAsia="宋体" w:hAnsi="Book Antiqua" w:cs="宋体"/>
          <w:color w:val="000000"/>
          <w:lang w:eastAsia="zh-CN"/>
        </w:rPr>
        <w:t>20 </w:t>
      </w:r>
      <w:r w:rsidRPr="00321926">
        <w:rPr>
          <w:rFonts w:ascii="Book Antiqua" w:eastAsia="宋体" w:hAnsi="Book Antiqua" w:cs="宋体"/>
          <w:b/>
          <w:bCs/>
          <w:color w:val="000000"/>
          <w:lang w:eastAsia="zh-CN"/>
        </w:rPr>
        <w:t>Ruigómez A</w:t>
      </w:r>
      <w:r w:rsidRPr="00321926">
        <w:rPr>
          <w:rFonts w:ascii="Book Antiqua" w:eastAsia="宋体" w:hAnsi="Book Antiqua" w:cs="宋体"/>
          <w:color w:val="000000"/>
          <w:lang w:eastAsia="zh-CN"/>
        </w:rPr>
        <w:t>, García Rodríguez LA, Wallander MA, Johansson S, Graffner H, Dent J. Natural history of gastro-oesophageal reflux disease diagnosed in general practice. </w:t>
      </w:r>
      <w:r w:rsidRPr="00321926">
        <w:rPr>
          <w:rFonts w:ascii="Book Antiqua" w:eastAsia="宋体" w:hAnsi="Book Antiqua" w:cs="宋体"/>
          <w:i/>
          <w:iCs/>
          <w:color w:val="000000"/>
          <w:lang w:eastAsia="zh-CN"/>
        </w:rPr>
        <w:t>Aliment Pharmacol Ther</w:t>
      </w:r>
      <w:r w:rsidRPr="00321926">
        <w:rPr>
          <w:rFonts w:ascii="Book Antiqua" w:eastAsia="宋体" w:hAnsi="Book Antiqua" w:cs="宋体"/>
          <w:color w:val="000000"/>
          <w:lang w:eastAsia="zh-CN"/>
        </w:rPr>
        <w:t> 2004; </w:t>
      </w:r>
      <w:r w:rsidRPr="00321926">
        <w:rPr>
          <w:rFonts w:ascii="Book Antiqua" w:eastAsia="宋体" w:hAnsi="Book Antiqua" w:cs="宋体"/>
          <w:b/>
          <w:bCs/>
          <w:color w:val="000000"/>
          <w:lang w:eastAsia="zh-CN"/>
        </w:rPr>
        <w:t>20</w:t>
      </w:r>
      <w:r w:rsidRPr="00321926">
        <w:rPr>
          <w:rFonts w:ascii="Book Antiqua" w:eastAsia="宋体" w:hAnsi="Book Antiqua" w:cs="宋体"/>
          <w:color w:val="000000"/>
          <w:lang w:eastAsia="zh-CN"/>
        </w:rPr>
        <w:t>: 751-760 [PMID: 15379835 DOI: 10.1111/j.1365-2036.2004.02169.x]</w:t>
      </w:r>
    </w:p>
    <w:p w:rsidR="00715FBD" w:rsidRPr="00321926" w:rsidRDefault="00715FBD" w:rsidP="00321926">
      <w:pPr>
        <w:spacing w:line="360" w:lineRule="auto"/>
        <w:jc w:val="both"/>
        <w:rPr>
          <w:rFonts w:ascii="Book Antiqua" w:eastAsia="宋体" w:hAnsi="Book Antiqua" w:cs="宋体"/>
          <w:color w:val="000000"/>
          <w:lang w:eastAsia="zh-CN"/>
        </w:rPr>
      </w:pPr>
      <w:r w:rsidRPr="00321926">
        <w:rPr>
          <w:rFonts w:ascii="Book Antiqua" w:eastAsia="宋体" w:hAnsi="Book Antiqua" w:cs="宋体"/>
          <w:color w:val="000000"/>
          <w:lang w:eastAsia="zh-CN"/>
        </w:rPr>
        <w:t>21 </w:t>
      </w:r>
      <w:r w:rsidRPr="00321926">
        <w:rPr>
          <w:rFonts w:ascii="Book Antiqua" w:eastAsia="宋体" w:hAnsi="Book Antiqua" w:cs="宋体"/>
          <w:b/>
          <w:bCs/>
          <w:color w:val="000000"/>
          <w:lang w:eastAsia="zh-CN"/>
        </w:rPr>
        <w:t>Gururatsakul M</w:t>
      </w:r>
      <w:r w:rsidRPr="00321926">
        <w:rPr>
          <w:rFonts w:ascii="Book Antiqua" w:eastAsia="宋体" w:hAnsi="Book Antiqua" w:cs="宋体"/>
          <w:color w:val="000000"/>
          <w:lang w:eastAsia="zh-CN"/>
        </w:rPr>
        <w:t>, Holloway RH, Adam B, Liebregts T, Talley NJ, Holtmann GJ. The ageing gut: diminished symptom response to a standardized nutrient stimulus. </w:t>
      </w:r>
      <w:r w:rsidRPr="00321926">
        <w:rPr>
          <w:rFonts w:ascii="Book Antiqua" w:eastAsia="宋体" w:hAnsi="Book Antiqua" w:cs="宋体"/>
          <w:i/>
          <w:iCs/>
          <w:color w:val="000000"/>
          <w:lang w:eastAsia="zh-CN"/>
        </w:rPr>
        <w:t>Neurogastroenterol Motil</w:t>
      </w:r>
      <w:r w:rsidRPr="00321926">
        <w:rPr>
          <w:rFonts w:ascii="Book Antiqua" w:eastAsia="宋体" w:hAnsi="Book Antiqua" w:cs="宋体"/>
          <w:color w:val="000000"/>
          <w:lang w:eastAsia="zh-CN"/>
        </w:rPr>
        <w:t> 2010; </w:t>
      </w:r>
      <w:r w:rsidRPr="00321926">
        <w:rPr>
          <w:rFonts w:ascii="Book Antiqua" w:eastAsia="宋体" w:hAnsi="Book Antiqua" w:cs="宋体"/>
          <w:b/>
          <w:bCs/>
          <w:color w:val="000000"/>
          <w:lang w:eastAsia="zh-CN"/>
        </w:rPr>
        <w:t>22</w:t>
      </w:r>
      <w:r w:rsidRPr="00321926">
        <w:rPr>
          <w:rFonts w:ascii="Book Antiqua" w:eastAsia="宋体" w:hAnsi="Book Antiqua" w:cs="宋体"/>
          <w:color w:val="000000"/>
          <w:lang w:eastAsia="zh-CN"/>
        </w:rPr>
        <w:t>: 246-e77 [PMID: 19814772 DOI: 10.1111/j.1365-2982.2009.01413.x]</w:t>
      </w:r>
    </w:p>
    <w:p w:rsidR="00715FBD" w:rsidRPr="00321926" w:rsidRDefault="00715FBD" w:rsidP="00321926">
      <w:pPr>
        <w:spacing w:line="360" w:lineRule="auto"/>
        <w:jc w:val="both"/>
        <w:rPr>
          <w:rFonts w:ascii="Book Antiqua" w:eastAsia="宋体" w:hAnsi="Book Antiqua" w:cs="宋体"/>
          <w:color w:val="000000"/>
          <w:lang w:eastAsia="zh-CN"/>
        </w:rPr>
      </w:pPr>
      <w:r w:rsidRPr="00321926">
        <w:rPr>
          <w:rFonts w:ascii="Book Antiqua" w:eastAsia="宋体" w:hAnsi="Book Antiqua" w:cs="宋体"/>
          <w:color w:val="000000"/>
          <w:lang w:eastAsia="zh-CN"/>
        </w:rPr>
        <w:t>22 </w:t>
      </w:r>
      <w:r w:rsidRPr="00321926">
        <w:rPr>
          <w:rFonts w:ascii="Book Antiqua" w:eastAsia="宋体" w:hAnsi="Book Antiqua" w:cs="宋体"/>
          <w:b/>
          <w:bCs/>
          <w:color w:val="000000"/>
          <w:lang w:eastAsia="zh-CN"/>
        </w:rPr>
        <w:t>Haag S</w:t>
      </w:r>
      <w:r w:rsidRPr="00321926">
        <w:rPr>
          <w:rFonts w:ascii="Book Antiqua" w:eastAsia="宋体" w:hAnsi="Book Antiqua" w:cs="宋体"/>
          <w:color w:val="000000"/>
          <w:lang w:eastAsia="zh-CN"/>
        </w:rPr>
        <w:t>, Andrews JM, Gapasin J, Gerken G, Keller A, Holtmann GJ. A 13-nation population survey of upper gastrointestinal symptoms: prevalence of symptoms and socioeconomic factors. </w:t>
      </w:r>
      <w:r w:rsidRPr="00321926">
        <w:rPr>
          <w:rFonts w:ascii="Book Antiqua" w:eastAsia="宋体" w:hAnsi="Book Antiqua" w:cs="宋体"/>
          <w:i/>
          <w:iCs/>
          <w:color w:val="000000"/>
          <w:lang w:eastAsia="zh-CN"/>
        </w:rPr>
        <w:t>Aliment Pharmacol Ther</w:t>
      </w:r>
      <w:r w:rsidRPr="00321926">
        <w:rPr>
          <w:rFonts w:ascii="Book Antiqua" w:eastAsia="宋体" w:hAnsi="Book Antiqua" w:cs="宋体"/>
          <w:color w:val="000000"/>
          <w:lang w:eastAsia="zh-CN"/>
        </w:rPr>
        <w:t> 2011; </w:t>
      </w:r>
      <w:r w:rsidRPr="00321926">
        <w:rPr>
          <w:rFonts w:ascii="Book Antiqua" w:eastAsia="宋体" w:hAnsi="Book Antiqua" w:cs="宋体"/>
          <w:b/>
          <w:bCs/>
          <w:color w:val="000000"/>
          <w:lang w:eastAsia="zh-CN"/>
        </w:rPr>
        <w:t>33</w:t>
      </w:r>
      <w:r w:rsidRPr="00321926">
        <w:rPr>
          <w:rFonts w:ascii="Book Antiqua" w:eastAsia="宋体" w:hAnsi="Book Antiqua" w:cs="宋体"/>
          <w:color w:val="000000"/>
          <w:lang w:eastAsia="zh-CN"/>
        </w:rPr>
        <w:t>: 722-729 [PMID: 21208245 DOI: 10.1111/j.1365-2036.2010.04564.x]</w:t>
      </w:r>
    </w:p>
    <w:p w:rsidR="00715FBD" w:rsidRPr="00321926" w:rsidRDefault="00715FBD" w:rsidP="00321926">
      <w:pPr>
        <w:spacing w:line="360" w:lineRule="auto"/>
        <w:jc w:val="both"/>
        <w:rPr>
          <w:rFonts w:ascii="Book Antiqua" w:eastAsia="宋体" w:hAnsi="Book Antiqua" w:cs="宋体"/>
          <w:color w:val="000000"/>
          <w:lang w:eastAsia="zh-CN"/>
        </w:rPr>
      </w:pPr>
      <w:r w:rsidRPr="00321926">
        <w:rPr>
          <w:rFonts w:ascii="Book Antiqua" w:eastAsia="宋体" w:hAnsi="Book Antiqua" w:cs="宋体"/>
          <w:color w:val="000000"/>
          <w:lang w:eastAsia="zh-CN"/>
        </w:rPr>
        <w:t>23 </w:t>
      </w:r>
      <w:r w:rsidRPr="00321926">
        <w:rPr>
          <w:rFonts w:ascii="Book Antiqua" w:eastAsia="宋体" w:hAnsi="Book Antiqua" w:cs="宋体"/>
          <w:b/>
          <w:bCs/>
          <w:color w:val="000000"/>
          <w:lang w:eastAsia="zh-CN"/>
        </w:rPr>
        <w:t>Shaib Y</w:t>
      </w:r>
      <w:r w:rsidRPr="00321926">
        <w:rPr>
          <w:rFonts w:ascii="Book Antiqua" w:eastAsia="宋体" w:hAnsi="Book Antiqua" w:cs="宋体"/>
          <w:color w:val="000000"/>
          <w:lang w:eastAsia="zh-CN"/>
        </w:rPr>
        <w:t>, El-Serag HB. The prevalence and risk factors of functional dyspepsia in a multiethnic population in the United States. </w:t>
      </w:r>
      <w:r w:rsidRPr="00321926">
        <w:rPr>
          <w:rFonts w:ascii="Book Antiqua" w:eastAsia="宋体" w:hAnsi="Book Antiqua" w:cs="宋体"/>
          <w:i/>
          <w:iCs/>
          <w:color w:val="000000"/>
          <w:lang w:eastAsia="zh-CN"/>
        </w:rPr>
        <w:t>Am J Gastroenterol</w:t>
      </w:r>
      <w:r w:rsidRPr="00321926">
        <w:rPr>
          <w:rFonts w:ascii="Book Antiqua" w:eastAsia="宋体" w:hAnsi="Book Antiqua" w:cs="宋体"/>
          <w:color w:val="000000"/>
          <w:lang w:eastAsia="zh-CN"/>
        </w:rPr>
        <w:t> 2004; </w:t>
      </w:r>
      <w:r w:rsidRPr="00321926">
        <w:rPr>
          <w:rFonts w:ascii="Book Antiqua" w:eastAsia="宋体" w:hAnsi="Book Antiqua" w:cs="宋体"/>
          <w:b/>
          <w:bCs/>
          <w:color w:val="000000"/>
          <w:lang w:eastAsia="zh-CN"/>
        </w:rPr>
        <w:t>99</w:t>
      </w:r>
      <w:r w:rsidRPr="00321926">
        <w:rPr>
          <w:rFonts w:ascii="Book Antiqua" w:eastAsia="宋体" w:hAnsi="Book Antiqua" w:cs="宋体"/>
          <w:color w:val="000000"/>
          <w:lang w:eastAsia="zh-CN"/>
        </w:rPr>
        <w:t>: 2210-2216 [PMID: 15555004 DOI: 10.1111/j.1572-0241.2004.40052.x]</w:t>
      </w:r>
    </w:p>
    <w:p w:rsidR="00715FBD" w:rsidRPr="00321926" w:rsidRDefault="00715FBD" w:rsidP="00321926">
      <w:pPr>
        <w:spacing w:line="360" w:lineRule="auto"/>
        <w:jc w:val="both"/>
        <w:rPr>
          <w:rFonts w:ascii="Book Antiqua" w:eastAsia="宋体" w:hAnsi="Book Antiqua" w:cs="宋体"/>
          <w:color w:val="000000"/>
          <w:lang w:eastAsia="zh-CN"/>
        </w:rPr>
      </w:pPr>
      <w:r w:rsidRPr="00321926">
        <w:rPr>
          <w:rFonts w:ascii="Book Antiqua" w:eastAsia="宋体" w:hAnsi="Book Antiqua" w:cs="宋体"/>
          <w:color w:val="000000"/>
          <w:lang w:eastAsia="zh-CN"/>
        </w:rPr>
        <w:t>24 </w:t>
      </w:r>
      <w:r w:rsidRPr="00321926">
        <w:rPr>
          <w:rFonts w:ascii="Book Antiqua" w:eastAsia="宋体" w:hAnsi="Book Antiqua" w:cs="宋体"/>
          <w:b/>
          <w:bCs/>
          <w:color w:val="000000"/>
          <w:lang w:eastAsia="zh-CN"/>
        </w:rPr>
        <w:t>Tougas G</w:t>
      </w:r>
      <w:r w:rsidRPr="00321926">
        <w:rPr>
          <w:rFonts w:ascii="Book Antiqua" w:eastAsia="宋体" w:hAnsi="Book Antiqua" w:cs="宋体"/>
          <w:color w:val="000000"/>
          <w:lang w:eastAsia="zh-CN"/>
        </w:rPr>
        <w:t>, Chen Y, Hwang P, Liu MM, Eggleston A. Prevalence and impact of upper gastrointestinal symptoms in the Canadian population: findings from the DIGEST study. Domestic/International Gastroenterology Surveillance Study. </w:t>
      </w:r>
      <w:r w:rsidRPr="00321926">
        <w:rPr>
          <w:rFonts w:ascii="Book Antiqua" w:eastAsia="宋体" w:hAnsi="Book Antiqua" w:cs="宋体"/>
          <w:i/>
          <w:iCs/>
          <w:color w:val="000000"/>
          <w:lang w:eastAsia="zh-CN"/>
        </w:rPr>
        <w:t>Am J Gastroenterol</w:t>
      </w:r>
      <w:r w:rsidRPr="00321926">
        <w:rPr>
          <w:rFonts w:ascii="Book Antiqua" w:eastAsia="宋体" w:hAnsi="Book Antiqua" w:cs="宋体"/>
          <w:color w:val="000000"/>
          <w:lang w:eastAsia="zh-CN"/>
        </w:rPr>
        <w:t> 1999; </w:t>
      </w:r>
      <w:r w:rsidRPr="00321926">
        <w:rPr>
          <w:rFonts w:ascii="Book Antiqua" w:eastAsia="宋体" w:hAnsi="Book Antiqua" w:cs="宋体"/>
          <w:b/>
          <w:bCs/>
          <w:color w:val="000000"/>
          <w:lang w:eastAsia="zh-CN"/>
        </w:rPr>
        <w:t>94</w:t>
      </w:r>
      <w:r w:rsidRPr="00321926">
        <w:rPr>
          <w:rFonts w:ascii="Book Antiqua" w:eastAsia="宋体" w:hAnsi="Book Antiqua" w:cs="宋体"/>
          <w:color w:val="000000"/>
          <w:lang w:eastAsia="zh-CN"/>
        </w:rPr>
        <w:t>: 2845-2854 [PMID: 10520832 DOI: 10.1111/j.1572-0241.1999.01427.x]</w:t>
      </w:r>
    </w:p>
    <w:p w:rsidR="00715FBD" w:rsidRPr="00321926" w:rsidRDefault="00715FBD" w:rsidP="00321926">
      <w:pPr>
        <w:spacing w:line="360" w:lineRule="auto"/>
        <w:jc w:val="both"/>
        <w:rPr>
          <w:rFonts w:ascii="Book Antiqua" w:eastAsia="宋体" w:hAnsi="Book Antiqua" w:cs="宋体"/>
          <w:color w:val="000000"/>
          <w:lang w:eastAsia="zh-CN"/>
        </w:rPr>
      </w:pPr>
      <w:r w:rsidRPr="00321926">
        <w:rPr>
          <w:rFonts w:ascii="Book Antiqua" w:eastAsia="宋体" w:hAnsi="Book Antiqua" w:cs="宋体"/>
          <w:color w:val="000000"/>
          <w:lang w:eastAsia="zh-CN"/>
        </w:rPr>
        <w:lastRenderedPageBreak/>
        <w:t>25 </w:t>
      </w:r>
      <w:r w:rsidRPr="00321926">
        <w:rPr>
          <w:rFonts w:ascii="Book Antiqua" w:eastAsia="宋体" w:hAnsi="Book Antiqua" w:cs="宋体"/>
          <w:b/>
          <w:bCs/>
          <w:color w:val="000000"/>
          <w:lang w:eastAsia="zh-CN"/>
        </w:rPr>
        <w:t>Haque M</w:t>
      </w:r>
      <w:r w:rsidRPr="00321926">
        <w:rPr>
          <w:rFonts w:ascii="Book Antiqua" w:eastAsia="宋体" w:hAnsi="Book Antiqua" w:cs="宋体"/>
          <w:color w:val="000000"/>
          <w:lang w:eastAsia="zh-CN"/>
        </w:rPr>
        <w:t>, Wyeth JW, Stace NH, Talley NJ, Green R. Prevalence, severity and associated features of gastro-oesophageal reflux and dyspepsia: a population-based study. </w:t>
      </w:r>
      <w:r w:rsidRPr="00321926">
        <w:rPr>
          <w:rFonts w:ascii="Book Antiqua" w:eastAsia="宋体" w:hAnsi="Book Antiqua" w:cs="宋体"/>
          <w:i/>
          <w:iCs/>
          <w:color w:val="000000"/>
          <w:lang w:eastAsia="zh-CN"/>
        </w:rPr>
        <w:t>N Z Med J</w:t>
      </w:r>
      <w:r w:rsidRPr="00321926">
        <w:rPr>
          <w:rFonts w:ascii="Book Antiqua" w:eastAsia="宋体" w:hAnsi="Book Antiqua" w:cs="宋体"/>
          <w:color w:val="000000"/>
          <w:lang w:eastAsia="zh-CN"/>
        </w:rPr>
        <w:t> 2000; </w:t>
      </w:r>
      <w:r w:rsidRPr="00321926">
        <w:rPr>
          <w:rFonts w:ascii="Book Antiqua" w:eastAsia="宋体" w:hAnsi="Book Antiqua" w:cs="宋体"/>
          <w:b/>
          <w:bCs/>
          <w:color w:val="000000"/>
          <w:lang w:eastAsia="zh-CN"/>
        </w:rPr>
        <w:t>113</w:t>
      </w:r>
      <w:r w:rsidRPr="00321926">
        <w:rPr>
          <w:rFonts w:ascii="Book Antiqua" w:eastAsia="宋体" w:hAnsi="Book Antiqua" w:cs="宋体"/>
          <w:color w:val="000000"/>
          <w:lang w:eastAsia="zh-CN"/>
        </w:rPr>
        <w:t>: 178-181 [PMID: 10917077]</w:t>
      </w:r>
    </w:p>
    <w:p w:rsidR="00715FBD" w:rsidRPr="00321926" w:rsidRDefault="00715FBD" w:rsidP="00321926">
      <w:pPr>
        <w:spacing w:line="360" w:lineRule="auto"/>
        <w:jc w:val="both"/>
        <w:rPr>
          <w:rFonts w:ascii="Book Antiqua" w:eastAsia="宋体" w:hAnsi="Book Antiqua" w:cs="宋体"/>
          <w:color w:val="000000"/>
          <w:lang w:eastAsia="zh-CN"/>
        </w:rPr>
      </w:pPr>
      <w:r w:rsidRPr="00321926">
        <w:rPr>
          <w:rFonts w:ascii="Book Antiqua" w:eastAsia="宋体" w:hAnsi="Book Antiqua" w:cs="宋体"/>
          <w:color w:val="000000"/>
          <w:lang w:eastAsia="zh-CN"/>
        </w:rPr>
        <w:t>26 </w:t>
      </w:r>
      <w:r w:rsidRPr="00321926">
        <w:rPr>
          <w:rFonts w:ascii="Book Antiqua" w:eastAsia="宋体" w:hAnsi="Book Antiqua" w:cs="宋体"/>
          <w:b/>
          <w:bCs/>
          <w:color w:val="000000"/>
          <w:lang w:eastAsia="zh-CN"/>
        </w:rPr>
        <w:t>van Kerkhoven LA</w:t>
      </w:r>
      <w:r w:rsidRPr="00321926">
        <w:rPr>
          <w:rFonts w:ascii="Book Antiqua" w:eastAsia="宋体" w:hAnsi="Book Antiqua" w:cs="宋体"/>
          <w:color w:val="000000"/>
          <w:lang w:eastAsia="zh-CN"/>
        </w:rPr>
        <w:t>, Laheij RJ, Meineche-Schmidt V, Veldhuyzen-van Zanten SJ, de Wit NJ, Jansen JB. Functional dyspepsia: not all roads seem to lead to rome. </w:t>
      </w:r>
      <w:r w:rsidRPr="00321926">
        <w:rPr>
          <w:rFonts w:ascii="Book Antiqua" w:eastAsia="宋体" w:hAnsi="Book Antiqua" w:cs="宋体"/>
          <w:i/>
          <w:iCs/>
          <w:color w:val="000000"/>
          <w:lang w:eastAsia="zh-CN"/>
        </w:rPr>
        <w:t>J Clin Gastroenterol</w:t>
      </w:r>
      <w:r w:rsidRPr="00321926">
        <w:rPr>
          <w:rFonts w:ascii="Book Antiqua" w:eastAsia="宋体" w:hAnsi="Book Antiqua" w:cs="宋体"/>
          <w:color w:val="000000"/>
          <w:lang w:eastAsia="zh-CN"/>
        </w:rPr>
        <w:t> 2009; </w:t>
      </w:r>
      <w:r w:rsidRPr="00321926">
        <w:rPr>
          <w:rFonts w:ascii="Book Antiqua" w:eastAsia="宋体" w:hAnsi="Book Antiqua" w:cs="宋体"/>
          <w:b/>
          <w:bCs/>
          <w:color w:val="000000"/>
          <w:lang w:eastAsia="zh-CN"/>
        </w:rPr>
        <w:t>43</w:t>
      </w:r>
      <w:r w:rsidRPr="00321926">
        <w:rPr>
          <w:rFonts w:ascii="Book Antiqua" w:eastAsia="宋体" w:hAnsi="Book Antiqua" w:cs="宋体"/>
          <w:color w:val="000000"/>
          <w:lang w:eastAsia="zh-CN"/>
        </w:rPr>
        <w:t>: 118-122 [PMID: 18719513 DOI: 10.1097/MCG.0b013e31815591f7]</w:t>
      </w:r>
    </w:p>
    <w:p w:rsidR="00715FBD" w:rsidRPr="00321926" w:rsidRDefault="00715FBD" w:rsidP="00321926">
      <w:pPr>
        <w:spacing w:line="360" w:lineRule="auto"/>
        <w:jc w:val="both"/>
        <w:rPr>
          <w:rFonts w:ascii="Book Antiqua" w:eastAsia="宋体" w:hAnsi="Book Antiqua" w:cs="宋体"/>
          <w:color w:val="000000"/>
          <w:lang w:eastAsia="zh-CN"/>
        </w:rPr>
      </w:pPr>
      <w:r w:rsidRPr="00321926">
        <w:rPr>
          <w:rFonts w:ascii="Book Antiqua" w:eastAsia="宋体" w:hAnsi="Book Antiqua" w:cs="宋体"/>
          <w:color w:val="000000"/>
          <w:lang w:eastAsia="zh-CN"/>
        </w:rPr>
        <w:t>27 </w:t>
      </w:r>
      <w:r w:rsidRPr="00321926">
        <w:rPr>
          <w:rFonts w:ascii="Book Antiqua" w:eastAsia="宋体" w:hAnsi="Book Antiqua" w:cs="宋体"/>
          <w:b/>
          <w:bCs/>
          <w:color w:val="000000"/>
          <w:lang w:eastAsia="zh-CN"/>
        </w:rPr>
        <w:t>Lydiard RB</w:t>
      </w:r>
      <w:r w:rsidRPr="00321926">
        <w:rPr>
          <w:rFonts w:ascii="Book Antiqua" w:eastAsia="宋体" w:hAnsi="Book Antiqua" w:cs="宋体"/>
          <w:color w:val="000000"/>
          <w:lang w:eastAsia="zh-CN"/>
        </w:rPr>
        <w:t>. Increased prevalence of functional gastrointestinal disorders in panic disorder: clinical and theoretical implications. </w:t>
      </w:r>
      <w:r w:rsidRPr="00321926">
        <w:rPr>
          <w:rFonts w:ascii="Book Antiqua" w:eastAsia="宋体" w:hAnsi="Book Antiqua" w:cs="宋体"/>
          <w:i/>
          <w:iCs/>
          <w:color w:val="000000"/>
          <w:lang w:eastAsia="zh-CN"/>
        </w:rPr>
        <w:t>CNS Spectr</w:t>
      </w:r>
      <w:r w:rsidRPr="00321926">
        <w:rPr>
          <w:rFonts w:ascii="Book Antiqua" w:eastAsia="宋体" w:hAnsi="Book Antiqua" w:cs="宋体"/>
          <w:color w:val="000000"/>
          <w:lang w:eastAsia="zh-CN"/>
        </w:rPr>
        <w:t> 2005; </w:t>
      </w:r>
      <w:r w:rsidRPr="00321926">
        <w:rPr>
          <w:rFonts w:ascii="Book Antiqua" w:eastAsia="宋体" w:hAnsi="Book Antiqua" w:cs="宋体"/>
          <w:b/>
          <w:bCs/>
          <w:color w:val="000000"/>
          <w:lang w:eastAsia="zh-CN"/>
        </w:rPr>
        <w:t>10</w:t>
      </w:r>
      <w:r w:rsidRPr="00321926">
        <w:rPr>
          <w:rFonts w:ascii="Book Antiqua" w:eastAsia="宋体" w:hAnsi="Book Antiqua" w:cs="宋体"/>
          <w:color w:val="000000"/>
          <w:lang w:eastAsia="zh-CN"/>
        </w:rPr>
        <w:t>: 899-908 [PMID: 16273019]</w:t>
      </w:r>
    </w:p>
    <w:p w:rsidR="00715FBD" w:rsidRPr="00321926" w:rsidRDefault="00715FBD" w:rsidP="00321926">
      <w:pPr>
        <w:spacing w:line="360" w:lineRule="auto"/>
        <w:jc w:val="both"/>
        <w:rPr>
          <w:rFonts w:ascii="Book Antiqua" w:eastAsia="宋体" w:hAnsi="Book Antiqua" w:cs="宋体"/>
          <w:color w:val="000000"/>
          <w:lang w:eastAsia="zh-CN"/>
        </w:rPr>
      </w:pPr>
      <w:r w:rsidRPr="00321926">
        <w:rPr>
          <w:rFonts w:ascii="Book Antiqua" w:eastAsia="宋体" w:hAnsi="Book Antiqua" w:cs="宋体"/>
          <w:color w:val="000000"/>
          <w:lang w:eastAsia="zh-CN"/>
        </w:rPr>
        <w:t>28 </w:t>
      </w:r>
      <w:r w:rsidRPr="00321926">
        <w:rPr>
          <w:rFonts w:ascii="Book Antiqua" w:eastAsia="宋体" w:hAnsi="Book Antiqua" w:cs="宋体"/>
          <w:b/>
          <w:bCs/>
          <w:color w:val="000000"/>
          <w:lang w:eastAsia="zh-CN"/>
        </w:rPr>
        <w:t>Drossman DA</w:t>
      </w:r>
      <w:r w:rsidRPr="00321926">
        <w:rPr>
          <w:rFonts w:ascii="Book Antiqua" w:eastAsia="宋体" w:hAnsi="Book Antiqua" w:cs="宋体"/>
          <w:color w:val="000000"/>
          <w:lang w:eastAsia="zh-CN"/>
        </w:rPr>
        <w:t>, Li Z, Andruzzi E, Temple RD, Talley NJ, Thompson WG, Whitehead WE, Janssens J, Funch-Jensen P, Corazziari E. U.S. householder survey of functional gastrointestinal disorders. Prevalence, sociodemography, and health impact. </w:t>
      </w:r>
      <w:r w:rsidRPr="00321926">
        <w:rPr>
          <w:rFonts w:ascii="Book Antiqua" w:eastAsia="宋体" w:hAnsi="Book Antiqua" w:cs="宋体"/>
          <w:i/>
          <w:iCs/>
          <w:color w:val="000000"/>
          <w:lang w:eastAsia="zh-CN"/>
        </w:rPr>
        <w:t>Dig Dis Sci</w:t>
      </w:r>
      <w:r w:rsidRPr="00321926">
        <w:rPr>
          <w:rFonts w:ascii="Book Antiqua" w:eastAsia="宋体" w:hAnsi="Book Antiqua" w:cs="宋体"/>
          <w:color w:val="000000"/>
          <w:lang w:eastAsia="zh-CN"/>
        </w:rPr>
        <w:t> 1993; </w:t>
      </w:r>
      <w:r w:rsidRPr="00321926">
        <w:rPr>
          <w:rFonts w:ascii="Book Antiqua" w:eastAsia="宋体" w:hAnsi="Book Antiqua" w:cs="宋体"/>
          <w:b/>
          <w:bCs/>
          <w:color w:val="000000"/>
          <w:lang w:eastAsia="zh-CN"/>
        </w:rPr>
        <w:t>38</w:t>
      </w:r>
      <w:r w:rsidRPr="00321926">
        <w:rPr>
          <w:rFonts w:ascii="Book Antiqua" w:eastAsia="宋体" w:hAnsi="Book Antiqua" w:cs="宋体"/>
          <w:color w:val="000000"/>
          <w:lang w:eastAsia="zh-CN"/>
        </w:rPr>
        <w:t>: 1569-1580 [PMID: 8359066 DOI: 10.1007/BF01303162]</w:t>
      </w:r>
    </w:p>
    <w:p w:rsidR="00715FBD" w:rsidRPr="00321926" w:rsidRDefault="00715FBD" w:rsidP="00321926">
      <w:pPr>
        <w:spacing w:line="360" w:lineRule="auto"/>
        <w:jc w:val="both"/>
        <w:rPr>
          <w:rFonts w:ascii="Book Antiqua" w:eastAsia="宋体" w:hAnsi="Book Antiqua" w:cs="宋体"/>
          <w:color w:val="000000"/>
          <w:lang w:eastAsia="zh-CN"/>
        </w:rPr>
      </w:pPr>
      <w:r w:rsidRPr="00321926">
        <w:rPr>
          <w:rFonts w:ascii="Book Antiqua" w:eastAsia="宋体" w:hAnsi="Book Antiqua" w:cs="宋体"/>
          <w:color w:val="000000"/>
          <w:lang w:eastAsia="zh-CN"/>
        </w:rPr>
        <w:t>29 </w:t>
      </w:r>
      <w:r w:rsidRPr="00321926">
        <w:rPr>
          <w:rFonts w:ascii="Book Antiqua" w:eastAsia="宋体" w:hAnsi="Book Antiqua" w:cs="宋体"/>
          <w:b/>
          <w:bCs/>
          <w:color w:val="000000"/>
          <w:lang w:eastAsia="zh-CN"/>
        </w:rPr>
        <w:t>Talley NJ</w:t>
      </w:r>
      <w:r w:rsidRPr="00321926">
        <w:rPr>
          <w:rFonts w:ascii="Book Antiqua" w:eastAsia="宋体" w:hAnsi="Book Antiqua" w:cs="宋体"/>
          <w:color w:val="000000"/>
          <w:lang w:eastAsia="zh-CN"/>
        </w:rPr>
        <w:t>, Verlinden M, Jones M. Can symptoms discriminate among those with delayed or normal gastric emptying in dysmotility-like dyspepsia? </w:t>
      </w:r>
      <w:r w:rsidRPr="00321926">
        <w:rPr>
          <w:rFonts w:ascii="Book Antiqua" w:eastAsia="宋体" w:hAnsi="Book Antiqua" w:cs="宋体"/>
          <w:i/>
          <w:iCs/>
          <w:color w:val="000000"/>
          <w:lang w:eastAsia="zh-CN"/>
        </w:rPr>
        <w:t>Am J Gastroenterol</w:t>
      </w:r>
      <w:r w:rsidRPr="00321926">
        <w:rPr>
          <w:rFonts w:ascii="Book Antiqua" w:eastAsia="宋体" w:hAnsi="Book Antiqua" w:cs="宋体"/>
          <w:color w:val="000000"/>
          <w:lang w:eastAsia="zh-CN"/>
        </w:rPr>
        <w:t> 2001; </w:t>
      </w:r>
      <w:r w:rsidRPr="00321926">
        <w:rPr>
          <w:rFonts w:ascii="Book Antiqua" w:eastAsia="宋体" w:hAnsi="Book Antiqua" w:cs="宋体"/>
          <w:b/>
          <w:bCs/>
          <w:color w:val="000000"/>
          <w:lang w:eastAsia="zh-CN"/>
        </w:rPr>
        <w:t>96</w:t>
      </w:r>
      <w:r w:rsidRPr="00321926">
        <w:rPr>
          <w:rFonts w:ascii="Book Antiqua" w:eastAsia="宋体" w:hAnsi="Book Antiqua" w:cs="宋体"/>
          <w:color w:val="000000"/>
          <w:lang w:eastAsia="zh-CN"/>
        </w:rPr>
        <w:t>: 1422-1428 [PMID: 11374677 DOI: 10.1111/j.1572-0241.2001.03683.x]</w:t>
      </w:r>
    </w:p>
    <w:p w:rsidR="00715FBD" w:rsidRPr="00321926" w:rsidRDefault="00715FBD" w:rsidP="00321926">
      <w:pPr>
        <w:spacing w:line="360" w:lineRule="auto"/>
        <w:jc w:val="both"/>
        <w:rPr>
          <w:rFonts w:ascii="Book Antiqua" w:eastAsia="宋体" w:hAnsi="Book Antiqua" w:cs="宋体"/>
          <w:color w:val="000000"/>
          <w:lang w:eastAsia="zh-CN"/>
        </w:rPr>
      </w:pPr>
      <w:r w:rsidRPr="00321926">
        <w:rPr>
          <w:rFonts w:ascii="Book Antiqua" w:eastAsia="宋体" w:hAnsi="Book Antiqua" w:cs="宋体"/>
          <w:color w:val="000000"/>
          <w:lang w:eastAsia="zh-CN"/>
        </w:rPr>
        <w:t>30 </w:t>
      </w:r>
      <w:r w:rsidRPr="00321926">
        <w:rPr>
          <w:rFonts w:ascii="Book Antiqua" w:eastAsia="宋体" w:hAnsi="Book Antiqua" w:cs="宋体"/>
          <w:b/>
          <w:bCs/>
          <w:color w:val="000000"/>
          <w:lang w:eastAsia="zh-CN"/>
        </w:rPr>
        <w:t>Hartono JL</w:t>
      </w:r>
      <w:r w:rsidRPr="00321926">
        <w:rPr>
          <w:rFonts w:ascii="Book Antiqua" w:eastAsia="宋体" w:hAnsi="Book Antiqua" w:cs="宋体"/>
          <w:color w:val="000000"/>
          <w:lang w:eastAsia="zh-CN"/>
        </w:rPr>
        <w:t>, Mahadeva S, Goh KL. Anxiety and depression in various functional gastrointestinal disorders: do differences exist? </w:t>
      </w:r>
      <w:r w:rsidRPr="00321926">
        <w:rPr>
          <w:rFonts w:ascii="Book Antiqua" w:eastAsia="宋体" w:hAnsi="Book Antiqua" w:cs="宋体"/>
          <w:i/>
          <w:iCs/>
          <w:color w:val="000000"/>
          <w:lang w:eastAsia="zh-CN"/>
        </w:rPr>
        <w:t>J Dig Dis</w:t>
      </w:r>
      <w:r w:rsidRPr="00321926">
        <w:rPr>
          <w:rFonts w:ascii="Book Antiqua" w:eastAsia="宋体" w:hAnsi="Book Antiqua" w:cs="宋体"/>
          <w:color w:val="000000"/>
          <w:lang w:eastAsia="zh-CN"/>
        </w:rPr>
        <w:t> 2012; </w:t>
      </w:r>
      <w:r w:rsidRPr="00321926">
        <w:rPr>
          <w:rFonts w:ascii="Book Antiqua" w:eastAsia="宋体" w:hAnsi="Book Antiqua" w:cs="宋体"/>
          <w:b/>
          <w:bCs/>
          <w:color w:val="000000"/>
          <w:lang w:eastAsia="zh-CN"/>
        </w:rPr>
        <w:t>13</w:t>
      </w:r>
      <w:r w:rsidRPr="00321926">
        <w:rPr>
          <w:rFonts w:ascii="Book Antiqua" w:eastAsia="宋体" w:hAnsi="Book Antiqua" w:cs="宋体"/>
          <w:color w:val="000000"/>
          <w:lang w:eastAsia="zh-CN"/>
        </w:rPr>
        <w:t>: 252-257 [PMID: 22500787 DOI: 10.1111/j.1751-2980.2012.00581.x]</w:t>
      </w:r>
    </w:p>
    <w:p w:rsidR="00715FBD" w:rsidRPr="00321926" w:rsidRDefault="00715FBD" w:rsidP="00321926">
      <w:pPr>
        <w:spacing w:line="360" w:lineRule="auto"/>
        <w:jc w:val="both"/>
        <w:rPr>
          <w:rFonts w:ascii="Book Antiqua" w:eastAsia="宋体" w:hAnsi="Book Antiqua" w:cs="宋体"/>
          <w:color w:val="000000"/>
          <w:lang w:eastAsia="zh-CN"/>
        </w:rPr>
      </w:pPr>
      <w:r w:rsidRPr="00321926">
        <w:rPr>
          <w:rFonts w:ascii="Book Antiqua" w:eastAsia="宋体" w:hAnsi="Book Antiqua" w:cs="宋体"/>
          <w:color w:val="000000"/>
          <w:lang w:eastAsia="zh-CN"/>
        </w:rPr>
        <w:t>31 </w:t>
      </w:r>
      <w:r w:rsidRPr="00321926">
        <w:rPr>
          <w:rFonts w:ascii="Book Antiqua" w:eastAsia="宋体" w:hAnsi="Book Antiqua" w:cs="宋体"/>
          <w:b/>
          <w:bCs/>
          <w:color w:val="000000"/>
          <w:lang w:eastAsia="zh-CN"/>
        </w:rPr>
        <w:t>Axelson DA</w:t>
      </w:r>
      <w:r w:rsidRPr="00321926">
        <w:rPr>
          <w:rFonts w:ascii="Book Antiqua" w:eastAsia="宋体" w:hAnsi="Book Antiqua" w:cs="宋体"/>
          <w:color w:val="000000"/>
          <w:lang w:eastAsia="zh-CN"/>
        </w:rPr>
        <w:t>, Birmaher B. Relation between anxiety and depressive disorders in childhood and adolescence. </w:t>
      </w:r>
      <w:r w:rsidRPr="00321926">
        <w:rPr>
          <w:rFonts w:ascii="Book Antiqua" w:eastAsia="宋体" w:hAnsi="Book Antiqua" w:cs="宋体"/>
          <w:i/>
          <w:iCs/>
          <w:color w:val="000000"/>
          <w:lang w:eastAsia="zh-CN"/>
        </w:rPr>
        <w:t>Depress Anxiety</w:t>
      </w:r>
      <w:r w:rsidRPr="00321926">
        <w:rPr>
          <w:rFonts w:ascii="Book Antiqua" w:eastAsia="宋体" w:hAnsi="Book Antiqua" w:cs="宋体"/>
          <w:color w:val="000000"/>
          <w:lang w:eastAsia="zh-CN"/>
        </w:rPr>
        <w:t> 2001; </w:t>
      </w:r>
      <w:r w:rsidRPr="00321926">
        <w:rPr>
          <w:rFonts w:ascii="Book Antiqua" w:eastAsia="宋体" w:hAnsi="Book Antiqua" w:cs="宋体"/>
          <w:b/>
          <w:bCs/>
          <w:color w:val="000000"/>
          <w:lang w:eastAsia="zh-CN"/>
        </w:rPr>
        <w:t>14</w:t>
      </w:r>
      <w:r w:rsidRPr="00321926">
        <w:rPr>
          <w:rFonts w:ascii="Book Antiqua" w:eastAsia="宋体" w:hAnsi="Book Antiqua" w:cs="宋体"/>
          <w:color w:val="000000"/>
          <w:lang w:eastAsia="zh-CN"/>
        </w:rPr>
        <w:t>: 67-78 [PMID: 11668659 DOI: 10.1002/da.1048.]</w:t>
      </w:r>
    </w:p>
    <w:p w:rsidR="00715FBD" w:rsidRPr="00321926" w:rsidRDefault="00715FBD" w:rsidP="00321926">
      <w:pPr>
        <w:spacing w:line="360" w:lineRule="auto"/>
        <w:jc w:val="both"/>
        <w:rPr>
          <w:rFonts w:ascii="Book Antiqua" w:eastAsia="宋体" w:hAnsi="Book Antiqua" w:cs="宋体"/>
          <w:color w:val="000000"/>
          <w:lang w:eastAsia="zh-CN"/>
        </w:rPr>
      </w:pPr>
      <w:r w:rsidRPr="00321926">
        <w:rPr>
          <w:rFonts w:ascii="Book Antiqua" w:eastAsia="宋体" w:hAnsi="Book Antiqua" w:cs="宋体"/>
          <w:color w:val="000000"/>
          <w:lang w:eastAsia="zh-CN"/>
        </w:rPr>
        <w:t>32 </w:t>
      </w:r>
      <w:r w:rsidRPr="00321926">
        <w:rPr>
          <w:rFonts w:ascii="Book Antiqua" w:eastAsia="宋体" w:hAnsi="Book Antiqua" w:cs="宋体"/>
          <w:b/>
          <w:bCs/>
          <w:color w:val="000000"/>
          <w:lang w:eastAsia="zh-CN"/>
        </w:rPr>
        <w:t>Jung HK</w:t>
      </w:r>
      <w:r w:rsidRPr="00321926">
        <w:rPr>
          <w:rFonts w:ascii="Book Antiqua" w:eastAsia="宋体" w:hAnsi="Book Antiqua" w:cs="宋体"/>
          <w:color w:val="000000"/>
          <w:lang w:eastAsia="zh-CN"/>
        </w:rPr>
        <w:t>, Halder S, McNally M, Locke GR, Schleck CD, Zinsmeister AR, Talley NJ. Overlap of gastro-oesophageal reflux disease and irritable bowel syndrome: prevalence and risk factors in the general population. </w:t>
      </w:r>
      <w:r w:rsidRPr="00321926">
        <w:rPr>
          <w:rFonts w:ascii="Book Antiqua" w:eastAsia="宋体" w:hAnsi="Book Antiqua" w:cs="宋体"/>
          <w:i/>
          <w:iCs/>
          <w:color w:val="000000"/>
          <w:lang w:eastAsia="zh-CN"/>
        </w:rPr>
        <w:t xml:space="preserve">Aliment </w:t>
      </w:r>
      <w:r w:rsidRPr="00321926">
        <w:rPr>
          <w:rFonts w:ascii="Book Antiqua" w:eastAsia="宋体" w:hAnsi="Book Antiqua" w:cs="宋体"/>
          <w:i/>
          <w:iCs/>
          <w:color w:val="000000"/>
          <w:lang w:eastAsia="zh-CN"/>
        </w:rPr>
        <w:lastRenderedPageBreak/>
        <w:t>Pharmacol Ther</w:t>
      </w:r>
      <w:r w:rsidRPr="00321926">
        <w:rPr>
          <w:rFonts w:ascii="Book Antiqua" w:eastAsia="宋体" w:hAnsi="Book Antiqua" w:cs="宋体"/>
          <w:color w:val="000000"/>
          <w:lang w:eastAsia="zh-CN"/>
        </w:rPr>
        <w:t> 2007; </w:t>
      </w:r>
      <w:r w:rsidRPr="00321926">
        <w:rPr>
          <w:rFonts w:ascii="Book Antiqua" w:eastAsia="宋体" w:hAnsi="Book Antiqua" w:cs="宋体"/>
          <w:b/>
          <w:bCs/>
          <w:color w:val="000000"/>
          <w:lang w:eastAsia="zh-CN"/>
        </w:rPr>
        <w:t>26</w:t>
      </w:r>
      <w:r w:rsidRPr="00321926">
        <w:rPr>
          <w:rFonts w:ascii="Book Antiqua" w:eastAsia="宋体" w:hAnsi="Book Antiqua" w:cs="宋体"/>
          <w:color w:val="000000"/>
          <w:lang w:eastAsia="zh-CN"/>
        </w:rPr>
        <w:t>: 453-461 [PMID: 17635380 DOI: 10.1111/j.1365-2036.2007.03366.x]</w:t>
      </w:r>
    </w:p>
    <w:p w:rsidR="00715FBD" w:rsidRPr="00321926" w:rsidRDefault="00715FBD" w:rsidP="00321926">
      <w:pPr>
        <w:spacing w:line="360" w:lineRule="auto"/>
        <w:jc w:val="both"/>
        <w:rPr>
          <w:rFonts w:ascii="Book Antiqua" w:eastAsia="宋体" w:hAnsi="Book Antiqua" w:cs="宋体"/>
          <w:color w:val="000000"/>
          <w:lang w:eastAsia="zh-CN"/>
        </w:rPr>
      </w:pPr>
      <w:r w:rsidRPr="00321926">
        <w:rPr>
          <w:rFonts w:ascii="Book Antiqua" w:eastAsia="宋体" w:hAnsi="Book Antiqua" w:cs="宋体"/>
          <w:color w:val="000000"/>
          <w:lang w:eastAsia="zh-CN"/>
        </w:rPr>
        <w:t>33 </w:t>
      </w:r>
      <w:r w:rsidRPr="00321926">
        <w:rPr>
          <w:rFonts w:ascii="Book Antiqua" w:eastAsia="宋体" w:hAnsi="Book Antiqua" w:cs="宋体"/>
          <w:b/>
          <w:bCs/>
          <w:color w:val="000000"/>
          <w:lang w:eastAsia="zh-CN"/>
        </w:rPr>
        <w:t>Lee SY</w:t>
      </w:r>
      <w:r w:rsidRPr="00321926">
        <w:rPr>
          <w:rFonts w:ascii="Book Antiqua" w:eastAsia="宋体" w:hAnsi="Book Antiqua" w:cs="宋体"/>
          <w:color w:val="000000"/>
          <w:lang w:eastAsia="zh-CN"/>
        </w:rPr>
        <w:t>, Lee KJ, Kim SJ, Cho SW. Prevalence and risk factors for overlaps between gastroesophageal reflux disease, dyspepsia, and irritable bowel syndrome: a population-based study. </w:t>
      </w:r>
      <w:r w:rsidRPr="00321926">
        <w:rPr>
          <w:rFonts w:ascii="Book Antiqua" w:eastAsia="宋体" w:hAnsi="Book Antiqua" w:cs="宋体"/>
          <w:i/>
          <w:iCs/>
          <w:color w:val="000000"/>
          <w:lang w:eastAsia="zh-CN"/>
        </w:rPr>
        <w:t>Digestion</w:t>
      </w:r>
      <w:r w:rsidRPr="00321926">
        <w:rPr>
          <w:rFonts w:ascii="Book Antiqua" w:eastAsia="宋体" w:hAnsi="Book Antiqua" w:cs="宋体"/>
          <w:color w:val="000000"/>
          <w:lang w:eastAsia="zh-CN"/>
        </w:rPr>
        <w:t> 2009; </w:t>
      </w:r>
      <w:r w:rsidRPr="00321926">
        <w:rPr>
          <w:rFonts w:ascii="Book Antiqua" w:eastAsia="宋体" w:hAnsi="Book Antiqua" w:cs="宋体"/>
          <w:b/>
          <w:bCs/>
          <w:color w:val="000000"/>
          <w:lang w:eastAsia="zh-CN"/>
        </w:rPr>
        <w:t>79</w:t>
      </w:r>
      <w:r w:rsidRPr="00321926">
        <w:rPr>
          <w:rFonts w:ascii="Book Antiqua" w:eastAsia="宋体" w:hAnsi="Book Antiqua" w:cs="宋体"/>
          <w:color w:val="000000"/>
          <w:lang w:eastAsia="zh-CN"/>
        </w:rPr>
        <w:t>: 196-201 [PMID: 19342860 DOI: 10.1159/000211715]</w:t>
      </w:r>
    </w:p>
    <w:p w:rsidR="00715FBD" w:rsidRPr="00321926" w:rsidRDefault="00715FBD" w:rsidP="00321926">
      <w:pPr>
        <w:spacing w:line="360" w:lineRule="auto"/>
        <w:jc w:val="both"/>
        <w:rPr>
          <w:rFonts w:ascii="Book Antiqua" w:eastAsia="宋体" w:hAnsi="Book Antiqua" w:cs="宋体"/>
          <w:color w:val="000000"/>
          <w:lang w:eastAsia="zh-CN"/>
        </w:rPr>
      </w:pPr>
      <w:r w:rsidRPr="00321926">
        <w:rPr>
          <w:rFonts w:ascii="Book Antiqua" w:eastAsia="宋体" w:hAnsi="Book Antiqua" w:cs="宋体"/>
          <w:color w:val="000000"/>
          <w:lang w:eastAsia="zh-CN"/>
        </w:rPr>
        <w:t>34 </w:t>
      </w:r>
      <w:r w:rsidRPr="00321926">
        <w:rPr>
          <w:rFonts w:ascii="Book Antiqua" w:eastAsia="宋体" w:hAnsi="Book Antiqua" w:cs="宋体"/>
          <w:b/>
          <w:bCs/>
          <w:color w:val="000000"/>
          <w:lang w:eastAsia="zh-CN"/>
        </w:rPr>
        <w:t>Kaji M</w:t>
      </w:r>
      <w:r w:rsidRPr="00321926">
        <w:rPr>
          <w:rFonts w:ascii="Book Antiqua" w:eastAsia="宋体" w:hAnsi="Book Antiqua" w:cs="宋体"/>
          <w:color w:val="000000"/>
          <w:lang w:eastAsia="zh-CN"/>
        </w:rPr>
        <w:t>, Fujiwara Y, Shiba M, Kohata Y, Yamagami H, Tanigawa T, Watanabe K, Watanabe T, Tominaga K, Arakawa T. Prevalence of overlaps between GERD, FD and IBS and impact on health-related quality of life. </w:t>
      </w:r>
      <w:r w:rsidRPr="00321926">
        <w:rPr>
          <w:rFonts w:ascii="Book Antiqua" w:eastAsia="宋体" w:hAnsi="Book Antiqua" w:cs="宋体"/>
          <w:i/>
          <w:iCs/>
          <w:color w:val="000000"/>
          <w:lang w:eastAsia="zh-CN"/>
        </w:rPr>
        <w:t>J Gastroenterol Hepatol</w:t>
      </w:r>
      <w:r w:rsidRPr="00321926">
        <w:rPr>
          <w:rFonts w:ascii="Book Antiqua" w:eastAsia="宋体" w:hAnsi="Book Antiqua" w:cs="宋体"/>
          <w:color w:val="000000"/>
          <w:lang w:eastAsia="zh-CN"/>
        </w:rPr>
        <w:t> 2010; </w:t>
      </w:r>
      <w:r w:rsidRPr="00321926">
        <w:rPr>
          <w:rFonts w:ascii="Book Antiqua" w:eastAsia="宋体" w:hAnsi="Book Antiqua" w:cs="宋体"/>
          <w:b/>
          <w:bCs/>
          <w:color w:val="000000"/>
          <w:lang w:eastAsia="zh-CN"/>
        </w:rPr>
        <w:t>25</w:t>
      </w:r>
      <w:r w:rsidRPr="00321926">
        <w:rPr>
          <w:rFonts w:ascii="Book Antiqua" w:eastAsia="宋体" w:hAnsi="Book Antiqua" w:cs="宋体"/>
          <w:color w:val="000000"/>
          <w:lang w:eastAsia="zh-CN"/>
        </w:rPr>
        <w:t>: 1151-1156 [PMID: 20594232 DOI: 10.1111/j.1440-1746.2010.06249.x]</w:t>
      </w:r>
    </w:p>
    <w:p w:rsidR="00715FBD" w:rsidRPr="00321926" w:rsidRDefault="00715FBD" w:rsidP="00321926">
      <w:pPr>
        <w:spacing w:line="360" w:lineRule="auto"/>
        <w:jc w:val="both"/>
        <w:rPr>
          <w:rFonts w:ascii="Book Antiqua" w:eastAsia="宋体" w:hAnsi="Book Antiqua" w:cs="宋体"/>
          <w:color w:val="000000"/>
          <w:lang w:eastAsia="zh-CN"/>
        </w:rPr>
      </w:pPr>
      <w:r w:rsidRPr="00321926">
        <w:rPr>
          <w:rFonts w:ascii="Book Antiqua" w:eastAsia="宋体" w:hAnsi="Book Antiqua" w:cs="宋体"/>
          <w:color w:val="000000"/>
          <w:lang w:eastAsia="zh-CN"/>
        </w:rPr>
        <w:t>35 </w:t>
      </w:r>
      <w:r w:rsidRPr="00321926">
        <w:rPr>
          <w:rFonts w:ascii="Book Antiqua" w:eastAsia="宋体" w:hAnsi="Book Antiqua" w:cs="宋体"/>
          <w:b/>
          <w:bCs/>
          <w:color w:val="000000"/>
          <w:lang w:eastAsia="zh-CN"/>
        </w:rPr>
        <w:t>Talley NJ</w:t>
      </w:r>
      <w:r w:rsidRPr="00321926">
        <w:rPr>
          <w:rFonts w:ascii="Book Antiqua" w:eastAsia="宋体" w:hAnsi="Book Antiqua" w:cs="宋体"/>
          <w:color w:val="000000"/>
          <w:lang w:eastAsia="zh-CN"/>
        </w:rPr>
        <w:t>, Weaver AL, Zinsmeister AR, Melton LJ. Onset and disappearance of gastrointestinal symptoms and functional gastrointestinal disorders. </w:t>
      </w:r>
      <w:r w:rsidRPr="00321926">
        <w:rPr>
          <w:rFonts w:ascii="Book Antiqua" w:eastAsia="宋体" w:hAnsi="Book Antiqua" w:cs="宋体"/>
          <w:i/>
          <w:iCs/>
          <w:color w:val="000000"/>
          <w:lang w:eastAsia="zh-CN"/>
        </w:rPr>
        <w:t>Am J Epidemiol</w:t>
      </w:r>
      <w:r w:rsidRPr="00321926">
        <w:rPr>
          <w:rFonts w:ascii="Book Antiqua" w:eastAsia="宋体" w:hAnsi="Book Antiqua" w:cs="宋体"/>
          <w:color w:val="000000"/>
          <w:lang w:eastAsia="zh-CN"/>
        </w:rPr>
        <w:t> 1992; </w:t>
      </w:r>
      <w:r w:rsidRPr="00321926">
        <w:rPr>
          <w:rFonts w:ascii="Book Antiqua" w:eastAsia="宋体" w:hAnsi="Book Antiqua" w:cs="宋体"/>
          <w:b/>
          <w:bCs/>
          <w:color w:val="000000"/>
          <w:lang w:eastAsia="zh-CN"/>
        </w:rPr>
        <w:t>136</w:t>
      </w:r>
      <w:r w:rsidRPr="00321926">
        <w:rPr>
          <w:rFonts w:ascii="Book Antiqua" w:eastAsia="宋体" w:hAnsi="Book Antiqua" w:cs="宋体"/>
          <w:color w:val="000000"/>
          <w:lang w:eastAsia="zh-CN"/>
        </w:rPr>
        <w:t>: 165-177 [PMID: 1415139]</w:t>
      </w:r>
    </w:p>
    <w:p w:rsidR="00715FBD" w:rsidRPr="00321926" w:rsidRDefault="00715FBD" w:rsidP="00321926">
      <w:pPr>
        <w:spacing w:line="360" w:lineRule="auto"/>
        <w:jc w:val="both"/>
        <w:rPr>
          <w:rFonts w:ascii="Book Antiqua" w:eastAsia="宋体" w:hAnsi="Book Antiqua" w:cs="宋体"/>
          <w:color w:val="000000"/>
          <w:lang w:eastAsia="zh-CN"/>
        </w:rPr>
      </w:pPr>
      <w:r w:rsidRPr="00321926">
        <w:rPr>
          <w:rFonts w:ascii="Book Antiqua" w:eastAsia="宋体" w:hAnsi="Book Antiqua" w:cs="宋体"/>
          <w:color w:val="000000"/>
          <w:lang w:eastAsia="zh-CN"/>
        </w:rPr>
        <w:t>36 </w:t>
      </w:r>
      <w:r w:rsidRPr="00321926">
        <w:rPr>
          <w:rFonts w:ascii="Book Antiqua" w:eastAsia="宋体" w:hAnsi="Book Antiqua" w:cs="宋体"/>
          <w:b/>
          <w:bCs/>
          <w:color w:val="000000"/>
          <w:lang w:eastAsia="zh-CN"/>
        </w:rPr>
        <w:t>Talley NJ</w:t>
      </w:r>
      <w:r w:rsidRPr="00321926">
        <w:rPr>
          <w:rFonts w:ascii="Book Antiqua" w:eastAsia="宋体" w:hAnsi="Book Antiqua" w:cs="宋体"/>
          <w:color w:val="000000"/>
          <w:lang w:eastAsia="zh-CN"/>
        </w:rPr>
        <w:t>, Piper DW. The association between non-ulcer dyspepsia and other gastrointestinal disorders. </w:t>
      </w:r>
      <w:r w:rsidRPr="00321926">
        <w:rPr>
          <w:rFonts w:ascii="Book Antiqua" w:eastAsia="宋体" w:hAnsi="Book Antiqua" w:cs="宋体"/>
          <w:i/>
          <w:iCs/>
          <w:color w:val="000000"/>
          <w:lang w:eastAsia="zh-CN"/>
        </w:rPr>
        <w:t>Scand J Gastroenterol</w:t>
      </w:r>
      <w:r w:rsidRPr="00321926">
        <w:rPr>
          <w:rFonts w:ascii="Book Antiqua" w:eastAsia="宋体" w:hAnsi="Book Antiqua" w:cs="宋体"/>
          <w:color w:val="000000"/>
          <w:lang w:eastAsia="zh-CN"/>
        </w:rPr>
        <w:t> 1985; </w:t>
      </w:r>
      <w:r w:rsidRPr="00321926">
        <w:rPr>
          <w:rFonts w:ascii="Book Antiqua" w:eastAsia="宋体" w:hAnsi="Book Antiqua" w:cs="宋体"/>
          <w:b/>
          <w:bCs/>
          <w:color w:val="000000"/>
          <w:lang w:eastAsia="zh-CN"/>
        </w:rPr>
        <w:t>20</w:t>
      </w:r>
      <w:r w:rsidRPr="00321926">
        <w:rPr>
          <w:rFonts w:ascii="Book Antiqua" w:eastAsia="宋体" w:hAnsi="Book Antiqua" w:cs="宋体"/>
          <w:color w:val="000000"/>
          <w:lang w:eastAsia="zh-CN"/>
        </w:rPr>
        <w:t>: 896-900 [PMID: 4048840 DOI: 10.3109/00365528509088842]</w:t>
      </w:r>
    </w:p>
    <w:p w:rsidR="00715FBD" w:rsidRPr="00321926" w:rsidRDefault="00715FBD" w:rsidP="00321926">
      <w:pPr>
        <w:spacing w:line="360" w:lineRule="auto"/>
        <w:jc w:val="both"/>
        <w:rPr>
          <w:rFonts w:ascii="Book Antiqua" w:eastAsia="宋体" w:hAnsi="Book Antiqua" w:cs="宋体"/>
          <w:color w:val="000000"/>
          <w:lang w:eastAsia="zh-CN"/>
        </w:rPr>
      </w:pPr>
      <w:r w:rsidRPr="00321926">
        <w:rPr>
          <w:rFonts w:ascii="Book Antiqua" w:eastAsia="宋体" w:hAnsi="Book Antiqua" w:cs="宋体"/>
          <w:color w:val="000000"/>
          <w:lang w:eastAsia="zh-CN"/>
        </w:rPr>
        <w:t>37 </w:t>
      </w:r>
      <w:r w:rsidRPr="00321926">
        <w:rPr>
          <w:rFonts w:ascii="Book Antiqua" w:eastAsia="宋体" w:hAnsi="Book Antiqua" w:cs="宋体"/>
          <w:b/>
          <w:bCs/>
          <w:color w:val="000000"/>
          <w:lang w:eastAsia="zh-CN"/>
        </w:rPr>
        <w:t>Agréus L</w:t>
      </w:r>
      <w:r w:rsidRPr="00321926">
        <w:rPr>
          <w:rFonts w:ascii="Book Antiqua" w:eastAsia="宋体" w:hAnsi="Book Antiqua" w:cs="宋体"/>
          <w:color w:val="000000"/>
          <w:lang w:eastAsia="zh-CN"/>
        </w:rPr>
        <w:t>, Svärdsudd K, Nyrén O, Tibblin G. Irritable bowel syndrome and dyspepsia in the general population: overlap and lack of stability over time. </w:t>
      </w:r>
      <w:r w:rsidRPr="00321926">
        <w:rPr>
          <w:rFonts w:ascii="Book Antiqua" w:eastAsia="宋体" w:hAnsi="Book Antiqua" w:cs="宋体"/>
          <w:i/>
          <w:iCs/>
          <w:color w:val="000000"/>
          <w:lang w:eastAsia="zh-CN"/>
        </w:rPr>
        <w:t>Gastroenterology</w:t>
      </w:r>
      <w:r w:rsidRPr="00321926">
        <w:rPr>
          <w:rFonts w:ascii="Book Antiqua" w:eastAsia="宋体" w:hAnsi="Book Antiqua" w:cs="宋体"/>
          <w:color w:val="000000"/>
          <w:lang w:eastAsia="zh-CN"/>
        </w:rPr>
        <w:t> 1995; </w:t>
      </w:r>
      <w:r w:rsidRPr="00321926">
        <w:rPr>
          <w:rFonts w:ascii="Book Antiqua" w:eastAsia="宋体" w:hAnsi="Book Antiqua" w:cs="宋体"/>
          <w:b/>
          <w:bCs/>
          <w:color w:val="000000"/>
          <w:lang w:eastAsia="zh-CN"/>
        </w:rPr>
        <w:t>109</w:t>
      </w:r>
      <w:r w:rsidRPr="00321926">
        <w:rPr>
          <w:rFonts w:ascii="Book Antiqua" w:eastAsia="宋体" w:hAnsi="Book Antiqua" w:cs="宋体"/>
          <w:color w:val="000000"/>
          <w:lang w:eastAsia="zh-CN"/>
        </w:rPr>
        <w:t>: 671-680 [PMID: 7657095 DOI: 10.1016/0016-5085(95)90373-9]</w:t>
      </w:r>
    </w:p>
    <w:p w:rsidR="00715FBD" w:rsidRPr="00321926" w:rsidRDefault="00715FBD" w:rsidP="00321926">
      <w:pPr>
        <w:spacing w:line="360" w:lineRule="auto"/>
        <w:jc w:val="both"/>
        <w:rPr>
          <w:rFonts w:ascii="Book Antiqua" w:eastAsia="宋体" w:hAnsi="Book Antiqua" w:cs="宋体"/>
          <w:color w:val="000000"/>
          <w:lang w:eastAsia="zh-CN"/>
        </w:rPr>
      </w:pPr>
      <w:r w:rsidRPr="00321926">
        <w:rPr>
          <w:rFonts w:ascii="Book Antiqua" w:eastAsia="宋体" w:hAnsi="Book Antiqua" w:cs="宋体"/>
          <w:color w:val="000000"/>
          <w:lang w:eastAsia="zh-CN"/>
        </w:rPr>
        <w:t>38 </w:t>
      </w:r>
      <w:r w:rsidRPr="00321926">
        <w:rPr>
          <w:rFonts w:ascii="Book Antiqua" w:eastAsia="宋体" w:hAnsi="Book Antiqua" w:cs="宋体"/>
          <w:b/>
          <w:bCs/>
          <w:color w:val="000000"/>
          <w:lang w:eastAsia="zh-CN"/>
        </w:rPr>
        <w:t>Crean GP</w:t>
      </w:r>
      <w:r w:rsidRPr="00321926">
        <w:rPr>
          <w:rFonts w:ascii="Book Antiqua" w:eastAsia="宋体" w:hAnsi="Book Antiqua" w:cs="宋体"/>
          <w:color w:val="000000"/>
          <w:lang w:eastAsia="zh-CN"/>
        </w:rPr>
        <w:t>, Holden RJ, Knill-Jones RP, Beattie AD, James WB, Marjoribanks FM, Spiegelhalter DJ. A database on dyspepsia. </w:t>
      </w:r>
      <w:r w:rsidRPr="00321926">
        <w:rPr>
          <w:rFonts w:ascii="Book Antiqua" w:eastAsia="宋体" w:hAnsi="Book Antiqua" w:cs="宋体"/>
          <w:i/>
          <w:iCs/>
          <w:color w:val="000000"/>
          <w:lang w:eastAsia="zh-CN"/>
        </w:rPr>
        <w:t>Gut</w:t>
      </w:r>
      <w:r w:rsidRPr="00321926">
        <w:rPr>
          <w:rFonts w:ascii="Book Antiqua" w:eastAsia="宋体" w:hAnsi="Book Antiqua" w:cs="宋体"/>
          <w:color w:val="000000"/>
          <w:lang w:eastAsia="zh-CN"/>
        </w:rPr>
        <w:t> 1994; </w:t>
      </w:r>
      <w:r w:rsidRPr="00321926">
        <w:rPr>
          <w:rFonts w:ascii="Book Antiqua" w:eastAsia="宋体" w:hAnsi="Book Antiqua" w:cs="宋体"/>
          <w:b/>
          <w:bCs/>
          <w:color w:val="000000"/>
          <w:lang w:eastAsia="zh-CN"/>
        </w:rPr>
        <w:t>35</w:t>
      </w:r>
      <w:r w:rsidRPr="00321926">
        <w:rPr>
          <w:rFonts w:ascii="Book Antiqua" w:eastAsia="宋体" w:hAnsi="Book Antiqua" w:cs="宋体"/>
          <w:color w:val="000000"/>
          <w:lang w:eastAsia="zh-CN"/>
        </w:rPr>
        <w:t>: 191-202 [PMID: 8307469 DOI: 10.1136/gut.35.2.191]</w:t>
      </w:r>
    </w:p>
    <w:p w:rsidR="00715FBD" w:rsidRPr="00321926" w:rsidRDefault="00715FBD" w:rsidP="00321926">
      <w:pPr>
        <w:spacing w:line="360" w:lineRule="auto"/>
        <w:jc w:val="both"/>
        <w:rPr>
          <w:rFonts w:ascii="Book Antiqua" w:eastAsia="宋体" w:hAnsi="Book Antiqua" w:cs="宋体"/>
          <w:color w:val="000000"/>
          <w:lang w:eastAsia="zh-CN"/>
        </w:rPr>
      </w:pPr>
      <w:r w:rsidRPr="00321926">
        <w:rPr>
          <w:rFonts w:ascii="Book Antiqua" w:eastAsia="宋体" w:hAnsi="Book Antiqua" w:cs="宋体"/>
          <w:color w:val="000000"/>
          <w:lang w:eastAsia="zh-CN"/>
        </w:rPr>
        <w:t>39 </w:t>
      </w:r>
      <w:r w:rsidRPr="00321926">
        <w:rPr>
          <w:rFonts w:ascii="Book Antiqua" w:eastAsia="宋体" w:hAnsi="Book Antiqua" w:cs="宋体"/>
          <w:b/>
          <w:bCs/>
          <w:color w:val="000000"/>
          <w:lang w:eastAsia="zh-CN"/>
        </w:rPr>
        <w:t>Ghoshal UC</w:t>
      </w:r>
      <w:r w:rsidRPr="00321926">
        <w:rPr>
          <w:rFonts w:ascii="Book Antiqua" w:eastAsia="宋体" w:hAnsi="Book Antiqua" w:cs="宋体"/>
          <w:color w:val="000000"/>
          <w:lang w:eastAsia="zh-CN"/>
        </w:rPr>
        <w:t xml:space="preserve">, Abraham P, Bhatt C, Choudhuri G, Bhatia SJ, Shenoy KT, Banka NH, Bose K, Bohidar NP, Chakravartty K, Shekhar NC, Desai N, Dutta U, Das G, Dutta S, Dixit VK, Goswami BD, Jain RK, Jain S, Jayanthi V, Kochhar R, Kumar A, Makharia G, Mukewar SV, Mohan Prasad VG, Mohanty A, Mohan AT, Sathyaprakash BS, Prabhakar B, Philip M, Veerraju EP, Ray G, Rai RR, Seth AK, </w:t>
      </w:r>
      <w:r w:rsidRPr="00321926">
        <w:rPr>
          <w:rFonts w:ascii="Book Antiqua" w:eastAsia="宋体" w:hAnsi="Book Antiqua" w:cs="宋体"/>
          <w:color w:val="000000"/>
          <w:lang w:eastAsia="zh-CN"/>
        </w:rPr>
        <w:lastRenderedPageBreak/>
        <w:t>Sachdeva A, Singh SP, Sood A, Thomas V, Tiwari S, Tandan M, Upadhyay R, Vij JC. Epidemiological and clinical profile of irritable bowel syndrome in India: report of the Indian Society of Gastroenterology Task Force. </w:t>
      </w:r>
      <w:r w:rsidRPr="00321926">
        <w:rPr>
          <w:rFonts w:ascii="Book Antiqua" w:eastAsia="宋体" w:hAnsi="Book Antiqua" w:cs="宋体"/>
          <w:i/>
          <w:iCs/>
          <w:color w:val="000000"/>
          <w:lang w:eastAsia="zh-CN"/>
        </w:rPr>
        <w:t>Indian J Gastroenterol</w:t>
      </w:r>
      <w:r w:rsidRPr="00321926">
        <w:rPr>
          <w:rFonts w:ascii="Book Antiqua" w:eastAsia="宋体" w:hAnsi="Book Antiqua" w:cs="宋体"/>
          <w:color w:val="000000"/>
          <w:lang w:eastAsia="zh-CN"/>
        </w:rPr>
        <w:t> </w:t>
      </w:r>
      <w:r>
        <w:rPr>
          <w:rFonts w:ascii="Book Antiqua" w:eastAsia="宋体" w:hAnsi="Book Antiqua" w:cs="宋体"/>
          <w:color w:val="000000"/>
          <w:lang w:eastAsia="zh-CN"/>
        </w:rPr>
        <w:t>2008</w:t>
      </w:r>
      <w:r w:rsidRPr="00321926">
        <w:rPr>
          <w:rFonts w:ascii="Book Antiqua" w:eastAsia="宋体" w:hAnsi="Book Antiqua" w:cs="宋体"/>
          <w:color w:val="000000"/>
          <w:lang w:eastAsia="zh-CN"/>
        </w:rPr>
        <w:t>; </w:t>
      </w:r>
      <w:r w:rsidRPr="00321926">
        <w:rPr>
          <w:rFonts w:ascii="Book Antiqua" w:eastAsia="宋体" w:hAnsi="Book Antiqua" w:cs="宋体"/>
          <w:b/>
          <w:bCs/>
          <w:color w:val="000000"/>
          <w:lang w:eastAsia="zh-CN"/>
        </w:rPr>
        <w:t>27</w:t>
      </w:r>
      <w:r w:rsidRPr="00321926">
        <w:rPr>
          <w:rFonts w:ascii="Book Antiqua" w:eastAsia="宋体" w:hAnsi="Book Antiqua" w:cs="宋体"/>
          <w:color w:val="000000"/>
          <w:lang w:eastAsia="zh-CN"/>
        </w:rPr>
        <w:t>: 22-28 [PMID: 18541934]</w:t>
      </w:r>
    </w:p>
    <w:p w:rsidR="00715FBD" w:rsidRPr="00321926" w:rsidRDefault="00715FBD" w:rsidP="00321926">
      <w:pPr>
        <w:spacing w:line="360" w:lineRule="auto"/>
        <w:jc w:val="both"/>
        <w:rPr>
          <w:rFonts w:ascii="Book Antiqua" w:eastAsia="宋体" w:hAnsi="Book Antiqua" w:cs="宋体"/>
          <w:color w:val="000000"/>
          <w:lang w:eastAsia="zh-CN"/>
        </w:rPr>
      </w:pPr>
      <w:r w:rsidRPr="00321926">
        <w:rPr>
          <w:rFonts w:ascii="Book Antiqua" w:eastAsia="宋体" w:hAnsi="Book Antiqua" w:cs="宋体"/>
          <w:color w:val="000000"/>
          <w:lang w:eastAsia="zh-CN"/>
        </w:rPr>
        <w:t>40 </w:t>
      </w:r>
      <w:r w:rsidRPr="00321926">
        <w:rPr>
          <w:rFonts w:ascii="Book Antiqua" w:eastAsia="宋体" w:hAnsi="Book Antiqua" w:cs="宋体"/>
          <w:b/>
          <w:bCs/>
          <w:color w:val="000000"/>
          <w:lang w:eastAsia="zh-CN"/>
        </w:rPr>
        <w:t>Okumura T</w:t>
      </w:r>
      <w:r w:rsidRPr="00321926">
        <w:rPr>
          <w:rFonts w:ascii="Book Antiqua" w:eastAsia="宋体" w:hAnsi="Book Antiqua" w:cs="宋体"/>
          <w:color w:val="000000"/>
          <w:lang w:eastAsia="zh-CN"/>
        </w:rPr>
        <w:t>, Tanno S, Ohhira M, Tanno S. Prevalence of functional dyspepsia in an outpatient clinic with primary care physicians in Japan. </w:t>
      </w:r>
      <w:r w:rsidRPr="00321926">
        <w:rPr>
          <w:rFonts w:ascii="Book Antiqua" w:eastAsia="宋体" w:hAnsi="Book Antiqua" w:cs="宋体"/>
          <w:i/>
          <w:iCs/>
          <w:color w:val="000000"/>
          <w:lang w:eastAsia="zh-CN"/>
        </w:rPr>
        <w:t>J Gastroenterol</w:t>
      </w:r>
      <w:r w:rsidRPr="00321926">
        <w:rPr>
          <w:rFonts w:ascii="Book Antiqua" w:eastAsia="宋体" w:hAnsi="Book Antiqua" w:cs="宋体"/>
          <w:color w:val="000000"/>
          <w:lang w:eastAsia="zh-CN"/>
        </w:rPr>
        <w:t> 2010; </w:t>
      </w:r>
      <w:r w:rsidRPr="00321926">
        <w:rPr>
          <w:rFonts w:ascii="Book Antiqua" w:eastAsia="宋体" w:hAnsi="Book Antiqua" w:cs="宋体"/>
          <w:b/>
          <w:bCs/>
          <w:color w:val="000000"/>
          <w:lang w:eastAsia="zh-CN"/>
        </w:rPr>
        <w:t>45</w:t>
      </w:r>
      <w:r w:rsidRPr="00321926">
        <w:rPr>
          <w:rFonts w:ascii="Book Antiqua" w:eastAsia="宋体" w:hAnsi="Book Antiqua" w:cs="宋体"/>
          <w:color w:val="000000"/>
          <w:lang w:eastAsia="zh-CN"/>
        </w:rPr>
        <w:t>: 187-194 [PMID: 19997854 DOI: 10.1007/s00535-009-0168-x]</w:t>
      </w:r>
    </w:p>
    <w:p w:rsidR="00715FBD" w:rsidRPr="00321926" w:rsidRDefault="00715FBD" w:rsidP="00321926">
      <w:pPr>
        <w:spacing w:line="360" w:lineRule="auto"/>
        <w:jc w:val="both"/>
        <w:rPr>
          <w:rFonts w:ascii="Book Antiqua" w:eastAsia="宋体" w:hAnsi="Book Antiqua" w:cs="宋体"/>
          <w:color w:val="000000"/>
          <w:lang w:eastAsia="zh-CN"/>
        </w:rPr>
      </w:pPr>
      <w:r w:rsidRPr="00321926">
        <w:rPr>
          <w:rFonts w:ascii="Book Antiqua" w:eastAsia="宋体" w:hAnsi="Book Antiqua" w:cs="宋体"/>
          <w:color w:val="000000"/>
          <w:lang w:eastAsia="zh-CN"/>
        </w:rPr>
        <w:t>41 </w:t>
      </w:r>
      <w:r w:rsidRPr="00321926">
        <w:rPr>
          <w:rFonts w:ascii="Book Antiqua" w:eastAsia="宋体" w:hAnsi="Book Antiqua" w:cs="宋体"/>
          <w:b/>
          <w:bCs/>
          <w:color w:val="000000"/>
          <w:lang w:eastAsia="zh-CN"/>
        </w:rPr>
        <w:t>Abrahamsson H</w:t>
      </w:r>
      <w:r w:rsidRPr="00321926">
        <w:rPr>
          <w:rFonts w:ascii="Book Antiqua" w:eastAsia="宋体" w:hAnsi="Book Antiqua" w:cs="宋体"/>
          <w:color w:val="000000"/>
          <w:lang w:eastAsia="zh-CN"/>
        </w:rPr>
        <w:t>. Gastrointestinal motility in patients with the irritable bowel syndrome. </w:t>
      </w:r>
      <w:r w:rsidRPr="00321926">
        <w:rPr>
          <w:rFonts w:ascii="Book Antiqua" w:eastAsia="宋体" w:hAnsi="Book Antiqua" w:cs="宋体"/>
          <w:i/>
          <w:iCs/>
          <w:color w:val="000000"/>
          <w:lang w:eastAsia="zh-CN"/>
        </w:rPr>
        <w:t>Scand J Gastroenterol Suppl</w:t>
      </w:r>
      <w:r w:rsidRPr="00321926">
        <w:rPr>
          <w:rFonts w:ascii="Book Antiqua" w:eastAsia="宋体" w:hAnsi="Book Antiqua" w:cs="宋体"/>
          <w:color w:val="000000"/>
          <w:lang w:eastAsia="zh-CN"/>
        </w:rPr>
        <w:t> 1987; </w:t>
      </w:r>
      <w:r w:rsidRPr="00321926">
        <w:rPr>
          <w:rFonts w:ascii="Book Antiqua" w:eastAsia="宋体" w:hAnsi="Book Antiqua" w:cs="宋体"/>
          <w:b/>
          <w:bCs/>
          <w:color w:val="000000"/>
          <w:lang w:eastAsia="zh-CN"/>
        </w:rPr>
        <w:t>130</w:t>
      </w:r>
      <w:r w:rsidRPr="00321926">
        <w:rPr>
          <w:rFonts w:ascii="Book Antiqua" w:eastAsia="宋体" w:hAnsi="Book Antiqua" w:cs="宋体"/>
          <w:color w:val="000000"/>
          <w:lang w:eastAsia="zh-CN"/>
        </w:rPr>
        <w:t>: 21-26 [PMID: 3477013 DOI: 10.3109/00365528709090996]</w:t>
      </w:r>
    </w:p>
    <w:p w:rsidR="00715FBD" w:rsidRPr="00321926" w:rsidRDefault="00715FBD" w:rsidP="00321926">
      <w:pPr>
        <w:spacing w:line="360" w:lineRule="auto"/>
        <w:jc w:val="both"/>
        <w:rPr>
          <w:rFonts w:ascii="Book Antiqua" w:eastAsia="宋体" w:hAnsi="Book Antiqua" w:cs="宋体"/>
          <w:color w:val="000000"/>
          <w:lang w:eastAsia="zh-CN"/>
        </w:rPr>
      </w:pPr>
      <w:r w:rsidRPr="00321926">
        <w:rPr>
          <w:rFonts w:ascii="Book Antiqua" w:eastAsia="宋体" w:hAnsi="Book Antiqua" w:cs="宋体"/>
          <w:color w:val="000000"/>
          <w:lang w:eastAsia="zh-CN"/>
        </w:rPr>
        <w:t>42 </w:t>
      </w:r>
      <w:r w:rsidRPr="00321926">
        <w:rPr>
          <w:rFonts w:ascii="Book Antiqua" w:eastAsia="宋体" w:hAnsi="Book Antiqua" w:cs="宋体"/>
          <w:b/>
          <w:bCs/>
          <w:color w:val="000000"/>
          <w:lang w:eastAsia="zh-CN"/>
        </w:rPr>
        <w:t>Corsetti M</w:t>
      </w:r>
      <w:r w:rsidRPr="00321926">
        <w:rPr>
          <w:rFonts w:ascii="Book Antiqua" w:eastAsia="宋体" w:hAnsi="Book Antiqua" w:cs="宋体"/>
          <w:color w:val="000000"/>
          <w:lang w:eastAsia="zh-CN"/>
        </w:rPr>
        <w:t>, Caenepeel P, Fischler B, Janssens J, Tack J. Impact of coexisting irritable bowel syndrome on symptoms and pathophysiological mechanisms in functional dyspepsia. </w:t>
      </w:r>
      <w:r w:rsidRPr="00321926">
        <w:rPr>
          <w:rFonts w:ascii="Book Antiqua" w:eastAsia="宋体" w:hAnsi="Book Antiqua" w:cs="宋体"/>
          <w:i/>
          <w:iCs/>
          <w:color w:val="000000"/>
          <w:lang w:eastAsia="zh-CN"/>
        </w:rPr>
        <w:t>Am J Gastroenterol</w:t>
      </w:r>
      <w:r w:rsidRPr="00321926">
        <w:rPr>
          <w:rFonts w:ascii="Book Antiqua" w:eastAsia="宋体" w:hAnsi="Book Antiqua" w:cs="宋体"/>
          <w:color w:val="000000"/>
          <w:lang w:eastAsia="zh-CN"/>
        </w:rPr>
        <w:t> 2004; </w:t>
      </w:r>
      <w:r w:rsidRPr="00321926">
        <w:rPr>
          <w:rFonts w:ascii="Book Antiqua" w:eastAsia="宋体" w:hAnsi="Book Antiqua" w:cs="宋体"/>
          <w:b/>
          <w:bCs/>
          <w:color w:val="000000"/>
          <w:lang w:eastAsia="zh-CN"/>
        </w:rPr>
        <w:t>99</w:t>
      </w:r>
      <w:r w:rsidRPr="00321926">
        <w:rPr>
          <w:rFonts w:ascii="Book Antiqua" w:eastAsia="宋体" w:hAnsi="Book Antiqua" w:cs="宋体"/>
          <w:color w:val="000000"/>
          <w:lang w:eastAsia="zh-CN"/>
        </w:rPr>
        <w:t>: 1152-1159 [PMID: 15180740 DOI: 10.1111/j.1572-0241.2004.30040.x]</w:t>
      </w:r>
    </w:p>
    <w:p w:rsidR="00715FBD" w:rsidRPr="00321926" w:rsidRDefault="00715FBD" w:rsidP="00321926">
      <w:pPr>
        <w:spacing w:line="360" w:lineRule="auto"/>
        <w:jc w:val="both"/>
        <w:rPr>
          <w:rFonts w:ascii="Book Antiqua" w:eastAsia="宋体" w:hAnsi="Book Antiqua" w:cs="宋体"/>
          <w:color w:val="000000"/>
          <w:lang w:eastAsia="zh-CN"/>
        </w:rPr>
      </w:pPr>
      <w:r w:rsidRPr="00321926">
        <w:rPr>
          <w:rFonts w:ascii="Book Antiqua" w:eastAsia="宋体" w:hAnsi="Book Antiqua" w:cs="宋体"/>
          <w:color w:val="000000"/>
          <w:lang w:eastAsia="zh-CN"/>
        </w:rPr>
        <w:t>43 </w:t>
      </w:r>
      <w:r w:rsidRPr="00321926">
        <w:rPr>
          <w:rFonts w:ascii="Book Antiqua" w:eastAsia="宋体" w:hAnsi="Book Antiqua" w:cs="宋体"/>
          <w:b/>
          <w:bCs/>
          <w:color w:val="000000"/>
          <w:lang w:eastAsia="zh-CN"/>
        </w:rPr>
        <w:t>Iovino P</w:t>
      </w:r>
      <w:r w:rsidRPr="00321926">
        <w:rPr>
          <w:rFonts w:ascii="Book Antiqua" w:eastAsia="宋体" w:hAnsi="Book Antiqua" w:cs="宋体"/>
          <w:color w:val="000000"/>
          <w:lang w:eastAsia="zh-CN"/>
        </w:rPr>
        <w:t>, Azpiroz F, Domingo E, Malagelada JR. The sympathetic nervous system modulates perception and reflex responses to gut distention in humans. </w:t>
      </w:r>
      <w:r w:rsidRPr="00321926">
        <w:rPr>
          <w:rFonts w:ascii="Book Antiqua" w:eastAsia="宋体" w:hAnsi="Book Antiqua" w:cs="宋体"/>
          <w:i/>
          <w:iCs/>
          <w:color w:val="000000"/>
          <w:lang w:eastAsia="zh-CN"/>
        </w:rPr>
        <w:t>Gastroenterology</w:t>
      </w:r>
      <w:r w:rsidRPr="00321926">
        <w:rPr>
          <w:rFonts w:ascii="Book Antiqua" w:eastAsia="宋体" w:hAnsi="Book Antiqua" w:cs="宋体"/>
          <w:color w:val="000000"/>
          <w:lang w:eastAsia="zh-CN"/>
        </w:rPr>
        <w:t> 1995; </w:t>
      </w:r>
      <w:r w:rsidRPr="00321926">
        <w:rPr>
          <w:rFonts w:ascii="Book Antiqua" w:eastAsia="宋体" w:hAnsi="Book Antiqua" w:cs="宋体"/>
          <w:b/>
          <w:bCs/>
          <w:color w:val="000000"/>
          <w:lang w:eastAsia="zh-CN"/>
        </w:rPr>
        <w:t>108</w:t>
      </w:r>
      <w:r w:rsidRPr="00321926">
        <w:rPr>
          <w:rFonts w:ascii="Book Antiqua" w:eastAsia="宋体" w:hAnsi="Book Antiqua" w:cs="宋体"/>
          <w:color w:val="000000"/>
          <w:lang w:eastAsia="zh-CN"/>
        </w:rPr>
        <w:t>: 680-686 [PMID: 7875470 DOI: 10.1016/0016-5085(95)90439-5]</w:t>
      </w:r>
    </w:p>
    <w:p w:rsidR="00715FBD" w:rsidRPr="00321926" w:rsidRDefault="00715FBD" w:rsidP="00321926">
      <w:pPr>
        <w:spacing w:line="360" w:lineRule="auto"/>
        <w:jc w:val="both"/>
        <w:rPr>
          <w:rFonts w:ascii="Book Antiqua" w:eastAsia="宋体" w:hAnsi="Book Antiqua" w:cs="宋体"/>
          <w:color w:val="000000"/>
          <w:lang w:eastAsia="zh-CN"/>
        </w:rPr>
      </w:pPr>
      <w:r w:rsidRPr="00321926">
        <w:rPr>
          <w:rFonts w:ascii="Book Antiqua" w:eastAsia="宋体" w:hAnsi="Book Antiqua" w:cs="宋体"/>
          <w:color w:val="000000"/>
          <w:lang w:eastAsia="zh-CN"/>
        </w:rPr>
        <w:t>44 </w:t>
      </w:r>
      <w:r w:rsidRPr="00321926">
        <w:rPr>
          <w:rFonts w:ascii="Book Antiqua" w:eastAsia="宋体" w:hAnsi="Book Antiqua" w:cs="宋体"/>
          <w:b/>
          <w:bCs/>
          <w:color w:val="000000"/>
          <w:lang w:eastAsia="zh-CN"/>
        </w:rPr>
        <w:t>Kennedy TM</w:t>
      </w:r>
      <w:r w:rsidRPr="00321926">
        <w:rPr>
          <w:rFonts w:ascii="Book Antiqua" w:eastAsia="宋体" w:hAnsi="Book Antiqua" w:cs="宋体"/>
          <w:color w:val="000000"/>
          <w:lang w:eastAsia="zh-CN"/>
        </w:rPr>
        <w:t>, Jones RH, Hungin AP, O'flanagan H, Kelly P. Irritable bowel syndrome, gastro-oesophageal reflux, and bronchial hyper-responsiveness in the general population. </w:t>
      </w:r>
      <w:r w:rsidRPr="00321926">
        <w:rPr>
          <w:rFonts w:ascii="Book Antiqua" w:eastAsia="宋体" w:hAnsi="Book Antiqua" w:cs="宋体"/>
          <w:i/>
          <w:iCs/>
          <w:color w:val="000000"/>
          <w:lang w:eastAsia="zh-CN"/>
        </w:rPr>
        <w:t>Gut</w:t>
      </w:r>
      <w:r w:rsidRPr="00321926">
        <w:rPr>
          <w:rFonts w:ascii="Book Antiqua" w:eastAsia="宋体" w:hAnsi="Book Antiqua" w:cs="宋体"/>
          <w:color w:val="000000"/>
          <w:lang w:eastAsia="zh-CN"/>
        </w:rPr>
        <w:t> 1998; </w:t>
      </w:r>
      <w:r w:rsidRPr="00321926">
        <w:rPr>
          <w:rFonts w:ascii="Book Antiqua" w:eastAsia="宋体" w:hAnsi="Book Antiqua" w:cs="宋体"/>
          <w:b/>
          <w:bCs/>
          <w:color w:val="000000"/>
          <w:lang w:eastAsia="zh-CN"/>
        </w:rPr>
        <w:t>43</w:t>
      </w:r>
      <w:r w:rsidRPr="00321926">
        <w:rPr>
          <w:rFonts w:ascii="Book Antiqua" w:eastAsia="宋体" w:hAnsi="Book Antiqua" w:cs="宋体"/>
          <w:color w:val="000000"/>
          <w:lang w:eastAsia="zh-CN"/>
        </w:rPr>
        <w:t>: 770-774 [PMID: 9824603 DOI: 10.1136/gut.43.6.770]</w:t>
      </w:r>
    </w:p>
    <w:p w:rsidR="00715FBD" w:rsidRPr="00321926" w:rsidRDefault="00715FBD" w:rsidP="00321926">
      <w:pPr>
        <w:spacing w:line="360" w:lineRule="auto"/>
        <w:jc w:val="both"/>
        <w:rPr>
          <w:rFonts w:ascii="Book Antiqua" w:eastAsia="宋体" w:hAnsi="Book Antiqua" w:cs="宋体"/>
          <w:color w:val="000000"/>
          <w:lang w:eastAsia="zh-CN"/>
        </w:rPr>
      </w:pPr>
      <w:r w:rsidRPr="00321926">
        <w:rPr>
          <w:rFonts w:ascii="Book Antiqua" w:eastAsia="宋体" w:hAnsi="Book Antiqua" w:cs="宋体"/>
          <w:color w:val="000000"/>
          <w:lang w:eastAsia="zh-CN"/>
        </w:rPr>
        <w:t>45 </w:t>
      </w:r>
      <w:r w:rsidRPr="00321926">
        <w:rPr>
          <w:rFonts w:ascii="Book Antiqua" w:eastAsia="宋体" w:hAnsi="Book Antiqua" w:cs="宋体"/>
          <w:b/>
          <w:bCs/>
          <w:color w:val="000000"/>
          <w:lang w:eastAsia="zh-CN"/>
        </w:rPr>
        <w:t>Lu CL</w:t>
      </w:r>
      <w:r w:rsidRPr="00321926">
        <w:rPr>
          <w:rFonts w:ascii="Book Antiqua" w:eastAsia="宋体" w:hAnsi="Book Antiqua" w:cs="宋体"/>
          <w:color w:val="000000"/>
          <w:lang w:eastAsia="zh-CN"/>
        </w:rPr>
        <w:t>, Lang HC, Chang FY, Chen CY, Luo JC, Wang SS, Lee SD. Prevalence and health/social impacts of functional dyspepsia in Taiwan: a study based on the Rome criteria questionnaire survey assisted by endoscopic exclusion among a physical check-up population. </w:t>
      </w:r>
      <w:r w:rsidRPr="00321926">
        <w:rPr>
          <w:rFonts w:ascii="Book Antiqua" w:eastAsia="宋体" w:hAnsi="Book Antiqua" w:cs="宋体"/>
          <w:i/>
          <w:iCs/>
          <w:color w:val="000000"/>
          <w:lang w:eastAsia="zh-CN"/>
        </w:rPr>
        <w:t>Scand J Gastroenterol</w:t>
      </w:r>
      <w:r w:rsidRPr="00321926">
        <w:rPr>
          <w:rFonts w:ascii="Book Antiqua" w:eastAsia="宋体" w:hAnsi="Book Antiqua" w:cs="宋体"/>
          <w:color w:val="000000"/>
          <w:lang w:eastAsia="zh-CN"/>
        </w:rPr>
        <w:t> 2005; </w:t>
      </w:r>
      <w:r w:rsidRPr="00321926">
        <w:rPr>
          <w:rFonts w:ascii="Book Antiqua" w:eastAsia="宋体" w:hAnsi="Book Antiqua" w:cs="宋体"/>
          <w:b/>
          <w:bCs/>
          <w:color w:val="000000"/>
          <w:lang w:eastAsia="zh-CN"/>
        </w:rPr>
        <w:t>40</w:t>
      </w:r>
      <w:r w:rsidRPr="00321926">
        <w:rPr>
          <w:rFonts w:ascii="Book Antiqua" w:eastAsia="宋体" w:hAnsi="Book Antiqua" w:cs="宋体"/>
          <w:color w:val="000000"/>
          <w:lang w:eastAsia="zh-CN"/>
        </w:rPr>
        <w:t>: 402-411 [PMID: 16028434 DOI: 10.1080/00365520510012190]</w:t>
      </w:r>
    </w:p>
    <w:p w:rsidR="00715FBD" w:rsidRPr="00321926" w:rsidRDefault="00715FBD" w:rsidP="00321926">
      <w:pPr>
        <w:spacing w:line="360" w:lineRule="auto"/>
        <w:jc w:val="both"/>
        <w:rPr>
          <w:rFonts w:ascii="Book Antiqua" w:eastAsia="宋体" w:hAnsi="Book Antiqua" w:cs="宋体"/>
          <w:color w:val="000000"/>
          <w:lang w:eastAsia="zh-CN"/>
        </w:rPr>
      </w:pPr>
      <w:r w:rsidRPr="00321926">
        <w:rPr>
          <w:rFonts w:ascii="Book Antiqua" w:eastAsia="宋体" w:hAnsi="Book Antiqua" w:cs="宋体"/>
          <w:color w:val="000000"/>
          <w:lang w:eastAsia="zh-CN"/>
        </w:rPr>
        <w:lastRenderedPageBreak/>
        <w:t>46 </w:t>
      </w:r>
      <w:r w:rsidRPr="00321926">
        <w:rPr>
          <w:rFonts w:ascii="Book Antiqua" w:eastAsia="宋体" w:hAnsi="Book Antiqua" w:cs="宋体"/>
          <w:b/>
          <w:bCs/>
          <w:color w:val="000000"/>
          <w:lang w:eastAsia="zh-CN"/>
        </w:rPr>
        <w:t>Moayyedi P</w:t>
      </w:r>
      <w:r w:rsidRPr="00321926">
        <w:rPr>
          <w:rFonts w:ascii="Book Antiqua" w:eastAsia="宋体" w:hAnsi="Book Antiqua" w:cs="宋体"/>
          <w:color w:val="000000"/>
          <w:lang w:eastAsia="zh-CN"/>
        </w:rPr>
        <w:t>, Mason J. Clinical and economic consequences of dyspepsia in the community. </w:t>
      </w:r>
      <w:r w:rsidRPr="00321926">
        <w:rPr>
          <w:rFonts w:ascii="Book Antiqua" w:eastAsia="宋体" w:hAnsi="Book Antiqua" w:cs="宋体"/>
          <w:i/>
          <w:iCs/>
          <w:color w:val="000000"/>
          <w:lang w:eastAsia="zh-CN"/>
        </w:rPr>
        <w:t>Gut</w:t>
      </w:r>
      <w:r w:rsidRPr="00321926">
        <w:rPr>
          <w:rFonts w:ascii="Book Antiqua" w:eastAsia="宋体" w:hAnsi="Book Antiqua" w:cs="宋体"/>
          <w:color w:val="000000"/>
          <w:lang w:eastAsia="zh-CN"/>
        </w:rPr>
        <w:t> 2002; </w:t>
      </w:r>
      <w:r w:rsidRPr="00321926">
        <w:rPr>
          <w:rFonts w:ascii="Book Antiqua" w:eastAsia="宋体" w:hAnsi="Book Antiqua" w:cs="宋体"/>
          <w:b/>
          <w:bCs/>
          <w:color w:val="000000"/>
          <w:lang w:eastAsia="zh-CN"/>
        </w:rPr>
        <w:t xml:space="preserve">50 </w:t>
      </w:r>
      <w:r w:rsidRPr="00321926">
        <w:rPr>
          <w:rFonts w:ascii="Book Antiqua" w:eastAsia="宋体" w:hAnsi="Book Antiqua" w:cs="宋体"/>
          <w:bCs/>
          <w:color w:val="000000"/>
          <w:lang w:eastAsia="zh-CN"/>
        </w:rPr>
        <w:t>Suppl 4</w:t>
      </w:r>
      <w:r w:rsidRPr="00321926">
        <w:rPr>
          <w:rFonts w:ascii="Book Antiqua" w:eastAsia="宋体" w:hAnsi="Book Antiqua" w:cs="宋体"/>
          <w:color w:val="000000"/>
          <w:lang w:eastAsia="zh-CN"/>
        </w:rPr>
        <w:t>: iv10-iv12 [PMID: 11953338 DOI: 10.1136/gut.50.suppl_4.iv10]</w:t>
      </w:r>
    </w:p>
    <w:p w:rsidR="00715FBD" w:rsidRPr="00321926" w:rsidRDefault="00715FBD" w:rsidP="00321926">
      <w:pPr>
        <w:spacing w:line="360" w:lineRule="auto"/>
        <w:jc w:val="both"/>
        <w:rPr>
          <w:rFonts w:ascii="Book Antiqua" w:eastAsia="宋体" w:hAnsi="Book Antiqua" w:cs="宋体"/>
          <w:color w:val="000000"/>
          <w:lang w:eastAsia="zh-CN"/>
        </w:rPr>
      </w:pPr>
      <w:r w:rsidRPr="00321926">
        <w:rPr>
          <w:rFonts w:ascii="Book Antiqua" w:eastAsia="宋体" w:hAnsi="Book Antiqua" w:cs="宋体"/>
          <w:color w:val="000000"/>
          <w:lang w:eastAsia="zh-CN"/>
        </w:rPr>
        <w:t>47 </w:t>
      </w:r>
      <w:r w:rsidRPr="00321926">
        <w:rPr>
          <w:rFonts w:ascii="Book Antiqua" w:eastAsia="宋体" w:hAnsi="Book Antiqua" w:cs="宋体"/>
          <w:b/>
          <w:bCs/>
          <w:color w:val="000000"/>
          <w:lang w:eastAsia="zh-CN"/>
        </w:rPr>
        <w:t>Richter JE</w:t>
      </w:r>
      <w:r w:rsidRPr="00321926">
        <w:rPr>
          <w:rFonts w:ascii="Book Antiqua" w:eastAsia="宋体" w:hAnsi="Book Antiqua" w:cs="宋体"/>
          <w:color w:val="000000"/>
          <w:lang w:eastAsia="zh-CN"/>
        </w:rPr>
        <w:t>. Dyspepsia: organic causes and differential characteristics from functional dyspepsia. </w:t>
      </w:r>
      <w:r w:rsidRPr="00321926">
        <w:rPr>
          <w:rFonts w:ascii="Book Antiqua" w:eastAsia="宋体" w:hAnsi="Book Antiqua" w:cs="宋体"/>
          <w:i/>
          <w:iCs/>
          <w:color w:val="000000"/>
          <w:lang w:eastAsia="zh-CN"/>
        </w:rPr>
        <w:t>Scand J Gastroenterol Suppl</w:t>
      </w:r>
      <w:r w:rsidRPr="00321926">
        <w:rPr>
          <w:rFonts w:ascii="Book Antiqua" w:eastAsia="宋体" w:hAnsi="Book Antiqua" w:cs="宋体"/>
          <w:color w:val="000000"/>
          <w:lang w:eastAsia="zh-CN"/>
        </w:rPr>
        <w:t> 1991; </w:t>
      </w:r>
      <w:r w:rsidRPr="00321926">
        <w:rPr>
          <w:rFonts w:ascii="Book Antiqua" w:eastAsia="宋体" w:hAnsi="Book Antiqua" w:cs="宋体"/>
          <w:b/>
          <w:bCs/>
          <w:color w:val="000000"/>
          <w:lang w:eastAsia="zh-CN"/>
        </w:rPr>
        <w:t>182</w:t>
      </w:r>
      <w:r w:rsidRPr="00321926">
        <w:rPr>
          <w:rFonts w:ascii="Book Antiqua" w:eastAsia="宋体" w:hAnsi="Book Antiqua" w:cs="宋体"/>
          <w:color w:val="000000"/>
          <w:lang w:eastAsia="zh-CN"/>
        </w:rPr>
        <w:t xml:space="preserve">: 11-16 [PMID: 1896824 DOI: </w:t>
      </w:r>
      <w:r w:rsidRPr="009F0683">
        <w:rPr>
          <w:rFonts w:ascii="Book Antiqua" w:eastAsia="宋体" w:hAnsi="Book Antiqua" w:cs="宋体"/>
          <w:color w:val="000000"/>
          <w:lang w:eastAsia="zh-CN"/>
        </w:rPr>
        <w:t>10.3109/00365529109109531</w:t>
      </w:r>
      <w:r w:rsidRPr="00321926">
        <w:rPr>
          <w:rFonts w:ascii="Book Antiqua" w:eastAsia="宋体" w:hAnsi="Book Antiqua" w:cs="宋体"/>
          <w:color w:val="000000"/>
          <w:lang w:eastAsia="zh-CN"/>
        </w:rPr>
        <w:t>]</w:t>
      </w:r>
    </w:p>
    <w:p w:rsidR="00715FBD" w:rsidRDefault="00715FBD" w:rsidP="00321926">
      <w:pPr>
        <w:spacing w:line="360" w:lineRule="auto"/>
        <w:jc w:val="both"/>
        <w:rPr>
          <w:rFonts w:ascii="Book Antiqua" w:eastAsia="宋体" w:hAnsi="Book Antiqua"/>
          <w:lang w:eastAsia="zh-CN"/>
        </w:rPr>
      </w:pPr>
    </w:p>
    <w:p w:rsidR="00715FBD" w:rsidRPr="00CE4867" w:rsidRDefault="00715FBD" w:rsidP="00E4779B">
      <w:pPr>
        <w:spacing w:line="360" w:lineRule="auto"/>
        <w:rPr>
          <w:rFonts w:ascii="Book Antiqua" w:hAnsi="Book Antiqua"/>
          <w:b/>
          <w:bCs/>
          <w:color w:val="000000"/>
        </w:rPr>
      </w:pPr>
      <w:bookmarkStart w:id="11" w:name="OLE_LINK11"/>
      <w:bookmarkStart w:id="12" w:name="OLE_LINK12"/>
      <w:bookmarkStart w:id="13" w:name="OLE_LINK36"/>
      <w:bookmarkStart w:id="14" w:name="OLE_LINK37"/>
      <w:bookmarkStart w:id="15" w:name="OLE_LINK20"/>
      <w:bookmarkStart w:id="16" w:name="OLE_LINK80"/>
      <w:bookmarkStart w:id="17" w:name="OLE_LINK85"/>
      <w:bookmarkStart w:id="18" w:name="OLE_LINK194"/>
      <w:bookmarkStart w:id="19" w:name="OLE_LINK118"/>
      <w:bookmarkStart w:id="20" w:name="OLE_LINK159"/>
      <w:r w:rsidRPr="00CE4867">
        <w:rPr>
          <w:rStyle w:val="a6"/>
          <w:rFonts w:ascii="Book Antiqua" w:hAnsi="Book Antiqua"/>
          <w:bCs/>
          <w:noProof/>
          <w:color w:val="000000"/>
        </w:rPr>
        <w:t>P-Reviewer</w:t>
      </w:r>
      <w:bookmarkEnd w:id="11"/>
      <w:bookmarkEnd w:id="12"/>
      <w:r>
        <w:rPr>
          <w:rStyle w:val="a6"/>
          <w:rFonts w:ascii="Book Antiqua" w:eastAsia="宋体" w:hAnsi="Book Antiqua"/>
          <w:bCs/>
          <w:noProof/>
          <w:color w:val="000000"/>
          <w:lang w:eastAsia="zh-CN"/>
        </w:rPr>
        <w:t>s</w:t>
      </w:r>
      <w:r>
        <w:rPr>
          <w:rStyle w:val="a6"/>
          <w:rFonts w:ascii="Book Antiqua" w:hAnsi="Book Antiqua"/>
          <w:bCs/>
          <w:noProof/>
          <w:color w:val="000000"/>
        </w:rPr>
        <w:t>:</w:t>
      </w:r>
      <w:r w:rsidRPr="00E4779B">
        <w:t xml:space="preserve"> </w:t>
      </w:r>
      <w:r w:rsidRPr="00E4779B">
        <w:rPr>
          <w:rStyle w:val="a6"/>
          <w:rFonts w:ascii="Book Antiqua" w:hAnsi="Book Antiqua"/>
          <w:b w:val="0"/>
          <w:bCs/>
          <w:noProof/>
          <w:color w:val="000000"/>
        </w:rPr>
        <w:t>Dang</w:t>
      </w:r>
      <w:r w:rsidRPr="00E4779B">
        <w:rPr>
          <w:rStyle w:val="a6"/>
          <w:rFonts w:ascii="Book Antiqua" w:eastAsia="宋体" w:hAnsi="Book Antiqua"/>
          <w:b w:val="0"/>
          <w:bCs/>
          <w:noProof/>
          <w:color w:val="000000"/>
          <w:lang w:eastAsia="zh-CN"/>
        </w:rPr>
        <w:t xml:space="preserve"> </w:t>
      </w:r>
      <w:r w:rsidRPr="00E4779B">
        <w:rPr>
          <w:rStyle w:val="a6"/>
          <w:rFonts w:ascii="Book Antiqua" w:hAnsi="Book Antiqua"/>
          <w:b w:val="0"/>
          <w:bCs/>
          <w:noProof/>
          <w:color w:val="000000"/>
        </w:rPr>
        <w:t>S</w:t>
      </w:r>
      <w:r w:rsidRPr="00E4779B">
        <w:rPr>
          <w:rStyle w:val="a6"/>
          <w:rFonts w:ascii="Book Antiqua" w:eastAsia="宋体" w:hAnsi="Book Antiqua"/>
          <w:b w:val="0"/>
          <w:bCs/>
          <w:noProof/>
          <w:color w:val="000000"/>
          <w:lang w:eastAsia="zh-CN"/>
        </w:rPr>
        <w:t>S</w:t>
      </w:r>
      <w:r>
        <w:rPr>
          <w:rStyle w:val="a6"/>
          <w:rFonts w:ascii="Book Antiqua" w:eastAsia="宋体" w:hAnsi="Book Antiqua"/>
          <w:bCs/>
          <w:noProof/>
          <w:color w:val="000000"/>
          <w:lang w:eastAsia="zh-CN"/>
        </w:rPr>
        <w:t>,</w:t>
      </w:r>
      <w:r w:rsidRPr="00CE4867">
        <w:rPr>
          <w:rFonts w:ascii="Book Antiqua" w:hAnsi="Book Antiqua"/>
          <w:b/>
          <w:bCs/>
          <w:color w:val="000000"/>
        </w:rPr>
        <w:t xml:space="preserve"> </w:t>
      </w:r>
      <w:r w:rsidRPr="00E4779B">
        <w:rPr>
          <w:rFonts w:ascii="Book Antiqua" w:hAnsi="Book Antiqua"/>
          <w:bCs/>
          <w:color w:val="000000"/>
        </w:rPr>
        <w:t>Mahadeva S</w:t>
      </w:r>
      <w:r>
        <w:rPr>
          <w:rFonts w:ascii="Book Antiqua" w:eastAsia="宋体" w:hAnsi="Book Antiqua"/>
          <w:bCs/>
          <w:color w:val="000000"/>
          <w:lang w:eastAsia="zh-CN"/>
        </w:rPr>
        <w:t xml:space="preserve">, </w:t>
      </w:r>
      <w:r w:rsidRPr="00E4779B">
        <w:rPr>
          <w:rFonts w:ascii="Book Antiqua" w:eastAsia="宋体" w:hAnsi="Book Antiqua"/>
          <w:bCs/>
          <w:color w:val="000000"/>
          <w:lang w:eastAsia="zh-CN"/>
        </w:rPr>
        <w:t>Qin</w:t>
      </w:r>
      <w:r>
        <w:rPr>
          <w:rFonts w:ascii="Book Antiqua" w:eastAsia="宋体" w:hAnsi="Book Antiqua"/>
          <w:bCs/>
          <w:color w:val="000000"/>
          <w:lang w:eastAsia="zh-CN"/>
        </w:rPr>
        <w:t xml:space="preserve"> </w:t>
      </w:r>
      <w:r w:rsidRPr="00E4779B">
        <w:rPr>
          <w:rFonts w:ascii="Book Antiqua" w:eastAsia="宋体" w:hAnsi="Book Antiqua"/>
          <w:bCs/>
          <w:color w:val="000000"/>
          <w:lang w:eastAsia="zh-CN"/>
        </w:rPr>
        <w:t>JM</w:t>
      </w:r>
      <w:r w:rsidRPr="00E4779B">
        <w:rPr>
          <w:rFonts w:ascii="Book Antiqua" w:hAnsi="Book Antiqua"/>
          <w:bCs/>
          <w:color w:val="000000"/>
        </w:rPr>
        <w:t xml:space="preserve"> </w:t>
      </w:r>
      <w:r w:rsidRPr="00CE4867">
        <w:rPr>
          <w:rFonts w:ascii="Book Antiqua" w:hAnsi="Book Antiqua"/>
          <w:b/>
          <w:bCs/>
          <w:color w:val="000000"/>
        </w:rPr>
        <w:t xml:space="preserve">         S-Editor</w:t>
      </w:r>
      <w:r>
        <w:rPr>
          <w:rFonts w:ascii="Book Antiqua" w:hAnsi="Book Antiqua"/>
          <w:b/>
          <w:bCs/>
          <w:color w:val="000000"/>
        </w:rPr>
        <w:t>:</w:t>
      </w:r>
      <w:r w:rsidRPr="00CE4867">
        <w:rPr>
          <w:rFonts w:ascii="Book Antiqua" w:hAnsi="Book Antiqua"/>
          <w:b/>
          <w:bCs/>
          <w:color w:val="000000"/>
        </w:rPr>
        <w:t xml:space="preserve"> </w:t>
      </w:r>
      <w:r w:rsidRPr="00CE4867">
        <w:rPr>
          <w:rFonts w:ascii="Book Antiqua" w:hAnsi="Book Antiqua"/>
          <w:bCs/>
          <w:color w:val="000000"/>
        </w:rPr>
        <w:t xml:space="preserve">Wen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L-Editor</w:t>
      </w:r>
      <w:r>
        <w:rPr>
          <w:rFonts w:ascii="Book Antiqua" w:hAnsi="Book Antiqua"/>
          <w:b/>
          <w:bCs/>
          <w:color w:val="000000"/>
        </w:rPr>
        <w:t>:</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E-Editor</w:t>
      </w:r>
      <w:r>
        <w:rPr>
          <w:rFonts w:ascii="Book Antiqua" w:hAnsi="Book Antiqua"/>
          <w:b/>
          <w:bCs/>
          <w:color w:val="000000"/>
        </w:rPr>
        <w:t>:</w:t>
      </w:r>
    </w:p>
    <w:bookmarkEnd w:id="13"/>
    <w:bookmarkEnd w:id="14"/>
    <w:bookmarkEnd w:id="15"/>
    <w:bookmarkEnd w:id="16"/>
    <w:bookmarkEnd w:id="17"/>
    <w:bookmarkEnd w:id="18"/>
    <w:bookmarkEnd w:id="19"/>
    <w:bookmarkEnd w:id="20"/>
    <w:p w:rsidR="00715FBD" w:rsidRPr="00E4779B" w:rsidRDefault="00715FBD" w:rsidP="00321926">
      <w:pPr>
        <w:spacing w:line="360" w:lineRule="auto"/>
        <w:jc w:val="both"/>
        <w:rPr>
          <w:rFonts w:ascii="Book Antiqua" w:eastAsia="宋体" w:hAnsi="Book Antiqua"/>
          <w:lang w:eastAsia="zh-CN"/>
        </w:rPr>
      </w:pPr>
    </w:p>
    <w:p w:rsidR="00715FBD" w:rsidRPr="00321926" w:rsidRDefault="00715FBD" w:rsidP="00321926">
      <w:pPr>
        <w:spacing w:line="360" w:lineRule="auto"/>
        <w:jc w:val="both"/>
        <w:rPr>
          <w:rFonts w:ascii="Book Antiqua" w:hAnsi="Book Antiqua"/>
          <w:b/>
        </w:rPr>
      </w:pPr>
      <w:r w:rsidRPr="00321926">
        <w:rPr>
          <w:rFonts w:ascii="Book Antiqua" w:hAnsi="Book Antiqua"/>
          <w:b/>
        </w:rPr>
        <w:br w:type="page"/>
      </w:r>
    </w:p>
    <w:p w:rsidR="00715FBD" w:rsidRPr="00321926" w:rsidRDefault="00715FBD" w:rsidP="00321926">
      <w:pPr>
        <w:autoSpaceDE w:val="0"/>
        <w:autoSpaceDN w:val="0"/>
        <w:adjustRightInd w:val="0"/>
        <w:spacing w:line="360" w:lineRule="auto"/>
        <w:jc w:val="both"/>
        <w:rPr>
          <w:rFonts w:ascii="Book Antiqua" w:hAnsi="Book Antiqua"/>
        </w:rPr>
      </w:pPr>
      <w:r w:rsidRPr="00321926">
        <w:rPr>
          <w:rFonts w:ascii="Book Antiqua" w:hAnsi="Book Antiqua"/>
          <w:b/>
        </w:rPr>
        <w:t xml:space="preserve">Figure 1 Overlaps in the prevalence of uninvestigated dyspepsia, irritable bowel syndrome and gastroesophageal reflux disease among the 1870 students surveyed from the Zhejiang province. </w:t>
      </w:r>
    </w:p>
    <w:p w:rsidR="00715FBD" w:rsidRPr="00321926" w:rsidRDefault="00715FBD" w:rsidP="00321926">
      <w:pPr>
        <w:spacing w:line="360" w:lineRule="auto"/>
        <w:jc w:val="both"/>
        <w:rPr>
          <w:rFonts w:ascii="Book Antiqua" w:hAnsi="Book Antiqua"/>
        </w:rPr>
      </w:pPr>
      <w:r w:rsidRPr="00321926">
        <w:rPr>
          <w:rFonts w:ascii="Book Antiqua" w:hAnsi="Book Antiqua"/>
        </w:rPr>
        <w:br w:type="page"/>
      </w:r>
    </w:p>
    <w:p w:rsidR="00715FBD" w:rsidRPr="00321926" w:rsidRDefault="00715FBD" w:rsidP="00321926">
      <w:pPr>
        <w:autoSpaceDE w:val="0"/>
        <w:autoSpaceDN w:val="0"/>
        <w:adjustRightInd w:val="0"/>
        <w:spacing w:line="360" w:lineRule="auto"/>
        <w:jc w:val="both"/>
        <w:rPr>
          <w:rFonts w:ascii="Book Antiqua" w:hAnsi="Book Antiqua"/>
          <w:b/>
        </w:rPr>
      </w:pPr>
      <w:r w:rsidRPr="00321926">
        <w:rPr>
          <w:rFonts w:ascii="Book Antiqua" w:hAnsi="Book Antiqua"/>
          <w:b/>
        </w:rPr>
        <w:t>Table 1 Prevalence of uninvestigated dyspepsia in relation to student characteristics</w:t>
      </w:r>
    </w:p>
    <w:p w:rsidR="00715FBD" w:rsidRPr="00321926" w:rsidRDefault="00715FBD" w:rsidP="00321926">
      <w:pPr>
        <w:autoSpaceDE w:val="0"/>
        <w:autoSpaceDN w:val="0"/>
        <w:adjustRightInd w:val="0"/>
        <w:spacing w:line="360" w:lineRule="auto"/>
        <w:jc w:val="both"/>
        <w:rPr>
          <w:rFonts w:ascii="Book Antiqua" w:hAnsi="Book Antiqua" w:cs="CaslonOldFaceBT"/>
        </w:rPr>
      </w:pPr>
    </w:p>
    <w:tbl>
      <w:tblPr>
        <w:tblW w:w="729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705"/>
        <w:gridCol w:w="1039"/>
        <w:gridCol w:w="658"/>
        <w:gridCol w:w="127"/>
        <w:gridCol w:w="647"/>
        <w:gridCol w:w="47"/>
        <w:gridCol w:w="172"/>
        <w:gridCol w:w="458"/>
        <w:gridCol w:w="670"/>
        <w:gridCol w:w="289"/>
        <w:gridCol w:w="401"/>
        <w:gridCol w:w="1085"/>
      </w:tblGrid>
      <w:tr w:rsidR="00715FBD" w:rsidRPr="00321926" w:rsidTr="00422EF0">
        <w:trPr>
          <w:trHeight w:val="373"/>
        </w:trPr>
        <w:tc>
          <w:tcPr>
            <w:tcW w:w="1705" w:type="dxa"/>
            <w:tcBorders>
              <w:top w:val="single" w:sz="4" w:space="0" w:color="auto"/>
              <w:bottom w:val="single" w:sz="4" w:space="0" w:color="auto"/>
            </w:tcBorders>
          </w:tcPr>
          <w:p w:rsidR="00715FBD" w:rsidRPr="00321926" w:rsidRDefault="00715FBD" w:rsidP="00321926">
            <w:pPr>
              <w:spacing w:line="360" w:lineRule="auto"/>
              <w:jc w:val="both"/>
              <w:rPr>
                <w:rFonts w:ascii="Book Antiqua" w:hAnsi="Book Antiqua"/>
              </w:rPr>
            </w:pPr>
          </w:p>
        </w:tc>
        <w:tc>
          <w:tcPr>
            <w:tcW w:w="2518" w:type="dxa"/>
            <w:gridSpan w:val="5"/>
            <w:tcBorders>
              <w:top w:val="single" w:sz="4" w:space="0" w:color="auto"/>
              <w:bottom w:val="single" w:sz="4" w:space="0" w:color="auto"/>
            </w:tcBorders>
            <w:vAlign w:val="center"/>
          </w:tcPr>
          <w:p w:rsidR="00715FBD" w:rsidRPr="00321926" w:rsidRDefault="00715FBD" w:rsidP="00321926">
            <w:pPr>
              <w:spacing w:line="360" w:lineRule="auto"/>
              <w:jc w:val="both"/>
              <w:rPr>
                <w:rFonts w:ascii="Book Antiqua" w:hAnsi="Book Antiqua"/>
                <w:b/>
              </w:rPr>
            </w:pPr>
            <w:r w:rsidRPr="00321926">
              <w:rPr>
                <w:rFonts w:ascii="Book Antiqua" w:hAnsi="Book Antiqua"/>
                <w:b/>
              </w:rPr>
              <w:t>UD             Non-UD</w:t>
            </w:r>
          </w:p>
          <w:p w:rsidR="00715FBD" w:rsidRPr="00321926" w:rsidRDefault="00715FBD" w:rsidP="00321926">
            <w:pPr>
              <w:spacing w:line="360" w:lineRule="auto"/>
              <w:jc w:val="both"/>
              <w:rPr>
                <w:rFonts w:ascii="Book Antiqua" w:hAnsi="Book Antiqua"/>
                <w:b/>
              </w:rPr>
            </w:pPr>
            <w:r w:rsidRPr="00321926">
              <w:rPr>
                <w:rFonts w:ascii="Book Antiqua" w:hAnsi="Book Antiqua"/>
                <w:b/>
              </w:rPr>
              <w:t xml:space="preserve">    (</w:t>
            </w:r>
            <w:r w:rsidRPr="00321926">
              <w:rPr>
                <w:rFonts w:ascii="Book Antiqua" w:hAnsi="Book Antiqua"/>
                <w:b/>
                <w:i/>
              </w:rPr>
              <w:t xml:space="preserve">n </w:t>
            </w:r>
            <w:r w:rsidRPr="00321926">
              <w:rPr>
                <w:rFonts w:ascii="Book Antiqua" w:hAnsi="Book Antiqua"/>
                <w:b/>
              </w:rPr>
              <w:t>= 108) (</w:t>
            </w:r>
            <w:r w:rsidRPr="00321926">
              <w:rPr>
                <w:rFonts w:ascii="Book Antiqua" w:hAnsi="Book Antiqua"/>
                <w:b/>
                <w:i/>
              </w:rPr>
              <w:t xml:space="preserve">n </w:t>
            </w:r>
            <w:r w:rsidRPr="00321926">
              <w:rPr>
                <w:rFonts w:ascii="Book Antiqua" w:hAnsi="Book Antiqua"/>
                <w:b/>
              </w:rPr>
              <w:t>= 1762)</w:t>
            </w:r>
          </w:p>
        </w:tc>
        <w:tc>
          <w:tcPr>
            <w:tcW w:w="1990" w:type="dxa"/>
            <w:gridSpan w:val="5"/>
            <w:tcBorders>
              <w:top w:val="single" w:sz="4" w:space="0" w:color="auto"/>
              <w:bottom w:val="single" w:sz="4" w:space="0" w:color="auto"/>
            </w:tcBorders>
            <w:vAlign w:val="center"/>
          </w:tcPr>
          <w:p w:rsidR="00715FBD" w:rsidRPr="00321926" w:rsidRDefault="00715FBD" w:rsidP="00321926">
            <w:pPr>
              <w:spacing w:line="360" w:lineRule="auto"/>
              <w:jc w:val="both"/>
              <w:rPr>
                <w:rFonts w:ascii="Book Antiqua" w:hAnsi="Book Antiqua"/>
                <w:b/>
              </w:rPr>
            </w:pPr>
            <w:r w:rsidRPr="00321926">
              <w:rPr>
                <w:rFonts w:ascii="Book Antiqua" w:hAnsi="Book Antiqua"/>
                <w:b/>
              </w:rPr>
              <w:t>Total</w:t>
            </w:r>
          </w:p>
          <w:p w:rsidR="00715FBD" w:rsidRPr="00321926" w:rsidRDefault="00715FBD" w:rsidP="00321926">
            <w:pPr>
              <w:spacing w:line="360" w:lineRule="auto"/>
              <w:jc w:val="both"/>
              <w:rPr>
                <w:rFonts w:ascii="Book Antiqua" w:hAnsi="Book Antiqua"/>
                <w:b/>
              </w:rPr>
            </w:pPr>
            <w:r w:rsidRPr="00321926">
              <w:rPr>
                <w:rFonts w:ascii="Book Antiqua" w:hAnsi="Book Antiqua"/>
                <w:b/>
              </w:rPr>
              <w:t>(</w:t>
            </w:r>
            <w:r w:rsidRPr="00321926">
              <w:rPr>
                <w:rFonts w:ascii="Book Antiqua" w:hAnsi="Book Antiqua"/>
                <w:b/>
                <w:i/>
              </w:rPr>
              <w:t xml:space="preserve">n </w:t>
            </w:r>
            <w:r w:rsidRPr="00321926">
              <w:rPr>
                <w:rFonts w:ascii="Book Antiqua" w:hAnsi="Book Antiqua"/>
                <w:b/>
              </w:rPr>
              <w:t>= 1870)</w:t>
            </w:r>
          </w:p>
        </w:tc>
        <w:tc>
          <w:tcPr>
            <w:tcW w:w="1085" w:type="dxa"/>
            <w:tcBorders>
              <w:top w:val="single" w:sz="4" w:space="0" w:color="auto"/>
              <w:bottom w:val="single" w:sz="4" w:space="0" w:color="auto"/>
            </w:tcBorders>
          </w:tcPr>
          <w:p w:rsidR="00715FBD" w:rsidRPr="00321926" w:rsidRDefault="00715FBD" w:rsidP="00321926">
            <w:pPr>
              <w:spacing w:line="360" w:lineRule="auto"/>
              <w:jc w:val="both"/>
              <w:rPr>
                <w:rFonts w:ascii="Book Antiqua" w:hAnsi="Book Antiqua"/>
                <w:b/>
              </w:rPr>
            </w:pPr>
            <w:r w:rsidRPr="00321926">
              <w:rPr>
                <w:rFonts w:ascii="Book Antiqua" w:hAnsi="Book Antiqua"/>
                <w:b/>
                <w:i/>
                <w:iCs/>
              </w:rPr>
              <w:t>P</w:t>
            </w:r>
          </w:p>
        </w:tc>
      </w:tr>
      <w:tr w:rsidR="00715FBD" w:rsidRPr="00321926" w:rsidTr="00422EF0">
        <w:tc>
          <w:tcPr>
            <w:tcW w:w="1705" w:type="dxa"/>
            <w:tcBorders>
              <w:top w:val="single" w:sz="4" w:space="0" w:color="auto"/>
            </w:tcBorders>
          </w:tcPr>
          <w:p w:rsidR="00715FBD" w:rsidRPr="00321926" w:rsidRDefault="00715FBD" w:rsidP="00321926">
            <w:pPr>
              <w:spacing w:line="360" w:lineRule="auto"/>
              <w:jc w:val="both"/>
              <w:rPr>
                <w:rFonts w:ascii="Book Antiqua" w:hAnsi="Book Antiqua"/>
                <w:b/>
              </w:rPr>
            </w:pPr>
            <w:r w:rsidRPr="00321926">
              <w:rPr>
                <w:rFonts w:ascii="Book Antiqua" w:hAnsi="Book Antiqua"/>
                <w:b/>
              </w:rPr>
              <w:t>Sex</w:t>
            </w:r>
          </w:p>
          <w:p w:rsidR="00715FBD" w:rsidRPr="00321926" w:rsidRDefault="00715FBD" w:rsidP="00321926">
            <w:pPr>
              <w:spacing w:line="360" w:lineRule="auto"/>
              <w:jc w:val="both"/>
              <w:rPr>
                <w:rFonts w:ascii="Book Antiqua" w:hAnsi="Book Antiqua"/>
              </w:rPr>
            </w:pPr>
            <w:r w:rsidRPr="00321926">
              <w:rPr>
                <w:rFonts w:ascii="Book Antiqua" w:hAnsi="Book Antiqua"/>
              </w:rPr>
              <w:t xml:space="preserve">          Male</w:t>
            </w:r>
          </w:p>
          <w:p w:rsidR="00715FBD" w:rsidRPr="00321926" w:rsidRDefault="00715FBD" w:rsidP="00321926">
            <w:pPr>
              <w:spacing w:line="360" w:lineRule="auto"/>
              <w:jc w:val="both"/>
              <w:rPr>
                <w:rFonts w:ascii="Book Antiqua" w:hAnsi="Book Antiqua"/>
              </w:rPr>
            </w:pPr>
            <w:r w:rsidRPr="00321926">
              <w:rPr>
                <w:rFonts w:ascii="Book Antiqua" w:hAnsi="Book Antiqua"/>
              </w:rPr>
              <w:t>Female</w:t>
            </w:r>
          </w:p>
        </w:tc>
        <w:tc>
          <w:tcPr>
            <w:tcW w:w="1039" w:type="dxa"/>
            <w:tcBorders>
              <w:top w:val="single" w:sz="4" w:space="0" w:color="auto"/>
            </w:tcBorders>
            <w:vAlign w:val="center"/>
          </w:tcPr>
          <w:p w:rsidR="00715FBD" w:rsidRPr="00321926" w:rsidRDefault="00715FBD" w:rsidP="00321926">
            <w:pPr>
              <w:spacing w:line="360" w:lineRule="auto"/>
              <w:jc w:val="both"/>
              <w:rPr>
                <w:rFonts w:ascii="Book Antiqua" w:hAnsi="Book Antiqua"/>
              </w:rPr>
            </w:pPr>
          </w:p>
          <w:p w:rsidR="00715FBD" w:rsidRPr="00321926" w:rsidRDefault="00715FBD" w:rsidP="00321926">
            <w:pPr>
              <w:spacing w:line="360" w:lineRule="auto"/>
              <w:jc w:val="both"/>
              <w:rPr>
                <w:rFonts w:ascii="Book Antiqua" w:hAnsi="Book Antiqua"/>
              </w:rPr>
            </w:pPr>
            <w:r w:rsidRPr="00321926">
              <w:rPr>
                <w:rFonts w:ascii="Book Antiqua" w:hAnsi="Book Antiqua"/>
              </w:rPr>
              <w:t>40(4.14)</w:t>
            </w:r>
          </w:p>
          <w:p w:rsidR="00715FBD" w:rsidRPr="00321926" w:rsidRDefault="00715FBD" w:rsidP="00321926">
            <w:pPr>
              <w:spacing w:line="360" w:lineRule="auto"/>
              <w:jc w:val="both"/>
              <w:rPr>
                <w:rFonts w:ascii="Book Antiqua" w:hAnsi="Book Antiqua"/>
              </w:rPr>
            </w:pPr>
            <w:r w:rsidRPr="00321926">
              <w:rPr>
                <w:rFonts w:ascii="Book Antiqua" w:hAnsi="Book Antiqua"/>
              </w:rPr>
              <w:t>68(7.53)</w:t>
            </w:r>
          </w:p>
        </w:tc>
        <w:tc>
          <w:tcPr>
            <w:tcW w:w="785" w:type="dxa"/>
            <w:gridSpan w:val="2"/>
            <w:tcBorders>
              <w:top w:val="single" w:sz="4" w:space="0" w:color="auto"/>
            </w:tcBorders>
            <w:vAlign w:val="center"/>
          </w:tcPr>
          <w:p w:rsidR="00715FBD" w:rsidRPr="00321926" w:rsidRDefault="00715FBD" w:rsidP="00321926">
            <w:pPr>
              <w:spacing w:line="360" w:lineRule="auto"/>
              <w:jc w:val="both"/>
              <w:rPr>
                <w:rFonts w:ascii="Book Antiqua" w:hAnsi="Book Antiqua"/>
              </w:rPr>
            </w:pPr>
          </w:p>
        </w:tc>
        <w:tc>
          <w:tcPr>
            <w:tcW w:w="647" w:type="dxa"/>
            <w:tcBorders>
              <w:top w:val="single" w:sz="4" w:space="0" w:color="auto"/>
            </w:tcBorders>
            <w:vAlign w:val="center"/>
          </w:tcPr>
          <w:p w:rsidR="00715FBD" w:rsidRPr="00321926" w:rsidRDefault="00715FBD" w:rsidP="00321926">
            <w:pPr>
              <w:spacing w:line="360" w:lineRule="auto"/>
              <w:jc w:val="both"/>
              <w:rPr>
                <w:rFonts w:ascii="Book Antiqua" w:hAnsi="Book Antiqua"/>
              </w:rPr>
            </w:pPr>
          </w:p>
          <w:p w:rsidR="00715FBD" w:rsidRPr="00321926" w:rsidRDefault="00715FBD" w:rsidP="00321926">
            <w:pPr>
              <w:spacing w:line="360" w:lineRule="auto"/>
              <w:jc w:val="both"/>
              <w:rPr>
                <w:rFonts w:ascii="Book Antiqua" w:hAnsi="Book Antiqua"/>
              </w:rPr>
            </w:pPr>
            <w:r w:rsidRPr="00321926">
              <w:rPr>
                <w:rFonts w:ascii="Book Antiqua" w:hAnsi="Book Antiqua"/>
              </w:rPr>
              <w:t>927</w:t>
            </w:r>
          </w:p>
          <w:p w:rsidR="00715FBD" w:rsidRPr="00321926" w:rsidRDefault="00715FBD" w:rsidP="00321926">
            <w:pPr>
              <w:spacing w:line="360" w:lineRule="auto"/>
              <w:jc w:val="both"/>
              <w:rPr>
                <w:rFonts w:ascii="Book Antiqua" w:hAnsi="Book Antiqua"/>
              </w:rPr>
            </w:pPr>
            <w:r w:rsidRPr="00321926">
              <w:rPr>
                <w:rFonts w:ascii="Book Antiqua" w:hAnsi="Book Antiqua"/>
              </w:rPr>
              <w:t>835</w:t>
            </w:r>
          </w:p>
        </w:tc>
        <w:tc>
          <w:tcPr>
            <w:tcW w:w="677" w:type="dxa"/>
            <w:gridSpan w:val="3"/>
            <w:tcBorders>
              <w:top w:val="single" w:sz="4" w:space="0" w:color="auto"/>
            </w:tcBorders>
            <w:vAlign w:val="center"/>
          </w:tcPr>
          <w:p w:rsidR="00715FBD" w:rsidRPr="00321926" w:rsidRDefault="00715FBD" w:rsidP="00321926">
            <w:pPr>
              <w:spacing w:line="360" w:lineRule="auto"/>
              <w:jc w:val="both"/>
              <w:rPr>
                <w:rFonts w:ascii="Book Antiqua" w:hAnsi="Book Antiqua"/>
              </w:rPr>
            </w:pPr>
          </w:p>
        </w:tc>
        <w:tc>
          <w:tcPr>
            <w:tcW w:w="959" w:type="dxa"/>
            <w:gridSpan w:val="2"/>
            <w:tcBorders>
              <w:top w:val="single" w:sz="4" w:space="0" w:color="auto"/>
            </w:tcBorders>
            <w:vAlign w:val="center"/>
          </w:tcPr>
          <w:p w:rsidR="00715FBD" w:rsidRPr="00321926" w:rsidRDefault="00715FBD" w:rsidP="00321926">
            <w:pPr>
              <w:spacing w:line="360" w:lineRule="auto"/>
              <w:jc w:val="both"/>
              <w:rPr>
                <w:rFonts w:ascii="Book Antiqua" w:hAnsi="Book Antiqua"/>
              </w:rPr>
            </w:pPr>
          </w:p>
          <w:p w:rsidR="00715FBD" w:rsidRPr="00321926" w:rsidRDefault="00715FBD" w:rsidP="00321926">
            <w:pPr>
              <w:spacing w:line="360" w:lineRule="auto"/>
              <w:jc w:val="both"/>
              <w:rPr>
                <w:rFonts w:ascii="Book Antiqua" w:hAnsi="Book Antiqua"/>
              </w:rPr>
            </w:pPr>
            <w:r w:rsidRPr="00321926">
              <w:rPr>
                <w:rFonts w:ascii="Book Antiqua" w:hAnsi="Book Antiqua"/>
              </w:rPr>
              <w:t>967</w:t>
            </w:r>
          </w:p>
          <w:p w:rsidR="00715FBD" w:rsidRPr="00321926" w:rsidRDefault="00715FBD" w:rsidP="00321926">
            <w:pPr>
              <w:spacing w:line="360" w:lineRule="auto"/>
              <w:jc w:val="both"/>
              <w:rPr>
                <w:rFonts w:ascii="Book Antiqua" w:hAnsi="Book Antiqua"/>
              </w:rPr>
            </w:pPr>
            <w:r w:rsidRPr="00321926">
              <w:rPr>
                <w:rFonts w:ascii="Book Antiqua" w:hAnsi="Book Antiqua"/>
              </w:rPr>
              <w:t>903</w:t>
            </w:r>
          </w:p>
        </w:tc>
        <w:tc>
          <w:tcPr>
            <w:tcW w:w="401" w:type="dxa"/>
            <w:tcBorders>
              <w:top w:val="single" w:sz="4" w:space="0" w:color="auto"/>
            </w:tcBorders>
            <w:vAlign w:val="center"/>
          </w:tcPr>
          <w:p w:rsidR="00715FBD" w:rsidRPr="00321926" w:rsidRDefault="00715FBD" w:rsidP="00321926">
            <w:pPr>
              <w:spacing w:line="360" w:lineRule="auto"/>
              <w:jc w:val="both"/>
              <w:rPr>
                <w:rFonts w:ascii="Book Antiqua" w:hAnsi="Book Antiqua"/>
              </w:rPr>
            </w:pPr>
          </w:p>
        </w:tc>
        <w:tc>
          <w:tcPr>
            <w:tcW w:w="1085" w:type="dxa"/>
            <w:tcBorders>
              <w:top w:val="single" w:sz="4" w:space="0" w:color="auto"/>
            </w:tcBorders>
          </w:tcPr>
          <w:p w:rsidR="00715FBD" w:rsidRPr="00321926" w:rsidRDefault="00715FBD" w:rsidP="00321926">
            <w:pPr>
              <w:spacing w:line="360" w:lineRule="auto"/>
              <w:jc w:val="both"/>
              <w:rPr>
                <w:rFonts w:ascii="Book Antiqua" w:hAnsi="Book Antiqua"/>
              </w:rPr>
            </w:pPr>
            <w:r w:rsidRPr="00321926">
              <w:rPr>
                <w:rFonts w:ascii="Book Antiqua" w:hAnsi="Book Antiqua"/>
              </w:rPr>
              <w:t>&lt;</w:t>
            </w:r>
            <w:r>
              <w:rPr>
                <w:rFonts w:ascii="Book Antiqua" w:eastAsia="宋体" w:hAnsi="Book Antiqua"/>
                <w:lang w:eastAsia="zh-CN"/>
              </w:rPr>
              <w:t xml:space="preserve"> </w:t>
            </w:r>
            <w:r w:rsidRPr="00321926">
              <w:rPr>
                <w:rFonts w:ascii="Book Antiqua" w:hAnsi="Book Antiqua"/>
              </w:rPr>
              <w:t>0.05</w:t>
            </w:r>
            <w:r w:rsidRPr="00321926">
              <w:rPr>
                <w:rFonts w:ascii="Book Antiqua" w:hAnsi="Book Antiqua"/>
                <w:vertAlign w:val="superscript"/>
              </w:rPr>
              <w:t>a</w:t>
            </w:r>
          </w:p>
        </w:tc>
      </w:tr>
      <w:tr w:rsidR="00715FBD" w:rsidRPr="00321926" w:rsidTr="00422EF0">
        <w:tc>
          <w:tcPr>
            <w:tcW w:w="1705" w:type="dxa"/>
          </w:tcPr>
          <w:p w:rsidR="00715FBD" w:rsidRPr="00321926" w:rsidRDefault="00715FBD" w:rsidP="00321926">
            <w:pPr>
              <w:spacing w:line="360" w:lineRule="auto"/>
              <w:jc w:val="both"/>
              <w:rPr>
                <w:rFonts w:ascii="Book Antiqua" w:eastAsia="宋体" w:hAnsi="Book Antiqua"/>
                <w:b/>
                <w:lang w:eastAsia="zh-CN"/>
              </w:rPr>
            </w:pPr>
            <w:r w:rsidRPr="00321926">
              <w:rPr>
                <w:rFonts w:ascii="Book Antiqua" w:hAnsi="Book Antiqua"/>
                <w:b/>
              </w:rPr>
              <w:t>Age</w:t>
            </w:r>
            <w:r w:rsidRPr="00321926">
              <w:rPr>
                <w:rFonts w:ascii="Book Antiqua" w:eastAsia="宋体" w:hAnsi="Book Antiqua"/>
                <w:b/>
                <w:lang w:eastAsia="zh-CN"/>
              </w:rPr>
              <w:t>,</w:t>
            </w:r>
            <w:r w:rsidRPr="00321926">
              <w:rPr>
                <w:rFonts w:ascii="Book Antiqua" w:hAnsi="Book Antiqua"/>
                <w:b/>
              </w:rPr>
              <w:t xml:space="preserve"> yr</w:t>
            </w:r>
          </w:p>
          <w:p w:rsidR="00715FBD" w:rsidRPr="00321926" w:rsidRDefault="00715FBD" w:rsidP="00097E9C">
            <w:pPr>
              <w:spacing w:line="360" w:lineRule="auto"/>
              <w:ind w:left="1440" w:hangingChars="600" w:hanging="1440"/>
              <w:jc w:val="both"/>
              <w:rPr>
                <w:rFonts w:ascii="Book Antiqua" w:eastAsia="宋体" w:hAnsi="Book Antiqua"/>
                <w:lang w:eastAsia="zh-CN"/>
              </w:rPr>
            </w:pPr>
          </w:p>
          <w:p w:rsidR="00715FBD" w:rsidRPr="00321926" w:rsidRDefault="00715FBD" w:rsidP="00097E9C">
            <w:pPr>
              <w:spacing w:line="360" w:lineRule="auto"/>
              <w:ind w:left="1446" w:hangingChars="600" w:hanging="1446"/>
              <w:jc w:val="both"/>
              <w:rPr>
                <w:rFonts w:ascii="Book Antiqua" w:eastAsia="宋体" w:hAnsi="Book Antiqua"/>
                <w:b/>
                <w:lang w:eastAsia="zh-CN"/>
              </w:rPr>
            </w:pPr>
            <w:r w:rsidRPr="00321926">
              <w:rPr>
                <w:rFonts w:ascii="Book Antiqua" w:hAnsi="Book Antiqua"/>
                <w:b/>
              </w:rPr>
              <w:t>BMI</w:t>
            </w:r>
            <w:r w:rsidRPr="00321926">
              <w:rPr>
                <w:rFonts w:ascii="Book Antiqua" w:eastAsia="宋体" w:hAnsi="Book Antiqua"/>
                <w:b/>
                <w:lang w:eastAsia="zh-CN"/>
              </w:rPr>
              <w:t xml:space="preserve">  </w:t>
            </w:r>
          </w:p>
          <w:p w:rsidR="00715FBD" w:rsidRPr="00321926" w:rsidRDefault="00715FBD" w:rsidP="00097E9C">
            <w:pPr>
              <w:spacing w:line="360" w:lineRule="auto"/>
              <w:ind w:left="1440" w:hangingChars="600" w:hanging="1440"/>
              <w:jc w:val="both"/>
              <w:rPr>
                <w:rFonts w:ascii="Book Antiqua" w:eastAsia="宋体" w:hAnsi="Book Antiqua"/>
                <w:lang w:eastAsia="zh-CN"/>
              </w:rPr>
            </w:pPr>
            <w:r w:rsidRPr="00321926">
              <w:rPr>
                <w:rFonts w:ascii="Book Antiqua" w:eastAsia="宋体" w:hAnsi="Book Antiqua"/>
                <w:lang w:eastAsia="zh-CN"/>
              </w:rPr>
              <w:t xml:space="preserve">          </w:t>
            </w:r>
            <w:r w:rsidRPr="00321926">
              <w:rPr>
                <w:rFonts w:ascii="Book Antiqua" w:hAnsi="Book Antiqua"/>
              </w:rPr>
              <w:t xml:space="preserve"> </w:t>
            </w:r>
            <w:r w:rsidRPr="00321926">
              <w:rPr>
                <w:rFonts w:ascii="Book Antiqua" w:eastAsia="宋体" w:hAnsi="Book Antiqua"/>
                <w:lang w:eastAsia="zh-CN"/>
              </w:rPr>
              <w:t xml:space="preserve">                                                               </w:t>
            </w:r>
          </w:p>
        </w:tc>
        <w:tc>
          <w:tcPr>
            <w:tcW w:w="1039" w:type="dxa"/>
            <w:vAlign w:val="center"/>
          </w:tcPr>
          <w:p w:rsidR="00715FBD" w:rsidRPr="00321926" w:rsidRDefault="00715FBD" w:rsidP="00321926">
            <w:pPr>
              <w:spacing w:line="360" w:lineRule="auto"/>
              <w:jc w:val="both"/>
              <w:rPr>
                <w:rFonts w:ascii="Book Antiqua" w:eastAsia="宋体" w:hAnsi="Book Antiqua"/>
                <w:lang w:eastAsia="zh-CN"/>
              </w:rPr>
            </w:pPr>
          </w:p>
          <w:p w:rsidR="00715FBD" w:rsidRPr="00321926" w:rsidRDefault="00715FBD" w:rsidP="00321926">
            <w:pPr>
              <w:spacing w:line="360" w:lineRule="auto"/>
              <w:jc w:val="both"/>
              <w:rPr>
                <w:rFonts w:ascii="Book Antiqua" w:eastAsia="宋体" w:hAnsi="Book Antiqua"/>
                <w:lang w:eastAsia="zh-CN"/>
              </w:rPr>
            </w:pPr>
            <w:r w:rsidRPr="00321926">
              <w:rPr>
                <w:rFonts w:ascii="Book Antiqua" w:hAnsi="Book Antiqua"/>
              </w:rPr>
              <w:t>2</w:t>
            </w:r>
            <w:r w:rsidRPr="00321926">
              <w:rPr>
                <w:rFonts w:ascii="Book Antiqua" w:eastAsia="宋体" w:hAnsi="Book Antiqua"/>
                <w:lang w:eastAsia="zh-CN"/>
              </w:rPr>
              <w:t>0</w:t>
            </w:r>
            <w:r w:rsidRPr="00321926">
              <w:rPr>
                <w:rFonts w:ascii="Book Antiqua" w:hAnsi="Book Antiqua"/>
              </w:rPr>
              <w:t>.</w:t>
            </w:r>
            <w:r w:rsidRPr="00321926">
              <w:rPr>
                <w:rFonts w:ascii="Book Antiqua" w:eastAsia="宋体" w:hAnsi="Book Antiqua"/>
                <w:lang w:eastAsia="zh-CN"/>
              </w:rPr>
              <w:t>96</w:t>
            </w:r>
            <w:r w:rsidRPr="00321926">
              <w:rPr>
                <w:rFonts w:ascii="Book Antiqua" w:hAnsi="Book Antiqua"/>
              </w:rPr>
              <w:t>±2.</w:t>
            </w:r>
            <w:r w:rsidRPr="00321926">
              <w:rPr>
                <w:rFonts w:ascii="Book Antiqua" w:eastAsia="宋体" w:hAnsi="Book Antiqua"/>
                <w:lang w:eastAsia="zh-CN"/>
              </w:rPr>
              <w:t>87</w:t>
            </w:r>
          </w:p>
          <w:p w:rsidR="00715FBD" w:rsidRPr="00321926" w:rsidRDefault="00715FBD" w:rsidP="00321926">
            <w:pPr>
              <w:spacing w:line="360" w:lineRule="auto"/>
              <w:jc w:val="both"/>
              <w:rPr>
                <w:rFonts w:ascii="Book Antiqua" w:eastAsia="宋体" w:hAnsi="Book Antiqua"/>
                <w:lang w:eastAsia="zh-CN"/>
              </w:rPr>
            </w:pPr>
          </w:p>
          <w:p w:rsidR="00715FBD" w:rsidRPr="00321926" w:rsidRDefault="00715FBD" w:rsidP="00321926">
            <w:pPr>
              <w:spacing w:line="360" w:lineRule="auto"/>
              <w:jc w:val="both"/>
              <w:rPr>
                <w:rFonts w:ascii="Book Antiqua" w:eastAsia="宋体" w:hAnsi="Book Antiqua"/>
                <w:lang w:eastAsia="zh-CN"/>
              </w:rPr>
            </w:pPr>
            <w:r w:rsidRPr="00321926">
              <w:rPr>
                <w:rFonts w:ascii="Book Antiqua" w:hAnsi="Book Antiqua"/>
              </w:rPr>
              <w:t>22.</w:t>
            </w:r>
            <w:r w:rsidRPr="00321926">
              <w:rPr>
                <w:rFonts w:ascii="Book Antiqua" w:eastAsia="宋体" w:hAnsi="Book Antiqua"/>
                <w:lang w:eastAsia="zh-CN"/>
              </w:rPr>
              <w:t>59</w:t>
            </w:r>
            <w:r w:rsidRPr="00321926">
              <w:rPr>
                <w:rFonts w:ascii="Book Antiqua" w:hAnsi="Book Antiqua"/>
              </w:rPr>
              <w:t>±</w:t>
            </w:r>
            <w:r w:rsidRPr="00321926">
              <w:rPr>
                <w:rFonts w:ascii="Book Antiqua" w:eastAsia="宋体" w:hAnsi="Book Antiqua"/>
                <w:lang w:eastAsia="zh-CN"/>
              </w:rPr>
              <w:t>3</w:t>
            </w:r>
            <w:r w:rsidRPr="00321926">
              <w:rPr>
                <w:rFonts w:ascii="Book Antiqua" w:hAnsi="Book Antiqua"/>
              </w:rPr>
              <w:t>.</w:t>
            </w:r>
            <w:r w:rsidRPr="00321926">
              <w:rPr>
                <w:rFonts w:ascii="Book Antiqua" w:eastAsia="宋体" w:hAnsi="Book Antiqua"/>
                <w:lang w:eastAsia="zh-CN"/>
              </w:rPr>
              <w:t>79</w:t>
            </w:r>
          </w:p>
        </w:tc>
        <w:tc>
          <w:tcPr>
            <w:tcW w:w="658" w:type="dxa"/>
            <w:vAlign w:val="center"/>
          </w:tcPr>
          <w:p w:rsidR="00715FBD" w:rsidRPr="00321926" w:rsidRDefault="00715FBD" w:rsidP="00321926">
            <w:pPr>
              <w:spacing w:line="360" w:lineRule="auto"/>
              <w:jc w:val="both"/>
              <w:rPr>
                <w:rFonts w:ascii="Book Antiqua" w:hAnsi="Book Antiqua"/>
              </w:rPr>
            </w:pPr>
          </w:p>
        </w:tc>
        <w:tc>
          <w:tcPr>
            <w:tcW w:w="993" w:type="dxa"/>
            <w:gridSpan w:val="4"/>
            <w:vAlign w:val="center"/>
          </w:tcPr>
          <w:p w:rsidR="00715FBD" w:rsidRPr="00321926" w:rsidRDefault="00715FBD" w:rsidP="00321926">
            <w:pPr>
              <w:spacing w:line="360" w:lineRule="auto"/>
              <w:jc w:val="both"/>
              <w:rPr>
                <w:rFonts w:ascii="Book Antiqua" w:eastAsia="宋体" w:hAnsi="Book Antiqua"/>
                <w:lang w:eastAsia="zh-CN"/>
              </w:rPr>
            </w:pPr>
          </w:p>
          <w:p w:rsidR="00715FBD" w:rsidRPr="00321926" w:rsidRDefault="00715FBD" w:rsidP="00321926">
            <w:pPr>
              <w:spacing w:line="360" w:lineRule="auto"/>
              <w:jc w:val="both"/>
              <w:rPr>
                <w:rFonts w:ascii="Book Antiqua" w:eastAsia="宋体" w:hAnsi="Book Antiqua"/>
                <w:lang w:eastAsia="zh-CN"/>
              </w:rPr>
            </w:pPr>
            <w:r w:rsidRPr="00321926">
              <w:rPr>
                <w:rFonts w:ascii="Book Antiqua" w:hAnsi="Book Antiqua"/>
              </w:rPr>
              <w:t>21.</w:t>
            </w:r>
            <w:r w:rsidRPr="00321926">
              <w:rPr>
                <w:rFonts w:ascii="Book Antiqua" w:eastAsia="宋体" w:hAnsi="Book Antiqua"/>
                <w:lang w:eastAsia="zh-CN"/>
              </w:rPr>
              <w:t>72</w:t>
            </w:r>
            <w:r w:rsidRPr="00321926">
              <w:rPr>
                <w:rFonts w:ascii="Book Antiqua" w:hAnsi="Book Antiqua"/>
              </w:rPr>
              <w:t>±</w:t>
            </w:r>
            <w:r w:rsidRPr="00321926">
              <w:rPr>
                <w:rFonts w:ascii="Book Antiqua" w:eastAsia="宋体" w:hAnsi="Book Antiqua"/>
                <w:lang w:eastAsia="zh-CN"/>
              </w:rPr>
              <w:t>1</w:t>
            </w:r>
            <w:r w:rsidRPr="00321926">
              <w:rPr>
                <w:rFonts w:ascii="Book Antiqua" w:hAnsi="Book Antiqua"/>
              </w:rPr>
              <w:t>.</w:t>
            </w:r>
            <w:r w:rsidRPr="00321926">
              <w:rPr>
                <w:rFonts w:ascii="Book Antiqua" w:eastAsia="宋体" w:hAnsi="Book Antiqua"/>
                <w:lang w:eastAsia="zh-CN"/>
              </w:rPr>
              <w:t>97</w:t>
            </w:r>
          </w:p>
          <w:p w:rsidR="00715FBD" w:rsidRPr="00321926" w:rsidRDefault="00715FBD" w:rsidP="00321926">
            <w:pPr>
              <w:spacing w:line="360" w:lineRule="auto"/>
              <w:jc w:val="both"/>
              <w:rPr>
                <w:rFonts w:ascii="Book Antiqua" w:eastAsia="宋体" w:hAnsi="Book Antiqua"/>
                <w:lang w:eastAsia="zh-CN"/>
              </w:rPr>
            </w:pPr>
          </w:p>
          <w:p w:rsidR="00715FBD" w:rsidRPr="00321926" w:rsidRDefault="00715FBD" w:rsidP="00321926">
            <w:pPr>
              <w:spacing w:line="360" w:lineRule="auto"/>
              <w:jc w:val="both"/>
              <w:rPr>
                <w:rFonts w:ascii="Book Antiqua" w:eastAsia="宋体" w:hAnsi="Book Antiqua"/>
                <w:lang w:eastAsia="zh-CN"/>
              </w:rPr>
            </w:pPr>
            <w:r w:rsidRPr="00321926">
              <w:rPr>
                <w:rFonts w:ascii="Book Antiqua" w:hAnsi="Book Antiqua"/>
              </w:rPr>
              <w:t>2</w:t>
            </w:r>
            <w:r w:rsidRPr="00321926">
              <w:rPr>
                <w:rFonts w:ascii="Book Antiqua" w:eastAsia="宋体" w:hAnsi="Book Antiqua"/>
                <w:lang w:eastAsia="zh-CN"/>
              </w:rPr>
              <w:t>1</w:t>
            </w:r>
            <w:r w:rsidRPr="00321926">
              <w:rPr>
                <w:rFonts w:ascii="Book Antiqua" w:hAnsi="Book Antiqua"/>
              </w:rPr>
              <w:t>.</w:t>
            </w:r>
            <w:r w:rsidRPr="00321926">
              <w:rPr>
                <w:rFonts w:ascii="Book Antiqua" w:eastAsia="宋体" w:hAnsi="Book Antiqua"/>
                <w:lang w:eastAsia="zh-CN"/>
              </w:rPr>
              <w:t>97</w:t>
            </w:r>
            <w:r w:rsidRPr="00321926">
              <w:rPr>
                <w:rFonts w:ascii="Book Antiqua" w:hAnsi="Book Antiqua"/>
              </w:rPr>
              <w:t>±</w:t>
            </w:r>
            <w:r w:rsidRPr="00321926">
              <w:rPr>
                <w:rFonts w:ascii="Book Antiqua" w:eastAsia="宋体" w:hAnsi="Book Antiqua"/>
                <w:lang w:eastAsia="zh-CN"/>
              </w:rPr>
              <w:t>4</w:t>
            </w:r>
            <w:r w:rsidRPr="00321926">
              <w:rPr>
                <w:rFonts w:ascii="Book Antiqua" w:hAnsi="Book Antiqua"/>
              </w:rPr>
              <w:t>.</w:t>
            </w:r>
            <w:r w:rsidRPr="00321926">
              <w:rPr>
                <w:rFonts w:ascii="Book Antiqua" w:eastAsia="宋体" w:hAnsi="Book Antiqua"/>
                <w:lang w:eastAsia="zh-CN"/>
              </w:rPr>
              <w:t>76</w:t>
            </w:r>
          </w:p>
        </w:tc>
        <w:tc>
          <w:tcPr>
            <w:tcW w:w="458" w:type="dxa"/>
            <w:vAlign w:val="center"/>
          </w:tcPr>
          <w:p w:rsidR="00715FBD" w:rsidRPr="00321926" w:rsidRDefault="00715FBD" w:rsidP="00321926">
            <w:pPr>
              <w:spacing w:line="360" w:lineRule="auto"/>
              <w:jc w:val="both"/>
              <w:rPr>
                <w:rFonts w:ascii="Book Antiqua" w:hAnsi="Book Antiqua"/>
              </w:rPr>
            </w:pPr>
          </w:p>
        </w:tc>
        <w:tc>
          <w:tcPr>
            <w:tcW w:w="959" w:type="dxa"/>
            <w:gridSpan w:val="2"/>
            <w:vAlign w:val="center"/>
          </w:tcPr>
          <w:p w:rsidR="00715FBD" w:rsidRPr="00321926" w:rsidRDefault="00715FBD" w:rsidP="00321926">
            <w:pPr>
              <w:spacing w:line="360" w:lineRule="auto"/>
              <w:jc w:val="both"/>
              <w:rPr>
                <w:rFonts w:ascii="Book Antiqua" w:eastAsia="宋体" w:hAnsi="Book Antiqua"/>
                <w:lang w:eastAsia="zh-CN"/>
              </w:rPr>
            </w:pPr>
          </w:p>
          <w:p w:rsidR="00715FBD" w:rsidRPr="00321926" w:rsidRDefault="00715FBD" w:rsidP="00321926">
            <w:pPr>
              <w:spacing w:line="360" w:lineRule="auto"/>
              <w:jc w:val="both"/>
              <w:rPr>
                <w:rFonts w:ascii="Book Antiqua" w:eastAsia="宋体" w:hAnsi="Book Antiqua"/>
                <w:lang w:eastAsia="zh-CN"/>
              </w:rPr>
            </w:pPr>
            <w:r w:rsidRPr="00321926">
              <w:rPr>
                <w:rFonts w:ascii="Book Antiqua" w:hAnsi="Book Antiqua"/>
              </w:rPr>
              <w:t>21.34</w:t>
            </w:r>
            <w:bookmarkStart w:id="21" w:name="OLE_LINK6"/>
            <w:r w:rsidRPr="00321926">
              <w:rPr>
                <w:rFonts w:ascii="Book Antiqua" w:hAnsi="Book Antiqua"/>
              </w:rPr>
              <w:t>±2.56</w:t>
            </w:r>
            <w:bookmarkEnd w:id="21"/>
          </w:p>
          <w:p w:rsidR="00715FBD" w:rsidRPr="00321926" w:rsidRDefault="00715FBD" w:rsidP="00321926">
            <w:pPr>
              <w:spacing w:line="360" w:lineRule="auto"/>
              <w:jc w:val="both"/>
              <w:rPr>
                <w:rFonts w:ascii="Book Antiqua" w:eastAsia="宋体" w:hAnsi="Book Antiqua"/>
                <w:lang w:eastAsia="zh-CN"/>
              </w:rPr>
            </w:pPr>
            <w:r w:rsidRPr="00321926">
              <w:rPr>
                <w:rFonts w:ascii="Book Antiqua" w:hAnsi="Book Antiqua"/>
              </w:rPr>
              <w:t xml:space="preserve"> </w:t>
            </w:r>
          </w:p>
          <w:p w:rsidR="00715FBD" w:rsidRPr="00321926" w:rsidRDefault="00715FBD" w:rsidP="00321926">
            <w:pPr>
              <w:spacing w:line="360" w:lineRule="auto"/>
              <w:jc w:val="both"/>
              <w:rPr>
                <w:rFonts w:ascii="Book Antiqua" w:hAnsi="Book Antiqua"/>
              </w:rPr>
            </w:pPr>
            <w:r w:rsidRPr="00321926">
              <w:rPr>
                <w:rFonts w:ascii="Book Antiqua" w:hAnsi="Book Antiqua"/>
              </w:rPr>
              <w:t>22.28±4.27</w:t>
            </w:r>
          </w:p>
        </w:tc>
        <w:tc>
          <w:tcPr>
            <w:tcW w:w="401" w:type="dxa"/>
            <w:vAlign w:val="center"/>
          </w:tcPr>
          <w:p w:rsidR="00715FBD" w:rsidRPr="00321926" w:rsidRDefault="00715FBD" w:rsidP="00321926">
            <w:pPr>
              <w:spacing w:line="360" w:lineRule="auto"/>
              <w:jc w:val="both"/>
              <w:rPr>
                <w:rFonts w:ascii="Book Antiqua" w:hAnsi="Book Antiqua"/>
              </w:rPr>
            </w:pPr>
          </w:p>
        </w:tc>
        <w:tc>
          <w:tcPr>
            <w:tcW w:w="1085" w:type="dxa"/>
          </w:tcPr>
          <w:p w:rsidR="00715FBD" w:rsidRPr="00321926" w:rsidRDefault="00715FBD" w:rsidP="00321926">
            <w:pPr>
              <w:spacing w:line="360" w:lineRule="auto"/>
              <w:jc w:val="both"/>
              <w:rPr>
                <w:rFonts w:ascii="Book Antiqua" w:eastAsia="宋体" w:hAnsi="Book Antiqua"/>
                <w:lang w:eastAsia="zh-CN"/>
              </w:rPr>
            </w:pPr>
            <w:r w:rsidRPr="00321926">
              <w:rPr>
                <w:rFonts w:ascii="Book Antiqua" w:eastAsia="宋体" w:hAnsi="Book Antiqua"/>
                <w:lang w:eastAsia="zh-CN"/>
              </w:rPr>
              <w:t xml:space="preserve"> </w:t>
            </w:r>
          </w:p>
        </w:tc>
      </w:tr>
      <w:tr w:rsidR="00715FBD" w:rsidRPr="00321926" w:rsidTr="00422EF0">
        <w:tc>
          <w:tcPr>
            <w:tcW w:w="3529" w:type="dxa"/>
            <w:gridSpan w:val="4"/>
          </w:tcPr>
          <w:p w:rsidR="00715FBD" w:rsidRPr="00321926" w:rsidRDefault="00715FBD" w:rsidP="00321926">
            <w:pPr>
              <w:spacing w:line="360" w:lineRule="auto"/>
              <w:jc w:val="both"/>
              <w:rPr>
                <w:rFonts w:ascii="Book Antiqua" w:hAnsi="Book Antiqua"/>
                <w:b/>
              </w:rPr>
            </w:pPr>
            <w:r w:rsidRPr="00321926">
              <w:rPr>
                <w:rFonts w:ascii="Book Antiqua" w:hAnsi="Book Antiqua"/>
                <w:b/>
              </w:rPr>
              <w:t>College program and year</w:t>
            </w:r>
          </w:p>
        </w:tc>
        <w:tc>
          <w:tcPr>
            <w:tcW w:w="647" w:type="dxa"/>
            <w:vAlign w:val="center"/>
          </w:tcPr>
          <w:p w:rsidR="00715FBD" w:rsidRPr="00321926" w:rsidRDefault="00715FBD" w:rsidP="00321926">
            <w:pPr>
              <w:spacing w:line="360" w:lineRule="auto"/>
              <w:jc w:val="both"/>
              <w:rPr>
                <w:rFonts w:ascii="Book Antiqua" w:hAnsi="Book Antiqua"/>
              </w:rPr>
            </w:pPr>
          </w:p>
        </w:tc>
        <w:tc>
          <w:tcPr>
            <w:tcW w:w="677" w:type="dxa"/>
            <w:gridSpan w:val="3"/>
            <w:vAlign w:val="center"/>
          </w:tcPr>
          <w:p w:rsidR="00715FBD" w:rsidRPr="00321926" w:rsidRDefault="00715FBD" w:rsidP="00321926">
            <w:pPr>
              <w:spacing w:line="360" w:lineRule="auto"/>
              <w:jc w:val="both"/>
              <w:rPr>
                <w:rFonts w:ascii="Book Antiqua" w:hAnsi="Book Antiqua"/>
              </w:rPr>
            </w:pPr>
          </w:p>
        </w:tc>
        <w:tc>
          <w:tcPr>
            <w:tcW w:w="670" w:type="dxa"/>
            <w:vAlign w:val="center"/>
          </w:tcPr>
          <w:p w:rsidR="00715FBD" w:rsidRPr="00321926" w:rsidRDefault="00715FBD" w:rsidP="00321926">
            <w:pPr>
              <w:spacing w:line="360" w:lineRule="auto"/>
              <w:jc w:val="both"/>
              <w:rPr>
                <w:rFonts w:ascii="Book Antiqua" w:hAnsi="Book Antiqua"/>
              </w:rPr>
            </w:pPr>
          </w:p>
        </w:tc>
        <w:tc>
          <w:tcPr>
            <w:tcW w:w="690" w:type="dxa"/>
            <w:gridSpan w:val="2"/>
            <w:vAlign w:val="center"/>
          </w:tcPr>
          <w:p w:rsidR="00715FBD" w:rsidRPr="00321926" w:rsidRDefault="00715FBD" w:rsidP="00321926">
            <w:pPr>
              <w:spacing w:line="360" w:lineRule="auto"/>
              <w:jc w:val="both"/>
              <w:rPr>
                <w:rFonts w:ascii="Book Antiqua" w:hAnsi="Book Antiqua"/>
              </w:rPr>
            </w:pPr>
          </w:p>
        </w:tc>
        <w:tc>
          <w:tcPr>
            <w:tcW w:w="1085" w:type="dxa"/>
          </w:tcPr>
          <w:p w:rsidR="00715FBD" w:rsidRPr="00321926" w:rsidRDefault="00715FBD" w:rsidP="00321926">
            <w:pPr>
              <w:spacing w:line="360" w:lineRule="auto"/>
              <w:jc w:val="both"/>
              <w:rPr>
                <w:rFonts w:ascii="Book Antiqua" w:eastAsia="宋体" w:hAnsi="Book Antiqua"/>
                <w:lang w:eastAsia="zh-CN"/>
              </w:rPr>
            </w:pPr>
            <w:r w:rsidRPr="00321926">
              <w:rPr>
                <w:rFonts w:ascii="Book Antiqua" w:hAnsi="Book Antiqua"/>
              </w:rPr>
              <w:t>&lt;</w:t>
            </w:r>
            <w:r w:rsidRPr="00321926">
              <w:rPr>
                <w:rFonts w:ascii="Book Antiqua" w:eastAsia="宋体" w:hAnsi="Book Antiqua"/>
                <w:lang w:eastAsia="zh-CN"/>
              </w:rPr>
              <w:t xml:space="preserve"> </w:t>
            </w:r>
            <w:r w:rsidRPr="00321926">
              <w:rPr>
                <w:rFonts w:ascii="Book Antiqua" w:hAnsi="Book Antiqua"/>
              </w:rPr>
              <w:t>0.05</w:t>
            </w:r>
            <w:r w:rsidRPr="00321926">
              <w:rPr>
                <w:rFonts w:ascii="Book Antiqua" w:eastAsia="宋体" w:hAnsi="Book Antiqua"/>
                <w:vertAlign w:val="superscript"/>
                <w:lang w:eastAsia="zh-CN"/>
              </w:rPr>
              <w:t>c</w:t>
            </w:r>
          </w:p>
        </w:tc>
      </w:tr>
      <w:tr w:rsidR="00715FBD" w:rsidRPr="00321926" w:rsidTr="00422EF0">
        <w:tc>
          <w:tcPr>
            <w:tcW w:w="1705" w:type="dxa"/>
          </w:tcPr>
          <w:p w:rsidR="00715FBD" w:rsidRPr="00321926" w:rsidRDefault="00715FBD" w:rsidP="00097E9C">
            <w:pPr>
              <w:spacing w:line="360" w:lineRule="auto"/>
              <w:ind w:firstLineChars="50" w:firstLine="120"/>
              <w:jc w:val="both"/>
              <w:rPr>
                <w:rFonts w:ascii="Book Antiqua" w:hAnsi="Book Antiqua"/>
              </w:rPr>
            </w:pPr>
            <w:r w:rsidRPr="00321926">
              <w:rPr>
                <w:rFonts w:ascii="Book Antiqua" w:hAnsi="Book Antiqua"/>
              </w:rPr>
              <w:t xml:space="preserve">  Undergraduate</w:t>
            </w:r>
          </w:p>
        </w:tc>
        <w:tc>
          <w:tcPr>
            <w:tcW w:w="1039" w:type="dxa"/>
            <w:vAlign w:val="center"/>
          </w:tcPr>
          <w:p w:rsidR="00715FBD" w:rsidRPr="00321926" w:rsidRDefault="00715FBD" w:rsidP="00321926">
            <w:pPr>
              <w:spacing w:line="360" w:lineRule="auto"/>
              <w:jc w:val="both"/>
              <w:rPr>
                <w:rFonts w:ascii="Book Antiqua" w:hAnsi="Book Antiqua"/>
              </w:rPr>
            </w:pPr>
          </w:p>
        </w:tc>
        <w:tc>
          <w:tcPr>
            <w:tcW w:w="785" w:type="dxa"/>
            <w:gridSpan w:val="2"/>
            <w:vAlign w:val="center"/>
          </w:tcPr>
          <w:p w:rsidR="00715FBD" w:rsidRPr="00321926" w:rsidRDefault="00715FBD" w:rsidP="00321926">
            <w:pPr>
              <w:spacing w:line="360" w:lineRule="auto"/>
              <w:jc w:val="both"/>
              <w:rPr>
                <w:rFonts w:ascii="Book Antiqua" w:hAnsi="Book Antiqua"/>
              </w:rPr>
            </w:pPr>
          </w:p>
        </w:tc>
        <w:tc>
          <w:tcPr>
            <w:tcW w:w="647" w:type="dxa"/>
            <w:vAlign w:val="center"/>
          </w:tcPr>
          <w:p w:rsidR="00715FBD" w:rsidRPr="00321926" w:rsidRDefault="00715FBD" w:rsidP="00321926">
            <w:pPr>
              <w:spacing w:line="360" w:lineRule="auto"/>
              <w:jc w:val="both"/>
              <w:rPr>
                <w:rFonts w:ascii="Book Antiqua" w:hAnsi="Book Antiqua"/>
              </w:rPr>
            </w:pPr>
          </w:p>
        </w:tc>
        <w:tc>
          <w:tcPr>
            <w:tcW w:w="677" w:type="dxa"/>
            <w:gridSpan w:val="3"/>
            <w:vAlign w:val="center"/>
          </w:tcPr>
          <w:p w:rsidR="00715FBD" w:rsidRPr="00321926" w:rsidRDefault="00715FBD" w:rsidP="00321926">
            <w:pPr>
              <w:spacing w:line="360" w:lineRule="auto"/>
              <w:jc w:val="both"/>
              <w:rPr>
                <w:rFonts w:ascii="Book Antiqua" w:hAnsi="Book Antiqua"/>
              </w:rPr>
            </w:pPr>
          </w:p>
        </w:tc>
        <w:tc>
          <w:tcPr>
            <w:tcW w:w="670" w:type="dxa"/>
            <w:vAlign w:val="center"/>
          </w:tcPr>
          <w:p w:rsidR="00715FBD" w:rsidRPr="00321926" w:rsidRDefault="00715FBD" w:rsidP="00321926">
            <w:pPr>
              <w:spacing w:line="360" w:lineRule="auto"/>
              <w:jc w:val="both"/>
              <w:rPr>
                <w:rFonts w:ascii="Book Antiqua" w:hAnsi="Book Antiqua"/>
              </w:rPr>
            </w:pPr>
          </w:p>
        </w:tc>
        <w:tc>
          <w:tcPr>
            <w:tcW w:w="690" w:type="dxa"/>
            <w:gridSpan w:val="2"/>
            <w:vAlign w:val="center"/>
          </w:tcPr>
          <w:p w:rsidR="00715FBD" w:rsidRPr="00321926" w:rsidRDefault="00715FBD" w:rsidP="00321926">
            <w:pPr>
              <w:spacing w:line="360" w:lineRule="auto"/>
              <w:jc w:val="both"/>
              <w:rPr>
                <w:rFonts w:ascii="Book Antiqua" w:hAnsi="Book Antiqua"/>
              </w:rPr>
            </w:pPr>
          </w:p>
        </w:tc>
        <w:tc>
          <w:tcPr>
            <w:tcW w:w="1085" w:type="dxa"/>
          </w:tcPr>
          <w:p w:rsidR="00715FBD" w:rsidRPr="00321926" w:rsidRDefault="00715FBD" w:rsidP="00321926">
            <w:pPr>
              <w:spacing w:line="360" w:lineRule="auto"/>
              <w:jc w:val="both"/>
              <w:rPr>
                <w:rFonts w:ascii="Book Antiqua" w:hAnsi="Book Antiqua"/>
              </w:rPr>
            </w:pPr>
          </w:p>
        </w:tc>
      </w:tr>
      <w:tr w:rsidR="00715FBD" w:rsidRPr="00321926" w:rsidTr="00422EF0">
        <w:tc>
          <w:tcPr>
            <w:tcW w:w="1705" w:type="dxa"/>
          </w:tcPr>
          <w:p w:rsidR="00715FBD" w:rsidRPr="00321926" w:rsidRDefault="00715FBD" w:rsidP="00097E9C">
            <w:pPr>
              <w:spacing w:line="360" w:lineRule="auto"/>
              <w:ind w:firstLineChars="50" w:firstLine="120"/>
              <w:jc w:val="both"/>
              <w:rPr>
                <w:rFonts w:ascii="Book Antiqua" w:hAnsi="Book Antiqua"/>
              </w:rPr>
            </w:pPr>
            <w:r w:rsidRPr="00321926">
              <w:rPr>
                <w:rFonts w:ascii="Book Antiqua" w:hAnsi="Book Antiqua"/>
              </w:rPr>
              <w:t>Year-1</w:t>
            </w:r>
          </w:p>
        </w:tc>
        <w:tc>
          <w:tcPr>
            <w:tcW w:w="1039" w:type="dxa"/>
            <w:vAlign w:val="center"/>
          </w:tcPr>
          <w:p w:rsidR="00715FBD" w:rsidRPr="00321926" w:rsidRDefault="00715FBD" w:rsidP="00321926">
            <w:pPr>
              <w:spacing w:line="360" w:lineRule="auto"/>
              <w:jc w:val="both"/>
              <w:rPr>
                <w:rFonts w:ascii="Book Antiqua" w:hAnsi="Book Antiqua"/>
              </w:rPr>
            </w:pPr>
            <w:r w:rsidRPr="00321926">
              <w:rPr>
                <w:rFonts w:ascii="Book Antiqua" w:hAnsi="Book Antiqua"/>
              </w:rPr>
              <w:t>16(5.67)</w:t>
            </w:r>
          </w:p>
        </w:tc>
        <w:tc>
          <w:tcPr>
            <w:tcW w:w="785" w:type="dxa"/>
            <w:gridSpan w:val="2"/>
            <w:vAlign w:val="center"/>
          </w:tcPr>
          <w:p w:rsidR="00715FBD" w:rsidRPr="00321926" w:rsidRDefault="00715FBD" w:rsidP="00321926">
            <w:pPr>
              <w:spacing w:line="360" w:lineRule="auto"/>
              <w:jc w:val="both"/>
              <w:rPr>
                <w:rFonts w:ascii="Book Antiqua" w:hAnsi="Book Antiqua"/>
              </w:rPr>
            </w:pPr>
          </w:p>
        </w:tc>
        <w:tc>
          <w:tcPr>
            <w:tcW w:w="647" w:type="dxa"/>
            <w:vAlign w:val="center"/>
          </w:tcPr>
          <w:p w:rsidR="00715FBD" w:rsidRPr="00321926" w:rsidRDefault="00715FBD" w:rsidP="00321926">
            <w:pPr>
              <w:spacing w:line="360" w:lineRule="auto"/>
              <w:jc w:val="both"/>
              <w:rPr>
                <w:rFonts w:ascii="Book Antiqua" w:hAnsi="Book Antiqua"/>
              </w:rPr>
            </w:pPr>
            <w:r w:rsidRPr="00321926">
              <w:rPr>
                <w:rFonts w:ascii="Book Antiqua" w:hAnsi="Book Antiqua"/>
              </w:rPr>
              <w:t>266</w:t>
            </w:r>
          </w:p>
        </w:tc>
        <w:tc>
          <w:tcPr>
            <w:tcW w:w="677" w:type="dxa"/>
            <w:gridSpan w:val="3"/>
            <w:vAlign w:val="center"/>
          </w:tcPr>
          <w:p w:rsidR="00715FBD" w:rsidRPr="00321926" w:rsidRDefault="00715FBD" w:rsidP="00321926">
            <w:pPr>
              <w:spacing w:line="360" w:lineRule="auto"/>
              <w:jc w:val="both"/>
              <w:rPr>
                <w:rFonts w:ascii="Book Antiqua" w:hAnsi="Book Antiqua"/>
              </w:rPr>
            </w:pPr>
          </w:p>
        </w:tc>
        <w:tc>
          <w:tcPr>
            <w:tcW w:w="670" w:type="dxa"/>
            <w:vAlign w:val="center"/>
          </w:tcPr>
          <w:p w:rsidR="00715FBD" w:rsidRPr="00321926" w:rsidRDefault="00715FBD" w:rsidP="00321926">
            <w:pPr>
              <w:spacing w:line="360" w:lineRule="auto"/>
              <w:jc w:val="both"/>
              <w:rPr>
                <w:rFonts w:ascii="Book Antiqua" w:hAnsi="Book Antiqua"/>
              </w:rPr>
            </w:pPr>
            <w:r w:rsidRPr="00321926">
              <w:rPr>
                <w:rFonts w:ascii="Book Antiqua" w:hAnsi="Book Antiqua"/>
              </w:rPr>
              <w:t>282</w:t>
            </w:r>
          </w:p>
        </w:tc>
        <w:tc>
          <w:tcPr>
            <w:tcW w:w="690" w:type="dxa"/>
            <w:gridSpan w:val="2"/>
            <w:vAlign w:val="center"/>
          </w:tcPr>
          <w:p w:rsidR="00715FBD" w:rsidRPr="00321926" w:rsidRDefault="00715FBD" w:rsidP="00321926">
            <w:pPr>
              <w:spacing w:line="360" w:lineRule="auto"/>
              <w:jc w:val="both"/>
              <w:rPr>
                <w:rFonts w:ascii="Book Antiqua" w:hAnsi="Book Antiqua"/>
              </w:rPr>
            </w:pPr>
          </w:p>
        </w:tc>
        <w:tc>
          <w:tcPr>
            <w:tcW w:w="1085" w:type="dxa"/>
            <w:vMerge w:val="restart"/>
          </w:tcPr>
          <w:p w:rsidR="00715FBD" w:rsidRPr="00321926" w:rsidRDefault="00715FBD" w:rsidP="00321926">
            <w:pPr>
              <w:spacing w:line="360" w:lineRule="auto"/>
              <w:jc w:val="both"/>
              <w:rPr>
                <w:rFonts w:ascii="Book Antiqua" w:hAnsi="Book Antiqua"/>
              </w:rPr>
            </w:pPr>
          </w:p>
        </w:tc>
      </w:tr>
      <w:tr w:rsidR="00715FBD" w:rsidRPr="00321926" w:rsidTr="00422EF0">
        <w:tc>
          <w:tcPr>
            <w:tcW w:w="1705" w:type="dxa"/>
          </w:tcPr>
          <w:p w:rsidR="00715FBD" w:rsidRPr="00321926" w:rsidRDefault="00715FBD" w:rsidP="00097E9C">
            <w:pPr>
              <w:spacing w:line="360" w:lineRule="auto"/>
              <w:ind w:firstLineChars="50" w:firstLine="120"/>
              <w:jc w:val="both"/>
              <w:rPr>
                <w:rFonts w:ascii="Book Antiqua" w:hAnsi="Book Antiqua"/>
              </w:rPr>
            </w:pPr>
            <w:r w:rsidRPr="00321926">
              <w:rPr>
                <w:rFonts w:ascii="Book Antiqua" w:hAnsi="Book Antiqua"/>
              </w:rPr>
              <w:t>Year-2</w:t>
            </w:r>
          </w:p>
        </w:tc>
        <w:tc>
          <w:tcPr>
            <w:tcW w:w="1039" w:type="dxa"/>
            <w:vAlign w:val="center"/>
          </w:tcPr>
          <w:p w:rsidR="00715FBD" w:rsidRPr="00321926" w:rsidRDefault="00715FBD" w:rsidP="00321926">
            <w:pPr>
              <w:spacing w:line="360" w:lineRule="auto"/>
              <w:jc w:val="both"/>
              <w:rPr>
                <w:rFonts w:ascii="Book Antiqua" w:hAnsi="Book Antiqua"/>
              </w:rPr>
            </w:pPr>
            <w:r w:rsidRPr="00321926">
              <w:rPr>
                <w:rFonts w:ascii="Book Antiqua" w:hAnsi="Book Antiqua"/>
              </w:rPr>
              <w:t>16(3.53)</w:t>
            </w:r>
          </w:p>
        </w:tc>
        <w:tc>
          <w:tcPr>
            <w:tcW w:w="785" w:type="dxa"/>
            <w:gridSpan w:val="2"/>
            <w:vAlign w:val="center"/>
          </w:tcPr>
          <w:p w:rsidR="00715FBD" w:rsidRPr="00321926" w:rsidRDefault="00715FBD" w:rsidP="00321926">
            <w:pPr>
              <w:spacing w:line="360" w:lineRule="auto"/>
              <w:jc w:val="both"/>
              <w:rPr>
                <w:rFonts w:ascii="Book Antiqua" w:hAnsi="Book Antiqua"/>
              </w:rPr>
            </w:pPr>
          </w:p>
        </w:tc>
        <w:tc>
          <w:tcPr>
            <w:tcW w:w="647" w:type="dxa"/>
            <w:vAlign w:val="center"/>
          </w:tcPr>
          <w:p w:rsidR="00715FBD" w:rsidRPr="00321926" w:rsidRDefault="00715FBD" w:rsidP="00321926">
            <w:pPr>
              <w:spacing w:line="360" w:lineRule="auto"/>
              <w:jc w:val="both"/>
              <w:rPr>
                <w:rFonts w:ascii="Book Antiqua" w:hAnsi="Book Antiqua"/>
              </w:rPr>
            </w:pPr>
            <w:r w:rsidRPr="00321926">
              <w:rPr>
                <w:rFonts w:ascii="Book Antiqua" w:hAnsi="Book Antiqua"/>
              </w:rPr>
              <w:t>437</w:t>
            </w:r>
          </w:p>
        </w:tc>
        <w:tc>
          <w:tcPr>
            <w:tcW w:w="677" w:type="dxa"/>
            <w:gridSpan w:val="3"/>
            <w:vAlign w:val="center"/>
          </w:tcPr>
          <w:p w:rsidR="00715FBD" w:rsidRPr="00321926" w:rsidRDefault="00715FBD" w:rsidP="00321926">
            <w:pPr>
              <w:spacing w:line="360" w:lineRule="auto"/>
              <w:jc w:val="both"/>
              <w:rPr>
                <w:rFonts w:ascii="Book Antiqua" w:hAnsi="Book Antiqua"/>
              </w:rPr>
            </w:pPr>
          </w:p>
        </w:tc>
        <w:tc>
          <w:tcPr>
            <w:tcW w:w="670" w:type="dxa"/>
            <w:vAlign w:val="center"/>
          </w:tcPr>
          <w:p w:rsidR="00715FBD" w:rsidRPr="00321926" w:rsidRDefault="00715FBD" w:rsidP="00321926">
            <w:pPr>
              <w:spacing w:line="360" w:lineRule="auto"/>
              <w:jc w:val="both"/>
              <w:rPr>
                <w:rFonts w:ascii="Book Antiqua" w:hAnsi="Book Antiqua"/>
              </w:rPr>
            </w:pPr>
            <w:r w:rsidRPr="00321926">
              <w:rPr>
                <w:rFonts w:ascii="Book Antiqua" w:hAnsi="Book Antiqua"/>
              </w:rPr>
              <w:t>453</w:t>
            </w:r>
          </w:p>
        </w:tc>
        <w:tc>
          <w:tcPr>
            <w:tcW w:w="690" w:type="dxa"/>
            <w:gridSpan w:val="2"/>
            <w:vAlign w:val="center"/>
          </w:tcPr>
          <w:p w:rsidR="00715FBD" w:rsidRPr="00321926" w:rsidRDefault="00715FBD" w:rsidP="00321926">
            <w:pPr>
              <w:spacing w:line="360" w:lineRule="auto"/>
              <w:jc w:val="both"/>
              <w:rPr>
                <w:rFonts w:ascii="Book Antiqua" w:hAnsi="Book Antiqua"/>
              </w:rPr>
            </w:pPr>
          </w:p>
        </w:tc>
        <w:tc>
          <w:tcPr>
            <w:tcW w:w="1085" w:type="dxa"/>
            <w:vMerge/>
          </w:tcPr>
          <w:p w:rsidR="00715FBD" w:rsidRPr="00321926" w:rsidRDefault="00715FBD" w:rsidP="00321926">
            <w:pPr>
              <w:spacing w:line="360" w:lineRule="auto"/>
              <w:jc w:val="both"/>
              <w:rPr>
                <w:rFonts w:ascii="Book Antiqua" w:hAnsi="Book Antiqua"/>
              </w:rPr>
            </w:pPr>
          </w:p>
        </w:tc>
      </w:tr>
      <w:tr w:rsidR="00715FBD" w:rsidRPr="00321926" w:rsidTr="00422EF0">
        <w:tc>
          <w:tcPr>
            <w:tcW w:w="1705" w:type="dxa"/>
          </w:tcPr>
          <w:p w:rsidR="00715FBD" w:rsidRPr="00321926" w:rsidRDefault="00715FBD" w:rsidP="00097E9C">
            <w:pPr>
              <w:spacing w:line="360" w:lineRule="auto"/>
              <w:ind w:firstLineChars="50" w:firstLine="120"/>
              <w:jc w:val="both"/>
              <w:rPr>
                <w:rFonts w:ascii="Book Antiqua" w:hAnsi="Book Antiqua"/>
              </w:rPr>
            </w:pPr>
            <w:r w:rsidRPr="00321926">
              <w:rPr>
                <w:rFonts w:ascii="Book Antiqua" w:hAnsi="Book Antiqua"/>
              </w:rPr>
              <w:t>Year-3</w:t>
            </w:r>
          </w:p>
        </w:tc>
        <w:tc>
          <w:tcPr>
            <w:tcW w:w="1039" w:type="dxa"/>
            <w:vAlign w:val="center"/>
          </w:tcPr>
          <w:p w:rsidR="00715FBD" w:rsidRPr="00321926" w:rsidRDefault="00715FBD" w:rsidP="00321926">
            <w:pPr>
              <w:spacing w:line="360" w:lineRule="auto"/>
              <w:jc w:val="both"/>
              <w:rPr>
                <w:rFonts w:ascii="Book Antiqua" w:hAnsi="Book Antiqua"/>
              </w:rPr>
            </w:pPr>
            <w:r w:rsidRPr="00321926">
              <w:rPr>
                <w:rFonts w:ascii="Book Antiqua" w:hAnsi="Book Antiqua"/>
              </w:rPr>
              <w:t>56(7.24)</w:t>
            </w:r>
          </w:p>
        </w:tc>
        <w:tc>
          <w:tcPr>
            <w:tcW w:w="785" w:type="dxa"/>
            <w:gridSpan w:val="2"/>
            <w:vAlign w:val="center"/>
          </w:tcPr>
          <w:p w:rsidR="00715FBD" w:rsidRPr="00321926" w:rsidRDefault="00715FBD" w:rsidP="00321926">
            <w:pPr>
              <w:spacing w:line="360" w:lineRule="auto"/>
              <w:jc w:val="both"/>
              <w:rPr>
                <w:rFonts w:ascii="Book Antiqua" w:hAnsi="Book Antiqua"/>
              </w:rPr>
            </w:pPr>
          </w:p>
        </w:tc>
        <w:tc>
          <w:tcPr>
            <w:tcW w:w="647" w:type="dxa"/>
            <w:vAlign w:val="center"/>
          </w:tcPr>
          <w:p w:rsidR="00715FBD" w:rsidRPr="00321926" w:rsidRDefault="00715FBD" w:rsidP="00321926">
            <w:pPr>
              <w:spacing w:line="360" w:lineRule="auto"/>
              <w:jc w:val="both"/>
              <w:rPr>
                <w:rFonts w:ascii="Book Antiqua" w:hAnsi="Book Antiqua"/>
              </w:rPr>
            </w:pPr>
            <w:r w:rsidRPr="00321926">
              <w:rPr>
                <w:rFonts w:ascii="Book Antiqua" w:hAnsi="Book Antiqua"/>
              </w:rPr>
              <w:t>718</w:t>
            </w:r>
          </w:p>
        </w:tc>
        <w:tc>
          <w:tcPr>
            <w:tcW w:w="677" w:type="dxa"/>
            <w:gridSpan w:val="3"/>
            <w:vAlign w:val="center"/>
          </w:tcPr>
          <w:p w:rsidR="00715FBD" w:rsidRPr="00321926" w:rsidRDefault="00715FBD" w:rsidP="00321926">
            <w:pPr>
              <w:spacing w:line="360" w:lineRule="auto"/>
              <w:jc w:val="both"/>
              <w:rPr>
                <w:rFonts w:ascii="Book Antiqua" w:hAnsi="Book Antiqua"/>
              </w:rPr>
            </w:pPr>
          </w:p>
        </w:tc>
        <w:tc>
          <w:tcPr>
            <w:tcW w:w="670" w:type="dxa"/>
            <w:vAlign w:val="center"/>
          </w:tcPr>
          <w:p w:rsidR="00715FBD" w:rsidRPr="00321926" w:rsidRDefault="00715FBD" w:rsidP="00321926">
            <w:pPr>
              <w:spacing w:line="360" w:lineRule="auto"/>
              <w:jc w:val="both"/>
              <w:rPr>
                <w:rFonts w:ascii="Book Antiqua" w:hAnsi="Book Antiqua"/>
              </w:rPr>
            </w:pPr>
            <w:r w:rsidRPr="00321926">
              <w:rPr>
                <w:rFonts w:ascii="Book Antiqua" w:hAnsi="Book Antiqua"/>
              </w:rPr>
              <w:t>774</w:t>
            </w:r>
          </w:p>
        </w:tc>
        <w:tc>
          <w:tcPr>
            <w:tcW w:w="690" w:type="dxa"/>
            <w:gridSpan w:val="2"/>
            <w:vAlign w:val="center"/>
          </w:tcPr>
          <w:p w:rsidR="00715FBD" w:rsidRPr="00321926" w:rsidRDefault="00715FBD" w:rsidP="00321926">
            <w:pPr>
              <w:spacing w:line="360" w:lineRule="auto"/>
              <w:jc w:val="both"/>
              <w:rPr>
                <w:rFonts w:ascii="Book Antiqua" w:hAnsi="Book Antiqua"/>
              </w:rPr>
            </w:pPr>
          </w:p>
        </w:tc>
        <w:tc>
          <w:tcPr>
            <w:tcW w:w="1085" w:type="dxa"/>
            <w:vMerge/>
          </w:tcPr>
          <w:p w:rsidR="00715FBD" w:rsidRPr="00321926" w:rsidRDefault="00715FBD" w:rsidP="00321926">
            <w:pPr>
              <w:spacing w:line="360" w:lineRule="auto"/>
              <w:jc w:val="both"/>
              <w:rPr>
                <w:rFonts w:ascii="Book Antiqua" w:hAnsi="Book Antiqua"/>
              </w:rPr>
            </w:pPr>
          </w:p>
        </w:tc>
      </w:tr>
      <w:tr w:rsidR="00715FBD" w:rsidRPr="00321926" w:rsidTr="00422EF0">
        <w:tc>
          <w:tcPr>
            <w:tcW w:w="1705" w:type="dxa"/>
          </w:tcPr>
          <w:p w:rsidR="00715FBD" w:rsidRPr="00321926" w:rsidRDefault="00715FBD" w:rsidP="00097E9C">
            <w:pPr>
              <w:spacing w:line="360" w:lineRule="auto"/>
              <w:ind w:firstLineChars="50" w:firstLine="120"/>
              <w:jc w:val="both"/>
              <w:rPr>
                <w:rFonts w:ascii="Book Antiqua" w:hAnsi="Book Antiqua"/>
              </w:rPr>
            </w:pPr>
            <w:r w:rsidRPr="00321926">
              <w:rPr>
                <w:rFonts w:ascii="Book Antiqua" w:hAnsi="Book Antiqua"/>
              </w:rPr>
              <w:t>Year-4</w:t>
            </w:r>
          </w:p>
        </w:tc>
        <w:tc>
          <w:tcPr>
            <w:tcW w:w="1039" w:type="dxa"/>
            <w:vAlign w:val="center"/>
          </w:tcPr>
          <w:p w:rsidR="00715FBD" w:rsidRPr="00321926" w:rsidRDefault="00715FBD" w:rsidP="00321926">
            <w:pPr>
              <w:spacing w:line="360" w:lineRule="auto"/>
              <w:jc w:val="both"/>
              <w:rPr>
                <w:rFonts w:ascii="Book Antiqua" w:hAnsi="Book Antiqua"/>
              </w:rPr>
            </w:pPr>
            <w:r w:rsidRPr="00321926">
              <w:rPr>
                <w:rFonts w:ascii="Book Antiqua" w:hAnsi="Book Antiqua"/>
              </w:rPr>
              <w:t>12(10.00)</w:t>
            </w:r>
          </w:p>
        </w:tc>
        <w:tc>
          <w:tcPr>
            <w:tcW w:w="785" w:type="dxa"/>
            <w:gridSpan w:val="2"/>
            <w:vAlign w:val="center"/>
          </w:tcPr>
          <w:p w:rsidR="00715FBD" w:rsidRPr="00321926" w:rsidRDefault="00715FBD" w:rsidP="00321926">
            <w:pPr>
              <w:spacing w:line="360" w:lineRule="auto"/>
              <w:jc w:val="both"/>
              <w:rPr>
                <w:rFonts w:ascii="Book Antiqua" w:hAnsi="Book Antiqua"/>
              </w:rPr>
            </w:pPr>
          </w:p>
        </w:tc>
        <w:tc>
          <w:tcPr>
            <w:tcW w:w="647" w:type="dxa"/>
            <w:vAlign w:val="center"/>
          </w:tcPr>
          <w:p w:rsidR="00715FBD" w:rsidRPr="00321926" w:rsidRDefault="00715FBD" w:rsidP="00321926">
            <w:pPr>
              <w:spacing w:line="360" w:lineRule="auto"/>
              <w:jc w:val="both"/>
              <w:rPr>
                <w:rFonts w:ascii="Book Antiqua" w:hAnsi="Book Antiqua"/>
              </w:rPr>
            </w:pPr>
            <w:r w:rsidRPr="00321926">
              <w:rPr>
                <w:rFonts w:ascii="Book Antiqua" w:hAnsi="Book Antiqua"/>
              </w:rPr>
              <w:t>108</w:t>
            </w:r>
          </w:p>
        </w:tc>
        <w:tc>
          <w:tcPr>
            <w:tcW w:w="677" w:type="dxa"/>
            <w:gridSpan w:val="3"/>
            <w:vAlign w:val="center"/>
          </w:tcPr>
          <w:p w:rsidR="00715FBD" w:rsidRPr="00321926" w:rsidRDefault="00715FBD" w:rsidP="00321926">
            <w:pPr>
              <w:spacing w:line="360" w:lineRule="auto"/>
              <w:jc w:val="both"/>
              <w:rPr>
                <w:rFonts w:ascii="Book Antiqua" w:hAnsi="Book Antiqua"/>
              </w:rPr>
            </w:pPr>
          </w:p>
        </w:tc>
        <w:tc>
          <w:tcPr>
            <w:tcW w:w="670" w:type="dxa"/>
            <w:vAlign w:val="center"/>
          </w:tcPr>
          <w:p w:rsidR="00715FBD" w:rsidRPr="00321926" w:rsidRDefault="00715FBD" w:rsidP="00321926">
            <w:pPr>
              <w:spacing w:line="360" w:lineRule="auto"/>
              <w:jc w:val="both"/>
              <w:rPr>
                <w:rFonts w:ascii="Book Antiqua" w:hAnsi="Book Antiqua"/>
              </w:rPr>
            </w:pPr>
            <w:r w:rsidRPr="00321926">
              <w:rPr>
                <w:rFonts w:ascii="Book Antiqua" w:hAnsi="Book Antiqua"/>
              </w:rPr>
              <w:t>120</w:t>
            </w:r>
          </w:p>
        </w:tc>
        <w:tc>
          <w:tcPr>
            <w:tcW w:w="690" w:type="dxa"/>
            <w:gridSpan w:val="2"/>
            <w:vAlign w:val="center"/>
          </w:tcPr>
          <w:p w:rsidR="00715FBD" w:rsidRPr="00321926" w:rsidRDefault="00715FBD" w:rsidP="00321926">
            <w:pPr>
              <w:spacing w:line="360" w:lineRule="auto"/>
              <w:jc w:val="both"/>
              <w:rPr>
                <w:rFonts w:ascii="Book Antiqua" w:hAnsi="Book Antiqua"/>
              </w:rPr>
            </w:pPr>
          </w:p>
        </w:tc>
        <w:tc>
          <w:tcPr>
            <w:tcW w:w="1085" w:type="dxa"/>
            <w:vMerge/>
          </w:tcPr>
          <w:p w:rsidR="00715FBD" w:rsidRPr="00321926" w:rsidRDefault="00715FBD" w:rsidP="00321926">
            <w:pPr>
              <w:spacing w:line="360" w:lineRule="auto"/>
              <w:jc w:val="both"/>
              <w:rPr>
                <w:rFonts w:ascii="Book Antiqua" w:hAnsi="Book Antiqua"/>
              </w:rPr>
            </w:pPr>
          </w:p>
        </w:tc>
      </w:tr>
      <w:tr w:rsidR="00715FBD" w:rsidRPr="00321926" w:rsidTr="00422EF0">
        <w:tc>
          <w:tcPr>
            <w:tcW w:w="1705" w:type="dxa"/>
          </w:tcPr>
          <w:p w:rsidR="00715FBD" w:rsidRPr="00321926" w:rsidRDefault="00715FBD" w:rsidP="00097E9C">
            <w:pPr>
              <w:spacing w:line="360" w:lineRule="auto"/>
              <w:ind w:firstLineChars="50" w:firstLine="120"/>
              <w:jc w:val="both"/>
              <w:rPr>
                <w:rFonts w:ascii="Book Antiqua" w:hAnsi="Book Antiqua"/>
              </w:rPr>
            </w:pPr>
            <w:r w:rsidRPr="00321926">
              <w:rPr>
                <w:rFonts w:ascii="Book Antiqua" w:hAnsi="Book Antiqua"/>
              </w:rPr>
              <w:t xml:space="preserve">     Graduate</w:t>
            </w:r>
          </w:p>
        </w:tc>
        <w:tc>
          <w:tcPr>
            <w:tcW w:w="1039" w:type="dxa"/>
            <w:vAlign w:val="center"/>
          </w:tcPr>
          <w:p w:rsidR="00715FBD" w:rsidRPr="00321926" w:rsidRDefault="00715FBD" w:rsidP="00321926">
            <w:pPr>
              <w:spacing w:line="360" w:lineRule="auto"/>
              <w:jc w:val="both"/>
              <w:rPr>
                <w:rFonts w:ascii="Book Antiqua" w:hAnsi="Book Antiqua"/>
              </w:rPr>
            </w:pPr>
          </w:p>
        </w:tc>
        <w:tc>
          <w:tcPr>
            <w:tcW w:w="785" w:type="dxa"/>
            <w:gridSpan w:val="2"/>
            <w:vAlign w:val="center"/>
          </w:tcPr>
          <w:p w:rsidR="00715FBD" w:rsidRPr="00321926" w:rsidRDefault="00715FBD" w:rsidP="00321926">
            <w:pPr>
              <w:spacing w:line="360" w:lineRule="auto"/>
              <w:jc w:val="both"/>
              <w:rPr>
                <w:rFonts w:ascii="Book Antiqua" w:hAnsi="Book Antiqua"/>
              </w:rPr>
            </w:pPr>
          </w:p>
        </w:tc>
        <w:tc>
          <w:tcPr>
            <w:tcW w:w="647" w:type="dxa"/>
            <w:vAlign w:val="center"/>
          </w:tcPr>
          <w:p w:rsidR="00715FBD" w:rsidRPr="00321926" w:rsidRDefault="00715FBD" w:rsidP="00321926">
            <w:pPr>
              <w:spacing w:line="360" w:lineRule="auto"/>
              <w:jc w:val="both"/>
              <w:rPr>
                <w:rFonts w:ascii="Book Antiqua" w:hAnsi="Book Antiqua"/>
              </w:rPr>
            </w:pPr>
          </w:p>
        </w:tc>
        <w:tc>
          <w:tcPr>
            <w:tcW w:w="677" w:type="dxa"/>
            <w:gridSpan w:val="3"/>
            <w:vAlign w:val="center"/>
          </w:tcPr>
          <w:p w:rsidR="00715FBD" w:rsidRPr="00321926" w:rsidRDefault="00715FBD" w:rsidP="00321926">
            <w:pPr>
              <w:spacing w:line="360" w:lineRule="auto"/>
              <w:jc w:val="both"/>
              <w:rPr>
                <w:rFonts w:ascii="Book Antiqua" w:hAnsi="Book Antiqua"/>
              </w:rPr>
            </w:pPr>
          </w:p>
        </w:tc>
        <w:tc>
          <w:tcPr>
            <w:tcW w:w="670" w:type="dxa"/>
            <w:vAlign w:val="center"/>
          </w:tcPr>
          <w:p w:rsidR="00715FBD" w:rsidRPr="00321926" w:rsidRDefault="00715FBD" w:rsidP="00321926">
            <w:pPr>
              <w:spacing w:line="360" w:lineRule="auto"/>
              <w:jc w:val="both"/>
              <w:rPr>
                <w:rFonts w:ascii="Book Antiqua" w:hAnsi="Book Antiqua"/>
              </w:rPr>
            </w:pPr>
          </w:p>
        </w:tc>
        <w:tc>
          <w:tcPr>
            <w:tcW w:w="690" w:type="dxa"/>
            <w:gridSpan w:val="2"/>
            <w:vAlign w:val="center"/>
          </w:tcPr>
          <w:p w:rsidR="00715FBD" w:rsidRPr="00321926" w:rsidRDefault="00715FBD" w:rsidP="00321926">
            <w:pPr>
              <w:spacing w:line="360" w:lineRule="auto"/>
              <w:jc w:val="both"/>
              <w:rPr>
                <w:rFonts w:ascii="Book Antiqua" w:hAnsi="Book Antiqua"/>
              </w:rPr>
            </w:pPr>
          </w:p>
        </w:tc>
        <w:tc>
          <w:tcPr>
            <w:tcW w:w="1085" w:type="dxa"/>
            <w:vMerge/>
          </w:tcPr>
          <w:p w:rsidR="00715FBD" w:rsidRPr="00321926" w:rsidRDefault="00715FBD" w:rsidP="00321926">
            <w:pPr>
              <w:spacing w:line="360" w:lineRule="auto"/>
              <w:jc w:val="both"/>
              <w:rPr>
                <w:rFonts w:ascii="Book Antiqua" w:hAnsi="Book Antiqua"/>
              </w:rPr>
            </w:pPr>
          </w:p>
        </w:tc>
      </w:tr>
      <w:tr w:rsidR="00715FBD" w:rsidRPr="00321926" w:rsidTr="00422EF0">
        <w:tc>
          <w:tcPr>
            <w:tcW w:w="1705" w:type="dxa"/>
            <w:tcBorders>
              <w:bottom w:val="single" w:sz="4" w:space="0" w:color="auto"/>
            </w:tcBorders>
          </w:tcPr>
          <w:p w:rsidR="00715FBD" w:rsidRPr="00321926" w:rsidRDefault="00715FBD" w:rsidP="00097E9C">
            <w:pPr>
              <w:spacing w:line="360" w:lineRule="auto"/>
              <w:ind w:firstLineChars="50" w:firstLine="120"/>
              <w:jc w:val="both"/>
              <w:rPr>
                <w:rFonts w:ascii="Book Antiqua" w:hAnsi="Book Antiqua"/>
              </w:rPr>
            </w:pPr>
            <w:r w:rsidRPr="00321926">
              <w:rPr>
                <w:rFonts w:ascii="Book Antiqua" w:hAnsi="Book Antiqua"/>
              </w:rPr>
              <w:t>Year-1</w:t>
            </w:r>
          </w:p>
        </w:tc>
        <w:tc>
          <w:tcPr>
            <w:tcW w:w="1039" w:type="dxa"/>
            <w:tcBorders>
              <w:bottom w:val="single" w:sz="4" w:space="0" w:color="auto"/>
            </w:tcBorders>
            <w:vAlign w:val="center"/>
          </w:tcPr>
          <w:p w:rsidR="00715FBD" w:rsidRPr="00321926" w:rsidRDefault="00715FBD" w:rsidP="00321926">
            <w:pPr>
              <w:spacing w:line="360" w:lineRule="auto"/>
              <w:jc w:val="both"/>
              <w:rPr>
                <w:rFonts w:ascii="Book Antiqua" w:hAnsi="Book Antiqua"/>
              </w:rPr>
            </w:pPr>
            <w:r w:rsidRPr="00321926">
              <w:rPr>
                <w:rFonts w:ascii="Book Antiqua" w:hAnsi="Book Antiqua"/>
              </w:rPr>
              <w:t>8(3.32)</w:t>
            </w:r>
          </w:p>
        </w:tc>
        <w:tc>
          <w:tcPr>
            <w:tcW w:w="785" w:type="dxa"/>
            <w:gridSpan w:val="2"/>
            <w:tcBorders>
              <w:bottom w:val="single" w:sz="4" w:space="0" w:color="auto"/>
            </w:tcBorders>
            <w:vAlign w:val="center"/>
          </w:tcPr>
          <w:p w:rsidR="00715FBD" w:rsidRPr="00321926" w:rsidRDefault="00715FBD" w:rsidP="00321926">
            <w:pPr>
              <w:spacing w:line="360" w:lineRule="auto"/>
              <w:jc w:val="both"/>
              <w:rPr>
                <w:rFonts w:ascii="Book Antiqua" w:hAnsi="Book Antiqua"/>
              </w:rPr>
            </w:pPr>
          </w:p>
        </w:tc>
        <w:tc>
          <w:tcPr>
            <w:tcW w:w="647" w:type="dxa"/>
            <w:tcBorders>
              <w:bottom w:val="single" w:sz="4" w:space="0" w:color="auto"/>
            </w:tcBorders>
            <w:vAlign w:val="center"/>
          </w:tcPr>
          <w:p w:rsidR="00715FBD" w:rsidRPr="00321926" w:rsidRDefault="00715FBD" w:rsidP="00321926">
            <w:pPr>
              <w:spacing w:line="360" w:lineRule="auto"/>
              <w:jc w:val="both"/>
              <w:rPr>
                <w:rFonts w:ascii="Book Antiqua" w:hAnsi="Book Antiqua"/>
              </w:rPr>
            </w:pPr>
            <w:r w:rsidRPr="00321926">
              <w:rPr>
                <w:rFonts w:ascii="Book Antiqua" w:hAnsi="Book Antiqua"/>
              </w:rPr>
              <w:t>233</w:t>
            </w:r>
          </w:p>
        </w:tc>
        <w:tc>
          <w:tcPr>
            <w:tcW w:w="677" w:type="dxa"/>
            <w:gridSpan w:val="3"/>
            <w:tcBorders>
              <w:bottom w:val="single" w:sz="4" w:space="0" w:color="auto"/>
            </w:tcBorders>
            <w:vAlign w:val="center"/>
          </w:tcPr>
          <w:p w:rsidR="00715FBD" w:rsidRPr="00321926" w:rsidRDefault="00715FBD" w:rsidP="00321926">
            <w:pPr>
              <w:spacing w:line="360" w:lineRule="auto"/>
              <w:jc w:val="both"/>
              <w:rPr>
                <w:rFonts w:ascii="Book Antiqua" w:hAnsi="Book Antiqua"/>
              </w:rPr>
            </w:pPr>
          </w:p>
        </w:tc>
        <w:tc>
          <w:tcPr>
            <w:tcW w:w="670" w:type="dxa"/>
            <w:tcBorders>
              <w:bottom w:val="single" w:sz="4" w:space="0" w:color="auto"/>
            </w:tcBorders>
            <w:vAlign w:val="center"/>
          </w:tcPr>
          <w:p w:rsidR="00715FBD" w:rsidRPr="00321926" w:rsidRDefault="00715FBD" w:rsidP="00321926">
            <w:pPr>
              <w:spacing w:line="360" w:lineRule="auto"/>
              <w:jc w:val="both"/>
              <w:rPr>
                <w:rFonts w:ascii="Book Antiqua" w:hAnsi="Book Antiqua"/>
              </w:rPr>
            </w:pPr>
            <w:r w:rsidRPr="00321926">
              <w:rPr>
                <w:rFonts w:ascii="Book Antiqua" w:hAnsi="Book Antiqua"/>
              </w:rPr>
              <w:t>241</w:t>
            </w:r>
          </w:p>
        </w:tc>
        <w:tc>
          <w:tcPr>
            <w:tcW w:w="690" w:type="dxa"/>
            <w:gridSpan w:val="2"/>
            <w:tcBorders>
              <w:bottom w:val="single" w:sz="4" w:space="0" w:color="auto"/>
            </w:tcBorders>
            <w:vAlign w:val="center"/>
          </w:tcPr>
          <w:p w:rsidR="00715FBD" w:rsidRPr="00321926" w:rsidRDefault="00715FBD" w:rsidP="00321926">
            <w:pPr>
              <w:spacing w:line="360" w:lineRule="auto"/>
              <w:jc w:val="both"/>
              <w:rPr>
                <w:rFonts w:ascii="Book Antiqua" w:hAnsi="Book Antiqua"/>
              </w:rPr>
            </w:pPr>
          </w:p>
        </w:tc>
        <w:tc>
          <w:tcPr>
            <w:tcW w:w="1085" w:type="dxa"/>
            <w:vMerge/>
            <w:tcBorders>
              <w:bottom w:val="single" w:sz="4" w:space="0" w:color="auto"/>
            </w:tcBorders>
          </w:tcPr>
          <w:p w:rsidR="00715FBD" w:rsidRPr="00321926" w:rsidRDefault="00715FBD" w:rsidP="00321926">
            <w:pPr>
              <w:spacing w:line="360" w:lineRule="auto"/>
              <w:jc w:val="both"/>
              <w:rPr>
                <w:rFonts w:ascii="Book Antiqua" w:hAnsi="Book Antiqua"/>
              </w:rPr>
            </w:pPr>
          </w:p>
        </w:tc>
      </w:tr>
    </w:tbl>
    <w:p w:rsidR="00715FBD" w:rsidRPr="00321926" w:rsidRDefault="00715FBD" w:rsidP="00321926">
      <w:pPr>
        <w:autoSpaceDE w:val="0"/>
        <w:autoSpaceDN w:val="0"/>
        <w:adjustRightInd w:val="0"/>
        <w:spacing w:line="360" w:lineRule="auto"/>
        <w:jc w:val="both"/>
        <w:rPr>
          <w:rFonts w:ascii="Book Antiqua" w:hAnsi="Book Antiqua" w:cs="CaslonOldFaceBT"/>
        </w:rPr>
      </w:pPr>
    </w:p>
    <w:p w:rsidR="00715FBD" w:rsidRPr="00321926" w:rsidRDefault="00715FBD" w:rsidP="00321926">
      <w:pPr>
        <w:autoSpaceDE w:val="0"/>
        <w:autoSpaceDN w:val="0"/>
        <w:adjustRightInd w:val="0"/>
        <w:spacing w:line="360" w:lineRule="auto"/>
        <w:jc w:val="both"/>
        <w:rPr>
          <w:rFonts w:ascii="Book Antiqua" w:hAnsi="Book Antiqua" w:cs="CaslonOldFaceBT"/>
        </w:rPr>
      </w:pPr>
      <w:r w:rsidRPr="00321926">
        <w:rPr>
          <w:rFonts w:ascii="Book Antiqua" w:hAnsi="Book Antiqua" w:cs="CaslonOldFaceBT"/>
        </w:rPr>
        <w:lastRenderedPageBreak/>
        <w:t>UD</w:t>
      </w:r>
      <w:r w:rsidRPr="00321926">
        <w:rPr>
          <w:rFonts w:ascii="Book Antiqua" w:eastAsia="宋体" w:hAnsi="Book Antiqua" w:cs="CaslonOldFaceBT"/>
          <w:lang w:eastAsia="zh-CN"/>
        </w:rPr>
        <w:t>:</w:t>
      </w:r>
      <w:r w:rsidRPr="00321926">
        <w:rPr>
          <w:rFonts w:ascii="Book Antiqua" w:hAnsi="Book Antiqua" w:cs="CaslonOldFaceBT"/>
        </w:rPr>
        <w:t xml:space="preserve"> Uninvestigated dyspepsia; </w:t>
      </w:r>
      <w:r w:rsidRPr="00321926">
        <w:rPr>
          <w:rFonts w:ascii="Book Antiqua" w:hAnsi="Book Antiqua"/>
        </w:rPr>
        <w:t>N</w:t>
      </w:r>
      <w:r w:rsidRPr="00321926">
        <w:rPr>
          <w:rFonts w:ascii="Book Antiqua" w:hAnsi="Book Antiqua" w:cs="CaslonOldFaceBT"/>
        </w:rPr>
        <w:t>on-UD</w:t>
      </w:r>
      <w:r w:rsidRPr="00321926">
        <w:rPr>
          <w:rFonts w:ascii="Book Antiqua" w:eastAsia="宋体" w:hAnsi="Book Antiqua" w:cs="CaslonOldFaceBT"/>
          <w:lang w:eastAsia="zh-CN"/>
        </w:rPr>
        <w:t xml:space="preserve">: </w:t>
      </w:r>
      <w:r w:rsidRPr="00321926">
        <w:rPr>
          <w:rFonts w:ascii="Book Antiqua" w:hAnsi="Book Antiqua" w:cs="CaslonOldFaceBT"/>
        </w:rPr>
        <w:t>Student without dyspepsia.</w:t>
      </w:r>
      <w:r w:rsidRPr="00321926">
        <w:rPr>
          <w:rFonts w:ascii="Book Antiqua" w:eastAsia="宋体" w:hAnsi="Book Antiqua" w:cs="CaslonOldFaceBT"/>
          <w:lang w:eastAsia="zh-CN"/>
        </w:rPr>
        <w:t xml:space="preserve"> </w:t>
      </w:r>
      <w:r w:rsidRPr="00321926">
        <w:rPr>
          <w:rFonts w:ascii="Book Antiqua" w:hAnsi="Book Antiqua" w:cs="CaslonOldFaceBT"/>
          <w:vertAlign w:val="superscript"/>
        </w:rPr>
        <w:t>a</w:t>
      </w:r>
      <w:r w:rsidRPr="00321926">
        <w:rPr>
          <w:rFonts w:ascii="Book Antiqua" w:hAnsi="Book Antiqua" w:cs="CaslonOldFaceBT"/>
        </w:rPr>
        <w:t xml:space="preserve">Females </w:t>
      </w:r>
      <w:r w:rsidRPr="00321926">
        <w:rPr>
          <w:rFonts w:ascii="Book Antiqua" w:hAnsi="Book Antiqua" w:cs="CaslonOldFaceBT"/>
          <w:i/>
        </w:rPr>
        <w:t>vs</w:t>
      </w:r>
      <w:r w:rsidRPr="00321926">
        <w:rPr>
          <w:rFonts w:ascii="Book Antiqua" w:hAnsi="Book Antiqua" w:cs="CaslonOldFaceBT"/>
        </w:rPr>
        <w:t xml:space="preserve"> Males</w:t>
      </w:r>
      <w:r w:rsidRPr="00321926">
        <w:rPr>
          <w:rFonts w:ascii="Book Antiqua" w:eastAsia="宋体" w:hAnsi="Book Antiqua" w:cs="CaslonOldFaceBT"/>
          <w:lang w:eastAsia="zh-CN"/>
        </w:rPr>
        <w:t>;</w:t>
      </w:r>
      <w:r w:rsidRPr="00321926">
        <w:rPr>
          <w:rFonts w:ascii="Book Antiqua" w:hAnsi="Book Antiqua" w:cs="CaslonOldFaceBT"/>
        </w:rPr>
        <w:t xml:space="preserve"> </w:t>
      </w:r>
      <w:r w:rsidRPr="00321926">
        <w:rPr>
          <w:rFonts w:ascii="Book Antiqua" w:hAnsi="Book Antiqua" w:cs="CaslonOldFaceBT"/>
          <w:vertAlign w:val="superscript"/>
        </w:rPr>
        <w:t>b</w:t>
      </w:r>
      <w:r w:rsidRPr="00321926">
        <w:rPr>
          <w:rFonts w:ascii="Book Antiqua" w:hAnsi="Book Antiqua" w:cs="CaslonOldFaceBT"/>
        </w:rPr>
        <w:t xml:space="preserve">Year-4 undergraduate students </w:t>
      </w:r>
      <w:r w:rsidRPr="00321926">
        <w:rPr>
          <w:rFonts w:ascii="Book Antiqua" w:hAnsi="Book Antiqua" w:cs="CaslonOldFaceBT"/>
          <w:i/>
        </w:rPr>
        <w:t>vs</w:t>
      </w:r>
      <w:r w:rsidRPr="00321926">
        <w:rPr>
          <w:rFonts w:ascii="Book Antiqua" w:hAnsi="Book Antiqua" w:cs="CaslonOldFaceBT"/>
        </w:rPr>
        <w:t xml:space="preserve"> all other programs and attendance year. </w:t>
      </w:r>
    </w:p>
    <w:p w:rsidR="00715FBD" w:rsidRPr="00321926" w:rsidRDefault="00715FBD" w:rsidP="00321926">
      <w:pPr>
        <w:autoSpaceDE w:val="0"/>
        <w:autoSpaceDN w:val="0"/>
        <w:adjustRightInd w:val="0"/>
        <w:spacing w:line="360" w:lineRule="auto"/>
        <w:jc w:val="both"/>
        <w:rPr>
          <w:rFonts w:ascii="Book Antiqua" w:hAnsi="Book Antiqua"/>
        </w:rPr>
      </w:pPr>
    </w:p>
    <w:p w:rsidR="00715FBD" w:rsidRPr="00321926" w:rsidRDefault="00715FBD" w:rsidP="00321926">
      <w:pPr>
        <w:autoSpaceDE w:val="0"/>
        <w:autoSpaceDN w:val="0"/>
        <w:adjustRightInd w:val="0"/>
        <w:spacing w:line="360" w:lineRule="auto"/>
        <w:jc w:val="both"/>
        <w:rPr>
          <w:rFonts w:ascii="Book Antiqua" w:hAnsi="Book Antiqua"/>
        </w:rPr>
      </w:pPr>
    </w:p>
    <w:p w:rsidR="00715FBD" w:rsidRPr="00321926" w:rsidRDefault="00715FBD" w:rsidP="00321926">
      <w:pPr>
        <w:spacing w:line="360" w:lineRule="auto"/>
        <w:jc w:val="both"/>
        <w:rPr>
          <w:rFonts w:ascii="Book Antiqua" w:hAnsi="Book Antiqua"/>
          <w:b/>
        </w:rPr>
      </w:pPr>
    </w:p>
    <w:p w:rsidR="00715FBD" w:rsidRPr="00321926" w:rsidRDefault="00715FBD" w:rsidP="00321926">
      <w:pPr>
        <w:spacing w:line="360" w:lineRule="auto"/>
        <w:jc w:val="both"/>
        <w:rPr>
          <w:rFonts w:ascii="Book Antiqua" w:hAnsi="Book Antiqua"/>
        </w:rPr>
      </w:pPr>
      <w:r w:rsidRPr="00321926">
        <w:rPr>
          <w:rFonts w:ascii="Book Antiqua" w:hAnsi="Book Antiqua"/>
        </w:rPr>
        <w:br/>
      </w:r>
    </w:p>
    <w:p w:rsidR="00715FBD" w:rsidRPr="00321926" w:rsidRDefault="00715FBD" w:rsidP="00321926">
      <w:pPr>
        <w:spacing w:line="360" w:lineRule="auto"/>
        <w:jc w:val="both"/>
        <w:rPr>
          <w:rFonts w:ascii="Book Antiqua" w:hAnsi="Book Antiqua"/>
        </w:rPr>
      </w:pPr>
    </w:p>
    <w:sectPr w:rsidR="00715FBD" w:rsidRPr="00321926" w:rsidSect="00B506F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83F" w:rsidRDefault="00EB483F" w:rsidP="00B60A4E">
      <w:r>
        <w:separator/>
      </w:r>
    </w:p>
  </w:endnote>
  <w:endnote w:type="continuationSeparator" w:id="0">
    <w:p w:rsidR="00EB483F" w:rsidRDefault="00EB483F" w:rsidP="00B60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slonOldFaceB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83F" w:rsidRDefault="00EB483F" w:rsidP="00B60A4E">
      <w:r>
        <w:separator/>
      </w:r>
    </w:p>
  </w:footnote>
  <w:footnote w:type="continuationSeparator" w:id="0">
    <w:p w:rsidR="00EB483F" w:rsidRDefault="00EB483F" w:rsidP="00B60A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7B8"/>
    <w:rsid w:val="00027A33"/>
    <w:rsid w:val="00097E9C"/>
    <w:rsid w:val="00157224"/>
    <w:rsid w:val="0017009A"/>
    <w:rsid w:val="00175369"/>
    <w:rsid w:val="002B3A1B"/>
    <w:rsid w:val="002C4157"/>
    <w:rsid w:val="00321926"/>
    <w:rsid w:val="0033026B"/>
    <w:rsid w:val="00366C1B"/>
    <w:rsid w:val="00421E83"/>
    <w:rsid w:val="00422EF0"/>
    <w:rsid w:val="00466596"/>
    <w:rsid w:val="004722E6"/>
    <w:rsid w:val="00480935"/>
    <w:rsid w:val="00494BD3"/>
    <w:rsid w:val="004D40BC"/>
    <w:rsid w:val="00572E08"/>
    <w:rsid w:val="00575A30"/>
    <w:rsid w:val="00586B31"/>
    <w:rsid w:val="005D24E6"/>
    <w:rsid w:val="006466CE"/>
    <w:rsid w:val="0068250F"/>
    <w:rsid w:val="00694C9D"/>
    <w:rsid w:val="006C5C3C"/>
    <w:rsid w:val="006F0A37"/>
    <w:rsid w:val="00715FBD"/>
    <w:rsid w:val="00724D64"/>
    <w:rsid w:val="00774578"/>
    <w:rsid w:val="00790370"/>
    <w:rsid w:val="007D0EA9"/>
    <w:rsid w:val="007E5786"/>
    <w:rsid w:val="0086499D"/>
    <w:rsid w:val="008C53E2"/>
    <w:rsid w:val="008D0368"/>
    <w:rsid w:val="009222C0"/>
    <w:rsid w:val="009757B8"/>
    <w:rsid w:val="00986730"/>
    <w:rsid w:val="00993AB1"/>
    <w:rsid w:val="00994AB3"/>
    <w:rsid w:val="009F0683"/>
    <w:rsid w:val="00A33C0A"/>
    <w:rsid w:val="00A618F8"/>
    <w:rsid w:val="00AC20EB"/>
    <w:rsid w:val="00AD3E06"/>
    <w:rsid w:val="00B506F7"/>
    <w:rsid w:val="00B536B5"/>
    <w:rsid w:val="00B60A4E"/>
    <w:rsid w:val="00BA2F77"/>
    <w:rsid w:val="00C153C2"/>
    <w:rsid w:val="00C605E9"/>
    <w:rsid w:val="00C76DAA"/>
    <w:rsid w:val="00CD45D7"/>
    <w:rsid w:val="00CD4F97"/>
    <w:rsid w:val="00CE4867"/>
    <w:rsid w:val="00D2690D"/>
    <w:rsid w:val="00D55AAE"/>
    <w:rsid w:val="00D7261E"/>
    <w:rsid w:val="00D82BE9"/>
    <w:rsid w:val="00D97F8F"/>
    <w:rsid w:val="00E07CBB"/>
    <w:rsid w:val="00E129A6"/>
    <w:rsid w:val="00E46C2E"/>
    <w:rsid w:val="00E4779B"/>
    <w:rsid w:val="00E719DD"/>
    <w:rsid w:val="00E9270A"/>
    <w:rsid w:val="00E95343"/>
    <w:rsid w:val="00EB483F"/>
    <w:rsid w:val="00EC40EF"/>
    <w:rsid w:val="00ED776D"/>
    <w:rsid w:val="00EE6015"/>
    <w:rsid w:val="00F24757"/>
    <w:rsid w:val="00F65015"/>
    <w:rsid w:val="00FE5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A4E"/>
    <w:rPr>
      <w:rFonts w:ascii="Cambria" w:eastAsia="MS Mincho" w:hAnsi="Cambria"/>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60A4E"/>
    <w:pPr>
      <w:pBdr>
        <w:bottom w:val="single" w:sz="6" w:space="1" w:color="auto"/>
      </w:pBdr>
      <w:tabs>
        <w:tab w:val="center" w:pos="4153"/>
        <w:tab w:val="right" w:pos="8306"/>
      </w:tabs>
      <w:snapToGrid w:val="0"/>
      <w:jc w:val="center"/>
    </w:pPr>
    <w:rPr>
      <w:rFonts w:ascii="Calibri" w:eastAsia="宋体" w:hAnsi="Calibri"/>
      <w:kern w:val="2"/>
      <w:sz w:val="18"/>
      <w:szCs w:val="18"/>
      <w:lang w:eastAsia="zh-CN"/>
    </w:rPr>
  </w:style>
  <w:style w:type="character" w:customStyle="1" w:styleId="Char">
    <w:name w:val="页眉 Char"/>
    <w:basedOn w:val="a0"/>
    <w:link w:val="a3"/>
    <w:uiPriority w:val="99"/>
    <w:locked/>
    <w:rsid w:val="00B60A4E"/>
    <w:rPr>
      <w:rFonts w:cs="Times New Roman"/>
      <w:sz w:val="18"/>
      <w:szCs w:val="18"/>
    </w:rPr>
  </w:style>
  <w:style w:type="paragraph" w:styleId="a4">
    <w:name w:val="footer"/>
    <w:basedOn w:val="a"/>
    <w:link w:val="Char0"/>
    <w:uiPriority w:val="99"/>
    <w:rsid w:val="00B60A4E"/>
    <w:pPr>
      <w:tabs>
        <w:tab w:val="center" w:pos="4153"/>
        <w:tab w:val="right" w:pos="8306"/>
      </w:tabs>
      <w:snapToGrid w:val="0"/>
    </w:pPr>
    <w:rPr>
      <w:rFonts w:ascii="Calibri" w:eastAsia="宋体" w:hAnsi="Calibri"/>
      <w:kern w:val="2"/>
      <w:sz w:val="18"/>
      <w:szCs w:val="18"/>
      <w:lang w:eastAsia="zh-CN"/>
    </w:rPr>
  </w:style>
  <w:style w:type="character" w:customStyle="1" w:styleId="Char0">
    <w:name w:val="页脚 Char"/>
    <w:basedOn w:val="a0"/>
    <w:link w:val="a4"/>
    <w:uiPriority w:val="99"/>
    <w:locked/>
    <w:rsid w:val="00B60A4E"/>
    <w:rPr>
      <w:rFonts w:cs="Times New Roman"/>
      <w:sz w:val="18"/>
      <w:szCs w:val="18"/>
    </w:rPr>
  </w:style>
  <w:style w:type="character" w:styleId="a5">
    <w:name w:val="Hyperlink"/>
    <w:basedOn w:val="a0"/>
    <w:uiPriority w:val="99"/>
    <w:rsid w:val="00B60A4E"/>
    <w:rPr>
      <w:rFonts w:cs="Times New Roman"/>
      <w:color w:val="0000FF"/>
      <w:u w:val="single"/>
    </w:rPr>
  </w:style>
  <w:style w:type="character" w:customStyle="1" w:styleId="apple-converted-space">
    <w:name w:val="apple-converted-space"/>
    <w:basedOn w:val="a0"/>
    <w:uiPriority w:val="99"/>
    <w:rsid w:val="00321926"/>
    <w:rPr>
      <w:rFonts w:cs="Times New Roman"/>
    </w:rPr>
  </w:style>
  <w:style w:type="character" w:styleId="a6">
    <w:name w:val="Strong"/>
    <w:basedOn w:val="a0"/>
    <w:uiPriority w:val="99"/>
    <w:qFormat/>
    <w:rsid w:val="00E4779B"/>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A4E"/>
    <w:rPr>
      <w:rFonts w:ascii="Cambria" w:eastAsia="MS Mincho" w:hAnsi="Cambria"/>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60A4E"/>
    <w:pPr>
      <w:pBdr>
        <w:bottom w:val="single" w:sz="6" w:space="1" w:color="auto"/>
      </w:pBdr>
      <w:tabs>
        <w:tab w:val="center" w:pos="4153"/>
        <w:tab w:val="right" w:pos="8306"/>
      </w:tabs>
      <w:snapToGrid w:val="0"/>
      <w:jc w:val="center"/>
    </w:pPr>
    <w:rPr>
      <w:rFonts w:ascii="Calibri" w:eastAsia="宋体" w:hAnsi="Calibri"/>
      <w:kern w:val="2"/>
      <w:sz w:val="18"/>
      <w:szCs w:val="18"/>
      <w:lang w:eastAsia="zh-CN"/>
    </w:rPr>
  </w:style>
  <w:style w:type="character" w:customStyle="1" w:styleId="Char">
    <w:name w:val="页眉 Char"/>
    <w:basedOn w:val="a0"/>
    <w:link w:val="a3"/>
    <w:uiPriority w:val="99"/>
    <w:locked/>
    <w:rsid w:val="00B60A4E"/>
    <w:rPr>
      <w:rFonts w:cs="Times New Roman"/>
      <w:sz w:val="18"/>
      <w:szCs w:val="18"/>
    </w:rPr>
  </w:style>
  <w:style w:type="paragraph" w:styleId="a4">
    <w:name w:val="footer"/>
    <w:basedOn w:val="a"/>
    <w:link w:val="Char0"/>
    <w:uiPriority w:val="99"/>
    <w:rsid w:val="00B60A4E"/>
    <w:pPr>
      <w:tabs>
        <w:tab w:val="center" w:pos="4153"/>
        <w:tab w:val="right" w:pos="8306"/>
      </w:tabs>
      <w:snapToGrid w:val="0"/>
    </w:pPr>
    <w:rPr>
      <w:rFonts w:ascii="Calibri" w:eastAsia="宋体" w:hAnsi="Calibri"/>
      <w:kern w:val="2"/>
      <w:sz w:val="18"/>
      <w:szCs w:val="18"/>
      <w:lang w:eastAsia="zh-CN"/>
    </w:rPr>
  </w:style>
  <w:style w:type="character" w:customStyle="1" w:styleId="Char0">
    <w:name w:val="页脚 Char"/>
    <w:basedOn w:val="a0"/>
    <w:link w:val="a4"/>
    <w:uiPriority w:val="99"/>
    <w:locked/>
    <w:rsid w:val="00B60A4E"/>
    <w:rPr>
      <w:rFonts w:cs="Times New Roman"/>
      <w:sz w:val="18"/>
      <w:szCs w:val="18"/>
    </w:rPr>
  </w:style>
  <w:style w:type="character" w:styleId="a5">
    <w:name w:val="Hyperlink"/>
    <w:basedOn w:val="a0"/>
    <w:uiPriority w:val="99"/>
    <w:rsid w:val="00B60A4E"/>
    <w:rPr>
      <w:rFonts w:cs="Times New Roman"/>
      <w:color w:val="0000FF"/>
      <w:u w:val="single"/>
    </w:rPr>
  </w:style>
  <w:style w:type="character" w:customStyle="1" w:styleId="apple-converted-space">
    <w:name w:val="apple-converted-space"/>
    <w:basedOn w:val="a0"/>
    <w:uiPriority w:val="99"/>
    <w:rsid w:val="00321926"/>
    <w:rPr>
      <w:rFonts w:cs="Times New Roman"/>
    </w:rPr>
  </w:style>
  <w:style w:type="character" w:styleId="a6">
    <w:name w:val="Strong"/>
    <w:basedOn w:val="a0"/>
    <w:uiPriority w:val="99"/>
    <w:qFormat/>
    <w:rsid w:val="00E4779B"/>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160100">
      <w:marLeft w:val="0"/>
      <w:marRight w:val="0"/>
      <w:marTop w:val="0"/>
      <w:marBottom w:val="0"/>
      <w:divBdr>
        <w:top w:val="none" w:sz="0" w:space="0" w:color="auto"/>
        <w:left w:val="none" w:sz="0" w:space="0" w:color="auto"/>
        <w:bottom w:val="none" w:sz="0" w:space="0" w:color="auto"/>
        <w:right w:val="none" w:sz="0" w:space="0" w:color="auto"/>
      </w:divBdr>
      <w:divsChild>
        <w:div w:id="626160099">
          <w:marLeft w:val="0"/>
          <w:marRight w:val="0"/>
          <w:marTop w:val="0"/>
          <w:marBottom w:val="0"/>
          <w:divBdr>
            <w:top w:val="none" w:sz="0" w:space="0" w:color="auto"/>
            <w:left w:val="none" w:sz="0" w:space="0" w:color="auto"/>
            <w:bottom w:val="none" w:sz="0" w:space="0" w:color="auto"/>
            <w:right w:val="none" w:sz="0" w:space="0" w:color="auto"/>
          </w:divBdr>
        </w:div>
        <w:div w:id="626160101">
          <w:marLeft w:val="0"/>
          <w:marRight w:val="0"/>
          <w:marTop w:val="0"/>
          <w:marBottom w:val="0"/>
          <w:divBdr>
            <w:top w:val="none" w:sz="0" w:space="0" w:color="auto"/>
            <w:left w:val="none" w:sz="0" w:space="0" w:color="auto"/>
            <w:bottom w:val="none" w:sz="0" w:space="0" w:color="auto"/>
            <w:right w:val="none" w:sz="0" w:space="0" w:color="auto"/>
          </w:divBdr>
        </w:div>
        <w:div w:id="626160102">
          <w:marLeft w:val="0"/>
          <w:marRight w:val="0"/>
          <w:marTop w:val="0"/>
          <w:marBottom w:val="0"/>
          <w:divBdr>
            <w:top w:val="none" w:sz="0" w:space="0" w:color="auto"/>
            <w:left w:val="none" w:sz="0" w:space="0" w:color="auto"/>
            <w:bottom w:val="none" w:sz="0" w:space="0" w:color="auto"/>
            <w:right w:val="none" w:sz="0" w:space="0" w:color="auto"/>
          </w:divBdr>
        </w:div>
        <w:div w:id="626160103">
          <w:marLeft w:val="0"/>
          <w:marRight w:val="0"/>
          <w:marTop w:val="0"/>
          <w:marBottom w:val="0"/>
          <w:divBdr>
            <w:top w:val="none" w:sz="0" w:space="0" w:color="auto"/>
            <w:left w:val="none" w:sz="0" w:space="0" w:color="auto"/>
            <w:bottom w:val="none" w:sz="0" w:space="0" w:color="auto"/>
            <w:right w:val="none" w:sz="0" w:space="0" w:color="auto"/>
          </w:divBdr>
        </w:div>
        <w:div w:id="626160104">
          <w:marLeft w:val="0"/>
          <w:marRight w:val="0"/>
          <w:marTop w:val="0"/>
          <w:marBottom w:val="0"/>
          <w:divBdr>
            <w:top w:val="none" w:sz="0" w:space="0" w:color="auto"/>
            <w:left w:val="none" w:sz="0" w:space="0" w:color="auto"/>
            <w:bottom w:val="none" w:sz="0" w:space="0" w:color="auto"/>
            <w:right w:val="none" w:sz="0" w:space="0" w:color="auto"/>
          </w:divBdr>
        </w:div>
        <w:div w:id="626160105">
          <w:marLeft w:val="0"/>
          <w:marRight w:val="0"/>
          <w:marTop w:val="0"/>
          <w:marBottom w:val="0"/>
          <w:divBdr>
            <w:top w:val="none" w:sz="0" w:space="0" w:color="auto"/>
            <w:left w:val="none" w:sz="0" w:space="0" w:color="auto"/>
            <w:bottom w:val="none" w:sz="0" w:space="0" w:color="auto"/>
            <w:right w:val="none" w:sz="0" w:space="0" w:color="auto"/>
          </w:divBdr>
        </w:div>
        <w:div w:id="626160106">
          <w:marLeft w:val="0"/>
          <w:marRight w:val="0"/>
          <w:marTop w:val="0"/>
          <w:marBottom w:val="0"/>
          <w:divBdr>
            <w:top w:val="none" w:sz="0" w:space="0" w:color="auto"/>
            <w:left w:val="none" w:sz="0" w:space="0" w:color="auto"/>
            <w:bottom w:val="none" w:sz="0" w:space="0" w:color="auto"/>
            <w:right w:val="none" w:sz="0" w:space="0" w:color="auto"/>
          </w:divBdr>
        </w:div>
        <w:div w:id="626160107">
          <w:marLeft w:val="0"/>
          <w:marRight w:val="0"/>
          <w:marTop w:val="0"/>
          <w:marBottom w:val="0"/>
          <w:divBdr>
            <w:top w:val="none" w:sz="0" w:space="0" w:color="auto"/>
            <w:left w:val="none" w:sz="0" w:space="0" w:color="auto"/>
            <w:bottom w:val="none" w:sz="0" w:space="0" w:color="auto"/>
            <w:right w:val="none" w:sz="0" w:space="0" w:color="auto"/>
          </w:divBdr>
        </w:div>
        <w:div w:id="626160108">
          <w:marLeft w:val="0"/>
          <w:marRight w:val="0"/>
          <w:marTop w:val="0"/>
          <w:marBottom w:val="0"/>
          <w:divBdr>
            <w:top w:val="none" w:sz="0" w:space="0" w:color="auto"/>
            <w:left w:val="none" w:sz="0" w:space="0" w:color="auto"/>
            <w:bottom w:val="none" w:sz="0" w:space="0" w:color="auto"/>
            <w:right w:val="none" w:sz="0" w:space="0" w:color="auto"/>
          </w:divBdr>
        </w:div>
        <w:div w:id="626160109">
          <w:marLeft w:val="0"/>
          <w:marRight w:val="0"/>
          <w:marTop w:val="0"/>
          <w:marBottom w:val="0"/>
          <w:divBdr>
            <w:top w:val="none" w:sz="0" w:space="0" w:color="auto"/>
            <w:left w:val="none" w:sz="0" w:space="0" w:color="auto"/>
            <w:bottom w:val="none" w:sz="0" w:space="0" w:color="auto"/>
            <w:right w:val="none" w:sz="0" w:space="0" w:color="auto"/>
          </w:divBdr>
        </w:div>
        <w:div w:id="626160110">
          <w:marLeft w:val="0"/>
          <w:marRight w:val="0"/>
          <w:marTop w:val="0"/>
          <w:marBottom w:val="0"/>
          <w:divBdr>
            <w:top w:val="none" w:sz="0" w:space="0" w:color="auto"/>
            <w:left w:val="none" w:sz="0" w:space="0" w:color="auto"/>
            <w:bottom w:val="none" w:sz="0" w:space="0" w:color="auto"/>
            <w:right w:val="none" w:sz="0" w:space="0" w:color="auto"/>
          </w:divBdr>
        </w:div>
        <w:div w:id="626160111">
          <w:marLeft w:val="0"/>
          <w:marRight w:val="0"/>
          <w:marTop w:val="0"/>
          <w:marBottom w:val="0"/>
          <w:divBdr>
            <w:top w:val="none" w:sz="0" w:space="0" w:color="auto"/>
            <w:left w:val="none" w:sz="0" w:space="0" w:color="auto"/>
            <w:bottom w:val="none" w:sz="0" w:space="0" w:color="auto"/>
            <w:right w:val="none" w:sz="0" w:space="0" w:color="auto"/>
          </w:divBdr>
        </w:div>
        <w:div w:id="626160112">
          <w:marLeft w:val="0"/>
          <w:marRight w:val="0"/>
          <w:marTop w:val="0"/>
          <w:marBottom w:val="0"/>
          <w:divBdr>
            <w:top w:val="none" w:sz="0" w:space="0" w:color="auto"/>
            <w:left w:val="none" w:sz="0" w:space="0" w:color="auto"/>
            <w:bottom w:val="none" w:sz="0" w:space="0" w:color="auto"/>
            <w:right w:val="none" w:sz="0" w:space="0" w:color="auto"/>
          </w:divBdr>
        </w:div>
        <w:div w:id="626160113">
          <w:marLeft w:val="0"/>
          <w:marRight w:val="0"/>
          <w:marTop w:val="0"/>
          <w:marBottom w:val="0"/>
          <w:divBdr>
            <w:top w:val="none" w:sz="0" w:space="0" w:color="auto"/>
            <w:left w:val="none" w:sz="0" w:space="0" w:color="auto"/>
            <w:bottom w:val="none" w:sz="0" w:space="0" w:color="auto"/>
            <w:right w:val="none" w:sz="0" w:space="0" w:color="auto"/>
          </w:divBdr>
        </w:div>
        <w:div w:id="626160114">
          <w:marLeft w:val="0"/>
          <w:marRight w:val="0"/>
          <w:marTop w:val="0"/>
          <w:marBottom w:val="0"/>
          <w:divBdr>
            <w:top w:val="none" w:sz="0" w:space="0" w:color="auto"/>
            <w:left w:val="none" w:sz="0" w:space="0" w:color="auto"/>
            <w:bottom w:val="none" w:sz="0" w:space="0" w:color="auto"/>
            <w:right w:val="none" w:sz="0" w:space="0" w:color="auto"/>
          </w:divBdr>
        </w:div>
        <w:div w:id="626160115">
          <w:marLeft w:val="0"/>
          <w:marRight w:val="0"/>
          <w:marTop w:val="0"/>
          <w:marBottom w:val="0"/>
          <w:divBdr>
            <w:top w:val="none" w:sz="0" w:space="0" w:color="auto"/>
            <w:left w:val="none" w:sz="0" w:space="0" w:color="auto"/>
            <w:bottom w:val="none" w:sz="0" w:space="0" w:color="auto"/>
            <w:right w:val="none" w:sz="0" w:space="0" w:color="auto"/>
          </w:divBdr>
        </w:div>
        <w:div w:id="626160116">
          <w:marLeft w:val="0"/>
          <w:marRight w:val="0"/>
          <w:marTop w:val="0"/>
          <w:marBottom w:val="0"/>
          <w:divBdr>
            <w:top w:val="none" w:sz="0" w:space="0" w:color="auto"/>
            <w:left w:val="none" w:sz="0" w:space="0" w:color="auto"/>
            <w:bottom w:val="none" w:sz="0" w:space="0" w:color="auto"/>
            <w:right w:val="none" w:sz="0" w:space="0" w:color="auto"/>
          </w:divBdr>
        </w:div>
        <w:div w:id="626160118">
          <w:marLeft w:val="0"/>
          <w:marRight w:val="0"/>
          <w:marTop w:val="0"/>
          <w:marBottom w:val="0"/>
          <w:divBdr>
            <w:top w:val="none" w:sz="0" w:space="0" w:color="auto"/>
            <w:left w:val="none" w:sz="0" w:space="0" w:color="auto"/>
            <w:bottom w:val="none" w:sz="0" w:space="0" w:color="auto"/>
            <w:right w:val="none" w:sz="0" w:space="0" w:color="auto"/>
          </w:divBdr>
        </w:div>
        <w:div w:id="626160119">
          <w:marLeft w:val="0"/>
          <w:marRight w:val="0"/>
          <w:marTop w:val="0"/>
          <w:marBottom w:val="0"/>
          <w:divBdr>
            <w:top w:val="none" w:sz="0" w:space="0" w:color="auto"/>
            <w:left w:val="none" w:sz="0" w:space="0" w:color="auto"/>
            <w:bottom w:val="none" w:sz="0" w:space="0" w:color="auto"/>
            <w:right w:val="none" w:sz="0" w:space="0" w:color="auto"/>
          </w:divBdr>
        </w:div>
        <w:div w:id="626160120">
          <w:marLeft w:val="0"/>
          <w:marRight w:val="0"/>
          <w:marTop w:val="0"/>
          <w:marBottom w:val="0"/>
          <w:divBdr>
            <w:top w:val="none" w:sz="0" w:space="0" w:color="auto"/>
            <w:left w:val="none" w:sz="0" w:space="0" w:color="auto"/>
            <w:bottom w:val="none" w:sz="0" w:space="0" w:color="auto"/>
            <w:right w:val="none" w:sz="0" w:space="0" w:color="auto"/>
          </w:divBdr>
        </w:div>
        <w:div w:id="626160121">
          <w:marLeft w:val="0"/>
          <w:marRight w:val="0"/>
          <w:marTop w:val="0"/>
          <w:marBottom w:val="0"/>
          <w:divBdr>
            <w:top w:val="none" w:sz="0" w:space="0" w:color="auto"/>
            <w:left w:val="none" w:sz="0" w:space="0" w:color="auto"/>
            <w:bottom w:val="none" w:sz="0" w:space="0" w:color="auto"/>
            <w:right w:val="none" w:sz="0" w:space="0" w:color="auto"/>
          </w:divBdr>
        </w:div>
        <w:div w:id="626160122">
          <w:marLeft w:val="0"/>
          <w:marRight w:val="0"/>
          <w:marTop w:val="0"/>
          <w:marBottom w:val="0"/>
          <w:divBdr>
            <w:top w:val="none" w:sz="0" w:space="0" w:color="auto"/>
            <w:left w:val="none" w:sz="0" w:space="0" w:color="auto"/>
            <w:bottom w:val="none" w:sz="0" w:space="0" w:color="auto"/>
            <w:right w:val="none" w:sz="0" w:space="0" w:color="auto"/>
          </w:divBdr>
        </w:div>
        <w:div w:id="626160123">
          <w:marLeft w:val="0"/>
          <w:marRight w:val="0"/>
          <w:marTop w:val="0"/>
          <w:marBottom w:val="0"/>
          <w:divBdr>
            <w:top w:val="none" w:sz="0" w:space="0" w:color="auto"/>
            <w:left w:val="none" w:sz="0" w:space="0" w:color="auto"/>
            <w:bottom w:val="none" w:sz="0" w:space="0" w:color="auto"/>
            <w:right w:val="none" w:sz="0" w:space="0" w:color="auto"/>
          </w:divBdr>
        </w:div>
        <w:div w:id="626160124">
          <w:marLeft w:val="0"/>
          <w:marRight w:val="0"/>
          <w:marTop w:val="0"/>
          <w:marBottom w:val="0"/>
          <w:divBdr>
            <w:top w:val="none" w:sz="0" w:space="0" w:color="auto"/>
            <w:left w:val="none" w:sz="0" w:space="0" w:color="auto"/>
            <w:bottom w:val="none" w:sz="0" w:space="0" w:color="auto"/>
            <w:right w:val="none" w:sz="0" w:space="0" w:color="auto"/>
          </w:divBdr>
        </w:div>
        <w:div w:id="626160125">
          <w:marLeft w:val="0"/>
          <w:marRight w:val="0"/>
          <w:marTop w:val="0"/>
          <w:marBottom w:val="0"/>
          <w:divBdr>
            <w:top w:val="none" w:sz="0" w:space="0" w:color="auto"/>
            <w:left w:val="none" w:sz="0" w:space="0" w:color="auto"/>
            <w:bottom w:val="none" w:sz="0" w:space="0" w:color="auto"/>
            <w:right w:val="none" w:sz="0" w:space="0" w:color="auto"/>
          </w:divBdr>
        </w:div>
        <w:div w:id="626160127">
          <w:marLeft w:val="0"/>
          <w:marRight w:val="0"/>
          <w:marTop w:val="0"/>
          <w:marBottom w:val="0"/>
          <w:divBdr>
            <w:top w:val="none" w:sz="0" w:space="0" w:color="auto"/>
            <w:left w:val="none" w:sz="0" w:space="0" w:color="auto"/>
            <w:bottom w:val="none" w:sz="0" w:space="0" w:color="auto"/>
            <w:right w:val="none" w:sz="0" w:space="0" w:color="auto"/>
          </w:divBdr>
        </w:div>
        <w:div w:id="626160128">
          <w:marLeft w:val="0"/>
          <w:marRight w:val="0"/>
          <w:marTop w:val="0"/>
          <w:marBottom w:val="0"/>
          <w:divBdr>
            <w:top w:val="none" w:sz="0" w:space="0" w:color="auto"/>
            <w:left w:val="none" w:sz="0" w:space="0" w:color="auto"/>
            <w:bottom w:val="none" w:sz="0" w:space="0" w:color="auto"/>
            <w:right w:val="none" w:sz="0" w:space="0" w:color="auto"/>
          </w:divBdr>
        </w:div>
        <w:div w:id="626160129">
          <w:marLeft w:val="0"/>
          <w:marRight w:val="0"/>
          <w:marTop w:val="0"/>
          <w:marBottom w:val="0"/>
          <w:divBdr>
            <w:top w:val="none" w:sz="0" w:space="0" w:color="auto"/>
            <w:left w:val="none" w:sz="0" w:space="0" w:color="auto"/>
            <w:bottom w:val="none" w:sz="0" w:space="0" w:color="auto"/>
            <w:right w:val="none" w:sz="0" w:space="0" w:color="auto"/>
          </w:divBdr>
        </w:div>
        <w:div w:id="626160130">
          <w:marLeft w:val="0"/>
          <w:marRight w:val="0"/>
          <w:marTop w:val="0"/>
          <w:marBottom w:val="0"/>
          <w:divBdr>
            <w:top w:val="none" w:sz="0" w:space="0" w:color="auto"/>
            <w:left w:val="none" w:sz="0" w:space="0" w:color="auto"/>
            <w:bottom w:val="none" w:sz="0" w:space="0" w:color="auto"/>
            <w:right w:val="none" w:sz="0" w:space="0" w:color="auto"/>
          </w:divBdr>
        </w:div>
        <w:div w:id="626160132">
          <w:marLeft w:val="0"/>
          <w:marRight w:val="0"/>
          <w:marTop w:val="0"/>
          <w:marBottom w:val="0"/>
          <w:divBdr>
            <w:top w:val="none" w:sz="0" w:space="0" w:color="auto"/>
            <w:left w:val="none" w:sz="0" w:space="0" w:color="auto"/>
            <w:bottom w:val="none" w:sz="0" w:space="0" w:color="auto"/>
            <w:right w:val="none" w:sz="0" w:space="0" w:color="auto"/>
          </w:divBdr>
        </w:div>
        <w:div w:id="626160133">
          <w:marLeft w:val="0"/>
          <w:marRight w:val="0"/>
          <w:marTop w:val="0"/>
          <w:marBottom w:val="0"/>
          <w:divBdr>
            <w:top w:val="none" w:sz="0" w:space="0" w:color="auto"/>
            <w:left w:val="none" w:sz="0" w:space="0" w:color="auto"/>
            <w:bottom w:val="none" w:sz="0" w:space="0" w:color="auto"/>
            <w:right w:val="none" w:sz="0" w:space="0" w:color="auto"/>
          </w:divBdr>
        </w:div>
        <w:div w:id="626160134">
          <w:marLeft w:val="0"/>
          <w:marRight w:val="0"/>
          <w:marTop w:val="0"/>
          <w:marBottom w:val="0"/>
          <w:divBdr>
            <w:top w:val="none" w:sz="0" w:space="0" w:color="auto"/>
            <w:left w:val="none" w:sz="0" w:space="0" w:color="auto"/>
            <w:bottom w:val="none" w:sz="0" w:space="0" w:color="auto"/>
            <w:right w:val="none" w:sz="0" w:space="0" w:color="auto"/>
          </w:divBdr>
        </w:div>
        <w:div w:id="626160135">
          <w:marLeft w:val="0"/>
          <w:marRight w:val="0"/>
          <w:marTop w:val="0"/>
          <w:marBottom w:val="0"/>
          <w:divBdr>
            <w:top w:val="none" w:sz="0" w:space="0" w:color="auto"/>
            <w:left w:val="none" w:sz="0" w:space="0" w:color="auto"/>
            <w:bottom w:val="none" w:sz="0" w:space="0" w:color="auto"/>
            <w:right w:val="none" w:sz="0" w:space="0" w:color="auto"/>
          </w:divBdr>
        </w:div>
        <w:div w:id="626160136">
          <w:marLeft w:val="0"/>
          <w:marRight w:val="0"/>
          <w:marTop w:val="0"/>
          <w:marBottom w:val="0"/>
          <w:divBdr>
            <w:top w:val="none" w:sz="0" w:space="0" w:color="auto"/>
            <w:left w:val="none" w:sz="0" w:space="0" w:color="auto"/>
            <w:bottom w:val="none" w:sz="0" w:space="0" w:color="auto"/>
            <w:right w:val="none" w:sz="0" w:space="0" w:color="auto"/>
          </w:divBdr>
        </w:div>
        <w:div w:id="626160137">
          <w:marLeft w:val="0"/>
          <w:marRight w:val="0"/>
          <w:marTop w:val="0"/>
          <w:marBottom w:val="0"/>
          <w:divBdr>
            <w:top w:val="none" w:sz="0" w:space="0" w:color="auto"/>
            <w:left w:val="none" w:sz="0" w:space="0" w:color="auto"/>
            <w:bottom w:val="none" w:sz="0" w:space="0" w:color="auto"/>
            <w:right w:val="none" w:sz="0" w:space="0" w:color="auto"/>
          </w:divBdr>
        </w:div>
        <w:div w:id="626160138">
          <w:marLeft w:val="0"/>
          <w:marRight w:val="0"/>
          <w:marTop w:val="0"/>
          <w:marBottom w:val="0"/>
          <w:divBdr>
            <w:top w:val="none" w:sz="0" w:space="0" w:color="auto"/>
            <w:left w:val="none" w:sz="0" w:space="0" w:color="auto"/>
            <w:bottom w:val="none" w:sz="0" w:space="0" w:color="auto"/>
            <w:right w:val="none" w:sz="0" w:space="0" w:color="auto"/>
          </w:divBdr>
        </w:div>
        <w:div w:id="626160139">
          <w:marLeft w:val="0"/>
          <w:marRight w:val="0"/>
          <w:marTop w:val="0"/>
          <w:marBottom w:val="0"/>
          <w:divBdr>
            <w:top w:val="none" w:sz="0" w:space="0" w:color="auto"/>
            <w:left w:val="none" w:sz="0" w:space="0" w:color="auto"/>
            <w:bottom w:val="none" w:sz="0" w:space="0" w:color="auto"/>
            <w:right w:val="none" w:sz="0" w:space="0" w:color="auto"/>
          </w:divBdr>
        </w:div>
        <w:div w:id="626160140">
          <w:marLeft w:val="0"/>
          <w:marRight w:val="0"/>
          <w:marTop w:val="0"/>
          <w:marBottom w:val="0"/>
          <w:divBdr>
            <w:top w:val="none" w:sz="0" w:space="0" w:color="auto"/>
            <w:left w:val="none" w:sz="0" w:space="0" w:color="auto"/>
            <w:bottom w:val="none" w:sz="0" w:space="0" w:color="auto"/>
            <w:right w:val="none" w:sz="0" w:space="0" w:color="auto"/>
          </w:divBdr>
        </w:div>
        <w:div w:id="626160141">
          <w:marLeft w:val="0"/>
          <w:marRight w:val="0"/>
          <w:marTop w:val="0"/>
          <w:marBottom w:val="0"/>
          <w:divBdr>
            <w:top w:val="none" w:sz="0" w:space="0" w:color="auto"/>
            <w:left w:val="none" w:sz="0" w:space="0" w:color="auto"/>
            <w:bottom w:val="none" w:sz="0" w:space="0" w:color="auto"/>
            <w:right w:val="none" w:sz="0" w:space="0" w:color="auto"/>
          </w:divBdr>
        </w:div>
        <w:div w:id="626160142">
          <w:marLeft w:val="0"/>
          <w:marRight w:val="0"/>
          <w:marTop w:val="0"/>
          <w:marBottom w:val="0"/>
          <w:divBdr>
            <w:top w:val="none" w:sz="0" w:space="0" w:color="auto"/>
            <w:left w:val="none" w:sz="0" w:space="0" w:color="auto"/>
            <w:bottom w:val="none" w:sz="0" w:space="0" w:color="auto"/>
            <w:right w:val="none" w:sz="0" w:space="0" w:color="auto"/>
          </w:divBdr>
        </w:div>
        <w:div w:id="626160143">
          <w:marLeft w:val="0"/>
          <w:marRight w:val="0"/>
          <w:marTop w:val="0"/>
          <w:marBottom w:val="0"/>
          <w:divBdr>
            <w:top w:val="none" w:sz="0" w:space="0" w:color="auto"/>
            <w:left w:val="none" w:sz="0" w:space="0" w:color="auto"/>
            <w:bottom w:val="none" w:sz="0" w:space="0" w:color="auto"/>
            <w:right w:val="none" w:sz="0" w:space="0" w:color="auto"/>
          </w:divBdr>
        </w:div>
        <w:div w:id="626160144">
          <w:marLeft w:val="0"/>
          <w:marRight w:val="0"/>
          <w:marTop w:val="0"/>
          <w:marBottom w:val="0"/>
          <w:divBdr>
            <w:top w:val="none" w:sz="0" w:space="0" w:color="auto"/>
            <w:left w:val="none" w:sz="0" w:space="0" w:color="auto"/>
            <w:bottom w:val="none" w:sz="0" w:space="0" w:color="auto"/>
            <w:right w:val="none" w:sz="0" w:space="0" w:color="auto"/>
          </w:divBdr>
        </w:div>
        <w:div w:id="626160145">
          <w:marLeft w:val="0"/>
          <w:marRight w:val="0"/>
          <w:marTop w:val="0"/>
          <w:marBottom w:val="0"/>
          <w:divBdr>
            <w:top w:val="none" w:sz="0" w:space="0" w:color="auto"/>
            <w:left w:val="none" w:sz="0" w:space="0" w:color="auto"/>
            <w:bottom w:val="none" w:sz="0" w:space="0" w:color="auto"/>
            <w:right w:val="none" w:sz="0" w:space="0" w:color="auto"/>
          </w:divBdr>
        </w:div>
        <w:div w:id="626160146">
          <w:marLeft w:val="0"/>
          <w:marRight w:val="0"/>
          <w:marTop w:val="0"/>
          <w:marBottom w:val="0"/>
          <w:divBdr>
            <w:top w:val="none" w:sz="0" w:space="0" w:color="auto"/>
            <w:left w:val="none" w:sz="0" w:space="0" w:color="auto"/>
            <w:bottom w:val="none" w:sz="0" w:space="0" w:color="auto"/>
            <w:right w:val="none" w:sz="0" w:space="0" w:color="auto"/>
          </w:divBdr>
        </w:div>
        <w:div w:id="626160147">
          <w:marLeft w:val="0"/>
          <w:marRight w:val="0"/>
          <w:marTop w:val="0"/>
          <w:marBottom w:val="0"/>
          <w:divBdr>
            <w:top w:val="none" w:sz="0" w:space="0" w:color="auto"/>
            <w:left w:val="none" w:sz="0" w:space="0" w:color="auto"/>
            <w:bottom w:val="none" w:sz="0" w:space="0" w:color="auto"/>
            <w:right w:val="none" w:sz="0" w:space="0" w:color="auto"/>
          </w:divBdr>
        </w:div>
        <w:div w:id="626160148">
          <w:marLeft w:val="0"/>
          <w:marRight w:val="0"/>
          <w:marTop w:val="0"/>
          <w:marBottom w:val="0"/>
          <w:divBdr>
            <w:top w:val="none" w:sz="0" w:space="0" w:color="auto"/>
            <w:left w:val="none" w:sz="0" w:space="0" w:color="auto"/>
            <w:bottom w:val="none" w:sz="0" w:space="0" w:color="auto"/>
            <w:right w:val="none" w:sz="0" w:space="0" w:color="auto"/>
          </w:divBdr>
        </w:div>
        <w:div w:id="626160149">
          <w:marLeft w:val="0"/>
          <w:marRight w:val="0"/>
          <w:marTop w:val="0"/>
          <w:marBottom w:val="0"/>
          <w:divBdr>
            <w:top w:val="none" w:sz="0" w:space="0" w:color="auto"/>
            <w:left w:val="none" w:sz="0" w:space="0" w:color="auto"/>
            <w:bottom w:val="none" w:sz="0" w:space="0" w:color="auto"/>
            <w:right w:val="none" w:sz="0" w:space="0" w:color="auto"/>
          </w:divBdr>
        </w:div>
      </w:divsChild>
    </w:div>
    <w:div w:id="626160117">
      <w:marLeft w:val="0"/>
      <w:marRight w:val="0"/>
      <w:marTop w:val="0"/>
      <w:marBottom w:val="0"/>
      <w:divBdr>
        <w:top w:val="none" w:sz="0" w:space="0" w:color="auto"/>
        <w:left w:val="none" w:sz="0" w:space="0" w:color="auto"/>
        <w:bottom w:val="none" w:sz="0" w:space="0" w:color="auto"/>
        <w:right w:val="none" w:sz="0" w:space="0" w:color="auto"/>
      </w:divBdr>
      <w:divsChild>
        <w:div w:id="626160131">
          <w:marLeft w:val="0"/>
          <w:marRight w:val="0"/>
          <w:marTop w:val="0"/>
          <w:marBottom w:val="0"/>
          <w:divBdr>
            <w:top w:val="none" w:sz="0" w:space="0" w:color="auto"/>
            <w:left w:val="none" w:sz="0" w:space="0" w:color="auto"/>
            <w:bottom w:val="none" w:sz="0" w:space="0" w:color="auto"/>
            <w:right w:val="none" w:sz="0" w:space="0" w:color="auto"/>
          </w:divBdr>
          <w:divsChild>
            <w:div w:id="6261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5241</Words>
  <Characters>29877</Characters>
  <Application>Microsoft Office Word</Application>
  <DocSecurity>0</DocSecurity>
  <Lines>248</Lines>
  <Paragraphs>70</Paragraphs>
  <ScaleCrop>false</ScaleCrop>
  <Company>Hewlett-Packard Company</Company>
  <LinksUpToDate>false</LinksUpToDate>
  <CharactersWithSpaces>35048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 Lingling</dc:creator>
  <cp:lastModifiedBy>LS Ma</cp:lastModifiedBy>
  <cp:revision>2</cp:revision>
  <dcterms:created xsi:type="dcterms:W3CDTF">2014-01-01T21:43:00Z</dcterms:created>
  <dcterms:modified xsi:type="dcterms:W3CDTF">2014-01-01T21:43:00Z</dcterms:modified>
</cp:coreProperties>
</file>