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A8AF9" w14:textId="77777777" w:rsidR="00716688" w:rsidRPr="00773643" w:rsidRDefault="00716688" w:rsidP="00773643">
      <w:pPr>
        <w:adjustRightInd w:val="0"/>
        <w:snapToGrid w:val="0"/>
        <w:spacing w:line="360" w:lineRule="auto"/>
        <w:jc w:val="both"/>
        <w:rPr>
          <w:rFonts w:ascii="Book Antiqua" w:hAnsi="Book Antiqua"/>
          <w:bCs/>
          <w:i/>
          <w:sz w:val="24"/>
          <w:szCs w:val="24"/>
          <w:lang w:val="en-US" w:eastAsia="zh-CN"/>
        </w:rPr>
      </w:pPr>
      <w:bookmarkStart w:id="0" w:name="_xzkncb1me3o2"/>
      <w:bookmarkEnd w:id="0"/>
      <w:r w:rsidRPr="00773643">
        <w:rPr>
          <w:rFonts w:ascii="Book Antiqua" w:hAnsi="Book Antiqua"/>
          <w:b/>
          <w:bCs/>
          <w:sz w:val="24"/>
          <w:szCs w:val="24"/>
          <w:lang w:val="en-US" w:eastAsia="zh-CN"/>
        </w:rPr>
        <w:t xml:space="preserve">Name of Journal: </w:t>
      </w:r>
      <w:r w:rsidRPr="00773643">
        <w:rPr>
          <w:rFonts w:ascii="Book Antiqua" w:hAnsi="Book Antiqua"/>
          <w:bCs/>
          <w:i/>
          <w:sz w:val="24"/>
          <w:szCs w:val="24"/>
          <w:lang w:val="en-US" w:eastAsia="zh-CN"/>
        </w:rPr>
        <w:t>World Journal of Clinical Cases</w:t>
      </w:r>
    </w:p>
    <w:p w14:paraId="69722ABA" w14:textId="77777777" w:rsidR="00716688" w:rsidRPr="00773643" w:rsidRDefault="00716688" w:rsidP="00773643">
      <w:pPr>
        <w:adjustRightInd w:val="0"/>
        <w:snapToGrid w:val="0"/>
        <w:spacing w:line="360" w:lineRule="auto"/>
        <w:jc w:val="both"/>
        <w:rPr>
          <w:rFonts w:ascii="Book Antiqua" w:hAnsi="Book Antiqua"/>
          <w:b/>
          <w:bCs/>
          <w:sz w:val="24"/>
          <w:szCs w:val="24"/>
          <w:lang w:val="en-US" w:eastAsia="zh-CN"/>
        </w:rPr>
      </w:pPr>
      <w:r w:rsidRPr="00773643">
        <w:rPr>
          <w:rFonts w:ascii="Book Antiqua" w:hAnsi="Book Antiqua"/>
          <w:b/>
          <w:bCs/>
          <w:sz w:val="24"/>
          <w:szCs w:val="24"/>
          <w:lang w:val="en-US" w:eastAsia="zh-CN"/>
        </w:rPr>
        <w:t xml:space="preserve">Manuscript NO: </w:t>
      </w:r>
      <w:r w:rsidRPr="00773643">
        <w:rPr>
          <w:rFonts w:ascii="Book Antiqua" w:hAnsi="Book Antiqua"/>
          <w:sz w:val="24"/>
          <w:szCs w:val="24"/>
          <w:lang w:val="en-US" w:eastAsia="zh-CN"/>
        </w:rPr>
        <w:t>47216</w:t>
      </w:r>
    </w:p>
    <w:p w14:paraId="5BDE0B38" w14:textId="77777777" w:rsidR="00716688" w:rsidRPr="00773643" w:rsidRDefault="00716688" w:rsidP="00773643">
      <w:pPr>
        <w:adjustRightInd w:val="0"/>
        <w:snapToGrid w:val="0"/>
        <w:spacing w:line="360" w:lineRule="auto"/>
        <w:jc w:val="both"/>
        <w:rPr>
          <w:rFonts w:ascii="Book Antiqua" w:hAnsi="Book Antiqua"/>
          <w:b/>
          <w:bCs/>
          <w:sz w:val="24"/>
          <w:szCs w:val="24"/>
          <w:lang w:val="en-US" w:eastAsia="zh-CN"/>
        </w:rPr>
      </w:pPr>
      <w:r w:rsidRPr="00773643">
        <w:rPr>
          <w:rFonts w:ascii="Book Antiqua" w:hAnsi="Book Antiqua"/>
          <w:b/>
          <w:bCs/>
          <w:sz w:val="24"/>
          <w:szCs w:val="24"/>
          <w:lang w:val="en-US" w:eastAsia="zh-CN"/>
        </w:rPr>
        <w:t xml:space="preserve">Manuscript Type: </w:t>
      </w:r>
      <w:r w:rsidRPr="00773643">
        <w:rPr>
          <w:rFonts w:ascii="Book Antiqua" w:hAnsi="Book Antiqua"/>
          <w:sz w:val="24"/>
          <w:szCs w:val="24"/>
          <w:lang w:val="en-US" w:eastAsia="zh-CN"/>
        </w:rPr>
        <w:t>MINIREVIEWS</w:t>
      </w:r>
    </w:p>
    <w:p w14:paraId="70614187" w14:textId="77777777" w:rsidR="00716688" w:rsidRPr="00773643" w:rsidRDefault="00716688" w:rsidP="00773643">
      <w:pPr>
        <w:adjustRightInd w:val="0"/>
        <w:snapToGrid w:val="0"/>
        <w:spacing w:line="360" w:lineRule="auto"/>
        <w:jc w:val="both"/>
        <w:rPr>
          <w:rFonts w:ascii="Book Antiqua" w:hAnsi="Book Antiqua"/>
          <w:b/>
          <w:bCs/>
          <w:sz w:val="24"/>
          <w:szCs w:val="24"/>
          <w:lang w:val="en-US" w:eastAsia="zh-CN"/>
        </w:rPr>
      </w:pPr>
    </w:p>
    <w:p w14:paraId="5E1BBE3E" w14:textId="77777777" w:rsidR="00716688" w:rsidRPr="00773643" w:rsidRDefault="00716688" w:rsidP="00773643">
      <w:pPr>
        <w:adjustRightInd w:val="0"/>
        <w:snapToGrid w:val="0"/>
        <w:spacing w:line="360" w:lineRule="auto"/>
        <w:jc w:val="both"/>
        <w:rPr>
          <w:rFonts w:ascii="Book Antiqua" w:hAnsi="Book Antiqua"/>
          <w:b/>
          <w:bCs/>
          <w:sz w:val="24"/>
          <w:szCs w:val="24"/>
          <w:lang w:val="en-US" w:eastAsia="zh-CN"/>
        </w:rPr>
      </w:pPr>
      <w:r w:rsidRPr="00773643">
        <w:rPr>
          <w:rFonts w:ascii="Book Antiqua" w:hAnsi="Book Antiqua"/>
          <w:b/>
          <w:bCs/>
          <w:sz w:val="24"/>
          <w:szCs w:val="24"/>
          <w:lang w:val="en-US" w:eastAsia="zh-CN"/>
        </w:rPr>
        <w:t>Current status of the adjuvant therapy in uterine sarcoma: A literature review</w:t>
      </w:r>
    </w:p>
    <w:p w14:paraId="695E476F" w14:textId="77777777" w:rsidR="00716688" w:rsidRPr="00773643" w:rsidRDefault="00716688" w:rsidP="00773643">
      <w:pPr>
        <w:adjustRightInd w:val="0"/>
        <w:snapToGrid w:val="0"/>
        <w:spacing w:line="360" w:lineRule="auto"/>
        <w:jc w:val="both"/>
        <w:rPr>
          <w:rFonts w:ascii="Book Antiqua" w:hAnsi="Book Antiqua"/>
          <w:b/>
          <w:bCs/>
          <w:sz w:val="24"/>
          <w:szCs w:val="24"/>
          <w:lang w:val="en-US" w:eastAsia="zh-CN"/>
        </w:rPr>
      </w:pPr>
    </w:p>
    <w:p w14:paraId="60E75147" w14:textId="77777777" w:rsidR="00716688" w:rsidRPr="00773643" w:rsidRDefault="00716688" w:rsidP="00773643">
      <w:pPr>
        <w:adjustRightInd w:val="0"/>
        <w:snapToGrid w:val="0"/>
        <w:spacing w:line="360" w:lineRule="auto"/>
        <w:jc w:val="both"/>
        <w:rPr>
          <w:rFonts w:ascii="Book Antiqua" w:hAnsi="Book Antiqua"/>
          <w:sz w:val="24"/>
          <w:szCs w:val="24"/>
          <w:lang w:val="en-US" w:eastAsia="zh-CN"/>
        </w:rPr>
      </w:pPr>
      <w:r w:rsidRPr="00773643">
        <w:rPr>
          <w:rFonts w:ascii="Book Antiqua" w:hAnsi="Book Antiqua"/>
          <w:sz w:val="24"/>
          <w:szCs w:val="24"/>
          <w:lang w:val="en-US" w:eastAsia="zh-CN"/>
        </w:rPr>
        <w:t xml:space="preserve">Rizzo A </w:t>
      </w:r>
      <w:r w:rsidRPr="00773643">
        <w:rPr>
          <w:rFonts w:ascii="Book Antiqua" w:hAnsi="Book Antiqua"/>
          <w:i/>
          <w:iCs/>
          <w:sz w:val="24"/>
          <w:szCs w:val="24"/>
          <w:lang w:val="en-US" w:eastAsia="zh-CN"/>
        </w:rPr>
        <w:t>et al</w:t>
      </w:r>
      <w:r w:rsidR="00957DBE" w:rsidRPr="00773643">
        <w:rPr>
          <w:rFonts w:ascii="Book Antiqua" w:hAnsi="Book Antiqua"/>
          <w:sz w:val="24"/>
          <w:szCs w:val="24"/>
          <w:lang w:val="en-US" w:eastAsia="zh-CN"/>
        </w:rPr>
        <w:t>.</w:t>
      </w:r>
      <w:r w:rsidRPr="00773643">
        <w:rPr>
          <w:rFonts w:ascii="Book Antiqua" w:hAnsi="Book Antiqua"/>
          <w:sz w:val="24"/>
          <w:szCs w:val="24"/>
          <w:lang w:val="en-US" w:eastAsia="zh-CN"/>
        </w:rPr>
        <w:t xml:space="preserve"> Adjuvant therapy in uterine sarcoma</w:t>
      </w:r>
    </w:p>
    <w:p w14:paraId="2525F679" w14:textId="77777777" w:rsidR="003A44EA" w:rsidRPr="00773643" w:rsidRDefault="003A44EA" w:rsidP="00773643">
      <w:pPr>
        <w:adjustRightInd w:val="0"/>
        <w:snapToGrid w:val="0"/>
        <w:spacing w:line="360" w:lineRule="auto"/>
        <w:jc w:val="both"/>
        <w:rPr>
          <w:rFonts w:ascii="Book Antiqua" w:hAnsi="Book Antiqua"/>
          <w:b/>
          <w:sz w:val="24"/>
          <w:szCs w:val="24"/>
          <w:lang w:val="en-US"/>
        </w:rPr>
      </w:pPr>
    </w:p>
    <w:p w14:paraId="3C6D4617" w14:textId="77777777" w:rsidR="00716688" w:rsidRPr="00773643" w:rsidRDefault="00957DBE" w:rsidP="00773643">
      <w:pPr>
        <w:adjustRightInd w:val="0"/>
        <w:snapToGrid w:val="0"/>
        <w:spacing w:line="360" w:lineRule="auto"/>
        <w:jc w:val="both"/>
        <w:rPr>
          <w:rFonts w:ascii="Book Antiqua" w:hAnsi="Book Antiqua"/>
          <w:bCs/>
          <w:sz w:val="24"/>
          <w:szCs w:val="24"/>
          <w:vertAlign w:val="superscript"/>
          <w:lang w:val="it-IT"/>
        </w:rPr>
      </w:pPr>
      <w:r w:rsidRPr="00773643">
        <w:rPr>
          <w:rFonts w:ascii="Book Antiqua" w:hAnsi="Book Antiqua"/>
          <w:bCs/>
          <w:sz w:val="24"/>
          <w:szCs w:val="24"/>
          <w:lang w:val="it-IT"/>
        </w:rPr>
        <w:t>Alessandro Rizzo</w:t>
      </w:r>
      <w:r w:rsidR="00716688" w:rsidRPr="00773643">
        <w:rPr>
          <w:rFonts w:ascii="Book Antiqua" w:hAnsi="Book Antiqua"/>
          <w:bCs/>
          <w:sz w:val="24"/>
          <w:szCs w:val="24"/>
          <w:lang w:val="it-IT"/>
        </w:rPr>
        <w:t>,</w:t>
      </w:r>
      <w:r w:rsidRPr="00773643">
        <w:rPr>
          <w:rFonts w:ascii="Book Antiqua" w:hAnsi="Book Antiqua"/>
          <w:bCs/>
          <w:sz w:val="24"/>
          <w:szCs w:val="24"/>
        </w:rPr>
        <w:t xml:space="preserve"> </w:t>
      </w:r>
      <w:r w:rsidRPr="00773643">
        <w:rPr>
          <w:rFonts w:ascii="Book Antiqua" w:hAnsi="Book Antiqua"/>
          <w:bCs/>
          <w:sz w:val="24"/>
          <w:szCs w:val="24"/>
          <w:lang w:val="it-IT"/>
        </w:rPr>
        <w:t>Maria Abbondanza Pantaleo</w:t>
      </w:r>
      <w:r w:rsidR="00716688" w:rsidRPr="00773643">
        <w:rPr>
          <w:rFonts w:ascii="Book Antiqua" w:hAnsi="Book Antiqua"/>
          <w:bCs/>
          <w:sz w:val="24"/>
          <w:szCs w:val="24"/>
          <w:lang w:val="it-IT"/>
        </w:rPr>
        <w:t xml:space="preserve">, </w:t>
      </w:r>
      <w:r w:rsidRPr="00773643">
        <w:rPr>
          <w:rFonts w:ascii="Book Antiqua" w:hAnsi="Book Antiqua"/>
          <w:bCs/>
          <w:sz w:val="24"/>
          <w:szCs w:val="24"/>
          <w:lang w:val="it-IT"/>
        </w:rPr>
        <w:t>Maristella Saponara</w:t>
      </w:r>
      <w:r w:rsidR="00716688" w:rsidRPr="00773643">
        <w:rPr>
          <w:rFonts w:ascii="Book Antiqua" w:hAnsi="Book Antiqua"/>
          <w:bCs/>
          <w:sz w:val="24"/>
          <w:szCs w:val="24"/>
          <w:lang w:val="it-IT"/>
        </w:rPr>
        <w:t xml:space="preserve">, </w:t>
      </w:r>
      <w:r w:rsidRPr="00773643">
        <w:rPr>
          <w:rFonts w:ascii="Book Antiqua" w:hAnsi="Book Antiqua"/>
          <w:bCs/>
          <w:sz w:val="24"/>
          <w:szCs w:val="24"/>
          <w:lang w:val="it-IT"/>
        </w:rPr>
        <w:t>Margherita Nannini</w:t>
      </w:r>
    </w:p>
    <w:p w14:paraId="4726BACB" w14:textId="77777777" w:rsidR="00716688" w:rsidRPr="00773643" w:rsidRDefault="00716688" w:rsidP="00773643">
      <w:pPr>
        <w:adjustRightInd w:val="0"/>
        <w:snapToGrid w:val="0"/>
        <w:spacing w:line="360" w:lineRule="auto"/>
        <w:jc w:val="both"/>
        <w:rPr>
          <w:rFonts w:ascii="Book Antiqua" w:hAnsi="Book Antiqua"/>
          <w:sz w:val="24"/>
          <w:szCs w:val="24"/>
          <w:vertAlign w:val="superscript"/>
          <w:lang w:val="it-IT"/>
        </w:rPr>
      </w:pPr>
    </w:p>
    <w:p w14:paraId="2234F742" w14:textId="15C3C2B5" w:rsidR="00716688" w:rsidRPr="008C6F7B" w:rsidRDefault="00957DBE" w:rsidP="008C6F7B">
      <w:pPr>
        <w:adjustRightInd w:val="0"/>
        <w:snapToGrid w:val="0"/>
        <w:spacing w:line="360" w:lineRule="auto"/>
        <w:jc w:val="both"/>
        <w:rPr>
          <w:rFonts w:ascii="Book Antiqua" w:hAnsi="Book Antiqua"/>
          <w:b/>
          <w:sz w:val="24"/>
          <w:szCs w:val="24"/>
          <w:vertAlign w:val="superscript"/>
          <w:lang w:val="it-IT"/>
        </w:rPr>
      </w:pPr>
      <w:r w:rsidRPr="00773643">
        <w:rPr>
          <w:rFonts w:ascii="Book Antiqua" w:hAnsi="Book Antiqua"/>
          <w:b/>
          <w:sz w:val="24"/>
          <w:szCs w:val="24"/>
          <w:lang w:val="it-IT"/>
        </w:rPr>
        <w:t>Alessandro Rizzo,</w:t>
      </w:r>
      <w:r w:rsidRPr="00773643">
        <w:rPr>
          <w:rFonts w:ascii="Book Antiqua" w:hAnsi="Book Antiqua"/>
          <w:b/>
          <w:sz w:val="24"/>
          <w:szCs w:val="24"/>
        </w:rPr>
        <w:t xml:space="preserve"> </w:t>
      </w:r>
      <w:r w:rsidRPr="00773643">
        <w:rPr>
          <w:rFonts w:ascii="Book Antiqua" w:hAnsi="Book Antiqua"/>
          <w:b/>
          <w:sz w:val="24"/>
          <w:szCs w:val="24"/>
          <w:lang w:val="it-IT"/>
        </w:rPr>
        <w:tab/>
        <w:t>Maria Abbondanza Pantaleo, Maristella Saponara, Margherita Nannini,</w:t>
      </w:r>
      <w:r w:rsidR="008C6F7B">
        <w:rPr>
          <w:rFonts w:ascii="Book Antiqua" w:hAnsi="Book Antiqua"/>
          <w:b/>
          <w:sz w:val="24"/>
          <w:szCs w:val="24"/>
          <w:lang w:val="it-IT"/>
        </w:rPr>
        <w:t xml:space="preserve"> </w:t>
      </w:r>
      <w:r w:rsidR="00716688" w:rsidRPr="00773643">
        <w:rPr>
          <w:rFonts w:ascii="Book Antiqua" w:hAnsi="Book Antiqua"/>
          <w:sz w:val="24"/>
          <w:szCs w:val="24"/>
          <w:lang w:val="en-US"/>
        </w:rPr>
        <w:t xml:space="preserve">Department of Experimental, Diagnostic and Specialty Medicine, University of Bologna, </w:t>
      </w:r>
      <w:r w:rsidRPr="00773643">
        <w:rPr>
          <w:rFonts w:ascii="Book Antiqua" w:hAnsi="Book Antiqua"/>
          <w:sz w:val="24"/>
          <w:szCs w:val="24"/>
          <w:lang w:val="en-US"/>
        </w:rPr>
        <w:t xml:space="preserve">Bologna </w:t>
      </w:r>
      <w:r w:rsidR="00716688" w:rsidRPr="00773643">
        <w:rPr>
          <w:rFonts w:ascii="Book Antiqua" w:hAnsi="Book Antiqua"/>
          <w:sz w:val="24"/>
          <w:szCs w:val="24"/>
          <w:lang w:val="en-US"/>
        </w:rPr>
        <w:t>40138, Italy</w:t>
      </w:r>
    </w:p>
    <w:p w14:paraId="64FE7032" w14:textId="77777777" w:rsidR="00716688" w:rsidRPr="00773643" w:rsidRDefault="00716688" w:rsidP="00773643">
      <w:pPr>
        <w:adjustRightInd w:val="0"/>
        <w:snapToGrid w:val="0"/>
        <w:spacing w:line="360" w:lineRule="auto"/>
        <w:jc w:val="both"/>
        <w:rPr>
          <w:rFonts w:ascii="Book Antiqua" w:hAnsi="Book Antiqua"/>
          <w:b/>
          <w:sz w:val="24"/>
          <w:szCs w:val="24"/>
          <w:lang w:val="en-US"/>
        </w:rPr>
      </w:pPr>
    </w:p>
    <w:p w14:paraId="10232A79" w14:textId="77777777" w:rsidR="00716688" w:rsidRPr="00773643" w:rsidRDefault="00716688" w:rsidP="00773643">
      <w:pPr>
        <w:adjustRightInd w:val="0"/>
        <w:snapToGrid w:val="0"/>
        <w:spacing w:line="360" w:lineRule="auto"/>
        <w:jc w:val="both"/>
        <w:rPr>
          <w:rFonts w:ascii="Book Antiqua" w:hAnsi="Book Antiqua"/>
          <w:bCs/>
          <w:sz w:val="24"/>
          <w:szCs w:val="24"/>
          <w:vertAlign w:val="superscript"/>
          <w:lang w:val="it-IT"/>
        </w:rPr>
      </w:pPr>
      <w:r w:rsidRPr="00773643">
        <w:rPr>
          <w:rFonts w:ascii="Book Antiqua" w:hAnsi="Book Antiqua"/>
          <w:b/>
          <w:color w:val="000000"/>
          <w:sz w:val="24"/>
          <w:szCs w:val="24"/>
          <w:lang w:val="it-IT"/>
        </w:rPr>
        <w:t xml:space="preserve">ORCID number: </w:t>
      </w:r>
      <w:r w:rsidRPr="00773643">
        <w:rPr>
          <w:rFonts w:ascii="Book Antiqua" w:hAnsi="Book Antiqua"/>
          <w:color w:val="000000"/>
          <w:sz w:val="24"/>
          <w:szCs w:val="24"/>
          <w:lang w:val="it-IT"/>
        </w:rPr>
        <w:t xml:space="preserve"> </w:t>
      </w:r>
      <w:r w:rsidR="00957DBE" w:rsidRPr="00773643">
        <w:rPr>
          <w:rFonts w:ascii="Book Antiqua" w:hAnsi="Book Antiqua"/>
          <w:bCs/>
          <w:sz w:val="24"/>
          <w:szCs w:val="24"/>
          <w:lang w:val="it-IT"/>
        </w:rPr>
        <w:t>Alessandro Rizzo</w:t>
      </w:r>
      <w:r w:rsidRPr="00557D29">
        <w:rPr>
          <w:rFonts w:ascii="Book Antiqua" w:hAnsi="Book Antiqua"/>
          <w:color w:val="000000"/>
          <w:sz w:val="24"/>
          <w:szCs w:val="24"/>
          <w:lang w:val="it-IT"/>
        </w:rPr>
        <w:t xml:space="preserve"> (0000-0002-5257-8678)</w:t>
      </w:r>
      <w:r w:rsidR="00957DBE" w:rsidRPr="00557D29">
        <w:rPr>
          <w:rFonts w:ascii="Book Antiqua" w:hAnsi="Book Antiqua"/>
          <w:color w:val="000000"/>
          <w:sz w:val="24"/>
          <w:szCs w:val="24"/>
          <w:lang w:val="it-IT"/>
        </w:rPr>
        <w:t>;</w:t>
      </w:r>
      <w:r w:rsidRPr="00557D29">
        <w:rPr>
          <w:rFonts w:ascii="Book Antiqua" w:hAnsi="Book Antiqua"/>
          <w:color w:val="000000"/>
          <w:sz w:val="24"/>
          <w:szCs w:val="24"/>
          <w:lang w:val="it-IT"/>
        </w:rPr>
        <w:t xml:space="preserve"> </w:t>
      </w:r>
      <w:r w:rsidR="00957DBE" w:rsidRPr="00773643">
        <w:rPr>
          <w:rFonts w:ascii="Book Antiqua" w:hAnsi="Book Antiqua"/>
          <w:bCs/>
          <w:sz w:val="24"/>
          <w:szCs w:val="24"/>
          <w:lang w:val="it-IT"/>
        </w:rPr>
        <w:t>Maria Abbondanza Pantaleo</w:t>
      </w:r>
      <w:r w:rsidR="00957DBE" w:rsidRPr="00773643">
        <w:rPr>
          <w:rFonts w:ascii="Book Antiqua" w:hAnsi="Book Antiqua"/>
          <w:color w:val="000000"/>
          <w:sz w:val="24"/>
          <w:szCs w:val="24"/>
          <w:highlight w:val="white"/>
          <w:lang w:val="it-IT"/>
        </w:rPr>
        <w:t xml:space="preserve"> </w:t>
      </w:r>
      <w:r w:rsidRPr="00557D29">
        <w:rPr>
          <w:rFonts w:ascii="Book Antiqua" w:hAnsi="Book Antiqua"/>
          <w:color w:val="000000"/>
          <w:sz w:val="24"/>
          <w:szCs w:val="24"/>
          <w:lang w:val="it-IT"/>
        </w:rPr>
        <w:t>(0000-0002-0177-6957)</w:t>
      </w:r>
      <w:r w:rsidR="00957DBE" w:rsidRPr="00557D29">
        <w:rPr>
          <w:rFonts w:ascii="Book Antiqua" w:hAnsi="Book Antiqua"/>
          <w:color w:val="000000"/>
          <w:sz w:val="24"/>
          <w:szCs w:val="24"/>
          <w:lang w:val="it-IT"/>
        </w:rPr>
        <w:t>;</w:t>
      </w:r>
      <w:r w:rsidRPr="00557D29">
        <w:rPr>
          <w:rFonts w:ascii="Book Antiqua" w:hAnsi="Book Antiqua"/>
          <w:color w:val="000000"/>
          <w:sz w:val="24"/>
          <w:szCs w:val="24"/>
          <w:lang w:val="it-IT"/>
        </w:rPr>
        <w:t xml:space="preserve"> </w:t>
      </w:r>
      <w:r w:rsidR="00957DBE" w:rsidRPr="00773643">
        <w:rPr>
          <w:rFonts w:ascii="Book Antiqua" w:hAnsi="Book Antiqua"/>
          <w:bCs/>
          <w:sz w:val="24"/>
          <w:szCs w:val="24"/>
          <w:lang w:val="it-IT"/>
        </w:rPr>
        <w:t>Maristella Saponara</w:t>
      </w:r>
      <w:r w:rsidRPr="00557D29">
        <w:rPr>
          <w:rFonts w:ascii="Book Antiqua" w:hAnsi="Book Antiqua"/>
          <w:color w:val="000000"/>
          <w:sz w:val="24"/>
          <w:szCs w:val="24"/>
          <w:lang w:val="it-IT"/>
        </w:rPr>
        <w:t xml:space="preserve"> (0000-0003-0715-171X)</w:t>
      </w:r>
      <w:r w:rsidR="00957DBE" w:rsidRPr="00557D29">
        <w:rPr>
          <w:rFonts w:ascii="Book Antiqua" w:hAnsi="Book Antiqua"/>
          <w:color w:val="000000"/>
          <w:sz w:val="24"/>
          <w:szCs w:val="24"/>
          <w:lang w:val="it-IT"/>
        </w:rPr>
        <w:t>;</w:t>
      </w:r>
      <w:r w:rsidRPr="00557D29">
        <w:rPr>
          <w:rFonts w:ascii="Book Antiqua" w:hAnsi="Book Antiqua"/>
          <w:color w:val="000000"/>
          <w:sz w:val="24"/>
          <w:szCs w:val="24"/>
          <w:lang w:val="it-IT"/>
        </w:rPr>
        <w:t xml:space="preserve"> </w:t>
      </w:r>
      <w:r w:rsidR="00957DBE" w:rsidRPr="00773643">
        <w:rPr>
          <w:rFonts w:ascii="Book Antiqua" w:hAnsi="Book Antiqua"/>
          <w:bCs/>
          <w:sz w:val="24"/>
          <w:szCs w:val="24"/>
          <w:lang w:val="it-IT"/>
        </w:rPr>
        <w:t>Margherita Nannini</w:t>
      </w:r>
      <w:r w:rsidR="00957DBE" w:rsidRPr="00773643">
        <w:rPr>
          <w:rFonts w:ascii="Book Antiqua" w:eastAsiaTheme="minorEastAsia" w:hAnsi="Book Antiqua"/>
          <w:bCs/>
          <w:sz w:val="24"/>
          <w:szCs w:val="24"/>
          <w:vertAlign w:val="superscript"/>
          <w:lang w:val="it-IT" w:eastAsia="zh-CN"/>
        </w:rPr>
        <w:t xml:space="preserve"> </w:t>
      </w:r>
      <w:r w:rsidRPr="00557D29">
        <w:rPr>
          <w:rFonts w:ascii="Book Antiqua" w:hAnsi="Book Antiqua"/>
          <w:color w:val="000000"/>
          <w:sz w:val="24"/>
          <w:szCs w:val="24"/>
          <w:lang w:val="it-IT"/>
        </w:rPr>
        <w:t>(</w:t>
      </w:r>
      <w:bookmarkStart w:id="1" w:name="__DdeLink__2185_673342116"/>
      <w:r w:rsidRPr="00557D29">
        <w:rPr>
          <w:rFonts w:ascii="Book Antiqua" w:hAnsi="Book Antiqua"/>
          <w:color w:val="000000"/>
          <w:sz w:val="24"/>
          <w:szCs w:val="24"/>
          <w:lang w:val="it-IT"/>
        </w:rPr>
        <w:t>0000-0002-2103-1960</w:t>
      </w:r>
      <w:bookmarkEnd w:id="1"/>
      <w:r w:rsidRPr="00557D29">
        <w:rPr>
          <w:rFonts w:ascii="Book Antiqua" w:hAnsi="Book Antiqua"/>
          <w:color w:val="000000"/>
          <w:sz w:val="24"/>
          <w:szCs w:val="24"/>
          <w:lang w:val="it-IT"/>
        </w:rPr>
        <w:t>).</w:t>
      </w:r>
      <w:r w:rsidRPr="00773643">
        <w:rPr>
          <w:rFonts w:ascii="Book Antiqua" w:hAnsi="Book Antiqua"/>
          <w:color w:val="000000"/>
          <w:sz w:val="24"/>
          <w:szCs w:val="24"/>
          <w:highlight w:val="white"/>
          <w:lang w:val="it-IT"/>
        </w:rPr>
        <w:t xml:space="preserve"> </w:t>
      </w:r>
    </w:p>
    <w:p w14:paraId="3021248C" w14:textId="77777777" w:rsidR="00716688" w:rsidRPr="00773643" w:rsidRDefault="00716688" w:rsidP="00773643">
      <w:pPr>
        <w:adjustRightInd w:val="0"/>
        <w:snapToGrid w:val="0"/>
        <w:spacing w:line="360" w:lineRule="auto"/>
        <w:jc w:val="both"/>
        <w:rPr>
          <w:rFonts w:ascii="Book Antiqua" w:hAnsi="Book Antiqua"/>
          <w:sz w:val="24"/>
          <w:szCs w:val="24"/>
        </w:rPr>
      </w:pPr>
    </w:p>
    <w:p w14:paraId="0283D85E" w14:textId="77777777" w:rsidR="00716688" w:rsidRPr="00773643" w:rsidRDefault="00716688"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 xml:space="preserve">Author contributions: </w:t>
      </w:r>
      <w:r w:rsidR="00957DBE" w:rsidRPr="00773643">
        <w:rPr>
          <w:rFonts w:ascii="Book Antiqua" w:eastAsiaTheme="minorEastAsia" w:hAnsi="Book Antiqua"/>
          <w:b/>
          <w:sz w:val="24"/>
          <w:szCs w:val="24"/>
          <w:lang w:val="en-GB" w:eastAsia="zh-CN"/>
        </w:rPr>
        <w:t xml:space="preserve"> </w:t>
      </w:r>
      <w:r w:rsidRPr="00773643">
        <w:rPr>
          <w:rFonts w:ascii="Book Antiqua" w:hAnsi="Book Antiqua"/>
          <w:bCs/>
          <w:sz w:val="24"/>
          <w:szCs w:val="24"/>
          <w:lang w:val="en-US"/>
        </w:rPr>
        <w:t>Rizzo A and Pantaleo MA designed research; Rizzo A and Saponara M performed research; Rizzo A and Nannini M analyzed data; Rizzo A, Pantaleo MA and Nannini M wrote the paper.</w:t>
      </w:r>
    </w:p>
    <w:p w14:paraId="171048E5" w14:textId="77777777" w:rsidR="00716688" w:rsidRPr="00773643" w:rsidRDefault="00716688" w:rsidP="00773643">
      <w:pPr>
        <w:adjustRightInd w:val="0"/>
        <w:snapToGrid w:val="0"/>
        <w:spacing w:line="360" w:lineRule="auto"/>
        <w:jc w:val="both"/>
        <w:rPr>
          <w:rFonts w:ascii="Book Antiqua" w:hAnsi="Book Antiqua"/>
          <w:b/>
          <w:sz w:val="24"/>
          <w:szCs w:val="24"/>
          <w:lang w:val="en-US"/>
        </w:rPr>
      </w:pPr>
    </w:p>
    <w:p w14:paraId="66C93C41" w14:textId="77777777" w:rsidR="00716688" w:rsidRPr="00773643" w:rsidRDefault="00716688" w:rsidP="00773643">
      <w:pPr>
        <w:adjustRightInd w:val="0"/>
        <w:snapToGrid w:val="0"/>
        <w:spacing w:line="360" w:lineRule="auto"/>
        <w:jc w:val="both"/>
        <w:rPr>
          <w:rFonts w:ascii="Book Antiqua" w:eastAsia="宋体" w:hAnsi="Book Antiqua"/>
          <w:b/>
          <w:sz w:val="24"/>
          <w:szCs w:val="24"/>
          <w:lang w:val="en-US" w:eastAsia="zh-CN"/>
        </w:rPr>
      </w:pPr>
      <w:r w:rsidRPr="00773643">
        <w:rPr>
          <w:rFonts w:ascii="Book Antiqua" w:hAnsi="Book Antiqua"/>
          <w:b/>
          <w:color w:val="000000"/>
          <w:sz w:val="24"/>
          <w:szCs w:val="24"/>
          <w:lang w:val="en-US"/>
        </w:rPr>
        <w:t>Conflict-of-interest statement</w:t>
      </w:r>
      <w:r w:rsidRPr="00773643">
        <w:rPr>
          <w:rFonts w:ascii="Book Antiqua" w:hAnsi="Book Antiqua"/>
          <w:b/>
          <w:sz w:val="24"/>
          <w:szCs w:val="24"/>
          <w:lang w:val="en-US"/>
        </w:rPr>
        <w:t xml:space="preserve">: </w:t>
      </w:r>
      <w:r w:rsidRPr="00557D29">
        <w:rPr>
          <w:rFonts w:ascii="Book Antiqua" w:hAnsi="Book Antiqua"/>
          <w:color w:val="131313"/>
          <w:sz w:val="24"/>
          <w:szCs w:val="24"/>
          <w:lang w:val="en-US"/>
        </w:rPr>
        <w:t>No conflict to interest to declare by all authors.</w:t>
      </w:r>
    </w:p>
    <w:p w14:paraId="511969E5" w14:textId="77777777" w:rsidR="00716688" w:rsidRPr="00773643" w:rsidRDefault="00716688" w:rsidP="00773643">
      <w:pPr>
        <w:adjustRightInd w:val="0"/>
        <w:snapToGrid w:val="0"/>
        <w:spacing w:line="360" w:lineRule="auto"/>
        <w:jc w:val="both"/>
        <w:rPr>
          <w:rFonts w:ascii="Book Antiqua" w:eastAsia="宋体" w:hAnsi="Book Antiqua"/>
          <w:b/>
          <w:sz w:val="24"/>
          <w:szCs w:val="24"/>
          <w:lang w:val="en-US" w:eastAsia="zh-CN"/>
        </w:rPr>
      </w:pPr>
    </w:p>
    <w:p w14:paraId="57005FB0" w14:textId="77777777" w:rsidR="00B65931" w:rsidRPr="00773643" w:rsidRDefault="00B65931" w:rsidP="00773643">
      <w:pPr>
        <w:adjustRightInd w:val="0"/>
        <w:snapToGrid w:val="0"/>
        <w:spacing w:line="360" w:lineRule="auto"/>
        <w:jc w:val="both"/>
        <w:rPr>
          <w:rFonts w:ascii="Book Antiqua" w:eastAsia="宋体" w:hAnsi="Book Antiqua" w:cs="Times New Roman"/>
          <w:b/>
          <w:color w:val="auto"/>
          <w:kern w:val="2"/>
          <w:sz w:val="24"/>
          <w:szCs w:val="24"/>
          <w:lang w:val="en-US" w:eastAsia="zh-CN"/>
        </w:rPr>
      </w:pPr>
      <w:r w:rsidRPr="00773643">
        <w:rPr>
          <w:rFonts w:ascii="Book Antiqua" w:eastAsia="宋体" w:hAnsi="Book Antiqua" w:cs="Times New Roman"/>
          <w:b/>
          <w:color w:val="auto"/>
          <w:sz w:val="24"/>
          <w:szCs w:val="24"/>
          <w:lang w:val="en-US" w:eastAsia="zh-CN"/>
        </w:rPr>
        <w:t xml:space="preserve">Open-Access: </w:t>
      </w:r>
      <w:r w:rsidRPr="00773643">
        <w:rPr>
          <w:rFonts w:ascii="Book Antiqua" w:eastAsia="宋体" w:hAnsi="Book Antiqua" w:cs="Times New Roman"/>
          <w:color w:val="auto"/>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73643">
          <w:rPr>
            <w:rFonts w:ascii="Book Antiqua" w:eastAsia="宋体" w:hAnsi="Book Antiqua" w:cs="Times New Roman"/>
            <w:color w:val="auto"/>
            <w:kern w:val="2"/>
            <w:sz w:val="24"/>
            <w:szCs w:val="24"/>
            <w:lang w:val="en-US" w:eastAsia="zh-CN"/>
          </w:rPr>
          <w:t>http://creativecommons.org/licenses/by-nc/4.0/</w:t>
        </w:r>
      </w:hyperlink>
    </w:p>
    <w:p w14:paraId="4463D98D" w14:textId="77777777" w:rsidR="00B65931" w:rsidRPr="00773643" w:rsidRDefault="00B65931" w:rsidP="00773643">
      <w:pPr>
        <w:adjustRightInd w:val="0"/>
        <w:snapToGrid w:val="0"/>
        <w:spacing w:line="360" w:lineRule="auto"/>
        <w:jc w:val="both"/>
        <w:rPr>
          <w:rFonts w:ascii="Book Antiqua" w:eastAsia="宋体" w:hAnsi="Book Antiqua" w:cs="Times New Roman"/>
          <w:color w:val="auto"/>
          <w:kern w:val="2"/>
          <w:sz w:val="24"/>
          <w:szCs w:val="24"/>
          <w:lang w:val="en-US" w:eastAsia="zh-CN"/>
        </w:rPr>
      </w:pPr>
    </w:p>
    <w:p w14:paraId="459DBE4E" w14:textId="77777777" w:rsidR="00B65931" w:rsidRPr="00773643" w:rsidRDefault="00B65931" w:rsidP="00773643">
      <w:pPr>
        <w:adjustRightInd w:val="0"/>
        <w:snapToGrid w:val="0"/>
        <w:spacing w:line="360" w:lineRule="auto"/>
        <w:jc w:val="both"/>
        <w:rPr>
          <w:rFonts w:ascii="Book Antiqua" w:eastAsia="宋体" w:hAnsi="Book Antiqua" w:cs="宋体"/>
          <w:color w:val="auto"/>
          <w:sz w:val="24"/>
          <w:szCs w:val="24"/>
          <w:lang w:val="en-US" w:eastAsia="zh-CN"/>
        </w:rPr>
      </w:pPr>
      <w:r w:rsidRPr="00773643">
        <w:rPr>
          <w:rFonts w:ascii="Book Antiqua" w:eastAsia="宋体" w:hAnsi="Book Antiqua" w:cs="宋体"/>
          <w:b/>
          <w:color w:val="auto"/>
          <w:sz w:val="24"/>
          <w:szCs w:val="24"/>
          <w:lang w:val="en-US" w:eastAsia="zh-CN"/>
        </w:rPr>
        <w:lastRenderedPageBreak/>
        <w:t>Manuscript source: </w:t>
      </w:r>
      <w:r w:rsidRPr="00773643">
        <w:rPr>
          <w:rFonts w:ascii="Book Antiqua" w:eastAsia="宋体" w:hAnsi="Book Antiqua" w:cs="宋体"/>
          <w:color w:val="auto"/>
          <w:sz w:val="24"/>
          <w:szCs w:val="24"/>
          <w:lang w:val="en-US" w:eastAsia="zh-CN"/>
        </w:rPr>
        <w:t>Invited Manuscript</w:t>
      </w:r>
    </w:p>
    <w:p w14:paraId="4F9A8622" w14:textId="77777777" w:rsidR="00B65931" w:rsidRPr="00773643" w:rsidRDefault="00B65931"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p>
    <w:p w14:paraId="7618B159" w14:textId="77777777" w:rsidR="00834B4A" w:rsidRPr="00773643" w:rsidRDefault="00B65931" w:rsidP="00773643">
      <w:pPr>
        <w:adjustRightInd w:val="0"/>
        <w:snapToGrid w:val="0"/>
        <w:spacing w:line="360" w:lineRule="auto"/>
        <w:jc w:val="both"/>
        <w:rPr>
          <w:rFonts w:ascii="Book Antiqua" w:hAnsi="Book Antiqua"/>
          <w:sz w:val="24"/>
          <w:szCs w:val="24"/>
        </w:rPr>
      </w:pPr>
      <w:r w:rsidRPr="00773643">
        <w:rPr>
          <w:rFonts w:ascii="Book Antiqua" w:eastAsia="等线" w:hAnsi="Book Antiqua" w:cs="Garamond-Bold"/>
          <w:b/>
          <w:bCs/>
          <w:color w:val="auto"/>
          <w:sz w:val="24"/>
          <w:szCs w:val="24"/>
          <w:lang w:val="en-US" w:eastAsia="zh-CN"/>
        </w:rPr>
        <w:t>Corresponding author:</w:t>
      </w:r>
      <w:r w:rsidRPr="00773643">
        <w:rPr>
          <w:rFonts w:ascii="Book Antiqua" w:eastAsia="等线" w:hAnsi="Book Antiqua" w:cs="Times New Roman"/>
          <w:color w:val="auto"/>
          <w:sz w:val="24"/>
          <w:szCs w:val="24"/>
          <w:lang w:val="en-US" w:eastAsia="zh-CN"/>
        </w:rPr>
        <w:t xml:space="preserve"> </w:t>
      </w:r>
      <w:r w:rsidR="00834B4A" w:rsidRPr="00773643">
        <w:rPr>
          <w:rFonts w:ascii="Book Antiqua" w:hAnsi="Book Antiqua"/>
          <w:b/>
          <w:sz w:val="24"/>
          <w:szCs w:val="24"/>
          <w:lang w:val="it-IT"/>
        </w:rPr>
        <w:t>Margherita Nannini,</w:t>
      </w:r>
      <w:r w:rsidR="00834B4A" w:rsidRPr="00773643">
        <w:rPr>
          <w:rFonts w:ascii="Book Antiqua" w:hAnsi="Book Antiqua"/>
          <w:sz w:val="24"/>
          <w:szCs w:val="24"/>
        </w:rPr>
        <w:t xml:space="preserve"> </w:t>
      </w:r>
      <w:r w:rsidR="00834B4A" w:rsidRPr="00773643">
        <w:rPr>
          <w:rFonts w:ascii="Book Antiqua" w:hAnsi="Book Antiqua"/>
          <w:b/>
          <w:sz w:val="24"/>
          <w:szCs w:val="24"/>
          <w:lang w:val="it-IT"/>
        </w:rPr>
        <w:t xml:space="preserve">MD, Academic Research, Doctor, </w:t>
      </w:r>
      <w:r w:rsidR="00834B4A" w:rsidRPr="00773643">
        <w:rPr>
          <w:rFonts w:ascii="Book Antiqua" w:hAnsi="Book Antiqua"/>
          <w:sz w:val="24"/>
          <w:szCs w:val="24"/>
          <w:lang w:val="en-US"/>
        </w:rPr>
        <w:t>Department of Experimental, Diagnostic and Specialty Medicine, University of Bologna, Via Massarenti 9, Bologna 40138, Italy.</w:t>
      </w:r>
      <w:r w:rsidR="00834B4A" w:rsidRPr="00773643">
        <w:rPr>
          <w:rFonts w:ascii="Book Antiqua" w:hAnsi="Book Antiqua"/>
          <w:sz w:val="24"/>
          <w:szCs w:val="24"/>
        </w:rPr>
        <w:t xml:space="preserve"> margherita.nannini@unibo.it</w:t>
      </w:r>
    </w:p>
    <w:p w14:paraId="2C588BDC" w14:textId="77777777" w:rsidR="00834B4A" w:rsidRPr="00773643" w:rsidRDefault="00716688" w:rsidP="00773643">
      <w:pPr>
        <w:adjustRightInd w:val="0"/>
        <w:snapToGrid w:val="0"/>
        <w:spacing w:line="360" w:lineRule="auto"/>
        <w:jc w:val="both"/>
        <w:rPr>
          <w:rFonts w:ascii="Book Antiqua" w:hAnsi="Book Antiqua"/>
          <w:sz w:val="24"/>
          <w:szCs w:val="24"/>
          <w:lang w:val="en-US"/>
        </w:rPr>
      </w:pPr>
      <w:r w:rsidRPr="00773643">
        <w:rPr>
          <w:rFonts w:ascii="Book Antiqua" w:hAnsi="Book Antiqua"/>
          <w:b/>
          <w:bCs/>
          <w:sz w:val="24"/>
          <w:szCs w:val="24"/>
          <w:lang w:val="en-US"/>
        </w:rPr>
        <w:t>Tel</w:t>
      </w:r>
      <w:r w:rsidR="00834B4A" w:rsidRPr="00773643">
        <w:rPr>
          <w:rFonts w:ascii="Book Antiqua" w:hAnsi="Book Antiqua"/>
          <w:b/>
          <w:bCs/>
          <w:sz w:val="24"/>
          <w:szCs w:val="24"/>
          <w:lang w:val="en-US"/>
        </w:rPr>
        <w:t>ephone</w:t>
      </w:r>
      <w:r w:rsidRPr="00773643">
        <w:rPr>
          <w:rFonts w:ascii="Book Antiqua" w:hAnsi="Book Antiqua"/>
          <w:b/>
          <w:bCs/>
          <w:sz w:val="24"/>
          <w:szCs w:val="24"/>
          <w:lang w:val="en-US"/>
        </w:rPr>
        <w:t xml:space="preserve">: </w:t>
      </w:r>
      <w:r w:rsidRPr="00773643">
        <w:rPr>
          <w:rFonts w:ascii="Book Antiqua" w:hAnsi="Book Antiqua"/>
          <w:sz w:val="24"/>
          <w:szCs w:val="24"/>
          <w:lang w:val="en-US"/>
        </w:rPr>
        <w:t>+39</w:t>
      </w:r>
      <w:r w:rsidR="00834B4A" w:rsidRPr="00773643">
        <w:rPr>
          <w:rFonts w:ascii="Book Antiqua" w:hAnsi="Book Antiqua"/>
          <w:sz w:val="24"/>
          <w:szCs w:val="24"/>
          <w:lang w:val="en-US"/>
        </w:rPr>
        <w:t>-</w:t>
      </w:r>
      <w:r w:rsidRPr="00773643">
        <w:rPr>
          <w:rFonts w:ascii="Book Antiqua" w:hAnsi="Book Antiqua"/>
          <w:sz w:val="24"/>
          <w:szCs w:val="24"/>
          <w:lang w:val="en-US"/>
        </w:rPr>
        <w:t>51</w:t>
      </w:r>
      <w:r w:rsidR="00834B4A" w:rsidRPr="00773643">
        <w:rPr>
          <w:rFonts w:ascii="Book Antiqua" w:hAnsi="Book Antiqua"/>
          <w:sz w:val="24"/>
          <w:szCs w:val="24"/>
          <w:lang w:val="en-US"/>
        </w:rPr>
        <w:t>-</w:t>
      </w:r>
      <w:r w:rsidRPr="00773643">
        <w:rPr>
          <w:rFonts w:ascii="Book Antiqua" w:hAnsi="Book Antiqua"/>
          <w:sz w:val="24"/>
          <w:szCs w:val="24"/>
          <w:lang w:val="en-US"/>
        </w:rPr>
        <w:t>2143819</w:t>
      </w:r>
    </w:p>
    <w:p w14:paraId="5BFA3962" w14:textId="77777777" w:rsidR="003A44EA" w:rsidRPr="00773643" w:rsidRDefault="00716688"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bCs/>
          <w:sz w:val="24"/>
          <w:szCs w:val="24"/>
          <w:lang w:val="en-US"/>
        </w:rPr>
        <w:t xml:space="preserve">Fax: </w:t>
      </w:r>
      <w:r w:rsidRPr="00773643">
        <w:rPr>
          <w:rFonts w:ascii="Book Antiqua" w:hAnsi="Book Antiqua"/>
          <w:sz w:val="24"/>
          <w:szCs w:val="24"/>
          <w:lang w:val="en-US"/>
        </w:rPr>
        <w:t>+39</w:t>
      </w:r>
      <w:r w:rsidR="00834B4A" w:rsidRPr="00773643">
        <w:rPr>
          <w:rFonts w:ascii="Book Antiqua" w:hAnsi="Book Antiqua"/>
          <w:sz w:val="24"/>
          <w:szCs w:val="24"/>
          <w:lang w:val="en-US"/>
        </w:rPr>
        <w:t>-</w:t>
      </w:r>
      <w:r w:rsidRPr="00773643">
        <w:rPr>
          <w:rFonts w:ascii="Book Antiqua" w:hAnsi="Book Antiqua"/>
          <w:sz w:val="24"/>
          <w:szCs w:val="24"/>
          <w:lang w:val="en-US"/>
        </w:rPr>
        <w:t>51</w:t>
      </w:r>
      <w:r w:rsidR="00834B4A" w:rsidRPr="00773643">
        <w:rPr>
          <w:rFonts w:ascii="Book Antiqua" w:hAnsi="Book Antiqua"/>
          <w:sz w:val="24"/>
          <w:szCs w:val="24"/>
          <w:lang w:val="en-US"/>
        </w:rPr>
        <w:t>-</w:t>
      </w:r>
      <w:r w:rsidRPr="00773643">
        <w:rPr>
          <w:rFonts w:ascii="Book Antiqua" w:hAnsi="Book Antiqua"/>
          <w:sz w:val="24"/>
          <w:szCs w:val="24"/>
          <w:lang w:val="en-US"/>
        </w:rPr>
        <w:t>6363815</w:t>
      </w:r>
    </w:p>
    <w:p w14:paraId="297842DD" w14:textId="77777777" w:rsidR="003A44EA" w:rsidRPr="00773643" w:rsidRDefault="003A44EA" w:rsidP="00773643">
      <w:pPr>
        <w:adjustRightInd w:val="0"/>
        <w:snapToGrid w:val="0"/>
        <w:spacing w:line="360" w:lineRule="auto"/>
        <w:jc w:val="both"/>
        <w:rPr>
          <w:rFonts w:ascii="Book Antiqua" w:hAnsi="Book Antiqua"/>
          <w:b/>
          <w:sz w:val="24"/>
          <w:szCs w:val="24"/>
          <w:lang w:val="en-GB"/>
        </w:rPr>
      </w:pPr>
    </w:p>
    <w:p w14:paraId="05A9DF19" w14:textId="77777777" w:rsidR="00834B4A" w:rsidRPr="00773643" w:rsidRDefault="00834B4A" w:rsidP="00773643">
      <w:pPr>
        <w:adjustRightInd w:val="0"/>
        <w:snapToGrid w:val="0"/>
        <w:spacing w:line="360" w:lineRule="auto"/>
        <w:jc w:val="both"/>
        <w:rPr>
          <w:rFonts w:ascii="Book Antiqua" w:eastAsia="宋体" w:hAnsi="Book Antiqua" w:cs="Times New Roman"/>
          <w:b/>
          <w:color w:val="auto"/>
          <w:sz w:val="24"/>
          <w:szCs w:val="24"/>
          <w:lang w:val="en-US" w:eastAsia="zh-CN"/>
        </w:rPr>
      </w:pPr>
      <w:r w:rsidRPr="00773643">
        <w:rPr>
          <w:rFonts w:ascii="Book Antiqua" w:eastAsia="宋体" w:hAnsi="Book Antiqua" w:cs="Times New Roman"/>
          <w:b/>
          <w:sz w:val="24"/>
          <w:szCs w:val="24"/>
        </w:rPr>
        <w:t xml:space="preserve">Received: </w:t>
      </w:r>
      <w:r w:rsidRPr="00773643">
        <w:rPr>
          <w:rFonts w:ascii="Book Antiqua" w:eastAsia="宋体" w:hAnsi="Book Antiqua" w:cs="Times New Roman"/>
          <w:sz w:val="24"/>
          <w:szCs w:val="24"/>
        </w:rPr>
        <w:t>March 12, 2019</w:t>
      </w:r>
    </w:p>
    <w:p w14:paraId="60E06825" w14:textId="77777777" w:rsidR="00834B4A" w:rsidRPr="00773643" w:rsidRDefault="00834B4A" w:rsidP="00773643">
      <w:pPr>
        <w:adjustRightInd w:val="0"/>
        <w:snapToGrid w:val="0"/>
        <w:spacing w:line="360" w:lineRule="auto"/>
        <w:jc w:val="both"/>
        <w:rPr>
          <w:rFonts w:ascii="Book Antiqua" w:eastAsia="宋体" w:hAnsi="Book Antiqua" w:cs="Times New Roman"/>
          <w:b/>
          <w:color w:val="auto"/>
          <w:sz w:val="24"/>
          <w:szCs w:val="24"/>
          <w:lang w:val="en-US" w:eastAsia="zh-CN"/>
        </w:rPr>
      </w:pPr>
      <w:r w:rsidRPr="00773643">
        <w:rPr>
          <w:rFonts w:ascii="Book Antiqua" w:eastAsia="宋体" w:hAnsi="Book Antiqua" w:cs="Times New Roman"/>
          <w:b/>
          <w:color w:val="auto"/>
          <w:sz w:val="24"/>
          <w:szCs w:val="24"/>
          <w:lang w:val="en-US" w:eastAsia="zh-CN"/>
        </w:rPr>
        <w:t>Peer-review started:</w:t>
      </w:r>
      <w:r w:rsidRPr="00773643">
        <w:rPr>
          <w:rFonts w:ascii="Book Antiqua" w:eastAsia="宋体" w:hAnsi="Book Antiqua" w:cs="Times New Roman"/>
          <w:color w:val="auto"/>
          <w:sz w:val="24"/>
          <w:szCs w:val="24"/>
          <w:lang w:val="en-US" w:eastAsia="zh-CN"/>
        </w:rPr>
        <w:t xml:space="preserve"> </w:t>
      </w:r>
      <w:r w:rsidRPr="00773643">
        <w:rPr>
          <w:rFonts w:ascii="Book Antiqua" w:eastAsia="宋体" w:hAnsi="Book Antiqua" w:cs="Times New Roman"/>
          <w:sz w:val="24"/>
          <w:szCs w:val="24"/>
        </w:rPr>
        <w:t>March 20, 2019</w:t>
      </w:r>
    </w:p>
    <w:p w14:paraId="1C0837C6" w14:textId="77777777" w:rsidR="00834B4A" w:rsidRPr="00773643" w:rsidRDefault="00834B4A" w:rsidP="00773643">
      <w:pPr>
        <w:adjustRightInd w:val="0"/>
        <w:snapToGrid w:val="0"/>
        <w:spacing w:line="360" w:lineRule="auto"/>
        <w:jc w:val="both"/>
        <w:rPr>
          <w:rFonts w:ascii="Book Antiqua" w:eastAsia="宋体" w:hAnsi="Book Antiqua" w:cs="Times New Roman"/>
          <w:b/>
          <w:color w:val="auto"/>
          <w:sz w:val="24"/>
          <w:szCs w:val="24"/>
          <w:lang w:val="en-US" w:eastAsia="zh-CN"/>
        </w:rPr>
      </w:pPr>
      <w:r w:rsidRPr="00773643">
        <w:rPr>
          <w:rFonts w:ascii="Book Antiqua" w:eastAsia="宋体" w:hAnsi="Book Antiqua" w:cs="Times New Roman"/>
          <w:b/>
          <w:color w:val="auto"/>
          <w:sz w:val="24"/>
          <w:szCs w:val="24"/>
          <w:lang w:val="en-US" w:eastAsia="zh-CN"/>
        </w:rPr>
        <w:t xml:space="preserve">First decision: </w:t>
      </w:r>
      <w:r w:rsidRPr="00773643">
        <w:rPr>
          <w:rFonts w:ascii="Book Antiqua" w:eastAsia="宋体" w:hAnsi="Book Antiqua" w:cs="Times New Roman"/>
          <w:color w:val="auto"/>
          <w:sz w:val="24"/>
          <w:szCs w:val="24"/>
          <w:lang w:val="en-US" w:eastAsia="zh-CN"/>
        </w:rPr>
        <w:t>May 13, 2019</w:t>
      </w:r>
    </w:p>
    <w:p w14:paraId="025062BA" w14:textId="77777777" w:rsidR="00834B4A" w:rsidRPr="00773643" w:rsidRDefault="00834B4A" w:rsidP="00773643">
      <w:pPr>
        <w:adjustRightInd w:val="0"/>
        <w:snapToGrid w:val="0"/>
        <w:spacing w:line="360" w:lineRule="auto"/>
        <w:jc w:val="both"/>
        <w:rPr>
          <w:rFonts w:ascii="Book Antiqua" w:eastAsia="宋体" w:hAnsi="Book Antiqua" w:cs="Times New Roman"/>
          <w:b/>
          <w:color w:val="auto"/>
          <w:sz w:val="24"/>
          <w:szCs w:val="24"/>
          <w:lang w:val="en-US" w:eastAsia="zh-CN"/>
        </w:rPr>
      </w:pPr>
      <w:r w:rsidRPr="00773643">
        <w:rPr>
          <w:rFonts w:ascii="Book Antiqua" w:eastAsia="宋体" w:hAnsi="Book Antiqua" w:cs="Times New Roman"/>
          <w:b/>
          <w:color w:val="auto"/>
          <w:sz w:val="24"/>
          <w:szCs w:val="24"/>
          <w:lang w:val="en-US" w:eastAsia="zh-CN"/>
        </w:rPr>
        <w:t xml:space="preserve">Revised: </w:t>
      </w:r>
      <w:r w:rsidRPr="00773643">
        <w:rPr>
          <w:rFonts w:ascii="Book Antiqua" w:eastAsia="宋体" w:hAnsi="Book Antiqua" w:cs="Times New Roman"/>
          <w:color w:val="auto"/>
          <w:sz w:val="24"/>
          <w:szCs w:val="24"/>
          <w:lang w:val="en-US" w:eastAsia="zh-CN"/>
        </w:rPr>
        <w:t>May 16, 2019</w:t>
      </w:r>
    </w:p>
    <w:p w14:paraId="60E82B19" w14:textId="16D45D83" w:rsidR="00834B4A" w:rsidRPr="00773643" w:rsidRDefault="00834B4A" w:rsidP="00773643">
      <w:pPr>
        <w:adjustRightInd w:val="0"/>
        <w:snapToGrid w:val="0"/>
        <w:spacing w:line="360" w:lineRule="auto"/>
        <w:jc w:val="both"/>
        <w:rPr>
          <w:rFonts w:ascii="Book Antiqua" w:eastAsia="宋体" w:hAnsi="Book Antiqua" w:cs="Times New Roman"/>
          <w:b/>
          <w:color w:val="auto"/>
          <w:sz w:val="24"/>
          <w:szCs w:val="24"/>
          <w:lang w:val="en-US" w:eastAsia="zh-CN"/>
        </w:rPr>
      </w:pPr>
      <w:r w:rsidRPr="00773643">
        <w:rPr>
          <w:rFonts w:ascii="Book Antiqua" w:eastAsia="宋体" w:hAnsi="Book Antiqua" w:cs="Times New Roman"/>
          <w:b/>
          <w:color w:val="auto"/>
          <w:sz w:val="24"/>
          <w:szCs w:val="24"/>
          <w:lang w:val="en-US" w:eastAsia="zh-CN"/>
        </w:rPr>
        <w:t>Accepted:</w:t>
      </w:r>
      <w:r w:rsidR="00AA47C6" w:rsidRPr="00AA47C6">
        <w:t xml:space="preserve"> </w:t>
      </w:r>
      <w:r w:rsidR="00AA47C6" w:rsidRPr="00AA47C6">
        <w:rPr>
          <w:rFonts w:ascii="Book Antiqua" w:eastAsia="宋体" w:hAnsi="Book Antiqua" w:cs="Times New Roman"/>
          <w:bCs/>
          <w:color w:val="auto"/>
          <w:sz w:val="24"/>
          <w:szCs w:val="24"/>
          <w:lang w:val="en-US" w:eastAsia="zh-CN"/>
        </w:rPr>
        <w:t>June 26, 2019</w:t>
      </w:r>
      <w:r w:rsidRPr="00773643">
        <w:rPr>
          <w:rFonts w:ascii="Book Antiqua" w:eastAsia="宋体" w:hAnsi="Book Antiqua" w:cs="Times New Roman"/>
          <w:b/>
          <w:color w:val="auto"/>
          <w:sz w:val="24"/>
          <w:szCs w:val="24"/>
          <w:lang w:val="en-US" w:eastAsia="zh-CN"/>
        </w:rPr>
        <w:t xml:space="preserve"> </w:t>
      </w:r>
    </w:p>
    <w:p w14:paraId="45CA3A65" w14:textId="25C37E3D" w:rsidR="00834B4A" w:rsidRPr="00773643" w:rsidRDefault="00834B4A" w:rsidP="00773643">
      <w:pPr>
        <w:adjustRightInd w:val="0"/>
        <w:snapToGrid w:val="0"/>
        <w:spacing w:line="360" w:lineRule="auto"/>
        <w:jc w:val="both"/>
        <w:rPr>
          <w:rFonts w:ascii="Book Antiqua" w:eastAsia="宋体" w:hAnsi="Book Antiqua" w:cs="Times New Roman"/>
          <w:color w:val="auto"/>
          <w:sz w:val="24"/>
          <w:szCs w:val="24"/>
          <w:lang w:val="en-US" w:eastAsia="zh-CN"/>
        </w:rPr>
      </w:pPr>
      <w:r w:rsidRPr="00773643">
        <w:rPr>
          <w:rFonts w:ascii="Book Antiqua" w:eastAsia="宋体" w:hAnsi="Book Antiqua" w:cs="Times New Roman"/>
          <w:b/>
          <w:color w:val="auto"/>
          <w:sz w:val="24"/>
          <w:szCs w:val="24"/>
          <w:lang w:val="en-US" w:eastAsia="zh-CN"/>
        </w:rPr>
        <w:t>Article in press:</w:t>
      </w:r>
      <w:r w:rsidRPr="00773643">
        <w:rPr>
          <w:rFonts w:ascii="Book Antiqua" w:eastAsia="宋体" w:hAnsi="Book Antiqua" w:cs="Times New Roman"/>
          <w:color w:val="auto"/>
          <w:sz w:val="24"/>
          <w:szCs w:val="24"/>
          <w:lang w:val="en-US" w:eastAsia="zh-CN"/>
        </w:rPr>
        <w:t xml:space="preserve"> </w:t>
      </w:r>
      <w:r w:rsidR="00557D29" w:rsidRPr="00AA47C6">
        <w:rPr>
          <w:rFonts w:ascii="Book Antiqua" w:eastAsia="宋体" w:hAnsi="Book Antiqua" w:cs="Times New Roman"/>
          <w:bCs/>
          <w:color w:val="auto"/>
          <w:sz w:val="24"/>
          <w:szCs w:val="24"/>
          <w:lang w:val="en-US" w:eastAsia="zh-CN"/>
        </w:rPr>
        <w:t>June 26, 2019</w:t>
      </w:r>
    </w:p>
    <w:p w14:paraId="7A2F1D23" w14:textId="11544C4D" w:rsidR="00834B4A" w:rsidRPr="00773643" w:rsidRDefault="00834B4A" w:rsidP="00773643">
      <w:pPr>
        <w:adjustRightInd w:val="0"/>
        <w:snapToGrid w:val="0"/>
        <w:spacing w:line="360" w:lineRule="auto"/>
        <w:jc w:val="both"/>
        <w:rPr>
          <w:rFonts w:ascii="Book Antiqua" w:eastAsia="宋体" w:hAnsi="Book Antiqua" w:cs="Times New Roman"/>
          <w:b/>
          <w:color w:val="auto"/>
          <w:sz w:val="24"/>
          <w:szCs w:val="24"/>
          <w:lang w:val="en-US" w:eastAsia="zh-CN"/>
        </w:rPr>
      </w:pPr>
      <w:r w:rsidRPr="00773643">
        <w:rPr>
          <w:rFonts w:ascii="Book Antiqua" w:eastAsia="宋体" w:hAnsi="Book Antiqua" w:cs="Times New Roman"/>
          <w:b/>
          <w:color w:val="auto"/>
          <w:sz w:val="24"/>
          <w:szCs w:val="24"/>
          <w:lang w:val="en-US" w:eastAsia="zh-CN"/>
        </w:rPr>
        <w:t xml:space="preserve">Published online: </w:t>
      </w:r>
      <w:r w:rsidR="00557D29">
        <w:rPr>
          <w:rFonts w:ascii="Book Antiqua" w:eastAsia="宋体" w:hAnsi="Book Antiqua" w:cs="宋体" w:hint="eastAsia"/>
          <w:color w:val="000000" w:themeColor="text1"/>
          <w:sz w:val="24"/>
          <w:szCs w:val="24"/>
        </w:rPr>
        <w:t>July</w:t>
      </w:r>
      <w:r w:rsidR="00557D29" w:rsidRPr="00654D1B">
        <w:rPr>
          <w:rFonts w:ascii="Book Antiqua" w:eastAsia="宋体" w:hAnsi="Book Antiqua" w:cs="宋体"/>
          <w:color w:val="000000" w:themeColor="text1"/>
          <w:sz w:val="24"/>
          <w:szCs w:val="24"/>
        </w:rPr>
        <w:t xml:space="preserve"> 2</w:t>
      </w:r>
      <w:r w:rsidR="00557D29">
        <w:rPr>
          <w:rFonts w:ascii="Book Antiqua" w:eastAsia="宋体" w:hAnsi="Book Antiqua" w:cs="宋体" w:hint="eastAsia"/>
          <w:color w:val="000000" w:themeColor="text1"/>
          <w:sz w:val="24"/>
          <w:szCs w:val="24"/>
        </w:rPr>
        <w:t>6</w:t>
      </w:r>
      <w:r w:rsidR="00557D29" w:rsidRPr="00654D1B">
        <w:rPr>
          <w:rFonts w:ascii="Book Antiqua" w:eastAsia="宋体" w:hAnsi="Book Antiqua" w:cs="宋体"/>
          <w:color w:val="000000" w:themeColor="text1"/>
          <w:sz w:val="24"/>
          <w:szCs w:val="24"/>
        </w:rPr>
        <w:t>, 2019</w:t>
      </w:r>
    </w:p>
    <w:p w14:paraId="7C7DCFDB" w14:textId="77777777" w:rsidR="00834B4A" w:rsidRPr="00773643" w:rsidRDefault="00834B4A" w:rsidP="00773643">
      <w:pPr>
        <w:adjustRightInd w:val="0"/>
        <w:snapToGrid w:val="0"/>
        <w:spacing w:line="360" w:lineRule="auto"/>
        <w:jc w:val="both"/>
        <w:rPr>
          <w:rFonts w:ascii="Book Antiqua" w:eastAsia="等线" w:hAnsi="Book Antiqua" w:cs="Times New Roman"/>
          <w:b/>
          <w:color w:val="auto"/>
          <w:kern w:val="2"/>
          <w:sz w:val="24"/>
          <w:szCs w:val="24"/>
          <w:lang w:val="en-US" w:eastAsia="zh-CN"/>
        </w:rPr>
      </w:pPr>
      <w:r w:rsidRPr="00773643">
        <w:rPr>
          <w:rFonts w:ascii="Book Antiqua" w:eastAsia="等线" w:hAnsi="Book Antiqua" w:cs="Times New Roman"/>
          <w:b/>
          <w:color w:val="auto"/>
          <w:sz w:val="24"/>
          <w:szCs w:val="24"/>
          <w:lang w:val="en-US" w:eastAsia="zh-CN"/>
        </w:rPr>
        <w:br w:type="page"/>
      </w:r>
    </w:p>
    <w:p w14:paraId="019C066A" w14:textId="77777777" w:rsidR="002A155B" w:rsidRPr="00773643" w:rsidRDefault="002A155B" w:rsidP="00773643">
      <w:pPr>
        <w:adjustRightInd w:val="0"/>
        <w:snapToGrid w:val="0"/>
        <w:spacing w:line="360" w:lineRule="auto"/>
        <w:jc w:val="both"/>
        <w:rPr>
          <w:rFonts w:ascii="Book Antiqua" w:hAnsi="Book Antiqua"/>
          <w:sz w:val="24"/>
          <w:szCs w:val="24"/>
          <w:lang w:val="en-US"/>
        </w:rPr>
      </w:pPr>
      <w:r w:rsidRPr="00773643">
        <w:rPr>
          <w:rFonts w:ascii="Book Antiqua" w:hAnsi="Book Antiqua"/>
          <w:b/>
          <w:sz w:val="24"/>
          <w:szCs w:val="24"/>
          <w:lang w:val="en-GB"/>
        </w:rPr>
        <w:t>Abstract</w:t>
      </w:r>
    </w:p>
    <w:p w14:paraId="59AEBBBD" w14:textId="77777777"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lang w:val="en-GB"/>
        </w:rPr>
        <w:t>Uterine sarcomas (US) are rare mesenchymal tumours accounting approximately for 3</w:t>
      </w:r>
      <w:r w:rsidR="00834B4A" w:rsidRPr="00773643">
        <w:rPr>
          <w:rFonts w:ascii="Book Antiqua" w:hAnsi="Book Antiqua"/>
          <w:sz w:val="24"/>
          <w:szCs w:val="24"/>
          <w:lang w:val="en-GB"/>
        </w:rPr>
        <w:t>%</w:t>
      </w:r>
      <w:r w:rsidRPr="00773643">
        <w:rPr>
          <w:rFonts w:ascii="Book Antiqua" w:hAnsi="Book Antiqua"/>
          <w:sz w:val="24"/>
          <w:szCs w:val="24"/>
          <w:lang w:val="en-GB"/>
        </w:rPr>
        <w:t xml:space="preserve">–7% of all uterine cancers. </w:t>
      </w:r>
      <w:r w:rsidR="007B5530" w:rsidRPr="00773643">
        <w:rPr>
          <w:rFonts w:ascii="Book Antiqua" w:hAnsi="Book Antiqua"/>
          <w:sz w:val="24"/>
          <w:szCs w:val="24"/>
          <w:lang w:val="en-GB"/>
        </w:rPr>
        <w:t xml:space="preserve">Histologically, US are classified into mesenchymal tumours or mixed epithelial and mesenchymal tumours. The group of mesenchymal tumours includes uterine leiomyosarcoma (uLMS, 65% of cases), endometrial stromal sarcoma (ESS, 21%) – traditionally divided into low grade (LG-ESS) and high grade–undifferentiated uterine sarcoma (5%) and other rare subtypes such as alveolar or embryonal rhabdomyosarcoma. </w:t>
      </w:r>
      <w:r w:rsidRPr="00773643">
        <w:rPr>
          <w:rFonts w:ascii="Book Antiqua" w:hAnsi="Book Antiqua"/>
          <w:sz w:val="24"/>
          <w:szCs w:val="24"/>
          <w:lang w:val="en-GB"/>
        </w:rPr>
        <w:t>Despite the fact that several drugs demonstrated clinical activity in advanced or metastatic settings, the role of postoperative therapy in US remains controversial. In this review, we have summarised the current state of the art, including the chief trials on adjuvant treatment modalities in US, especially focusing on uLMS</w:t>
      </w:r>
      <w:r w:rsidR="007B5530" w:rsidRPr="00773643">
        <w:rPr>
          <w:rFonts w:ascii="Book Antiqua" w:hAnsi="Book Antiqua"/>
          <w:sz w:val="24"/>
          <w:szCs w:val="24"/>
          <w:lang w:val="en-GB"/>
        </w:rPr>
        <w:t xml:space="preserve">, </w:t>
      </w:r>
      <w:r w:rsidRPr="00773643">
        <w:rPr>
          <w:rFonts w:ascii="Book Antiqua" w:hAnsi="Book Antiqua"/>
          <w:sz w:val="24"/>
          <w:szCs w:val="24"/>
          <w:lang w:val="en-GB"/>
        </w:rPr>
        <w:t>LG-ESS and other rare histotypes.</w:t>
      </w:r>
    </w:p>
    <w:p w14:paraId="1F653A73" w14:textId="77777777" w:rsidR="002A155B" w:rsidRPr="00773643" w:rsidRDefault="002A155B" w:rsidP="00773643">
      <w:pPr>
        <w:adjustRightInd w:val="0"/>
        <w:snapToGrid w:val="0"/>
        <w:spacing w:line="360" w:lineRule="auto"/>
        <w:jc w:val="both"/>
        <w:rPr>
          <w:rFonts w:ascii="Book Antiqua" w:hAnsi="Book Antiqua"/>
          <w:sz w:val="24"/>
          <w:szCs w:val="24"/>
          <w:lang w:val="en-GB"/>
        </w:rPr>
      </w:pPr>
    </w:p>
    <w:p w14:paraId="0980053A" w14:textId="77777777" w:rsidR="002A155B" w:rsidRPr="00773643" w:rsidRDefault="002A155B" w:rsidP="00773643">
      <w:pPr>
        <w:adjustRightInd w:val="0"/>
        <w:snapToGrid w:val="0"/>
        <w:spacing w:line="360" w:lineRule="auto"/>
        <w:jc w:val="both"/>
        <w:rPr>
          <w:rFonts w:ascii="Book Antiqua" w:hAnsi="Book Antiqua"/>
          <w:b/>
          <w:sz w:val="24"/>
          <w:szCs w:val="24"/>
          <w:lang w:val="it-IT"/>
        </w:rPr>
      </w:pPr>
      <w:r w:rsidRPr="00773643">
        <w:rPr>
          <w:rFonts w:ascii="Book Antiqua" w:hAnsi="Book Antiqua"/>
          <w:b/>
          <w:sz w:val="24"/>
          <w:szCs w:val="24"/>
          <w:lang w:val="it-IT"/>
        </w:rPr>
        <w:t>Key</w:t>
      </w:r>
      <w:r w:rsidR="00834B4A" w:rsidRPr="00773643">
        <w:rPr>
          <w:rFonts w:ascii="Book Antiqua" w:hAnsi="Book Antiqua"/>
          <w:b/>
          <w:sz w:val="24"/>
          <w:szCs w:val="24"/>
          <w:lang w:val="it-IT"/>
        </w:rPr>
        <w:t xml:space="preserve"> </w:t>
      </w:r>
      <w:r w:rsidRPr="00773643">
        <w:rPr>
          <w:rFonts w:ascii="Book Antiqua" w:hAnsi="Book Antiqua"/>
          <w:b/>
          <w:sz w:val="24"/>
          <w:szCs w:val="24"/>
          <w:lang w:val="it-IT"/>
        </w:rPr>
        <w:t xml:space="preserve">words: </w:t>
      </w:r>
      <w:r w:rsidRPr="00773643">
        <w:rPr>
          <w:rFonts w:ascii="Book Antiqua" w:hAnsi="Book Antiqua"/>
          <w:sz w:val="24"/>
          <w:szCs w:val="24"/>
          <w:lang w:val="it-IT"/>
        </w:rPr>
        <w:t>Uterine sarcoma; Uterine leiomyosarcoma; Endometrial stromal sarcoma; Adenosarcoma; Adjuvant therapy; Chemotherapy; Radiotherapy</w:t>
      </w:r>
    </w:p>
    <w:p w14:paraId="0F55456F" w14:textId="77777777" w:rsidR="002A155B" w:rsidRPr="00773643" w:rsidRDefault="002A155B" w:rsidP="00773643">
      <w:pPr>
        <w:adjustRightInd w:val="0"/>
        <w:snapToGrid w:val="0"/>
        <w:spacing w:line="360" w:lineRule="auto"/>
        <w:jc w:val="both"/>
        <w:rPr>
          <w:rFonts w:ascii="Book Antiqua" w:hAnsi="Book Antiqua"/>
          <w:sz w:val="24"/>
          <w:szCs w:val="24"/>
          <w:lang w:val="it-IT"/>
        </w:rPr>
      </w:pPr>
    </w:p>
    <w:p w14:paraId="5555721D" w14:textId="77777777" w:rsidR="00834B4A" w:rsidRPr="00773643" w:rsidRDefault="00834B4A" w:rsidP="00773643">
      <w:pPr>
        <w:adjustRightInd w:val="0"/>
        <w:snapToGrid w:val="0"/>
        <w:spacing w:line="360" w:lineRule="auto"/>
        <w:jc w:val="both"/>
        <w:rPr>
          <w:rFonts w:ascii="Book Antiqua" w:eastAsia="宋体" w:hAnsi="Book Antiqua"/>
          <w:color w:val="auto"/>
          <w:sz w:val="24"/>
          <w:szCs w:val="24"/>
          <w:lang w:val="en-US" w:eastAsia="zh-CN"/>
        </w:rPr>
      </w:pPr>
      <w:r w:rsidRPr="00773643">
        <w:rPr>
          <w:rFonts w:ascii="Book Antiqua" w:eastAsia="宋体" w:hAnsi="Book Antiqua" w:cs="Times New Roman"/>
          <w:b/>
          <w:sz w:val="24"/>
          <w:szCs w:val="24"/>
        </w:rPr>
        <w:t xml:space="preserve">© </w:t>
      </w:r>
      <w:r w:rsidRPr="00773643">
        <w:rPr>
          <w:rFonts w:ascii="Book Antiqua" w:eastAsia="宋体" w:hAnsi="Book Antiqua"/>
          <w:b/>
          <w:sz w:val="24"/>
          <w:szCs w:val="24"/>
        </w:rPr>
        <w:t>The Author(s) 2019.</w:t>
      </w:r>
      <w:r w:rsidRPr="00773643">
        <w:rPr>
          <w:rFonts w:ascii="Book Antiqua" w:eastAsia="宋体" w:hAnsi="Book Antiqua"/>
          <w:sz w:val="24"/>
          <w:szCs w:val="24"/>
        </w:rPr>
        <w:t xml:space="preserve"> Published by Baishideng Publishing Group Inc. All rights reserved.</w:t>
      </w:r>
    </w:p>
    <w:p w14:paraId="4A07A49E" w14:textId="77777777" w:rsidR="00834B4A" w:rsidRPr="00773643" w:rsidRDefault="00834B4A" w:rsidP="00773643">
      <w:pPr>
        <w:adjustRightInd w:val="0"/>
        <w:snapToGrid w:val="0"/>
        <w:spacing w:line="360" w:lineRule="auto"/>
        <w:jc w:val="both"/>
        <w:rPr>
          <w:rFonts w:ascii="Book Antiqua" w:hAnsi="Book Antiqua"/>
          <w:b/>
          <w:bCs/>
          <w:sz w:val="24"/>
          <w:szCs w:val="24"/>
          <w:lang w:val="en-GB"/>
        </w:rPr>
      </w:pPr>
      <w:r w:rsidRPr="00773643">
        <w:rPr>
          <w:rFonts w:ascii="Book Antiqua" w:hAnsi="Book Antiqua"/>
          <w:b/>
          <w:bCs/>
          <w:sz w:val="24"/>
          <w:szCs w:val="24"/>
          <w:lang w:val="en-GB"/>
        </w:rPr>
        <w:t xml:space="preserve"> </w:t>
      </w:r>
    </w:p>
    <w:p w14:paraId="22431253" w14:textId="77777777"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b/>
          <w:bCs/>
          <w:sz w:val="24"/>
          <w:szCs w:val="24"/>
          <w:lang w:val="en-GB"/>
        </w:rPr>
        <w:t xml:space="preserve">Core tip: </w:t>
      </w:r>
      <w:r w:rsidR="00834B4A" w:rsidRPr="00773643">
        <w:rPr>
          <w:rFonts w:ascii="Book Antiqua" w:hAnsi="Book Antiqua"/>
          <w:sz w:val="24"/>
          <w:szCs w:val="24"/>
          <w:lang w:val="en-GB"/>
        </w:rPr>
        <w:t>Uterine sarcomas (US)</w:t>
      </w:r>
      <w:r w:rsidRPr="00773643">
        <w:rPr>
          <w:rFonts w:ascii="Book Antiqua" w:hAnsi="Book Antiqua"/>
          <w:sz w:val="24"/>
          <w:szCs w:val="24"/>
          <w:lang w:val="en-GB"/>
        </w:rPr>
        <w:t xml:space="preserve"> </w:t>
      </w:r>
      <w:r w:rsidRPr="00773643">
        <w:rPr>
          <w:rFonts w:ascii="Book Antiqua" w:hAnsi="Book Antiqua"/>
          <w:color w:val="000000"/>
          <w:sz w:val="24"/>
          <w:szCs w:val="24"/>
          <w:lang w:val="en-GB"/>
        </w:rPr>
        <w:t xml:space="preserve">comprise a group of rare mesenchymal tumours with differing tumour biology, natural history and response to treatment. Clinical trials have shown no definite survival benefit of postoperative treatment (neither chemotherapy, nor radiation, nor hormone blockade) although its use seems reasonable in selected cases. </w:t>
      </w:r>
      <w:r w:rsidRPr="00773643">
        <w:rPr>
          <w:rFonts w:ascii="Book Antiqua" w:hAnsi="Book Antiqua"/>
          <w:bCs/>
          <w:color w:val="000000"/>
          <w:sz w:val="24"/>
          <w:szCs w:val="24"/>
          <w:lang w:val="en-GB"/>
        </w:rPr>
        <w:t xml:space="preserve">This review aims to summarise the </w:t>
      </w:r>
      <w:r w:rsidRPr="00557D29">
        <w:rPr>
          <w:rFonts w:ascii="Book Antiqua" w:hAnsi="Book Antiqua"/>
          <w:bCs/>
          <w:color w:val="000000"/>
          <w:sz w:val="24"/>
          <w:szCs w:val="24"/>
          <w:lang w:val="en-GB"/>
        </w:rPr>
        <w:t xml:space="preserve">current state of knowledge about adjuvant therapy in </w:t>
      </w:r>
      <w:r w:rsidR="00834B4A" w:rsidRPr="00557D29">
        <w:rPr>
          <w:rFonts w:ascii="Book Antiqua" w:hAnsi="Book Antiqua"/>
          <w:bCs/>
          <w:color w:val="000000"/>
          <w:sz w:val="24"/>
          <w:szCs w:val="24"/>
          <w:lang w:val="en-GB"/>
        </w:rPr>
        <w:t>US</w:t>
      </w:r>
      <w:r w:rsidRPr="00557D29">
        <w:rPr>
          <w:rFonts w:ascii="Book Antiqua" w:hAnsi="Book Antiqua"/>
          <w:bCs/>
          <w:color w:val="000000"/>
          <w:sz w:val="24"/>
          <w:szCs w:val="24"/>
          <w:lang w:val="en-GB"/>
        </w:rPr>
        <w:t>.</w:t>
      </w:r>
    </w:p>
    <w:p w14:paraId="0222B43A" w14:textId="77777777" w:rsidR="00834B4A" w:rsidRPr="00773643" w:rsidRDefault="00834B4A" w:rsidP="00773643">
      <w:pPr>
        <w:adjustRightInd w:val="0"/>
        <w:snapToGrid w:val="0"/>
        <w:spacing w:line="360" w:lineRule="auto"/>
        <w:jc w:val="both"/>
        <w:rPr>
          <w:rFonts w:ascii="Book Antiqua" w:hAnsi="Book Antiqua"/>
          <w:b/>
          <w:bCs/>
          <w:sz w:val="24"/>
          <w:szCs w:val="24"/>
          <w:lang w:val="en-GB"/>
        </w:rPr>
      </w:pPr>
    </w:p>
    <w:p w14:paraId="261DC4E0" w14:textId="50EDB71E" w:rsidR="0099451D" w:rsidRPr="0018688C" w:rsidRDefault="0099451D" w:rsidP="0099451D">
      <w:pPr>
        <w:spacing w:line="360" w:lineRule="auto"/>
        <w:jc w:val="both"/>
        <w:rPr>
          <w:rFonts w:ascii="Book Antiqua" w:hAnsi="Book Antiqua"/>
          <w:iCs/>
          <w:sz w:val="24"/>
          <w:szCs w:val="24"/>
        </w:rPr>
      </w:pPr>
      <w:r w:rsidRPr="0018688C">
        <w:rPr>
          <w:rFonts w:ascii="Book Antiqua" w:hAnsi="Book Antiqua" w:cs="Calibri Light"/>
          <w:b/>
          <w:sz w:val="24"/>
          <w:szCs w:val="24"/>
        </w:rPr>
        <w:t>Citation:</w:t>
      </w:r>
      <w:r>
        <w:rPr>
          <w:rFonts w:ascii="Book Antiqua" w:hAnsi="Book Antiqua" w:cs="Calibri Light" w:hint="eastAsia"/>
          <w:sz w:val="24"/>
          <w:szCs w:val="24"/>
          <w:lang w:eastAsia="zh-CN"/>
        </w:rPr>
        <w:t xml:space="preserve"> </w:t>
      </w:r>
      <w:r w:rsidR="00414FE3" w:rsidRPr="00773643">
        <w:rPr>
          <w:rFonts w:ascii="Book Antiqua" w:hAnsi="Book Antiqua"/>
          <w:bCs/>
          <w:sz w:val="24"/>
          <w:szCs w:val="24"/>
          <w:lang w:val="it-IT"/>
        </w:rPr>
        <w:t>Rizzo A,</w:t>
      </w:r>
      <w:r w:rsidR="00414FE3" w:rsidRPr="00773643">
        <w:rPr>
          <w:rFonts w:ascii="Book Antiqua" w:hAnsi="Book Antiqua"/>
          <w:bCs/>
          <w:sz w:val="24"/>
          <w:szCs w:val="24"/>
        </w:rPr>
        <w:t xml:space="preserve"> </w:t>
      </w:r>
      <w:r w:rsidR="00414FE3" w:rsidRPr="00773643">
        <w:rPr>
          <w:rFonts w:ascii="Book Antiqua" w:hAnsi="Book Antiqua"/>
          <w:bCs/>
          <w:sz w:val="24"/>
          <w:szCs w:val="24"/>
          <w:lang w:val="it-IT"/>
        </w:rPr>
        <w:t>Pantaleo MA, Saponara M, Nannini M.</w:t>
      </w:r>
      <w:r w:rsidR="00414FE3" w:rsidRPr="00773643">
        <w:rPr>
          <w:rFonts w:ascii="Book Antiqua" w:eastAsiaTheme="minorEastAsia" w:hAnsi="Book Antiqua"/>
          <w:bCs/>
          <w:sz w:val="24"/>
          <w:szCs w:val="24"/>
          <w:vertAlign w:val="superscript"/>
          <w:lang w:val="it-IT" w:eastAsia="zh-CN"/>
        </w:rPr>
        <w:t xml:space="preserve"> </w:t>
      </w:r>
      <w:r w:rsidR="00414FE3" w:rsidRPr="00773643">
        <w:rPr>
          <w:rFonts w:ascii="Book Antiqua" w:hAnsi="Book Antiqua"/>
          <w:bCs/>
          <w:sz w:val="24"/>
          <w:szCs w:val="24"/>
          <w:lang w:val="en-US" w:eastAsia="zh-CN"/>
        </w:rPr>
        <w:t>Current status of the adjuvant therapy in uterine sarcoma: A literature review.</w:t>
      </w:r>
      <w:r w:rsidR="00414FE3" w:rsidRPr="00773643">
        <w:rPr>
          <w:rFonts w:ascii="Book Antiqua" w:eastAsia="宋体" w:hAnsi="Book Antiqua" w:cs="Times New Roman"/>
          <w:bCs/>
          <w:sz w:val="24"/>
          <w:szCs w:val="24"/>
        </w:rPr>
        <w:t xml:space="preserve"> </w:t>
      </w:r>
      <w:r w:rsidR="00414FE3" w:rsidRPr="00773643">
        <w:rPr>
          <w:rFonts w:ascii="Book Antiqua" w:eastAsia="宋体" w:hAnsi="Book Antiqua" w:cs="Times New Roman"/>
          <w:bCs/>
          <w:i/>
          <w:sz w:val="24"/>
          <w:szCs w:val="24"/>
        </w:rPr>
        <w:t>World J Clin Cases</w:t>
      </w:r>
      <w:r w:rsidR="00414FE3" w:rsidRPr="00773643">
        <w:rPr>
          <w:rFonts w:ascii="Book Antiqua" w:eastAsia="宋体" w:hAnsi="Book Antiqua" w:cs="Times New Roman"/>
          <w:bCs/>
          <w:sz w:val="24"/>
          <w:szCs w:val="24"/>
        </w:rPr>
        <w:t xml:space="preserve"> </w:t>
      </w:r>
      <w:r w:rsidRPr="0018688C">
        <w:rPr>
          <w:rFonts w:ascii="Book Antiqua" w:hAnsi="Book Antiqua"/>
          <w:iCs/>
          <w:sz w:val="24"/>
          <w:szCs w:val="24"/>
        </w:rPr>
        <w:t>2019; 7(</w:t>
      </w:r>
      <w:r>
        <w:rPr>
          <w:rFonts w:ascii="Book Antiqua" w:hAnsi="Book Antiqua" w:hint="eastAsia"/>
          <w:iCs/>
          <w:sz w:val="24"/>
          <w:szCs w:val="24"/>
          <w:lang w:eastAsia="zh-CN"/>
        </w:rPr>
        <w:t>14</w:t>
      </w:r>
      <w:r w:rsidRPr="0018688C">
        <w:rPr>
          <w:rFonts w:ascii="Book Antiqua" w:hAnsi="Book Antiqua"/>
          <w:iCs/>
          <w:sz w:val="24"/>
          <w:szCs w:val="24"/>
        </w:rPr>
        <w:t xml:space="preserve">): </w:t>
      </w:r>
      <w:r>
        <w:rPr>
          <w:rFonts w:ascii="Book Antiqua" w:hAnsi="Book Antiqua" w:hint="eastAsia"/>
          <w:iCs/>
          <w:sz w:val="24"/>
          <w:szCs w:val="24"/>
          <w:lang w:eastAsia="zh-CN"/>
        </w:rPr>
        <w:t>1</w:t>
      </w:r>
      <w:r>
        <w:rPr>
          <w:rFonts w:ascii="Book Antiqua" w:eastAsiaTheme="minorEastAsia" w:hAnsi="Book Antiqua" w:hint="eastAsia"/>
          <w:iCs/>
          <w:sz w:val="24"/>
          <w:szCs w:val="24"/>
          <w:lang w:eastAsia="zh-CN"/>
        </w:rPr>
        <w:t>753</w:t>
      </w:r>
      <w:r w:rsidRPr="0018688C">
        <w:rPr>
          <w:rFonts w:ascii="Book Antiqua" w:hAnsi="Book Antiqua"/>
          <w:iCs/>
          <w:sz w:val="24"/>
          <w:szCs w:val="24"/>
        </w:rPr>
        <w:t>-</w:t>
      </w:r>
      <w:r>
        <w:rPr>
          <w:rFonts w:ascii="Book Antiqua" w:hAnsi="Book Antiqua" w:hint="eastAsia"/>
          <w:iCs/>
          <w:sz w:val="24"/>
          <w:szCs w:val="24"/>
          <w:lang w:eastAsia="zh-CN"/>
        </w:rPr>
        <w:t>1</w:t>
      </w:r>
      <w:r>
        <w:rPr>
          <w:rFonts w:ascii="Book Antiqua" w:eastAsiaTheme="minorEastAsia" w:hAnsi="Book Antiqua" w:hint="eastAsia"/>
          <w:iCs/>
          <w:sz w:val="24"/>
          <w:szCs w:val="24"/>
          <w:lang w:eastAsia="zh-CN"/>
        </w:rPr>
        <w:t>763</w:t>
      </w:r>
      <w:r w:rsidRPr="0018688C">
        <w:rPr>
          <w:rFonts w:ascii="Book Antiqua" w:hAnsi="Book Antiqua"/>
          <w:iCs/>
          <w:sz w:val="24"/>
          <w:szCs w:val="24"/>
        </w:rPr>
        <w:t xml:space="preserve"> </w:t>
      </w:r>
    </w:p>
    <w:p w14:paraId="5F167A59" w14:textId="24146B4C" w:rsidR="0099451D" w:rsidRPr="0018688C" w:rsidRDefault="0099451D" w:rsidP="0099451D">
      <w:pPr>
        <w:spacing w:line="360" w:lineRule="auto"/>
        <w:jc w:val="both"/>
        <w:rPr>
          <w:rFonts w:ascii="Book Antiqua" w:hAnsi="Book Antiqua"/>
          <w:iCs/>
          <w:sz w:val="24"/>
          <w:szCs w:val="24"/>
        </w:rPr>
      </w:pPr>
      <w:r w:rsidRPr="0018688C">
        <w:rPr>
          <w:rFonts w:ascii="Book Antiqua" w:hAnsi="Book Antiqua"/>
          <w:b/>
          <w:iCs/>
          <w:sz w:val="24"/>
          <w:szCs w:val="24"/>
        </w:rPr>
        <w:t>URL:</w:t>
      </w:r>
      <w:r w:rsidRPr="0018688C">
        <w:rPr>
          <w:rFonts w:ascii="Book Antiqua" w:hAnsi="Book Antiqua"/>
          <w:iCs/>
          <w:sz w:val="24"/>
          <w:szCs w:val="24"/>
        </w:rPr>
        <w:t xml:space="preserve"> https://www.wjgnet.com/2307-8960/full/v7/i</w:t>
      </w:r>
      <w:r>
        <w:rPr>
          <w:rFonts w:ascii="Book Antiqua" w:hAnsi="Book Antiqua" w:hint="eastAsia"/>
          <w:iCs/>
          <w:sz w:val="24"/>
          <w:szCs w:val="24"/>
          <w:lang w:eastAsia="zh-CN"/>
        </w:rPr>
        <w:t>14</w:t>
      </w:r>
      <w:r w:rsidRPr="0018688C">
        <w:rPr>
          <w:rFonts w:ascii="Book Antiqua" w:hAnsi="Book Antiqua"/>
          <w:iCs/>
          <w:sz w:val="24"/>
          <w:szCs w:val="24"/>
        </w:rPr>
        <w:t>/</w:t>
      </w:r>
      <w:r>
        <w:rPr>
          <w:rFonts w:ascii="Book Antiqua" w:hAnsi="Book Antiqua" w:hint="eastAsia"/>
          <w:iCs/>
          <w:sz w:val="24"/>
          <w:szCs w:val="24"/>
          <w:lang w:eastAsia="zh-CN"/>
        </w:rPr>
        <w:t>1</w:t>
      </w:r>
      <w:r>
        <w:rPr>
          <w:rFonts w:ascii="Book Antiqua" w:eastAsiaTheme="minorEastAsia" w:hAnsi="Book Antiqua" w:hint="eastAsia"/>
          <w:iCs/>
          <w:sz w:val="24"/>
          <w:szCs w:val="24"/>
          <w:lang w:eastAsia="zh-CN"/>
        </w:rPr>
        <w:t>753</w:t>
      </w:r>
      <w:r w:rsidRPr="0018688C">
        <w:rPr>
          <w:rFonts w:ascii="Book Antiqua" w:hAnsi="Book Antiqua"/>
          <w:iCs/>
          <w:sz w:val="24"/>
          <w:szCs w:val="24"/>
        </w:rPr>
        <w:t xml:space="preserve">.htm  </w:t>
      </w:r>
    </w:p>
    <w:p w14:paraId="0868BFC8" w14:textId="215EC333" w:rsidR="00414FE3" w:rsidRPr="0099451D" w:rsidRDefault="0099451D" w:rsidP="0099451D">
      <w:pPr>
        <w:adjustRightInd w:val="0"/>
        <w:snapToGrid w:val="0"/>
        <w:spacing w:line="360" w:lineRule="auto"/>
        <w:jc w:val="both"/>
        <w:rPr>
          <w:rFonts w:ascii="Book Antiqua" w:eastAsiaTheme="minorEastAsia" w:hAnsi="Book Antiqua"/>
          <w:bCs/>
          <w:sz w:val="24"/>
          <w:szCs w:val="24"/>
          <w:vertAlign w:val="superscript"/>
          <w:lang w:val="it-IT"/>
        </w:rPr>
      </w:pPr>
      <w:r w:rsidRPr="0018688C">
        <w:rPr>
          <w:rFonts w:ascii="Book Antiqua" w:hAnsi="Book Antiqua"/>
          <w:b/>
          <w:iCs/>
          <w:sz w:val="24"/>
          <w:szCs w:val="24"/>
        </w:rPr>
        <w:t>DOI:</w:t>
      </w:r>
      <w:r w:rsidRPr="0018688C">
        <w:rPr>
          <w:rFonts w:ascii="Book Antiqua" w:hAnsi="Book Antiqua"/>
          <w:iCs/>
          <w:sz w:val="24"/>
          <w:szCs w:val="24"/>
        </w:rPr>
        <w:t xml:space="preserve"> </w:t>
      </w:r>
      <w:bookmarkStart w:id="2" w:name="_GoBack"/>
      <w:r w:rsidRPr="0018688C">
        <w:rPr>
          <w:rFonts w:ascii="Book Antiqua" w:hAnsi="Book Antiqua"/>
          <w:iCs/>
          <w:sz w:val="24"/>
          <w:szCs w:val="24"/>
        </w:rPr>
        <w:t>https://dx.doi.org/10.12998/wjcc.v7.i</w:t>
      </w:r>
      <w:r>
        <w:rPr>
          <w:rFonts w:ascii="Book Antiqua" w:hAnsi="Book Antiqua" w:hint="eastAsia"/>
          <w:iCs/>
          <w:sz w:val="24"/>
          <w:szCs w:val="24"/>
          <w:lang w:eastAsia="zh-CN"/>
        </w:rPr>
        <w:t>14</w:t>
      </w:r>
      <w:r w:rsidRPr="0018688C">
        <w:rPr>
          <w:rFonts w:ascii="Book Antiqua" w:hAnsi="Book Antiqua"/>
          <w:iCs/>
          <w:sz w:val="24"/>
          <w:szCs w:val="24"/>
        </w:rPr>
        <w:t>.</w:t>
      </w:r>
      <w:r>
        <w:rPr>
          <w:rFonts w:ascii="Book Antiqua" w:hAnsi="Book Antiqua" w:hint="eastAsia"/>
          <w:iCs/>
          <w:sz w:val="24"/>
          <w:szCs w:val="24"/>
          <w:lang w:eastAsia="zh-CN"/>
        </w:rPr>
        <w:t>1</w:t>
      </w:r>
      <w:r>
        <w:rPr>
          <w:rFonts w:ascii="Book Antiqua" w:eastAsiaTheme="minorEastAsia" w:hAnsi="Book Antiqua" w:hint="eastAsia"/>
          <w:iCs/>
          <w:sz w:val="24"/>
          <w:szCs w:val="24"/>
          <w:lang w:eastAsia="zh-CN"/>
        </w:rPr>
        <w:t>753</w:t>
      </w:r>
      <w:bookmarkEnd w:id="2"/>
    </w:p>
    <w:p w14:paraId="359223AA" w14:textId="77777777" w:rsidR="00414FE3" w:rsidRPr="00773643" w:rsidRDefault="00414FE3" w:rsidP="00773643">
      <w:pPr>
        <w:adjustRightInd w:val="0"/>
        <w:snapToGrid w:val="0"/>
        <w:spacing w:line="360" w:lineRule="auto"/>
        <w:jc w:val="both"/>
        <w:rPr>
          <w:rFonts w:ascii="Book Antiqua" w:hAnsi="Book Antiqua"/>
          <w:b/>
          <w:bCs/>
          <w:sz w:val="24"/>
          <w:szCs w:val="24"/>
          <w:lang w:val="en-GB"/>
        </w:rPr>
      </w:pPr>
      <w:r w:rsidRPr="00773643">
        <w:rPr>
          <w:rFonts w:ascii="Book Antiqua" w:hAnsi="Book Antiqua"/>
          <w:b/>
          <w:bCs/>
          <w:sz w:val="24"/>
          <w:szCs w:val="24"/>
          <w:lang w:val="en-GB"/>
        </w:rPr>
        <w:br w:type="page"/>
      </w:r>
    </w:p>
    <w:p w14:paraId="426F1095" w14:textId="77777777" w:rsidR="00414FE3" w:rsidRPr="00773643" w:rsidRDefault="00414FE3" w:rsidP="00773643">
      <w:pPr>
        <w:adjustRightInd w:val="0"/>
        <w:snapToGrid w:val="0"/>
        <w:spacing w:line="360" w:lineRule="auto"/>
        <w:jc w:val="both"/>
        <w:rPr>
          <w:rFonts w:ascii="Book Antiqua" w:hAnsi="Book Antiqua"/>
          <w:b/>
          <w:bCs/>
          <w:sz w:val="24"/>
          <w:szCs w:val="24"/>
          <w:lang w:val="en-GB"/>
        </w:rPr>
      </w:pPr>
    </w:p>
    <w:p w14:paraId="39DBFAE6" w14:textId="77777777" w:rsidR="002A155B" w:rsidRPr="00773643" w:rsidRDefault="00834B4A"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INTRODUCTION</w:t>
      </w:r>
    </w:p>
    <w:p w14:paraId="47350A11" w14:textId="0F19A3C1" w:rsidR="002A155B" w:rsidRPr="00773643" w:rsidRDefault="002A155B" w:rsidP="00773643">
      <w:pPr>
        <w:adjustRightInd w:val="0"/>
        <w:snapToGrid w:val="0"/>
        <w:spacing w:line="360" w:lineRule="auto"/>
        <w:jc w:val="both"/>
        <w:rPr>
          <w:rFonts w:ascii="Book Antiqua" w:hAnsi="Book Antiqua"/>
          <w:sz w:val="24"/>
          <w:szCs w:val="24"/>
          <w:lang w:val="en-GB"/>
        </w:rPr>
      </w:pPr>
      <w:r w:rsidRPr="00557D29">
        <w:rPr>
          <w:rFonts w:ascii="Book Antiqua" w:hAnsi="Book Antiqua"/>
          <w:sz w:val="24"/>
          <w:szCs w:val="24"/>
          <w:lang w:val="en-GB"/>
        </w:rPr>
        <w:t>Uterine sarcomas (US) are rare malignancies that account for approximately 1% of female genital tract malignancies and 3</w:t>
      </w:r>
      <w:r w:rsidR="00C25BAC" w:rsidRPr="00557D29">
        <w:rPr>
          <w:rFonts w:ascii="Book Antiqua" w:hAnsi="Book Antiqua"/>
          <w:sz w:val="24"/>
          <w:szCs w:val="24"/>
          <w:lang w:val="en-GB"/>
        </w:rPr>
        <w:t>%</w:t>
      </w:r>
      <w:r w:rsidRPr="00557D29">
        <w:rPr>
          <w:rFonts w:ascii="Book Antiqua" w:hAnsi="Book Antiqua"/>
          <w:sz w:val="24"/>
          <w:szCs w:val="24"/>
          <w:lang w:val="en-GB"/>
        </w:rPr>
        <w:t xml:space="preserve"> to 7% of all uterine tumours</w:t>
      </w:r>
      <w:r w:rsidRPr="00773643">
        <w:rPr>
          <w:rFonts w:ascii="Book Antiqua" w:hAnsi="Book Antiqua"/>
          <w:sz w:val="24"/>
          <w:szCs w:val="24"/>
          <w:vertAlign w:val="superscript"/>
          <w:lang w:val="en-GB"/>
        </w:rPr>
        <w:t>[1,2]</w:t>
      </w:r>
      <w:r w:rsidRPr="00773643">
        <w:rPr>
          <w:rFonts w:ascii="Book Antiqua" w:hAnsi="Book Antiqua"/>
          <w:sz w:val="24"/>
          <w:szCs w:val="24"/>
          <w:lang w:val="en-GB"/>
        </w:rPr>
        <w:t>.</w:t>
      </w:r>
      <w:r w:rsidRPr="00557D29">
        <w:rPr>
          <w:rFonts w:ascii="Book Antiqua" w:hAnsi="Book Antiqua"/>
          <w:sz w:val="24"/>
          <w:szCs w:val="24"/>
          <w:lang w:val="en-GB"/>
        </w:rPr>
        <w:t xml:space="preserve"> </w:t>
      </w:r>
      <w:r w:rsidRPr="00773643">
        <w:rPr>
          <w:rFonts w:ascii="Book Antiqua" w:hAnsi="Book Antiqua"/>
          <w:sz w:val="24"/>
          <w:szCs w:val="24"/>
          <w:lang w:val="en-GB"/>
        </w:rPr>
        <w:t>The median age of diagnosis appears to be about 56 years and the annual incidence rate is 0.36/</w:t>
      </w:r>
      <w:r w:rsidRPr="00F42A1B">
        <w:rPr>
          <w:rFonts w:ascii="Book Antiqua" w:hAnsi="Book Antiqua"/>
          <w:sz w:val="24"/>
          <w:szCs w:val="24"/>
          <w:lang w:val="en-GB"/>
        </w:rPr>
        <w:t>1</w:t>
      </w:r>
      <w:r w:rsidRPr="00773643">
        <w:rPr>
          <w:rFonts w:ascii="Book Antiqua" w:hAnsi="Book Antiqua"/>
          <w:sz w:val="24"/>
          <w:szCs w:val="24"/>
          <w:lang w:val="en-GB"/>
        </w:rPr>
        <w:t>00000 woman-years</w:t>
      </w:r>
      <w:r w:rsidRPr="00773643">
        <w:rPr>
          <w:rFonts w:ascii="Book Antiqua" w:hAnsi="Book Antiqua"/>
          <w:sz w:val="24"/>
          <w:szCs w:val="24"/>
          <w:vertAlign w:val="superscript"/>
          <w:lang w:val="en-GB"/>
        </w:rPr>
        <w:t>[3,4</w:t>
      </w:r>
      <w:r w:rsidRPr="00557D29">
        <w:rPr>
          <w:rFonts w:ascii="Book Antiqua" w:hAnsi="Book Antiqua"/>
          <w:sz w:val="24"/>
          <w:szCs w:val="24"/>
          <w:vertAlign w:val="superscript"/>
          <w:lang w:val="en-GB"/>
        </w:rPr>
        <w:t>]</w:t>
      </w:r>
      <w:r w:rsidRPr="00557D29">
        <w:rPr>
          <w:rFonts w:ascii="Book Antiqua" w:hAnsi="Book Antiqua"/>
          <w:sz w:val="24"/>
          <w:szCs w:val="24"/>
          <w:lang w:val="en-GB"/>
        </w:rPr>
        <w:t>.</w:t>
      </w:r>
    </w:p>
    <w:p w14:paraId="58D01713"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Histologically, US are classified into mesenchymal tumours or mixed epithelial and mesenchymal tumours. The group of mesenchymal tumours includes uterine leiomyosarcoma (uLMS, 65% of cases), endometrial stromal sarcoma (ESS, 21%) – traditionally divided into low grade (LG-ESS) and high grade (HG-ESS) – undifferentiated uterine sarcoma (UUS, 5%) and other rare subtypes such as alveolar or embryonal rhabdomyosarcoma</w:t>
      </w:r>
      <w:r w:rsidRPr="00773643">
        <w:rPr>
          <w:rFonts w:ascii="Book Antiqua" w:hAnsi="Book Antiqua"/>
          <w:sz w:val="24"/>
          <w:szCs w:val="24"/>
          <w:vertAlign w:val="superscript"/>
          <w:lang w:val="en-GB"/>
        </w:rPr>
        <w:t>[5,6]</w:t>
      </w:r>
      <w:r w:rsidRPr="00773643">
        <w:rPr>
          <w:rFonts w:ascii="Book Antiqua" w:hAnsi="Book Antiqua"/>
          <w:sz w:val="24"/>
          <w:szCs w:val="24"/>
          <w:lang w:val="en-GB"/>
        </w:rPr>
        <w:t>. Mixed epithelial and mesenchymal tumours include adenosarcoma (UAS) and carcinosarcoma</w:t>
      </w:r>
      <w:r w:rsidRPr="00773643">
        <w:rPr>
          <w:rFonts w:ascii="Book Antiqua" w:hAnsi="Book Antiqua"/>
          <w:sz w:val="24"/>
          <w:szCs w:val="24"/>
          <w:vertAlign w:val="superscript"/>
          <w:lang w:val="en-GB"/>
        </w:rPr>
        <w:t>[5,6]</w:t>
      </w:r>
      <w:r w:rsidRPr="00773643">
        <w:rPr>
          <w:rFonts w:ascii="Book Antiqua" w:hAnsi="Book Antiqua"/>
          <w:sz w:val="24"/>
          <w:szCs w:val="24"/>
          <w:lang w:val="en-GB"/>
        </w:rPr>
        <w:t>. UASs are considered biphasic tumours with a combination of a malignant mesenchymal component and benign epithelial elements; the presence of myometrial invasion and sarcomatous overgrowth represent the most significant prognostic factors responsible for an increased risk of relapse</w:t>
      </w:r>
      <w:r w:rsidRPr="00773643">
        <w:rPr>
          <w:rFonts w:ascii="Book Antiqua" w:hAnsi="Book Antiqua"/>
          <w:sz w:val="24"/>
          <w:szCs w:val="24"/>
          <w:vertAlign w:val="superscript"/>
          <w:lang w:val="en-GB"/>
        </w:rPr>
        <w:t>[7,8]</w:t>
      </w:r>
      <w:r w:rsidRPr="00773643">
        <w:rPr>
          <w:rFonts w:ascii="Book Antiqua" w:hAnsi="Book Antiqua"/>
          <w:sz w:val="24"/>
          <w:szCs w:val="24"/>
          <w:lang w:val="en-GB"/>
        </w:rPr>
        <w:t>. Carcinosarcomas, or malignant mixed Mullerian tumours, are aggressive malignancies previously considered sarcomas but currently recognised as tumours composed of metaplastic transformation of epithelial cells, and therefore we did not include them in this review</w:t>
      </w:r>
      <w:r w:rsidRPr="00773643">
        <w:rPr>
          <w:rFonts w:ascii="Book Antiqua" w:hAnsi="Book Antiqua"/>
          <w:sz w:val="24"/>
          <w:szCs w:val="24"/>
          <w:vertAlign w:val="superscript"/>
          <w:lang w:val="en-GB"/>
        </w:rPr>
        <w:t>[6]</w:t>
      </w:r>
      <w:r w:rsidRPr="00773643">
        <w:rPr>
          <w:rFonts w:ascii="Book Antiqua" w:hAnsi="Book Antiqua"/>
          <w:sz w:val="24"/>
          <w:szCs w:val="24"/>
          <w:lang w:val="en-GB"/>
        </w:rPr>
        <w:t xml:space="preserve">. </w:t>
      </w:r>
    </w:p>
    <w:p w14:paraId="42121921" w14:textId="6C650523"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 xml:space="preserve">Despite a frequent presentation as localised resectable disease, the risk of </w:t>
      </w:r>
      <w:r w:rsidRPr="00F42A1B">
        <w:rPr>
          <w:rFonts w:ascii="Book Antiqua" w:hAnsi="Book Antiqua"/>
          <w:sz w:val="24"/>
          <w:szCs w:val="24"/>
          <w:lang w:val="en-GB"/>
        </w:rPr>
        <w:t>recurre</w:t>
      </w:r>
      <w:r w:rsidRPr="00557D29">
        <w:rPr>
          <w:rFonts w:ascii="Book Antiqua" w:hAnsi="Book Antiqua"/>
          <w:sz w:val="24"/>
          <w:szCs w:val="24"/>
          <w:lang w:val="en-GB"/>
        </w:rPr>
        <w:t>nce of uLMS ranges between 50</w:t>
      </w:r>
      <w:r w:rsidR="00393098" w:rsidRPr="00557D29">
        <w:rPr>
          <w:rFonts w:ascii="Book Antiqua" w:hAnsi="Book Antiqua"/>
          <w:sz w:val="24"/>
          <w:szCs w:val="24"/>
          <w:lang w:val="en-GB"/>
        </w:rPr>
        <w:t>%</w:t>
      </w:r>
      <w:r w:rsidRPr="00557D29">
        <w:rPr>
          <w:rFonts w:ascii="Book Antiqua" w:hAnsi="Book Antiqua"/>
          <w:sz w:val="24"/>
          <w:szCs w:val="24"/>
          <w:lang w:val="en-GB"/>
        </w:rPr>
        <w:t xml:space="preserve"> and 70%, with a 5-year overall survival rate of less than 50% in early stages and less than 15% in advanced stages</w:t>
      </w:r>
      <w:r w:rsidRPr="00773643">
        <w:rPr>
          <w:rFonts w:ascii="Book Antiqua" w:hAnsi="Book Antiqua"/>
          <w:sz w:val="24"/>
          <w:szCs w:val="24"/>
          <w:vertAlign w:val="superscript"/>
          <w:lang w:val="en-GB"/>
        </w:rPr>
        <w:t>[9,10]</w:t>
      </w:r>
      <w:r w:rsidRPr="00773643">
        <w:rPr>
          <w:rFonts w:ascii="Book Antiqua" w:hAnsi="Book Antiqua"/>
          <w:sz w:val="24"/>
          <w:szCs w:val="24"/>
          <w:lang w:val="en-GB"/>
        </w:rPr>
        <w:t>. The high rates of distant failure point towards the option of an adjuvant systemic therapy although no additional treatment (neither chemotherapy, nor radiation, nor hormone blockade) is proven to reduce the risk of relapse or to improve progression-free survival (PFS) and overall survival (OS)</w:t>
      </w:r>
      <w:r w:rsidRPr="00773643">
        <w:rPr>
          <w:rFonts w:ascii="Book Antiqua" w:hAnsi="Book Antiqua"/>
          <w:sz w:val="24"/>
          <w:szCs w:val="24"/>
          <w:vertAlign w:val="superscript"/>
          <w:lang w:val="en-GB"/>
        </w:rPr>
        <w:t>[11,12]</w:t>
      </w:r>
      <w:r w:rsidRPr="00773643">
        <w:rPr>
          <w:rFonts w:ascii="Book Antiqua" w:hAnsi="Book Antiqua"/>
          <w:sz w:val="24"/>
          <w:szCs w:val="24"/>
          <w:lang w:val="en-GB"/>
        </w:rPr>
        <w:t>.</w:t>
      </w:r>
    </w:p>
    <w:p w14:paraId="4B5AF00A"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LG-ESS are considered indolent tumours, often associated with a favourable prognosis</w:t>
      </w:r>
      <w:r w:rsidRPr="00773643">
        <w:rPr>
          <w:rFonts w:ascii="Book Antiqua" w:hAnsi="Book Antiqua"/>
          <w:sz w:val="24"/>
          <w:szCs w:val="24"/>
          <w:vertAlign w:val="superscript"/>
          <w:lang w:val="en-GB"/>
        </w:rPr>
        <w:t>[13]</w:t>
      </w:r>
      <w:r w:rsidRPr="00773643">
        <w:rPr>
          <w:rFonts w:ascii="Book Antiqua" w:hAnsi="Book Antiqua"/>
          <w:sz w:val="24"/>
          <w:szCs w:val="24"/>
          <w:lang w:val="en-GB"/>
        </w:rPr>
        <w:t>. Nevertheless, about one-third of patients develop recurrences, requiring a long-term follow-up and supporting the rationale for a postoperative treatment</w:t>
      </w:r>
      <w:r w:rsidRPr="00773643">
        <w:rPr>
          <w:rFonts w:ascii="Book Antiqua" w:hAnsi="Book Antiqua"/>
          <w:sz w:val="24"/>
          <w:szCs w:val="24"/>
          <w:vertAlign w:val="superscript"/>
          <w:lang w:val="en-GB"/>
        </w:rPr>
        <w:t>[14,15]</w:t>
      </w:r>
      <w:r w:rsidRPr="00773643">
        <w:rPr>
          <w:rFonts w:ascii="Book Antiqua" w:hAnsi="Book Antiqua"/>
          <w:sz w:val="24"/>
          <w:szCs w:val="24"/>
          <w:lang w:val="en-GB"/>
        </w:rPr>
        <w:t>.</w:t>
      </w:r>
    </w:p>
    <w:p w14:paraId="7AB77C6E"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HG-ESS, according to the updated edition of the WHO classification system, represents a distinct category both from LG-ESS and UUS</w:t>
      </w:r>
      <w:r w:rsidRPr="00557D29">
        <w:rPr>
          <w:rFonts w:ascii="Book Antiqua" w:hAnsi="Book Antiqua"/>
          <w:sz w:val="24"/>
          <w:szCs w:val="24"/>
          <w:vertAlign w:val="superscript"/>
          <w:lang w:val="en-GB"/>
        </w:rPr>
        <w:t>[16]</w:t>
      </w:r>
      <w:r w:rsidRPr="00557D29">
        <w:rPr>
          <w:rFonts w:ascii="Book Antiqua" w:hAnsi="Book Antiqua"/>
          <w:sz w:val="24"/>
          <w:szCs w:val="24"/>
          <w:lang w:val="en-GB"/>
        </w:rPr>
        <w:t>; although, the term ESS still often primarily refers to a low-grade disease</w:t>
      </w:r>
      <w:r w:rsidRPr="00557D29">
        <w:rPr>
          <w:rFonts w:ascii="Book Antiqua" w:hAnsi="Book Antiqua"/>
          <w:sz w:val="24"/>
          <w:szCs w:val="24"/>
          <w:vertAlign w:val="superscript"/>
          <w:lang w:val="en-GB"/>
        </w:rPr>
        <w:t>[17]</w:t>
      </w:r>
      <w:r w:rsidRPr="00557D29">
        <w:rPr>
          <w:rFonts w:ascii="Book Antiqua" w:hAnsi="Book Antiqua"/>
          <w:sz w:val="24"/>
          <w:szCs w:val="24"/>
          <w:lang w:val="en-GB"/>
        </w:rPr>
        <w:t>. Consequently, the evolving histological characterisation of US makes it difficult to compare clinical trials conducted in different periods, taking into account that cases of previously considered undifferentiated endometrial sarcomas or high-grade</w:t>
      </w:r>
      <w:r w:rsidR="00414FE3" w:rsidRPr="00557D29">
        <w:rPr>
          <w:rFonts w:ascii="Book Antiqua" w:hAnsi="Book Antiqua"/>
          <w:sz w:val="24"/>
          <w:szCs w:val="24"/>
          <w:lang w:val="en-GB"/>
        </w:rPr>
        <w:t xml:space="preserve"> </w:t>
      </w:r>
      <w:r w:rsidR="00834B4A" w:rsidRPr="00557D29">
        <w:rPr>
          <w:rFonts w:ascii="Book Antiqua" w:hAnsi="Book Antiqua"/>
          <w:sz w:val="24"/>
          <w:szCs w:val="24"/>
          <w:lang w:val="en-GB"/>
        </w:rPr>
        <w:t>UUS</w:t>
      </w:r>
      <w:r w:rsidRPr="00557D29">
        <w:rPr>
          <w:rFonts w:ascii="Book Antiqua" w:hAnsi="Book Antiqua"/>
          <w:sz w:val="24"/>
          <w:szCs w:val="24"/>
          <w:lang w:val="en-GB"/>
        </w:rPr>
        <w:t xml:space="preserve"> might be included within the class of HG-ESS. LG-ESS and HG-ESS should require separate statistical analyses to derive robust inferences and to avoid this frequent bias.</w:t>
      </w:r>
    </w:p>
    <w:p w14:paraId="6C2D8F21"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 xml:space="preserve">There is a lack of enough data on adjuvant treatment in rare, high-grade </w:t>
      </w:r>
      <w:r w:rsidRPr="0038741B">
        <w:rPr>
          <w:rFonts w:ascii="Book Antiqua" w:hAnsi="Book Antiqua"/>
          <w:sz w:val="24"/>
          <w:szCs w:val="24"/>
          <w:lang w:val="en-GB"/>
        </w:rPr>
        <w:t>ma</w:t>
      </w:r>
      <w:r w:rsidRPr="00773643">
        <w:rPr>
          <w:rFonts w:ascii="Book Antiqua" w:hAnsi="Book Antiqua"/>
          <w:sz w:val="24"/>
          <w:szCs w:val="24"/>
          <w:lang w:val="en-GB"/>
        </w:rPr>
        <w:t xml:space="preserve">lignancies including HG-ESS, UUS and UAS although the high risk of recurrence characterising these diseases might justify, in selected cases, the choice of a </w:t>
      </w:r>
      <w:r w:rsidRPr="00F42A1B">
        <w:rPr>
          <w:rFonts w:ascii="Book Antiqua" w:hAnsi="Book Antiqua"/>
          <w:sz w:val="24"/>
          <w:szCs w:val="24"/>
          <w:lang w:val="en-GB"/>
        </w:rPr>
        <w:t>posto</w:t>
      </w:r>
      <w:r w:rsidRPr="00773643">
        <w:rPr>
          <w:rFonts w:ascii="Book Antiqua" w:hAnsi="Book Antiqua"/>
          <w:sz w:val="24"/>
          <w:szCs w:val="24"/>
          <w:lang w:val="en-GB"/>
        </w:rPr>
        <w:t>perative treatment</w:t>
      </w:r>
      <w:r w:rsidRPr="00773643">
        <w:rPr>
          <w:rFonts w:ascii="Book Antiqua" w:hAnsi="Book Antiqua"/>
          <w:sz w:val="24"/>
          <w:szCs w:val="24"/>
          <w:vertAlign w:val="superscript"/>
          <w:lang w:val="en-GB"/>
        </w:rPr>
        <w:t>[18</w:t>
      </w:r>
      <w:r w:rsidRPr="00557D29">
        <w:rPr>
          <w:rFonts w:ascii="Book Antiqua" w:hAnsi="Book Antiqua"/>
          <w:sz w:val="24"/>
          <w:szCs w:val="24"/>
          <w:vertAlign w:val="superscript"/>
          <w:lang w:val="en-GB"/>
        </w:rPr>
        <w:t>]</w:t>
      </w:r>
      <w:r w:rsidRPr="00557D29">
        <w:rPr>
          <w:rFonts w:ascii="Book Antiqua" w:hAnsi="Book Antiqua"/>
          <w:sz w:val="24"/>
          <w:szCs w:val="24"/>
          <w:lang w:val="en-GB"/>
        </w:rPr>
        <w:t>.</w:t>
      </w:r>
    </w:p>
    <w:p w14:paraId="2AD8D8E7"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highlight w:val="white"/>
          <w:lang w:val="en-GB"/>
        </w:rPr>
      </w:pPr>
      <w:r w:rsidRPr="00557D29">
        <w:rPr>
          <w:rFonts w:ascii="Book Antiqua" w:hAnsi="Book Antiqua"/>
          <w:sz w:val="24"/>
          <w:szCs w:val="24"/>
          <w:lang w:val="en-GB"/>
        </w:rPr>
        <w:t xml:space="preserve">Beyond surgery, the effect of adjuvant treatment modalities such as radiotherapy, chemotherapy and hormonal therapy in US remains poorly understood and its role remains controversial. In this review, we have summarised the current state of knowledge on postoperative therapy in this type of uterine malignancy with many unanswered management questions. </w:t>
      </w:r>
    </w:p>
    <w:p w14:paraId="5C05EFC1" w14:textId="77777777" w:rsidR="002A155B" w:rsidRPr="00773643" w:rsidRDefault="002A155B" w:rsidP="00773643">
      <w:pPr>
        <w:adjustRightInd w:val="0"/>
        <w:snapToGrid w:val="0"/>
        <w:spacing w:line="360" w:lineRule="auto"/>
        <w:jc w:val="both"/>
        <w:rPr>
          <w:rFonts w:ascii="Book Antiqua" w:hAnsi="Book Antiqua"/>
          <w:sz w:val="24"/>
          <w:szCs w:val="24"/>
          <w:lang w:val="en-GB"/>
        </w:rPr>
      </w:pPr>
    </w:p>
    <w:p w14:paraId="6ACBB725" w14:textId="77777777" w:rsidR="002A155B" w:rsidRPr="00773643" w:rsidRDefault="00721041"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ADJUVANT RADIOTHERAPY</w:t>
      </w:r>
    </w:p>
    <w:p w14:paraId="243E0632" w14:textId="77777777" w:rsidR="00721041" w:rsidRPr="00773643" w:rsidRDefault="002A155B" w:rsidP="00773643">
      <w:pPr>
        <w:adjustRightInd w:val="0"/>
        <w:snapToGrid w:val="0"/>
        <w:spacing w:line="360" w:lineRule="auto"/>
        <w:jc w:val="both"/>
        <w:rPr>
          <w:rFonts w:ascii="Book Antiqua" w:hAnsi="Book Antiqua"/>
          <w:i/>
          <w:iCs/>
          <w:sz w:val="24"/>
          <w:szCs w:val="24"/>
          <w:lang w:val="en-GB"/>
        </w:rPr>
      </w:pPr>
      <w:r w:rsidRPr="00773643">
        <w:rPr>
          <w:rFonts w:ascii="Book Antiqua" w:hAnsi="Book Antiqua"/>
          <w:b/>
          <w:i/>
          <w:iCs/>
          <w:sz w:val="24"/>
          <w:szCs w:val="24"/>
          <w:lang w:val="en-GB"/>
        </w:rPr>
        <w:t xml:space="preserve">Uterine </w:t>
      </w:r>
      <w:r w:rsidR="00414FE3" w:rsidRPr="00773643">
        <w:rPr>
          <w:rFonts w:ascii="Book Antiqua" w:hAnsi="Book Antiqua"/>
          <w:b/>
          <w:i/>
          <w:iCs/>
          <w:sz w:val="24"/>
          <w:szCs w:val="24"/>
          <w:lang w:val="en-GB"/>
        </w:rPr>
        <w:t>l</w:t>
      </w:r>
      <w:r w:rsidRPr="00773643">
        <w:rPr>
          <w:rFonts w:ascii="Book Antiqua" w:hAnsi="Book Antiqua"/>
          <w:b/>
          <w:i/>
          <w:iCs/>
          <w:sz w:val="24"/>
          <w:szCs w:val="24"/>
          <w:lang w:val="en-GB"/>
        </w:rPr>
        <w:t>eiomyosarcoma</w:t>
      </w:r>
    </w:p>
    <w:p w14:paraId="7A807A76" w14:textId="77777777" w:rsidR="002A155B" w:rsidRPr="00557D29" w:rsidRDefault="002A155B" w:rsidP="00773643">
      <w:pPr>
        <w:adjustRightInd w:val="0"/>
        <w:snapToGrid w:val="0"/>
        <w:spacing w:line="360" w:lineRule="auto"/>
        <w:jc w:val="both"/>
        <w:rPr>
          <w:rFonts w:ascii="Book Antiqua" w:hAnsi="Book Antiqua"/>
          <w:sz w:val="24"/>
          <w:szCs w:val="24"/>
          <w:lang w:val="en-GB"/>
        </w:rPr>
      </w:pPr>
      <w:r w:rsidRPr="00557D29">
        <w:rPr>
          <w:rFonts w:ascii="Book Antiqua" w:hAnsi="Book Antiqua"/>
          <w:sz w:val="24"/>
          <w:szCs w:val="24"/>
          <w:lang w:val="en-GB"/>
        </w:rPr>
        <w:t>Adjuvant radiotherapy (RT) appears to be of limited clinical value in women with early-stage or advanced-stage resected uLMS, and the retrospective nature of all the available data – except for a phase III randomised trial – makes it difficult to draw conclusion regarding its role in this setting</w:t>
      </w:r>
      <w:r w:rsidRPr="00557D29">
        <w:rPr>
          <w:rFonts w:ascii="Book Antiqua" w:hAnsi="Book Antiqua"/>
          <w:sz w:val="24"/>
          <w:szCs w:val="24"/>
          <w:vertAlign w:val="superscript"/>
          <w:lang w:val="en-GB"/>
        </w:rPr>
        <w:t>[18]</w:t>
      </w:r>
      <w:r w:rsidRPr="00557D29">
        <w:rPr>
          <w:rFonts w:ascii="Book Antiqua" w:hAnsi="Book Antiqua"/>
          <w:sz w:val="24"/>
          <w:szCs w:val="24"/>
          <w:lang w:val="en-GB"/>
        </w:rPr>
        <w:t>.</w:t>
      </w:r>
    </w:p>
    <w:p w14:paraId="2DE6F9F4" w14:textId="77777777" w:rsidR="002A155B" w:rsidRPr="00557D29"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Several works failed to demonstrate a survival and local control benefit for the addition of adjuvant RT in uLMS</w:t>
      </w:r>
      <w:r w:rsidRPr="00557D29">
        <w:rPr>
          <w:rFonts w:ascii="Book Antiqua" w:hAnsi="Book Antiqua"/>
          <w:sz w:val="24"/>
          <w:szCs w:val="24"/>
          <w:vertAlign w:val="superscript"/>
          <w:lang w:val="en-GB"/>
        </w:rPr>
        <w:t>[19–22]</w:t>
      </w:r>
      <w:r w:rsidRPr="00557D29">
        <w:rPr>
          <w:rFonts w:ascii="Book Antiqua" w:hAnsi="Book Antiqua"/>
          <w:sz w:val="24"/>
          <w:szCs w:val="24"/>
          <w:lang w:val="en-GB"/>
        </w:rPr>
        <w:t>. The European Organization for the Research and Treatment of Cancer (EORTC) trial 55874 represents the only prospective randomised study investigating the effect of adjuvant RT in 224 completely resected stage I and II US, including 99 patients with uLMS</w:t>
      </w:r>
      <w:r w:rsidRPr="00557D29">
        <w:rPr>
          <w:rFonts w:ascii="Book Antiqua" w:hAnsi="Book Antiqua"/>
          <w:sz w:val="24"/>
          <w:szCs w:val="24"/>
          <w:vertAlign w:val="superscript"/>
          <w:lang w:val="en-GB"/>
        </w:rPr>
        <w:t>[23]</w:t>
      </w:r>
      <w:r w:rsidRPr="00557D29">
        <w:rPr>
          <w:rFonts w:ascii="Book Antiqua" w:hAnsi="Book Antiqua"/>
          <w:sz w:val="24"/>
          <w:szCs w:val="24"/>
          <w:lang w:val="en-GB"/>
        </w:rPr>
        <w:t>. In this phase, III randomised trial patients were randomly selected to receive 51Gy external beam pelvic radiation or observation. Adjuvant RT showed no improvement in local control and in OS for uLMS compared to observation.</w:t>
      </w:r>
    </w:p>
    <w:p w14:paraId="110FCD80" w14:textId="358EE218" w:rsidR="002A155B" w:rsidRPr="00557D29" w:rsidRDefault="002A155B" w:rsidP="00773643">
      <w:pPr>
        <w:adjustRightInd w:val="0"/>
        <w:snapToGrid w:val="0"/>
        <w:spacing w:line="360" w:lineRule="auto"/>
        <w:jc w:val="both"/>
        <w:rPr>
          <w:rFonts w:ascii="Book Antiqua" w:hAnsi="Book Antiqua"/>
          <w:sz w:val="24"/>
          <w:szCs w:val="24"/>
          <w:lang w:val="en-GB"/>
        </w:rPr>
      </w:pPr>
      <w:r w:rsidRPr="00557D29">
        <w:rPr>
          <w:rFonts w:ascii="Book Antiqua" w:hAnsi="Book Antiqua"/>
          <w:sz w:val="24"/>
          <w:szCs w:val="24"/>
          <w:lang w:val="en-GB"/>
        </w:rPr>
        <w:t xml:space="preserve">The limited scope of adjuvant RT in uLMS was also confirmed by Wright </w:t>
      </w:r>
      <w:r w:rsidRPr="00557D29">
        <w:rPr>
          <w:rFonts w:ascii="Book Antiqua" w:hAnsi="Book Antiqua"/>
          <w:i/>
          <w:iCs/>
          <w:sz w:val="24"/>
          <w:szCs w:val="24"/>
          <w:lang w:val="en-GB"/>
        </w:rPr>
        <w:t>et al</w:t>
      </w:r>
      <w:r w:rsidR="00993746" w:rsidRPr="00557D29">
        <w:rPr>
          <w:rFonts w:ascii="Book Antiqua" w:hAnsi="Book Antiqua"/>
          <w:sz w:val="24"/>
          <w:szCs w:val="24"/>
          <w:vertAlign w:val="superscript"/>
          <w:lang w:val="en-GB"/>
        </w:rPr>
        <w:t>[21]</w:t>
      </w:r>
      <w:r w:rsidRPr="00557D29">
        <w:rPr>
          <w:rFonts w:ascii="Book Antiqua" w:hAnsi="Book Antiqua"/>
          <w:sz w:val="24"/>
          <w:szCs w:val="24"/>
          <w:lang w:val="en-GB"/>
        </w:rPr>
        <w:t xml:space="preserve"> in a retrospective study utilising </w:t>
      </w:r>
      <w:r w:rsidR="000740A3" w:rsidRPr="00557D29">
        <w:rPr>
          <w:rFonts w:ascii="Book Antiqua" w:hAnsi="Book Antiqua"/>
          <w:color w:val="131313"/>
          <w:sz w:val="24"/>
          <w:szCs w:val="24"/>
        </w:rPr>
        <w:t xml:space="preserve">Surveillance, Epidemiology and End Results </w:t>
      </w:r>
      <w:r w:rsidR="000740A3" w:rsidRPr="00557D29">
        <w:rPr>
          <w:rFonts w:ascii="宋体" w:eastAsia="宋体" w:hAnsi="宋体" w:cs="宋体" w:hint="eastAsia"/>
          <w:color w:val="131313"/>
          <w:sz w:val="24"/>
          <w:szCs w:val="24"/>
          <w:lang w:eastAsia="zh-CN"/>
        </w:rPr>
        <w:t>(</w:t>
      </w:r>
      <w:r w:rsidRPr="00557D29">
        <w:rPr>
          <w:rFonts w:ascii="Book Antiqua" w:hAnsi="Book Antiqua"/>
          <w:sz w:val="24"/>
          <w:szCs w:val="24"/>
          <w:lang w:val="en-GB"/>
        </w:rPr>
        <w:t>SEER</w:t>
      </w:r>
      <w:r w:rsidR="000740A3" w:rsidRPr="00557D29">
        <w:rPr>
          <w:rFonts w:ascii="Book Antiqua" w:hAnsi="Book Antiqua"/>
          <w:sz w:val="24"/>
          <w:szCs w:val="24"/>
          <w:lang w:val="en-GB"/>
        </w:rPr>
        <w:t>)</w:t>
      </w:r>
      <w:r w:rsidRPr="00557D29">
        <w:rPr>
          <w:rFonts w:ascii="Book Antiqua" w:hAnsi="Book Antiqua"/>
          <w:sz w:val="24"/>
          <w:szCs w:val="24"/>
          <w:lang w:val="en-GB"/>
        </w:rPr>
        <w:t xml:space="preserve"> data; in</w:t>
      </w:r>
      <w:r w:rsidRPr="00773643">
        <w:rPr>
          <w:rFonts w:ascii="Book Antiqua" w:hAnsi="Book Antiqua"/>
          <w:sz w:val="24"/>
          <w:szCs w:val="24"/>
          <w:highlight w:val="white"/>
          <w:lang w:val="en-GB"/>
        </w:rPr>
        <w:t xml:space="preserve"> </w:t>
      </w:r>
      <w:r w:rsidRPr="00557D29">
        <w:rPr>
          <w:rFonts w:ascii="Book Antiqua" w:hAnsi="Book Antiqua"/>
          <w:sz w:val="24"/>
          <w:szCs w:val="24"/>
          <w:lang w:val="en-GB"/>
        </w:rPr>
        <w:t xml:space="preserve">this study, radiation failed to demonstrate survival benefit in early-stage uLMS (HR </w:t>
      </w:r>
      <w:r w:rsidR="00374D5F" w:rsidRPr="00557D29">
        <w:rPr>
          <w:rFonts w:ascii="Book Antiqua" w:hAnsi="Book Antiqua"/>
          <w:sz w:val="24"/>
          <w:szCs w:val="24"/>
          <w:lang w:val="en-GB"/>
        </w:rPr>
        <w:t xml:space="preserve">= </w:t>
      </w:r>
      <w:r w:rsidRPr="00557D29">
        <w:rPr>
          <w:rFonts w:ascii="Book Antiqua" w:hAnsi="Book Antiqua"/>
          <w:sz w:val="24"/>
          <w:szCs w:val="24"/>
          <w:lang w:val="en-GB"/>
        </w:rPr>
        <w:t>1.1, 95%CI</w:t>
      </w:r>
      <w:r w:rsidR="00414FE3" w:rsidRPr="00557D29">
        <w:rPr>
          <w:rFonts w:ascii="Book Antiqua" w:hAnsi="Book Antiqua"/>
          <w:sz w:val="24"/>
          <w:szCs w:val="24"/>
          <w:lang w:val="en-GB"/>
        </w:rPr>
        <w:t>:</w:t>
      </w:r>
      <w:r w:rsidRPr="00557D29">
        <w:rPr>
          <w:rFonts w:ascii="Book Antiqua" w:hAnsi="Book Antiqua"/>
          <w:sz w:val="24"/>
          <w:szCs w:val="24"/>
          <w:lang w:val="en-GB"/>
        </w:rPr>
        <w:t xml:space="preserve"> 0.9-1.4). </w:t>
      </w:r>
    </w:p>
    <w:p w14:paraId="264B6265" w14:textId="77777777" w:rsidR="002A155B" w:rsidRPr="00557D29"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 xml:space="preserve">The latest version of the </w:t>
      </w:r>
      <w:r w:rsidR="000740A3" w:rsidRPr="00557D29">
        <w:rPr>
          <w:rFonts w:ascii="Book Antiqua" w:hAnsi="Book Antiqua"/>
          <w:color w:val="131313"/>
          <w:sz w:val="24"/>
          <w:szCs w:val="24"/>
        </w:rPr>
        <w:t>National Cancer Comprehensive Network</w:t>
      </w:r>
      <w:r w:rsidR="000740A3" w:rsidRPr="00557D29">
        <w:rPr>
          <w:rFonts w:ascii="Book Antiqua" w:hAnsi="Book Antiqua"/>
          <w:sz w:val="24"/>
          <w:szCs w:val="24"/>
          <w:lang w:val="en-GB"/>
        </w:rPr>
        <w:t xml:space="preserve"> (</w:t>
      </w:r>
      <w:r w:rsidRPr="00557D29">
        <w:rPr>
          <w:rFonts w:ascii="Book Antiqua" w:hAnsi="Book Antiqua"/>
          <w:sz w:val="24"/>
          <w:szCs w:val="24"/>
          <w:lang w:val="en-GB"/>
        </w:rPr>
        <w:t>NCCN</w:t>
      </w:r>
      <w:r w:rsidR="000740A3" w:rsidRPr="00557D29">
        <w:rPr>
          <w:rFonts w:ascii="宋体" w:eastAsia="宋体" w:hAnsi="宋体" w:cs="宋体" w:hint="eastAsia"/>
          <w:sz w:val="24"/>
          <w:szCs w:val="24"/>
          <w:lang w:val="en-GB" w:eastAsia="zh-CN"/>
        </w:rPr>
        <w:t>)</w:t>
      </w:r>
      <w:r w:rsidRPr="00F42A1B">
        <w:rPr>
          <w:rFonts w:ascii="Book Antiqua" w:hAnsi="Book Antiqua"/>
          <w:sz w:val="24"/>
          <w:szCs w:val="24"/>
          <w:lang w:val="en-GB"/>
        </w:rPr>
        <w:t>G</w:t>
      </w:r>
      <w:r w:rsidRPr="00557D29">
        <w:rPr>
          <w:rFonts w:ascii="Book Antiqua" w:hAnsi="Book Antiqua"/>
          <w:sz w:val="24"/>
          <w:szCs w:val="24"/>
          <w:lang w:val="en-GB"/>
        </w:rPr>
        <w:t>uidelines suggests the possibility of using postoperative RT in selected cases after a multidisciplinary evaluation; in such cases, pathologic parameters such as cervical, serosal and parametrial involvement should be carefully considered</w:t>
      </w:r>
      <w:r w:rsidRPr="00557D29">
        <w:rPr>
          <w:rFonts w:ascii="Book Antiqua" w:hAnsi="Book Antiqua"/>
          <w:sz w:val="24"/>
          <w:szCs w:val="24"/>
          <w:vertAlign w:val="superscript"/>
          <w:lang w:val="en-GB"/>
        </w:rPr>
        <w:t>[6]</w:t>
      </w:r>
      <w:r w:rsidRPr="00557D29">
        <w:rPr>
          <w:rFonts w:ascii="Book Antiqua" w:hAnsi="Book Antiqua"/>
          <w:sz w:val="24"/>
          <w:szCs w:val="24"/>
          <w:lang w:val="en-GB"/>
        </w:rPr>
        <w:t>.</w:t>
      </w:r>
    </w:p>
    <w:p w14:paraId="350A8DB1"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To summarise, the choice of adjuvant RT in uLMS should be determined on a case-by-case basis, balancing between the risk of relapse, patient performance status and side effects, considering the absence of a proven benefit</w:t>
      </w:r>
      <w:r w:rsidRPr="00773643">
        <w:rPr>
          <w:rFonts w:ascii="Book Antiqua" w:hAnsi="Book Antiqua"/>
          <w:sz w:val="24"/>
          <w:szCs w:val="24"/>
          <w:vertAlign w:val="superscript"/>
          <w:lang w:val="en-GB"/>
        </w:rPr>
        <w:t>[24]</w:t>
      </w:r>
      <w:r w:rsidRPr="00773643">
        <w:rPr>
          <w:rFonts w:ascii="Book Antiqua" w:hAnsi="Book Antiqua"/>
          <w:sz w:val="24"/>
          <w:szCs w:val="24"/>
          <w:lang w:val="en-GB"/>
        </w:rPr>
        <w:t>.</w:t>
      </w:r>
    </w:p>
    <w:p w14:paraId="70EA8056" w14:textId="77777777" w:rsidR="002A155B" w:rsidRPr="00773643" w:rsidRDefault="002A155B" w:rsidP="00773643">
      <w:pPr>
        <w:adjustRightInd w:val="0"/>
        <w:snapToGrid w:val="0"/>
        <w:spacing w:line="360" w:lineRule="auto"/>
        <w:jc w:val="both"/>
        <w:rPr>
          <w:rFonts w:ascii="Book Antiqua" w:hAnsi="Book Antiqua"/>
          <w:sz w:val="24"/>
          <w:szCs w:val="24"/>
          <w:highlight w:val="white"/>
          <w:lang w:val="en-GB"/>
        </w:rPr>
      </w:pPr>
    </w:p>
    <w:p w14:paraId="6F4A568E" w14:textId="77777777" w:rsidR="00721041" w:rsidRPr="00773643" w:rsidRDefault="002A155B" w:rsidP="00773643">
      <w:pPr>
        <w:adjustRightInd w:val="0"/>
        <w:snapToGrid w:val="0"/>
        <w:spacing w:line="360" w:lineRule="auto"/>
        <w:jc w:val="both"/>
        <w:rPr>
          <w:rFonts w:ascii="Book Antiqua" w:hAnsi="Book Antiqua"/>
          <w:b/>
          <w:i/>
          <w:iCs/>
          <w:color w:val="131313"/>
          <w:sz w:val="24"/>
          <w:szCs w:val="24"/>
          <w:lang w:val="en-GB"/>
        </w:rPr>
      </w:pPr>
      <w:r w:rsidRPr="00773643">
        <w:rPr>
          <w:rFonts w:ascii="Book Antiqua" w:hAnsi="Book Antiqua"/>
          <w:b/>
          <w:i/>
          <w:iCs/>
          <w:color w:val="131313"/>
          <w:sz w:val="24"/>
          <w:szCs w:val="24"/>
          <w:lang w:val="en-GB"/>
        </w:rPr>
        <w:t>Low-grade endometrial stromal sarcoma</w:t>
      </w:r>
    </w:p>
    <w:p w14:paraId="11E77468" w14:textId="77777777" w:rsidR="002A155B" w:rsidRPr="00557D29" w:rsidRDefault="002A155B" w:rsidP="00773643">
      <w:pPr>
        <w:adjustRightInd w:val="0"/>
        <w:snapToGrid w:val="0"/>
        <w:spacing w:line="360" w:lineRule="auto"/>
        <w:jc w:val="both"/>
        <w:rPr>
          <w:rFonts w:ascii="Book Antiqua" w:hAnsi="Book Antiqua"/>
          <w:b/>
          <w:color w:val="131313"/>
          <w:sz w:val="24"/>
          <w:szCs w:val="24"/>
          <w:lang w:val="en-GB"/>
        </w:rPr>
      </w:pPr>
      <w:r w:rsidRPr="00557D29">
        <w:rPr>
          <w:rFonts w:ascii="Book Antiqua" w:hAnsi="Book Antiqua"/>
          <w:sz w:val="24"/>
          <w:szCs w:val="24"/>
          <w:lang w:val="en-GB"/>
        </w:rPr>
        <w:t>Due to the rarity of the histotype, no data from randomised controlled clinical trials are available on adjuvant RT in LG-ESS</w:t>
      </w:r>
      <w:r w:rsidRPr="00557D29">
        <w:rPr>
          <w:rFonts w:ascii="Book Antiqua" w:hAnsi="Book Antiqua"/>
          <w:sz w:val="24"/>
          <w:szCs w:val="24"/>
          <w:vertAlign w:val="superscript"/>
          <w:lang w:val="en-GB"/>
        </w:rPr>
        <w:t>[25]</w:t>
      </w:r>
      <w:r w:rsidRPr="00557D29">
        <w:rPr>
          <w:rFonts w:ascii="Book Antiqua" w:hAnsi="Book Antiqua"/>
          <w:sz w:val="24"/>
          <w:szCs w:val="24"/>
          <w:lang w:val="en-GB"/>
        </w:rPr>
        <w:t>; most data on LG-ESS arise from epidemiologic studies involving results of all US</w:t>
      </w:r>
      <w:r w:rsidRPr="00557D29">
        <w:rPr>
          <w:rFonts w:ascii="Book Antiqua" w:hAnsi="Book Antiqua"/>
          <w:sz w:val="24"/>
          <w:szCs w:val="24"/>
          <w:vertAlign w:val="superscript"/>
          <w:lang w:val="en-GB"/>
        </w:rPr>
        <w:t>[26,27]</w:t>
      </w:r>
      <w:r w:rsidRPr="00557D29">
        <w:rPr>
          <w:rFonts w:ascii="Book Antiqua" w:hAnsi="Book Antiqua"/>
          <w:sz w:val="24"/>
          <w:szCs w:val="24"/>
          <w:lang w:val="en-GB"/>
        </w:rPr>
        <w:t>. The EORTC trial 55874 included 30 cases of ESS but the small study sample size and the heterogeneous patient population including LG-ESS and HG-ESS did not permit any reliable analysis</w:t>
      </w:r>
      <w:r w:rsidRPr="00557D29">
        <w:rPr>
          <w:rFonts w:ascii="Book Antiqua" w:hAnsi="Book Antiqua"/>
          <w:sz w:val="24"/>
          <w:szCs w:val="24"/>
          <w:vertAlign w:val="superscript"/>
          <w:lang w:val="en-GB"/>
        </w:rPr>
        <w:t>[23]</w:t>
      </w:r>
      <w:r w:rsidRPr="00557D29">
        <w:rPr>
          <w:rFonts w:ascii="Book Antiqua" w:hAnsi="Book Antiqua"/>
          <w:sz w:val="24"/>
          <w:szCs w:val="24"/>
          <w:lang w:val="en-GB"/>
        </w:rPr>
        <w:t xml:space="preserve">. </w:t>
      </w:r>
    </w:p>
    <w:p w14:paraId="77698621"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Postoperative RT appears to be of limited clinical value in LG-ESS although in several retrospective studies, adjuvant RT has been associated with a better loco-regional control without any impact on survival</w:t>
      </w:r>
      <w:r w:rsidRPr="00557D29">
        <w:rPr>
          <w:rFonts w:ascii="Book Antiqua" w:hAnsi="Book Antiqua"/>
          <w:sz w:val="24"/>
          <w:szCs w:val="24"/>
          <w:vertAlign w:val="superscript"/>
          <w:lang w:val="en-GB"/>
        </w:rPr>
        <w:t>[28–31]</w:t>
      </w:r>
      <w:r w:rsidRPr="00557D29">
        <w:rPr>
          <w:rFonts w:ascii="Book Antiqua" w:hAnsi="Book Antiqua"/>
          <w:sz w:val="24"/>
          <w:szCs w:val="24"/>
          <w:lang w:val="en-GB"/>
        </w:rPr>
        <w:t>. As RT seems to provide a local control and considering the usually good prognosis of patients with LG-ESS, the benefit of a postoperative treatment should be weighed against its side effects. As in the case of uLMS, the decision of whether to use postoperative RT in LG-ESS should be closely individualised, considering risk factors such as pelvic extension or cervical canal involvement and the possibility of using external beam pelvic radiation alone or combined with brachytherapy</w:t>
      </w:r>
      <w:r w:rsidRPr="00773643">
        <w:rPr>
          <w:rFonts w:ascii="Book Antiqua" w:hAnsi="Book Antiqua"/>
          <w:sz w:val="24"/>
          <w:szCs w:val="24"/>
          <w:vertAlign w:val="superscript"/>
          <w:lang w:val="en-GB"/>
        </w:rPr>
        <w:t>[6]</w:t>
      </w:r>
      <w:r w:rsidRPr="00773643">
        <w:rPr>
          <w:rFonts w:ascii="Book Antiqua" w:hAnsi="Book Antiqua"/>
          <w:sz w:val="24"/>
          <w:szCs w:val="24"/>
          <w:lang w:val="en-GB"/>
        </w:rPr>
        <w:t>.</w:t>
      </w:r>
      <w:r w:rsidRPr="00773643">
        <w:rPr>
          <w:rFonts w:ascii="Book Antiqua" w:hAnsi="Book Antiqua"/>
          <w:sz w:val="24"/>
          <w:szCs w:val="24"/>
          <w:highlight w:val="white"/>
          <w:lang w:val="en-GB"/>
        </w:rPr>
        <w:t xml:space="preserve"> </w:t>
      </w:r>
    </w:p>
    <w:p w14:paraId="264BA3B7" w14:textId="77777777" w:rsidR="002A155B" w:rsidRPr="00773643" w:rsidRDefault="002A155B" w:rsidP="00773643">
      <w:pPr>
        <w:adjustRightInd w:val="0"/>
        <w:snapToGrid w:val="0"/>
        <w:spacing w:line="360" w:lineRule="auto"/>
        <w:jc w:val="both"/>
        <w:rPr>
          <w:rFonts w:ascii="Book Antiqua" w:hAnsi="Book Antiqua"/>
          <w:color w:val="131313"/>
          <w:sz w:val="24"/>
          <w:szCs w:val="24"/>
          <w:lang w:val="en-GB"/>
        </w:rPr>
      </w:pPr>
    </w:p>
    <w:p w14:paraId="3ED4638B" w14:textId="77777777" w:rsidR="002A155B" w:rsidRPr="00773643" w:rsidRDefault="00721041" w:rsidP="00773643">
      <w:pPr>
        <w:adjustRightInd w:val="0"/>
        <w:snapToGrid w:val="0"/>
        <w:spacing w:line="360" w:lineRule="auto"/>
        <w:jc w:val="both"/>
        <w:rPr>
          <w:rFonts w:ascii="Book Antiqua" w:hAnsi="Book Antiqua"/>
          <w:sz w:val="24"/>
          <w:szCs w:val="24"/>
          <w:lang w:val="en-GB"/>
        </w:rPr>
      </w:pPr>
      <w:r w:rsidRPr="00773643">
        <w:rPr>
          <w:rFonts w:ascii="Book Antiqua" w:hAnsi="Book Antiqua"/>
          <w:b/>
          <w:color w:val="131313"/>
          <w:sz w:val="24"/>
          <w:szCs w:val="24"/>
          <w:lang w:val="en-GB"/>
        </w:rPr>
        <w:t>OTHER HISTOTYPES</w:t>
      </w:r>
    </w:p>
    <w:p w14:paraId="74FBB0F2" w14:textId="77777777" w:rsidR="002A155B" w:rsidRPr="00557D29" w:rsidRDefault="002A155B" w:rsidP="00773643">
      <w:pPr>
        <w:adjustRightInd w:val="0"/>
        <w:snapToGrid w:val="0"/>
        <w:spacing w:line="360" w:lineRule="auto"/>
        <w:jc w:val="both"/>
        <w:rPr>
          <w:rFonts w:ascii="Book Antiqua" w:hAnsi="Book Antiqua"/>
          <w:sz w:val="24"/>
          <w:szCs w:val="24"/>
          <w:lang w:val="en-GB"/>
        </w:rPr>
      </w:pPr>
      <w:r w:rsidRPr="00557D29">
        <w:rPr>
          <w:rFonts w:ascii="Book Antiqua" w:hAnsi="Book Antiqua"/>
          <w:sz w:val="24"/>
          <w:szCs w:val="24"/>
          <w:lang w:val="en-GB"/>
        </w:rPr>
        <w:t xml:space="preserve">No prospective trials assessing the role of adjuvant RT in HG-ESS, UUS and UAS have been conducted so far. </w:t>
      </w:r>
    </w:p>
    <w:p w14:paraId="76C031DE" w14:textId="77777777" w:rsidR="002A155B" w:rsidRPr="00557D29"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In a recent observational retrospective cohort analysis, adjuvant RT was associated with an increased survival rate in HG-ESS</w:t>
      </w:r>
      <w:r w:rsidRPr="00557D29">
        <w:rPr>
          <w:rFonts w:ascii="Book Antiqua" w:hAnsi="Book Antiqua"/>
          <w:sz w:val="24"/>
          <w:szCs w:val="24"/>
          <w:vertAlign w:val="superscript"/>
          <w:lang w:val="en-GB"/>
        </w:rPr>
        <w:t>[32]</w:t>
      </w:r>
      <w:r w:rsidRPr="00557D29">
        <w:rPr>
          <w:rFonts w:ascii="Book Antiqua" w:hAnsi="Book Antiqua"/>
          <w:sz w:val="24"/>
          <w:szCs w:val="24"/>
          <w:lang w:val="en-GB"/>
        </w:rPr>
        <w:t>; in another retrospective study on HG-ESS, postoperative pelvic RT with or without brachytherapy resulted as the only prognostic factor associated with improved PFS and OS but the small number of patients did not allow any definitive conclusions</w:t>
      </w:r>
      <w:r w:rsidRPr="00557D29">
        <w:rPr>
          <w:rFonts w:ascii="Book Antiqua" w:hAnsi="Book Antiqua"/>
          <w:sz w:val="24"/>
          <w:szCs w:val="24"/>
          <w:vertAlign w:val="superscript"/>
          <w:lang w:val="en-GB"/>
        </w:rPr>
        <w:t>[33]</w:t>
      </w:r>
      <w:r w:rsidRPr="00557D29">
        <w:rPr>
          <w:rFonts w:ascii="Book Antiqua" w:hAnsi="Book Antiqua"/>
          <w:sz w:val="24"/>
          <w:szCs w:val="24"/>
          <w:lang w:val="en-GB"/>
        </w:rPr>
        <w:t xml:space="preserve">. According to the NCCN </w:t>
      </w:r>
      <w:r w:rsidRPr="00F42A1B">
        <w:rPr>
          <w:rFonts w:ascii="Book Antiqua" w:hAnsi="Book Antiqua"/>
          <w:sz w:val="24"/>
          <w:szCs w:val="24"/>
          <w:lang w:val="en-GB"/>
        </w:rPr>
        <w:t>guide</w:t>
      </w:r>
      <w:r w:rsidRPr="00557D29">
        <w:rPr>
          <w:rFonts w:ascii="Book Antiqua" w:hAnsi="Book Antiqua"/>
          <w:sz w:val="24"/>
          <w:szCs w:val="24"/>
          <w:lang w:val="en-GB"/>
        </w:rPr>
        <w:t>lines, adjuvant RT might be considered appropriate in HG-ESS according to a category 2A recommendation based on a lower-level evidence</w:t>
      </w:r>
      <w:r w:rsidRPr="00557D29">
        <w:rPr>
          <w:rFonts w:ascii="Book Antiqua" w:hAnsi="Book Antiqua"/>
          <w:sz w:val="24"/>
          <w:szCs w:val="24"/>
          <w:vertAlign w:val="superscript"/>
          <w:lang w:val="en-GB"/>
        </w:rPr>
        <w:t>[6]</w:t>
      </w:r>
      <w:r w:rsidRPr="00557D29">
        <w:rPr>
          <w:rFonts w:ascii="Book Antiqua" w:hAnsi="Book Antiqua"/>
          <w:sz w:val="24"/>
          <w:szCs w:val="24"/>
          <w:lang w:val="en-GB"/>
        </w:rPr>
        <w:t xml:space="preserve">. </w:t>
      </w:r>
    </w:p>
    <w:p w14:paraId="4645F886"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No data on UUS and UAS were included in Reed’s study</w:t>
      </w:r>
      <w:r w:rsidRPr="00557D29">
        <w:rPr>
          <w:rFonts w:ascii="Book Antiqua" w:hAnsi="Book Antiqua"/>
          <w:sz w:val="24"/>
          <w:szCs w:val="24"/>
          <w:vertAlign w:val="superscript"/>
          <w:lang w:val="en-GB"/>
        </w:rPr>
        <w:t>[23]</w:t>
      </w:r>
      <w:r w:rsidRPr="00557D29">
        <w:rPr>
          <w:rFonts w:ascii="Book Antiqua" w:hAnsi="Book Antiqua"/>
          <w:sz w:val="24"/>
          <w:szCs w:val="24"/>
          <w:lang w:val="en-GB"/>
        </w:rPr>
        <w:t xml:space="preserve"> and several </w:t>
      </w:r>
      <w:r w:rsidRPr="00F42A1B">
        <w:rPr>
          <w:rFonts w:ascii="Book Antiqua" w:hAnsi="Book Antiqua"/>
          <w:sz w:val="24"/>
          <w:szCs w:val="24"/>
          <w:lang w:val="en-GB"/>
        </w:rPr>
        <w:t>retro</w:t>
      </w:r>
      <w:r w:rsidRPr="00557D29">
        <w:rPr>
          <w:rFonts w:ascii="Book Antiqua" w:hAnsi="Book Antiqua"/>
          <w:sz w:val="24"/>
          <w:szCs w:val="24"/>
          <w:lang w:val="en-GB"/>
        </w:rPr>
        <w:t>spective studies showed no benefit in OS with postoperative RT in resected UAS</w:t>
      </w:r>
      <w:r w:rsidRPr="00557D29">
        <w:rPr>
          <w:rFonts w:ascii="Book Antiqua" w:hAnsi="Book Antiqua"/>
          <w:sz w:val="24"/>
          <w:szCs w:val="24"/>
          <w:vertAlign w:val="superscript"/>
          <w:lang w:val="en-GB"/>
        </w:rPr>
        <w:t>[7,34,</w:t>
      </w:r>
      <w:r w:rsidR="00721041" w:rsidRPr="00557D29">
        <w:rPr>
          <w:rFonts w:ascii="Book Antiqua" w:hAnsi="Book Antiqua"/>
          <w:sz w:val="24"/>
          <w:szCs w:val="24"/>
          <w:vertAlign w:val="superscript"/>
          <w:lang w:val="en-GB"/>
        </w:rPr>
        <w:t>3</w:t>
      </w:r>
      <w:r w:rsidRPr="00557D29">
        <w:rPr>
          <w:rFonts w:ascii="Book Antiqua" w:hAnsi="Book Antiqua"/>
          <w:sz w:val="24"/>
          <w:szCs w:val="24"/>
          <w:vertAlign w:val="superscript"/>
          <w:lang w:val="en-GB"/>
        </w:rPr>
        <w:t>5]</w:t>
      </w:r>
      <w:r w:rsidRPr="00557D29">
        <w:rPr>
          <w:rFonts w:ascii="Book Antiqua" w:hAnsi="Book Antiqua"/>
          <w:sz w:val="24"/>
          <w:szCs w:val="24"/>
          <w:lang w:val="en-GB"/>
        </w:rPr>
        <w:t>. Moreover, the balance between the untested benefit of RT and the well-known pelvic side effects makes this treatment less recommended in the adjuvant setting; current guidelines do not recommend the routine use of adjuvant pelvic radiation in completely resected UUS and UAS</w:t>
      </w:r>
      <w:r w:rsidRPr="00773643">
        <w:rPr>
          <w:rFonts w:ascii="Book Antiqua" w:hAnsi="Book Antiqua"/>
          <w:sz w:val="24"/>
          <w:szCs w:val="24"/>
          <w:vertAlign w:val="superscript"/>
          <w:lang w:val="en-GB"/>
        </w:rPr>
        <w:t>[36]</w:t>
      </w:r>
      <w:r w:rsidRPr="00773643">
        <w:rPr>
          <w:rFonts w:ascii="Book Antiqua" w:hAnsi="Book Antiqua"/>
          <w:sz w:val="24"/>
          <w:szCs w:val="24"/>
          <w:lang w:val="en-GB"/>
        </w:rPr>
        <w:t>.</w:t>
      </w:r>
    </w:p>
    <w:p w14:paraId="055C15A8" w14:textId="77777777" w:rsidR="002A155B" w:rsidRPr="00773643" w:rsidRDefault="002A155B" w:rsidP="00773643">
      <w:pPr>
        <w:adjustRightInd w:val="0"/>
        <w:snapToGrid w:val="0"/>
        <w:spacing w:line="360" w:lineRule="auto"/>
        <w:jc w:val="both"/>
        <w:rPr>
          <w:rFonts w:ascii="Book Antiqua" w:hAnsi="Book Antiqua"/>
          <w:sz w:val="24"/>
          <w:szCs w:val="24"/>
          <w:lang w:val="en-GB"/>
        </w:rPr>
      </w:pPr>
    </w:p>
    <w:p w14:paraId="38B793DD" w14:textId="77777777" w:rsidR="002A155B" w:rsidRPr="00773643" w:rsidRDefault="00721041"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ADJUVANT CHEMOTHERAPY</w:t>
      </w:r>
    </w:p>
    <w:p w14:paraId="75B06A36" w14:textId="77777777" w:rsidR="002A155B" w:rsidRPr="00773643" w:rsidRDefault="002A155B" w:rsidP="00773643">
      <w:pPr>
        <w:adjustRightInd w:val="0"/>
        <w:snapToGrid w:val="0"/>
        <w:spacing w:line="360" w:lineRule="auto"/>
        <w:jc w:val="both"/>
        <w:rPr>
          <w:rFonts w:ascii="Book Antiqua" w:hAnsi="Book Antiqua"/>
          <w:b/>
          <w:i/>
          <w:iCs/>
          <w:sz w:val="24"/>
          <w:szCs w:val="24"/>
          <w:lang w:val="en-GB"/>
        </w:rPr>
      </w:pPr>
      <w:r w:rsidRPr="00773643">
        <w:rPr>
          <w:rFonts w:ascii="Book Antiqua" w:hAnsi="Book Antiqua"/>
          <w:b/>
          <w:i/>
          <w:iCs/>
          <w:sz w:val="24"/>
          <w:szCs w:val="24"/>
          <w:lang w:val="en-GB"/>
        </w:rPr>
        <w:t>Uterine Leiomyosarcoma</w:t>
      </w:r>
    </w:p>
    <w:p w14:paraId="0BE78D29" w14:textId="5CEFA325" w:rsidR="002A155B" w:rsidRPr="00773643" w:rsidRDefault="002A155B" w:rsidP="00F555A5">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Despite the critical need to lower the estimated 50</w:t>
      </w:r>
      <w:r w:rsidR="002C2F18">
        <w:rPr>
          <w:rFonts w:ascii="Book Antiqua" w:hAnsi="Book Antiqua"/>
          <w:sz w:val="24"/>
          <w:szCs w:val="24"/>
          <w:lang w:val="en-GB"/>
        </w:rPr>
        <w:t>%</w:t>
      </w:r>
      <w:r w:rsidRPr="00773643">
        <w:rPr>
          <w:rFonts w:ascii="Book Antiqua" w:hAnsi="Book Antiqua"/>
          <w:sz w:val="24"/>
          <w:szCs w:val="24"/>
          <w:lang w:val="en-GB"/>
        </w:rPr>
        <w:t xml:space="preserve"> to 70% risk of recurrence, the role of adjuvant chemotherapy (ChT) for resected uLMS remains controversial</w:t>
      </w:r>
      <w:r w:rsidRPr="00993746">
        <w:rPr>
          <w:rFonts w:ascii="Book Antiqua" w:hAnsi="Book Antiqua"/>
          <w:sz w:val="24"/>
          <w:szCs w:val="24"/>
          <w:vertAlign w:val="superscript"/>
          <w:lang w:val="en-GB"/>
        </w:rPr>
        <w:t>[6,9]</w:t>
      </w:r>
      <w:r w:rsidRPr="00773643">
        <w:rPr>
          <w:rFonts w:ascii="Book Antiqua" w:hAnsi="Book Antiqua"/>
          <w:sz w:val="24"/>
          <w:szCs w:val="24"/>
          <w:lang w:val="en-GB"/>
        </w:rPr>
        <w:t>. Several studies investigating the role of postoperative ChT for resected uLMS had several biases limiting possible interpretations such as patient population heterogeneity, frequent small sample sizes and single-arm design. Studies including patients affected by different histotypes of US might lead to interpretation misunderstandings because a potential benefit might be due to this heterogeneity; an example is the inclusion of low-grade histologies such as LG-ESS characterised by better prognosis compared to uLMS.</w:t>
      </w:r>
    </w:p>
    <w:p w14:paraId="4D1F14F7" w14:textId="77777777" w:rsidR="002A155B" w:rsidRPr="00773643" w:rsidRDefault="002A155B" w:rsidP="00F555A5">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Many cytotoxic regimens have been tested in the adjuvant setting with minimal, if any, benefit</w:t>
      </w:r>
      <w:r w:rsidRPr="00773643">
        <w:rPr>
          <w:rFonts w:ascii="Book Antiqua" w:hAnsi="Book Antiqua"/>
          <w:sz w:val="24"/>
          <w:szCs w:val="24"/>
          <w:vertAlign w:val="superscript"/>
          <w:lang w:val="en-GB"/>
        </w:rPr>
        <w:t>[24]</w:t>
      </w:r>
      <w:r w:rsidR="00721041" w:rsidRPr="00773643">
        <w:rPr>
          <w:rFonts w:ascii="Book Antiqua" w:eastAsia="Times New Roman" w:hAnsi="Book Antiqua" w:cs="Times New Roman"/>
          <w:bCs/>
          <w:color w:val="131313"/>
          <w:sz w:val="24"/>
          <w:szCs w:val="24"/>
          <w:lang w:val="en-GB"/>
        </w:rPr>
        <w:t>.</w:t>
      </w:r>
      <w:r w:rsidRPr="00773643">
        <w:rPr>
          <w:rFonts w:ascii="Book Antiqua" w:eastAsia="Times New Roman" w:hAnsi="Book Antiqua" w:cs="Times New Roman"/>
          <w:bCs/>
          <w:color w:val="131313"/>
          <w:sz w:val="24"/>
          <w:szCs w:val="24"/>
          <w:lang w:val="en-GB"/>
        </w:rPr>
        <w:t xml:space="preserve"> </w:t>
      </w:r>
      <w:r w:rsidRPr="00773643">
        <w:rPr>
          <w:rFonts w:ascii="Book Antiqua" w:hAnsi="Book Antiqua"/>
          <w:sz w:val="24"/>
          <w:szCs w:val="24"/>
          <w:lang w:val="en-GB"/>
        </w:rPr>
        <w:t>Most studies have used ifosfamide, doxorubicin, gemcitabine and docetaxel as single agent or in combination as in the case of advanced or metastatic uLMS</w:t>
      </w:r>
      <w:r w:rsidRPr="00773643">
        <w:rPr>
          <w:rFonts w:ascii="Book Antiqua" w:hAnsi="Book Antiqua"/>
          <w:sz w:val="24"/>
          <w:szCs w:val="24"/>
          <w:vertAlign w:val="superscript"/>
          <w:lang w:val="en-GB"/>
        </w:rPr>
        <w:t>[37–39]</w:t>
      </w:r>
      <w:r w:rsidRPr="00773643">
        <w:rPr>
          <w:rFonts w:ascii="Book Antiqua" w:hAnsi="Book Antiqua"/>
          <w:sz w:val="24"/>
          <w:szCs w:val="24"/>
          <w:lang w:val="en-GB"/>
        </w:rPr>
        <w:t>.</w:t>
      </w:r>
    </w:p>
    <w:p w14:paraId="3C7434FA" w14:textId="25C35A41" w:rsidR="002A155B" w:rsidRPr="00773643" w:rsidRDefault="002A155B" w:rsidP="00F555A5">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The first study which attempted to evaluate the role of postoperative ChT in completely resected US, randomly selected patients to receive doxorubicin (60 mg/m</w:t>
      </w:r>
      <w:r w:rsidRPr="00773643">
        <w:rPr>
          <w:rFonts w:ascii="Book Antiqua" w:hAnsi="Book Antiqua"/>
          <w:sz w:val="24"/>
          <w:szCs w:val="24"/>
          <w:vertAlign w:val="superscript"/>
          <w:lang w:val="en-GB"/>
        </w:rPr>
        <w:t>2</w:t>
      </w:r>
      <w:r w:rsidRPr="00773643">
        <w:rPr>
          <w:rFonts w:ascii="Book Antiqua" w:hAnsi="Book Antiqua"/>
          <w:sz w:val="24"/>
          <w:szCs w:val="24"/>
          <w:lang w:val="en-GB"/>
        </w:rPr>
        <w:t xml:space="preserve"> every 3 wk for a total of eight cycles planned) observation</w:t>
      </w:r>
      <w:r w:rsidRPr="00773643">
        <w:rPr>
          <w:rFonts w:ascii="Book Antiqua" w:hAnsi="Book Antiqua"/>
          <w:sz w:val="24"/>
          <w:szCs w:val="24"/>
          <w:vertAlign w:val="superscript"/>
          <w:lang w:val="en-GB"/>
        </w:rPr>
        <w:t>[40]</w:t>
      </w:r>
      <w:r w:rsidRPr="00773643">
        <w:rPr>
          <w:rFonts w:ascii="Book Antiqua" w:hAnsi="Book Antiqua"/>
          <w:sz w:val="24"/>
          <w:szCs w:val="24"/>
          <w:lang w:val="en-GB"/>
        </w:rPr>
        <w:t>. Of the 156 patients included, 48 had uLMS and 25 among them received doxorubicin; the trial indicated no statistically significant difference in OS, PFS and recurrence rates in the two groups, regardless of pelvic radiation. The interpretation of the trial is significantly limited by the non-random use of RT, by the mixed histology population and the lack of protocol-specified imaging for disease status. Although these results were not satisfactory, this trial is considered of major importance because it has set the stage for all the successive studies.</w:t>
      </w:r>
    </w:p>
    <w:p w14:paraId="51212E37"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 xml:space="preserve">As in the case of doxorubicin, adjuvant ifosfamide has been tested after </w:t>
      </w:r>
      <w:r w:rsidRPr="00F42A1B">
        <w:rPr>
          <w:rFonts w:ascii="Book Antiqua" w:hAnsi="Book Antiqua"/>
          <w:sz w:val="24"/>
          <w:szCs w:val="24"/>
          <w:lang w:val="en-GB"/>
        </w:rPr>
        <w:t>hysterecto</w:t>
      </w:r>
      <w:r w:rsidRPr="00773643">
        <w:rPr>
          <w:rFonts w:ascii="Book Antiqua" w:hAnsi="Book Antiqua"/>
          <w:sz w:val="24"/>
          <w:szCs w:val="24"/>
          <w:lang w:val="en-GB"/>
        </w:rPr>
        <w:t xml:space="preserve">my in US. Kushner </w:t>
      </w:r>
      <w:r w:rsidRPr="00993746">
        <w:rPr>
          <w:rFonts w:ascii="Book Antiqua" w:hAnsi="Book Antiqua"/>
          <w:i/>
          <w:iCs/>
          <w:sz w:val="24"/>
          <w:szCs w:val="24"/>
          <w:lang w:val="en-GB"/>
        </w:rPr>
        <w:t>et al</w:t>
      </w:r>
      <w:r w:rsidR="00993746" w:rsidRPr="00773643">
        <w:rPr>
          <w:rFonts w:ascii="Book Antiqua" w:hAnsi="Book Antiqua"/>
          <w:sz w:val="24"/>
          <w:szCs w:val="24"/>
          <w:vertAlign w:val="superscript"/>
          <w:lang w:val="en-GB"/>
        </w:rPr>
        <w:t>[41]</w:t>
      </w:r>
      <w:r w:rsidRPr="00773643">
        <w:rPr>
          <w:rFonts w:ascii="Book Antiqua" w:hAnsi="Book Antiqua"/>
          <w:sz w:val="24"/>
          <w:szCs w:val="24"/>
          <w:lang w:val="en-GB"/>
        </w:rPr>
        <w:t xml:space="preserve"> evaluated the role of adjuvant single-agent ifosfamide in 13 patients with completely resected US, 6 of whom had uLMS. Patients were treated with Ifosfamide 1.5 g/m</w:t>
      </w:r>
      <w:r w:rsidRPr="00BB0A44">
        <w:rPr>
          <w:rFonts w:ascii="Book Antiqua" w:hAnsi="Book Antiqua"/>
          <w:sz w:val="24"/>
          <w:szCs w:val="24"/>
          <w:vertAlign w:val="superscript"/>
          <w:lang w:val="en-GB"/>
        </w:rPr>
        <w:t>2</w:t>
      </w:r>
      <w:r w:rsidRPr="00773643">
        <w:rPr>
          <w:rFonts w:ascii="Book Antiqua" w:hAnsi="Book Antiqua"/>
          <w:sz w:val="24"/>
          <w:szCs w:val="24"/>
          <w:lang w:val="en-GB"/>
        </w:rPr>
        <w:t>/d for 3 d repeatedly after</w:t>
      </w:r>
      <w:r w:rsidR="00721041" w:rsidRPr="00773643">
        <w:rPr>
          <w:rFonts w:ascii="Book Antiqua" w:hAnsi="Book Antiqua"/>
          <w:sz w:val="24"/>
          <w:szCs w:val="24"/>
          <w:lang w:val="en-GB"/>
        </w:rPr>
        <w:t xml:space="preserve"> </w:t>
      </w:r>
      <w:r w:rsidRPr="00773643">
        <w:rPr>
          <w:rFonts w:ascii="Book Antiqua" w:hAnsi="Book Antiqua"/>
          <w:sz w:val="24"/>
          <w:szCs w:val="24"/>
          <w:lang w:val="en-GB"/>
        </w:rPr>
        <w:t>every 28 d for a total of three planned cycles. Five of the 6 patients with LMS showed recurrence (83%) and among the four patients with stages I or II, the 2-years PFS was 33%</w:t>
      </w:r>
      <w:r w:rsidRPr="00773643">
        <w:rPr>
          <w:rFonts w:ascii="Book Antiqua" w:hAnsi="Book Antiqua"/>
          <w:sz w:val="24"/>
          <w:szCs w:val="24"/>
          <w:vertAlign w:val="superscript"/>
          <w:lang w:val="en-GB"/>
        </w:rPr>
        <w:t>[41]</w:t>
      </w:r>
      <w:r w:rsidRPr="00773643">
        <w:rPr>
          <w:rFonts w:ascii="Book Antiqua" w:hAnsi="Book Antiqua"/>
          <w:sz w:val="24"/>
          <w:szCs w:val="24"/>
          <w:lang w:val="en-GB"/>
        </w:rPr>
        <w:t>. The small patient population, the lack of a control arm and the heterogeneity of the study group did not permit any reliable findings.</w:t>
      </w:r>
    </w:p>
    <w:p w14:paraId="00F6D431"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In order to transfer the results obtained in advanced uLMS</w:t>
      </w:r>
      <w:r w:rsidRPr="00773643">
        <w:rPr>
          <w:rFonts w:ascii="Book Antiqua" w:hAnsi="Book Antiqua"/>
          <w:sz w:val="24"/>
          <w:szCs w:val="24"/>
          <w:vertAlign w:val="superscript"/>
          <w:lang w:val="en-GB"/>
        </w:rPr>
        <w:t>[42–44]</w:t>
      </w:r>
      <w:r w:rsidRPr="00773643">
        <w:rPr>
          <w:rFonts w:ascii="Book Antiqua" w:hAnsi="Book Antiqua"/>
          <w:sz w:val="24"/>
          <w:szCs w:val="24"/>
          <w:lang w:val="en-GB"/>
        </w:rPr>
        <w:t>, the combination of gemcitabine-docetaxel was tested in the adjuvant setting in a phase 2 trial for women with completely resected stages I–IV uLMS</w:t>
      </w:r>
      <w:r w:rsidRPr="00773643">
        <w:rPr>
          <w:rFonts w:ascii="Book Antiqua" w:hAnsi="Book Antiqua"/>
          <w:sz w:val="24"/>
          <w:szCs w:val="24"/>
          <w:vertAlign w:val="superscript"/>
          <w:lang w:val="en-GB"/>
        </w:rPr>
        <w:t>[</w:t>
      </w:r>
      <w:r w:rsidR="001E0EA5" w:rsidRPr="00773643">
        <w:rPr>
          <w:rFonts w:ascii="Book Antiqua" w:hAnsi="Book Antiqua"/>
          <w:sz w:val="24"/>
          <w:szCs w:val="24"/>
          <w:vertAlign w:val="superscript"/>
          <w:lang w:val="en-GB"/>
        </w:rPr>
        <w:t>11</w:t>
      </w:r>
      <w:r w:rsidRPr="00773643">
        <w:rPr>
          <w:rFonts w:ascii="Book Antiqua" w:hAnsi="Book Antiqua"/>
          <w:sz w:val="24"/>
          <w:szCs w:val="24"/>
          <w:vertAlign w:val="superscript"/>
          <w:lang w:val="en-GB"/>
        </w:rPr>
        <w:t>]</w:t>
      </w:r>
      <w:r w:rsidRPr="00773643">
        <w:rPr>
          <w:rFonts w:ascii="Book Antiqua" w:hAnsi="Book Antiqua"/>
          <w:sz w:val="24"/>
          <w:szCs w:val="24"/>
          <w:lang w:val="en-GB"/>
        </w:rPr>
        <w:t>. The aim of this single-arm study was to determine the potential benefit of four cycles of gemcitabine 900 mg/m</w:t>
      </w:r>
      <w:r w:rsidRPr="00773643">
        <w:rPr>
          <w:rFonts w:ascii="Book Antiqua" w:hAnsi="Book Antiqua"/>
          <w:sz w:val="24"/>
          <w:szCs w:val="24"/>
          <w:vertAlign w:val="superscript"/>
          <w:lang w:val="en-GB"/>
        </w:rPr>
        <w:t>2</w:t>
      </w:r>
      <w:r w:rsidRPr="00773643">
        <w:rPr>
          <w:rFonts w:ascii="Book Antiqua" w:hAnsi="Book Antiqua"/>
          <w:sz w:val="24"/>
          <w:szCs w:val="24"/>
          <w:lang w:val="en-GB"/>
        </w:rPr>
        <w:t xml:space="preserve"> a day on day 1 and day 8 and docetaxel 75 mg/m</w:t>
      </w:r>
      <w:r w:rsidRPr="00773643">
        <w:rPr>
          <w:rFonts w:ascii="Book Antiqua" w:hAnsi="Book Antiqua"/>
          <w:sz w:val="24"/>
          <w:szCs w:val="24"/>
          <w:vertAlign w:val="superscript"/>
          <w:lang w:val="en-GB"/>
        </w:rPr>
        <w:t>2</w:t>
      </w:r>
      <w:r w:rsidRPr="00773643">
        <w:rPr>
          <w:rFonts w:ascii="Book Antiqua" w:hAnsi="Book Antiqua"/>
          <w:sz w:val="24"/>
          <w:szCs w:val="24"/>
          <w:lang w:val="en-GB"/>
        </w:rPr>
        <w:t xml:space="preserve"> on day 8. On the basis of literature indicating that about the 30% of patients with stages I-IV high grade uLMS are progression-free 2 years after hysterectomy</w:t>
      </w:r>
      <w:r w:rsidRPr="00773643">
        <w:rPr>
          <w:rFonts w:ascii="Book Antiqua" w:hAnsi="Book Antiqua"/>
          <w:sz w:val="24"/>
          <w:szCs w:val="24"/>
          <w:vertAlign w:val="superscript"/>
          <w:lang w:val="en-GB"/>
        </w:rPr>
        <w:t>[41,4</w:t>
      </w:r>
      <w:r w:rsidR="001E0EA5" w:rsidRPr="00773643">
        <w:rPr>
          <w:rFonts w:ascii="Book Antiqua" w:hAnsi="Book Antiqua"/>
          <w:sz w:val="24"/>
          <w:szCs w:val="24"/>
          <w:vertAlign w:val="superscript"/>
          <w:lang w:val="en-GB"/>
        </w:rPr>
        <w:t>5</w:t>
      </w:r>
      <w:r w:rsidRPr="00773643">
        <w:rPr>
          <w:rFonts w:ascii="Book Antiqua" w:hAnsi="Book Antiqua"/>
          <w:sz w:val="24"/>
          <w:szCs w:val="24"/>
          <w:vertAlign w:val="superscript"/>
          <w:lang w:val="en-GB"/>
        </w:rPr>
        <w:t>]</w:t>
      </w:r>
      <w:r w:rsidRPr="00773643">
        <w:rPr>
          <w:rFonts w:ascii="Book Antiqua" w:hAnsi="Book Antiqua"/>
          <w:sz w:val="24"/>
          <w:szCs w:val="24"/>
          <w:lang w:val="en-GB"/>
        </w:rPr>
        <w:t>, the study was designed to determine whether adjuvant treatment of women with completely resected uLMS who received the combination of gemcitabine-docetaxel would result in at least 40% of women remaining progression-free at 2 years. The target enrolment was 39 patients but the study was terminated after 25 patients because of the promising results; in fact, 45% of patients were disease-free at 2 years, supporting a potential benefit of this adjuvant schedule</w:t>
      </w:r>
      <w:r w:rsidRPr="00773643">
        <w:rPr>
          <w:rFonts w:ascii="Book Antiqua" w:hAnsi="Book Antiqua"/>
          <w:sz w:val="24"/>
          <w:szCs w:val="24"/>
          <w:vertAlign w:val="superscript"/>
          <w:lang w:val="en-GB"/>
        </w:rPr>
        <w:t>[</w:t>
      </w:r>
      <w:r w:rsidR="001E0EA5" w:rsidRPr="00773643">
        <w:rPr>
          <w:rFonts w:ascii="Book Antiqua" w:hAnsi="Book Antiqua"/>
          <w:sz w:val="24"/>
          <w:szCs w:val="24"/>
          <w:vertAlign w:val="superscript"/>
          <w:lang w:val="en-GB"/>
        </w:rPr>
        <w:t>11</w:t>
      </w:r>
      <w:r w:rsidRPr="00773643">
        <w:rPr>
          <w:rFonts w:ascii="Book Antiqua" w:hAnsi="Book Antiqua"/>
          <w:sz w:val="24"/>
          <w:szCs w:val="24"/>
          <w:vertAlign w:val="superscript"/>
          <w:lang w:val="en-GB"/>
        </w:rPr>
        <w:t>]</w:t>
      </w:r>
      <w:r w:rsidRPr="00773643">
        <w:rPr>
          <w:rFonts w:ascii="Book Antiqua" w:hAnsi="Book Antiqua"/>
          <w:sz w:val="24"/>
          <w:szCs w:val="24"/>
          <w:lang w:val="en-GB"/>
        </w:rPr>
        <w:t>.</w:t>
      </w:r>
    </w:p>
    <w:p w14:paraId="183717F9"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 xml:space="preserve">Similarly, the single-arm SARC 005 study evaluated the combination of </w:t>
      </w:r>
      <w:r w:rsidRPr="00F42A1B">
        <w:rPr>
          <w:rFonts w:ascii="Book Antiqua" w:hAnsi="Book Antiqua"/>
          <w:sz w:val="24"/>
          <w:szCs w:val="24"/>
          <w:lang w:val="en-GB"/>
        </w:rPr>
        <w:t>gemci</w:t>
      </w:r>
      <w:r w:rsidRPr="00773643">
        <w:rPr>
          <w:rFonts w:ascii="Book Antiqua" w:hAnsi="Book Antiqua"/>
          <w:sz w:val="24"/>
          <w:szCs w:val="24"/>
          <w:lang w:val="en-GB"/>
        </w:rPr>
        <w:t>tabine and docetaxel followed by doxorubicin in completely resected, high-grade uLMS</w:t>
      </w:r>
      <w:r w:rsidRPr="00773643">
        <w:rPr>
          <w:rFonts w:ascii="Book Antiqua" w:hAnsi="Book Antiqua"/>
          <w:sz w:val="24"/>
          <w:szCs w:val="24"/>
          <w:vertAlign w:val="superscript"/>
          <w:lang w:val="en-GB"/>
        </w:rPr>
        <w:t>[4</w:t>
      </w:r>
      <w:r w:rsidR="001E0EA5" w:rsidRPr="00773643">
        <w:rPr>
          <w:rFonts w:ascii="Book Antiqua" w:hAnsi="Book Antiqua"/>
          <w:sz w:val="24"/>
          <w:szCs w:val="24"/>
          <w:vertAlign w:val="superscript"/>
          <w:lang w:val="en-GB"/>
        </w:rPr>
        <w:t>6</w:t>
      </w:r>
      <w:r w:rsidRPr="00773643">
        <w:rPr>
          <w:rFonts w:ascii="Book Antiqua" w:hAnsi="Book Antiqua"/>
          <w:sz w:val="24"/>
          <w:szCs w:val="24"/>
          <w:vertAlign w:val="superscript"/>
          <w:lang w:val="en-GB"/>
        </w:rPr>
        <w:t>]</w:t>
      </w:r>
      <w:r w:rsidRPr="00773643">
        <w:rPr>
          <w:rFonts w:ascii="Book Antiqua" w:hAnsi="Book Antiqua"/>
          <w:sz w:val="24"/>
          <w:szCs w:val="24"/>
          <w:lang w:val="en-GB"/>
        </w:rPr>
        <w:t>. Fixed-dose rate gemcitabine and docetaxel (with G-CSF support) were administered every 21 d for a total of 4 cycles; patients negative for recurrence received 4 additional cycles of doxorubicin 60 mg/m</w:t>
      </w:r>
      <w:r w:rsidRPr="00993746">
        <w:rPr>
          <w:rFonts w:ascii="Book Antiqua" w:hAnsi="Book Antiqua"/>
          <w:sz w:val="24"/>
          <w:szCs w:val="24"/>
          <w:vertAlign w:val="superscript"/>
          <w:lang w:val="en-GB"/>
        </w:rPr>
        <w:t>2</w:t>
      </w:r>
      <w:r w:rsidRPr="00773643">
        <w:rPr>
          <w:rFonts w:ascii="Book Antiqua" w:hAnsi="Book Antiqua"/>
          <w:sz w:val="24"/>
          <w:szCs w:val="24"/>
          <w:lang w:val="en-GB"/>
        </w:rPr>
        <w:t>. Forty-seven patients were enrolled, and 46 were evaluated for both PFS and OS at 2 and 3 years; the benefit, similar to the case of the previous study, was considered significant in case of PFS at 2 years of at least 50%. After a median follow-up of 39.8 months, 78% of patients (95%CI</w:t>
      </w:r>
      <w:r w:rsidR="00721041" w:rsidRPr="00773643">
        <w:rPr>
          <w:rFonts w:ascii="Book Antiqua" w:hAnsi="Book Antiqua"/>
          <w:sz w:val="24"/>
          <w:szCs w:val="24"/>
          <w:lang w:val="en-GB"/>
        </w:rPr>
        <w:t>:</w:t>
      </w:r>
      <w:r w:rsidRPr="00773643">
        <w:rPr>
          <w:rFonts w:ascii="Book Antiqua" w:hAnsi="Book Antiqua"/>
          <w:sz w:val="24"/>
          <w:szCs w:val="24"/>
          <w:lang w:val="en-GB"/>
        </w:rPr>
        <w:t xml:space="preserve"> 67</w:t>
      </w:r>
      <w:r w:rsidR="00993746">
        <w:rPr>
          <w:rFonts w:ascii="Book Antiqua" w:hAnsi="Book Antiqua"/>
          <w:sz w:val="24"/>
          <w:szCs w:val="24"/>
          <w:lang w:val="en-GB"/>
        </w:rPr>
        <w:t>%</w:t>
      </w:r>
      <w:r w:rsidRPr="00773643">
        <w:rPr>
          <w:rFonts w:ascii="Book Antiqua" w:hAnsi="Book Antiqua"/>
          <w:sz w:val="24"/>
          <w:szCs w:val="24"/>
          <w:lang w:val="en-GB"/>
        </w:rPr>
        <w:t>–91%) were progression-free at 2 years and 57% (95%CI</w:t>
      </w:r>
      <w:r w:rsidR="00721041" w:rsidRPr="00773643">
        <w:rPr>
          <w:rFonts w:ascii="Book Antiqua" w:hAnsi="Book Antiqua"/>
          <w:sz w:val="24"/>
          <w:szCs w:val="24"/>
          <w:lang w:val="en-GB"/>
        </w:rPr>
        <w:t>:</w:t>
      </w:r>
      <w:r w:rsidRPr="00773643">
        <w:rPr>
          <w:rFonts w:ascii="Book Antiqua" w:hAnsi="Book Antiqua"/>
          <w:sz w:val="24"/>
          <w:szCs w:val="24"/>
          <w:lang w:val="en-GB"/>
        </w:rPr>
        <w:t xml:space="preserve"> 44</w:t>
      </w:r>
      <w:r w:rsidR="00993746">
        <w:rPr>
          <w:rFonts w:ascii="Book Antiqua" w:hAnsi="Book Antiqua"/>
          <w:sz w:val="24"/>
          <w:szCs w:val="24"/>
          <w:lang w:val="en-GB"/>
        </w:rPr>
        <w:t>%</w:t>
      </w:r>
      <w:r w:rsidRPr="00773643">
        <w:rPr>
          <w:rFonts w:ascii="Book Antiqua" w:hAnsi="Book Antiqua"/>
          <w:sz w:val="24"/>
          <w:szCs w:val="24"/>
          <w:lang w:val="en-GB"/>
        </w:rPr>
        <w:t>-74%) at 3 years.</w:t>
      </w:r>
    </w:p>
    <w:p w14:paraId="149F5978"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 xml:space="preserve">These data were considered promising for further investigations even though the two trials presented several limitations. The single-arm nature complicates the possibility of distinguishing between the effect of the treatment and the effect of natural history, and in this specific setting, it is difficult to interpret the response without a frame of reference for comparison. The relatively small number of patients and the single institution study enrolling represent two additional limitations. </w:t>
      </w:r>
    </w:p>
    <w:p w14:paraId="4037FD70" w14:textId="77777777" w:rsidR="002A155B" w:rsidRPr="00773643" w:rsidRDefault="002A155B" w:rsidP="00773643">
      <w:pPr>
        <w:adjustRightInd w:val="0"/>
        <w:snapToGrid w:val="0"/>
        <w:spacing w:line="360" w:lineRule="auto"/>
        <w:jc w:val="both"/>
        <w:rPr>
          <w:rFonts w:ascii="Book Antiqua" w:hAnsi="Book Antiqua"/>
          <w:sz w:val="24"/>
          <w:szCs w:val="24"/>
          <w:lang w:val="en-GB"/>
        </w:rPr>
      </w:pPr>
    </w:p>
    <w:p w14:paraId="3F0293A8" w14:textId="77777777"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lang w:val="en-GB"/>
        </w:rPr>
        <w:t>The possibility of using a multimodal approach has been explored in a randomised trial providing doxorubicin, ifosfamide and cisplatin followed by pelvic irradiation versus pelvic radiation alone in completely resected US</w:t>
      </w:r>
      <w:r w:rsidRPr="00773643">
        <w:rPr>
          <w:rFonts w:ascii="Book Antiqua" w:hAnsi="Book Antiqua"/>
          <w:sz w:val="24"/>
          <w:szCs w:val="24"/>
          <w:vertAlign w:val="superscript"/>
          <w:lang w:val="en-GB"/>
        </w:rPr>
        <w:t>[4</w:t>
      </w:r>
      <w:r w:rsidR="001E0EA5" w:rsidRPr="00773643">
        <w:rPr>
          <w:rFonts w:ascii="Book Antiqua" w:hAnsi="Book Antiqua"/>
          <w:sz w:val="24"/>
          <w:szCs w:val="24"/>
          <w:vertAlign w:val="superscript"/>
          <w:lang w:val="en-GB"/>
        </w:rPr>
        <w:t>7</w:t>
      </w:r>
      <w:r w:rsidRPr="00773643">
        <w:rPr>
          <w:rFonts w:ascii="Book Antiqua" w:hAnsi="Book Antiqua"/>
          <w:sz w:val="24"/>
          <w:szCs w:val="24"/>
          <w:vertAlign w:val="superscript"/>
          <w:lang w:val="en-GB"/>
        </w:rPr>
        <w:t>]</w:t>
      </w:r>
      <w:r w:rsidRPr="00773643">
        <w:rPr>
          <w:rFonts w:ascii="Book Antiqua" w:hAnsi="Book Antiqua"/>
          <w:sz w:val="24"/>
          <w:szCs w:val="24"/>
          <w:lang w:val="en-GB"/>
        </w:rPr>
        <w:t xml:space="preserve">. The schedule was composed as follows: </w:t>
      </w:r>
      <w:r w:rsidRPr="00F42A1B">
        <w:rPr>
          <w:rFonts w:ascii="Book Antiqua" w:hAnsi="Book Antiqua"/>
          <w:sz w:val="24"/>
          <w:szCs w:val="24"/>
          <w:lang w:val="en-GB"/>
        </w:rPr>
        <w:t>d</w:t>
      </w:r>
      <w:r w:rsidRPr="00773643">
        <w:rPr>
          <w:rFonts w:ascii="Book Antiqua" w:hAnsi="Book Antiqua"/>
          <w:sz w:val="24"/>
          <w:szCs w:val="24"/>
          <w:lang w:val="en-GB"/>
        </w:rPr>
        <w:t>oxorubicin 50 mg/m</w:t>
      </w:r>
      <w:r w:rsidRPr="00BB0A44">
        <w:rPr>
          <w:rFonts w:ascii="Book Antiqua" w:hAnsi="Book Antiqua"/>
          <w:sz w:val="24"/>
          <w:szCs w:val="24"/>
          <w:vertAlign w:val="superscript"/>
          <w:lang w:val="en-GB"/>
        </w:rPr>
        <w:t>2</w:t>
      </w:r>
      <w:r w:rsidRPr="00773643">
        <w:rPr>
          <w:rFonts w:ascii="Book Antiqua" w:hAnsi="Book Antiqua"/>
          <w:sz w:val="24"/>
          <w:szCs w:val="24"/>
          <w:lang w:val="en-GB"/>
        </w:rPr>
        <w:t xml:space="preserve"> on day 1, ifosfamide 3 mg/m</w:t>
      </w:r>
      <w:r w:rsidRPr="00773643">
        <w:rPr>
          <w:rFonts w:ascii="Book Antiqua" w:hAnsi="Book Antiqua"/>
          <w:sz w:val="24"/>
          <w:szCs w:val="24"/>
          <w:vertAlign w:val="superscript"/>
          <w:lang w:val="en-GB"/>
        </w:rPr>
        <w:t xml:space="preserve">2 </w:t>
      </w:r>
      <w:r w:rsidRPr="00773643">
        <w:rPr>
          <w:rFonts w:ascii="Book Antiqua" w:hAnsi="Book Antiqua"/>
          <w:sz w:val="24"/>
          <w:szCs w:val="24"/>
          <w:lang w:val="en-GB"/>
        </w:rPr>
        <w:t>on day 1 and day 2, cisplatin 75 mg/m</w:t>
      </w:r>
      <w:r w:rsidRPr="00BB0A44">
        <w:rPr>
          <w:rFonts w:ascii="Book Antiqua" w:hAnsi="Book Antiqua"/>
          <w:sz w:val="24"/>
          <w:szCs w:val="24"/>
          <w:vertAlign w:val="superscript"/>
          <w:lang w:val="en-GB"/>
        </w:rPr>
        <w:t>2</w:t>
      </w:r>
      <w:r w:rsidRPr="00773643">
        <w:rPr>
          <w:rFonts w:ascii="Book Antiqua" w:hAnsi="Book Antiqua"/>
          <w:sz w:val="24"/>
          <w:szCs w:val="24"/>
          <w:lang w:val="en-GB"/>
        </w:rPr>
        <w:t xml:space="preserve"> on day 3, for a total of 4 cycles. The combined ChT and RT arm showed a prolonged 3-year disease-free survival (DFS) (55% </w:t>
      </w:r>
      <w:r w:rsidR="001F38B2" w:rsidRPr="001F38B2">
        <w:rPr>
          <w:rFonts w:ascii="Book Antiqua" w:hAnsi="Book Antiqua"/>
          <w:i/>
          <w:iCs/>
          <w:sz w:val="24"/>
          <w:szCs w:val="24"/>
          <w:lang w:val="en-GB"/>
        </w:rPr>
        <w:t xml:space="preserve">vs </w:t>
      </w:r>
      <w:r w:rsidRPr="00773643">
        <w:rPr>
          <w:rFonts w:ascii="Book Antiqua" w:hAnsi="Book Antiqua"/>
          <w:sz w:val="24"/>
          <w:szCs w:val="24"/>
          <w:lang w:val="en-GB"/>
        </w:rPr>
        <w:t xml:space="preserve">41%, </w:t>
      </w:r>
      <w:r w:rsidR="00721041" w:rsidRPr="00773643">
        <w:rPr>
          <w:rFonts w:ascii="Book Antiqua" w:hAnsi="Book Antiqua"/>
          <w:i/>
          <w:iCs/>
          <w:sz w:val="24"/>
          <w:szCs w:val="24"/>
          <w:lang w:val="en-GB"/>
        </w:rPr>
        <w:t xml:space="preserve">P </w:t>
      </w:r>
      <w:r w:rsidRPr="00773643">
        <w:rPr>
          <w:rFonts w:ascii="Book Antiqua" w:hAnsi="Book Antiqua"/>
          <w:sz w:val="24"/>
          <w:szCs w:val="24"/>
          <w:lang w:val="en-GB"/>
        </w:rPr>
        <w:t>= 0.048) but no improvement in OS. Patients randomised to the combined therapy presented severe toxicity in several cases, including 2 cases of death, raising significant concerns regarding the best strategy to follow.</w:t>
      </w:r>
    </w:p>
    <w:p w14:paraId="60E76DA5" w14:textId="77777777"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lang w:val="en-GB"/>
        </w:rPr>
        <w:t xml:space="preserve">Another retrospective study of Littell </w:t>
      </w:r>
      <w:r w:rsidRPr="00773643">
        <w:rPr>
          <w:rFonts w:ascii="Book Antiqua" w:hAnsi="Book Antiqua"/>
          <w:i/>
          <w:iCs/>
          <w:sz w:val="24"/>
          <w:szCs w:val="24"/>
          <w:lang w:val="en-GB"/>
        </w:rPr>
        <w:t>et al</w:t>
      </w:r>
      <w:r w:rsidR="00721041" w:rsidRPr="00773643">
        <w:rPr>
          <w:rFonts w:ascii="Book Antiqua" w:hAnsi="Book Antiqua"/>
          <w:sz w:val="24"/>
          <w:szCs w:val="24"/>
          <w:vertAlign w:val="superscript"/>
          <w:lang w:val="en-GB"/>
        </w:rPr>
        <w:t>[4</w:t>
      </w:r>
      <w:r w:rsidR="001E0EA5" w:rsidRPr="00773643">
        <w:rPr>
          <w:rFonts w:ascii="Book Antiqua" w:hAnsi="Book Antiqua"/>
          <w:sz w:val="24"/>
          <w:szCs w:val="24"/>
          <w:vertAlign w:val="superscript"/>
          <w:lang w:val="en-GB"/>
        </w:rPr>
        <w:t>8</w:t>
      </w:r>
      <w:r w:rsidR="00721041" w:rsidRPr="00773643">
        <w:rPr>
          <w:rFonts w:ascii="Book Antiqua" w:hAnsi="Book Antiqua"/>
          <w:sz w:val="24"/>
          <w:szCs w:val="24"/>
          <w:vertAlign w:val="superscript"/>
          <w:lang w:val="en-GB"/>
        </w:rPr>
        <w:t>]</w:t>
      </w:r>
      <w:r w:rsidRPr="00773643">
        <w:rPr>
          <w:rFonts w:ascii="Book Antiqua" w:hAnsi="Book Antiqua"/>
          <w:i/>
          <w:iCs/>
          <w:sz w:val="24"/>
          <w:szCs w:val="24"/>
          <w:lang w:val="en-GB"/>
        </w:rPr>
        <w:t xml:space="preserve"> </w:t>
      </w:r>
      <w:r w:rsidRPr="00773643">
        <w:rPr>
          <w:rFonts w:ascii="Book Antiqua" w:hAnsi="Book Antiqua"/>
          <w:sz w:val="24"/>
          <w:szCs w:val="24"/>
          <w:lang w:val="en-GB"/>
        </w:rPr>
        <w:t>compared gemcitabine-docetaxel (33 patients) versus observation (77 patients) in 110 stage I completely resected uLMS and no difference in OS or recurrence was found in the two groups. About half the patients were disease-free at 3 years irrespective of receiving ChT.</w:t>
      </w:r>
    </w:p>
    <w:p w14:paraId="29663613"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The necessity of answering a high-priority research question and the retrospective and/or single-arm nature of previous studies led to design of the GOG-0277 trial</w:t>
      </w:r>
      <w:r w:rsidRPr="00773643">
        <w:rPr>
          <w:rFonts w:ascii="Book Antiqua" w:hAnsi="Book Antiqua"/>
          <w:sz w:val="24"/>
          <w:szCs w:val="24"/>
          <w:vertAlign w:val="superscript"/>
          <w:lang w:val="en-GB"/>
        </w:rPr>
        <w:t>[</w:t>
      </w:r>
      <w:r w:rsidR="001E0EA5" w:rsidRPr="00773643">
        <w:rPr>
          <w:rFonts w:ascii="Book Antiqua" w:hAnsi="Book Antiqua"/>
          <w:sz w:val="24"/>
          <w:szCs w:val="24"/>
          <w:vertAlign w:val="superscript"/>
          <w:lang w:val="en-GB"/>
        </w:rPr>
        <w:t>49</w:t>
      </w:r>
      <w:r w:rsidRPr="00773643">
        <w:rPr>
          <w:rFonts w:ascii="Book Antiqua" w:hAnsi="Book Antiqua"/>
          <w:sz w:val="24"/>
          <w:szCs w:val="24"/>
          <w:vertAlign w:val="superscript"/>
          <w:lang w:val="en-GB"/>
        </w:rPr>
        <w:t>]</w:t>
      </w:r>
      <w:r w:rsidRPr="00773643">
        <w:rPr>
          <w:rFonts w:ascii="Book Antiqua" w:hAnsi="Book Antiqua"/>
          <w:sz w:val="24"/>
          <w:szCs w:val="24"/>
          <w:lang w:val="en-GB"/>
        </w:rPr>
        <w:t>. GOG-0277 was a two-arm, international, multicentric, open-label, randomised phase III superiority trial of gemcitabine (gemcitabine 900 mg/m</w:t>
      </w:r>
      <w:r w:rsidRPr="00773643">
        <w:rPr>
          <w:rFonts w:ascii="Book Antiqua" w:hAnsi="Book Antiqua"/>
          <w:sz w:val="24"/>
          <w:szCs w:val="24"/>
          <w:vertAlign w:val="superscript"/>
          <w:lang w:val="en-GB"/>
        </w:rPr>
        <w:t xml:space="preserve">2 </w:t>
      </w:r>
      <w:r w:rsidRPr="00773643">
        <w:rPr>
          <w:rFonts w:ascii="Book Antiqua" w:hAnsi="Book Antiqua"/>
          <w:sz w:val="24"/>
          <w:szCs w:val="24"/>
          <w:lang w:val="en-GB"/>
        </w:rPr>
        <w:t>on day 1 and day 8) along with docetaxel (75 mg/m</w:t>
      </w:r>
      <w:r w:rsidRPr="00773643">
        <w:rPr>
          <w:rFonts w:ascii="Book Antiqua" w:hAnsi="Book Antiqua"/>
          <w:sz w:val="24"/>
          <w:szCs w:val="24"/>
          <w:vertAlign w:val="superscript"/>
          <w:lang w:val="en-GB"/>
        </w:rPr>
        <w:t xml:space="preserve">2 </w:t>
      </w:r>
      <w:r w:rsidRPr="00773643">
        <w:rPr>
          <w:rFonts w:ascii="Book Antiqua" w:hAnsi="Book Antiqua"/>
          <w:sz w:val="24"/>
          <w:szCs w:val="24"/>
          <w:lang w:val="en-GB"/>
        </w:rPr>
        <w:t>on day 8) followed by doxorubicin (60 mg/m</w:t>
      </w:r>
      <w:r w:rsidRPr="00773643">
        <w:rPr>
          <w:rFonts w:ascii="Book Antiqua" w:hAnsi="Book Antiqua"/>
          <w:sz w:val="24"/>
          <w:szCs w:val="24"/>
          <w:vertAlign w:val="superscript"/>
          <w:lang w:val="en-GB"/>
        </w:rPr>
        <w:t>2</w:t>
      </w:r>
      <w:r w:rsidRPr="00773643">
        <w:rPr>
          <w:rFonts w:ascii="Book Antiqua" w:hAnsi="Book Antiqua"/>
          <w:sz w:val="24"/>
          <w:szCs w:val="24"/>
          <w:lang w:val="en-GB"/>
        </w:rPr>
        <w:t xml:space="preserve"> on day 1 of a 21-d cycle for four cycles) versus observation in women with completely resected, uterus-limited, high-grade uLMS. The trial was closed in September 2016, </w:t>
      </w:r>
      <w:r w:rsidRPr="0038741B">
        <w:rPr>
          <w:rFonts w:ascii="Book Antiqua" w:hAnsi="Book Antiqua"/>
          <w:sz w:val="24"/>
          <w:szCs w:val="24"/>
          <w:lang w:val="en-GB"/>
        </w:rPr>
        <w:t>approxi</w:t>
      </w:r>
      <w:r w:rsidRPr="00773643">
        <w:rPr>
          <w:rFonts w:ascii="Book Antiqua" w:hAnsi="Book Antiqua"/>
          <w:sz w:val="24"/>
          <w:szCs w:val="24"/>
          <w:lang w:val="en-GB"/>
        </w:rPr>
        <w:t>mately 4 years after being open due to accrual futility, keeping unresolved the dilemma of adjuvant ChT in completely resected uLMS. In this trial, only 38 patients were enrolled at 572 sites. The study was designed before the recent development of new therapeutic options in metastatic uLMS although regimens such as olaratumab-doxorubicin or trabectedin single-agent showed an objective response lower than those of the combination gemcitabine-docetaxel in the metastatic setting</w:t>
      </w:r>
      <w:r w:rsidRPr="00773643">
        <w:rPr>
          <w:rFonts w:ascii="Book Antiqua" w:hAnsi="Book Antiqua"/>
          <w:sz w:val="24"/>
          <w:szCs w:val="24"/>
          <w:vertAlign w:val="superscript"/>
          <w:lang w:val="en-GB"/>
        </w:rPr>
        <w:t>[5</w:t>
      </w:r>
      <w:r w:rsidR="001E0EA5" w:rsidRPr="00773643">
        <w:rPr>
          <w:rFonts w:ascii="Book Antiqua" w:hAnsi="Book Antiqua"/>
          <w:sz w:val="24"/>
          <w:szCs w:val="24"/>
          <w:vertAlign w:val="superscript"/>
          <w:lang w:val="en-GB"/>
        </w:rPr>
        <w:t>0</w:t>
      </w:r>
      <w:r w:rsidRPr="00773643">
        <w:rPr>
          <w:rFonts w:ascii="Book Antiqua" w:hAnsi="Book Antiqua"/>
          <w:sz w:val="24"/>
          <w:szCs w:val="24"/>
          <w:vertAlign w:val="superscript"/>
          <w:lang w:val="en-GB"/>
        </w:rPr>
        <w:t>,5</w:t>
      </w:r>
      <w:r w:rsidR="001E0EA5" w:rsidRPr="00773643">
        <w:rPr>
          <w:rFonts w:ascii="Book Antiqua" w:hAnsi="Book Antiqua"/>
          <w:sz w:val="24"/>
          <w:szCs w:val="24"/>
          <w:vertAlign w:val="superscript"/>
          <w:lang w:val="en-GB"/>
        </w:rPr>
        <w:t>1</w:t>
      </w:r>
      <w:r w:rsidRPr="00773643">
        <w:rPr>
          <w:rFonts w:ascii="Book Antiqua" w:hAnsi="Book Antiqua"/>
          <w:sz w:val="24"/>
          <w:szCs w:val="24"/>
          <w:vertAlign w:val="superscript"/>
          <w:lang w:val="en-GB"/>
        </w:rPr>
        <w:t>]</w:t>
      </w:r>
      <w:r w:rsidRPr="00773643">
        <w:rPr>
          <w:rFonts w:ascii="Book Antiqua" w:hAnsi="Book Antiqua"/>
          <w:sz w:val="24"/>
          <w:szCs w:val="24"/>
          <w:lang w:val="en-GB"/>
        </w:rPr>
        <w:t>. It is unclear whether the use of new agents in the adjuvant setting could modify survival outcomes considering recent findings of the phase 3 ANNOUNCE trial which has called into question the proven benefit of olaratumab-doxorubicin in soft tissue sarcomas.</w:t>
      </w:r>
    </w:p>
    <w:p w14:paraId="5135364A"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Currently, according to ESMO-EURACAN and NCCN guidelines, observation following completely resected uLMS remains a standard approach although it is worth noting that experts consider the possibility administering adjuvant therapy in selected cases with higher risk of recurrence (</w:t>
      </w:r>
      <w:r w:rsidRPr="00773643">
        <w:rPr>
          <w:rFonts w:ascii="Book Antiqua" w:hAnsi="Book Antiqua"/>
          <w:i/>
          <w:iCs/>
          <w:sz w:val="24"/>
          <w:szCs w:val="24"/>
          <w:lang w:val="en-GB"/>
        </w:rPr>
        <w:t>e.g.</w:t>
      </w:r>
      <w:r w:rsidR="00721041" w:rsidRPr="00773643">
        <w:rPr>
          <w:rFonts w:ascii="Book Antiqua" w:hAnsi="Book Antiqua"/>
          <w:sz w:val="24"/>
          <w:szCs w:val="24"/>
          <w:lang w:val="en-GB"/>
        </w:rPr>
        <w:t>,</w:t>
      </w:r>
      <w:r w:rsidRPr="00773643">
        <w:rPr>
          <w:rFonts w:ascii="Book Antiqua" w:hAnsi="Book Antiqua"/>
          <w:sz w:val="24"/>
          <w:szCs w:val="24"/>
          <w:lang w:val="en-GB"/>
        </w:rPr>
        <w:t xml:space="preserve"> high grade, tumour morcellation, tumour spillage)</w:t>
      </w:r>
      <w:r w:rsidRPr="00773643">
        <w:rPr>
          <w:rFonts w:ascii="Book Antiqua" w:hAnsi="Book Antiqua"/>
          <w:sz w:val="24"/>
          <w:szCs w:val="24"/>
          <w:vertAlign w:val="superscript"/>
          <w:lang w:val="en-GB"/>
        </w:rPr>
        <w:t>[6,18,5</w:t>
      </w:r>
      <w:r w:rsidR="001E0EA5" w:rsidRPr="00773643">
        <w:rPr>
          <w:rFonts w:ascii="Book Antiqua" w:hAnsi="Book Antiqua"/>
          <w:sz w:val="24"/>
          <w:szCs w:val="24"/>
          <w:vertAlign w:val="superscript"/>
          <w:lang w:val="en-GB"/>
        </w:rPr>
        <w:t>2</w:t>
      </w:r>
      <w:r w:rsidRPr="00773643">
        <w:rPr>
          <w:rFonts w:ascii="Book Antiqua" w:hAnsi="Book Antiqua"/>
          <w:sz w:val="24"/>
          <w:szCs w:val="24"/>
          <w:vertAlign w:val="superscript"/>
          <w:lang w:val="en-GB"/>
        </w:rPr>
        <w:t>]</w:t>
      </w:r>
      <w:r w:rsidRPr="00773643">
        <w:rPr>
          <w:rFonts w:ascii="Book Antiqua" w:hAnsi="Book Antiqua"/>
          <w:sz w:val="24"/>
          <w:szCs w:val="24"/>
          <w:lang w:val="en-GB"/>
        </w:rPr>
        <w:t>.</w:t>
      </w:r>
    </w:p>
    <w:p w14:paraId="59F734A6" w14:textId="77777777" w:rsidR="002A155B" w:rsidRPr="00557D29" w:rsidRDefault="002A155B" w:rsidP="00773643">
      <w:pPr>
        <w:adjustRightInd w:val="0"/>
        <w:snapToGrid w:val="0"/>
        <w:spacing w:line="360" w:lineRule="auto"/>
        <w:jc w:val="both"/>
        <w:rPr>
          <w:rFonts w:ascii="Book Antiqua" w:eastAsiaTheme="minorEastAsia" w:hAnsi="Book Antiqua"/>
          <w:b/>
          <w:sz w:val="24"/>
          <w:szCs w:val="24"/>
          <w:lang w:val="en-GB" w:eastAsia="zh-CN"/>
        </w:rPr>
      </w:pPr>
    </w:p>
    <w:p w14:paraId="7BABA7BB" w14:textId="77777777" w:rsidR="002A155B" w:rsidRPr="00773643" w:rsidRDefault="002A155B" w:rsidP="00773643">
      <w:pPr>
        <w:adjustRightInd w:val="0"/>
        <w:snapToGrid w:val="0"/>
        <w:spacing w:line="360" w:lineRule="auto"/>
        <w:jc w:val="both"/>
        <w:rPr>
          <w:rFonts w:ascii="Book Antiqua" w:hAnsi="Book Antiqua"/>
          <w:b/>
          <w:i/>
          <w:iCs/>
          <w:color w:val="131313"/>
          <w:sz w:val="24"/>
          <w:szCs w:val="24"/>
          <w:lang w:val="en-GB"/>
        </w:rPr>
      </w:pPr>
      <w:r w:rsidRPr="00773643">
        <w:rPr>
          <w:rFonts w:ascii="Book Antiqua" w:hAnsi="Book Antiqua"/>
          <w:b/>
          <w:i/>
          <w:iCs/>
          <w:color w:val="131313"/>
          <w:sz w:val="24"/>
          <w:szCs w:val="24"/>
          <w:lang w:val="en-GB"/>
        </w:rPr>
        <w:t>Low-grade endometrial stromal sarcoma</w:t>
      </w:r>
    </w:p>
    <w:p w14:paraId="034EBE07" w14:textId="77777777" w:rsidR="002A155B" w:rsidRPr="00773643"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lang w:val="en-GB"/>
        </w:rPr>
        <w:t>There is lack of adequate data in the literature on the use of adjuvant ChT in LG-ESS</w:t>
      </w:r>
      <w:r w:rsidRPr="00773643">
        <w:rPr>
          <w:rFonts w:ascii="Book Antiqua" w:hAnsi="Book Antiqua"/>
          <w:sz w:val="24"/>
          <w:szCs w:val="24"/>
          <w:vertAlign w:val="superscript"/>
          <w:lang w:val="en-GB"/>
        </w:rPr>
        <w:t>[5</w:t>
      </w:r>
      <w:r w:rsidR="001E0EA5" w:rsidRPr="00773643">
        <w:rPr>
          <w:rFonts w:ascii="Book Antiqua" w:hAnsi="Book Antiqua"/>
          <w:sz w:val="24"/>
          <w:szCs w:val="24"/>
          <w:vertAlign w:val="superscript"/>
          <w:lang w:val="en-GB"/>
        </w:rPr>
        <w:t>3</w:t>
      </w:r>
      <w:r w:rsidRPr="00773643">
        <w:rPr>
          <w:rFonts w:ascii="Book Antiqua" w:hAnsi="Book Antiqua"/>
          <w:sz w:val="24"/>
          <w:szCs w:val="24"/>
          <w:vertAlign w:val="superscript"/>
          <w:lang w:val="en-GB"/>
        </w:rPr>
        <w:t>,5</w:t>
      </w:r>
      <w:r w:rsidR="001E0EA5" w:rsidRPr="00773643">
        <w:rPr>
          <w:rFonts w:ascii="Book Antiqua" w:hAnsi="Book Antiqua"/>
          <w:sz w:val="24"/>
          <w:szCs w:val="24"/>
          <w:vertAlign w:val="superscript"/>
          <w:lang w:val="en-GB"/>
        </w:rPr>
        <w:t>4</w:t>
      </w:r>
      <w:r w:rsidRPr="00773643">
        <w:rPr>
          <w:rFonts w:ascii="Book Antiqua" w:hAnsi="Book Antiqua"/>
          <w:sz w:val="24"/>
          <w:szCs w:val="24"/>
          <w:vertAlign w:val="superscript"/>
          <w:lang w:val="en-GB"/>
        </w:rPr>
        <w:t>]</w:t>
      </w:r>
      <w:r w:rsidRPr="00773643">
        <w:rPr>
          <w:rFonts w:ascii="Book Antiqua" w:hAnsi="Book Antiqua"/>
          <w:sz w:val="24"/>
          <w:szCs w:val="24"/>
          <w:lang w:val="en-GB"/>
        </w:rPr>
        <w:t>. In a retrospective study by Kim</w:t>
      </w:r>
      <w:r w:rsidRPr="00773643">
        <w:rPr>
          <w:rFonts w:ascii="Book Antiqua" w:hAnsi="Book Antiqua"/>
          <w:i/>
          <w:iCs/>
          <w:sz w:val="24"/>
          <w:szCs w:val="24"/>
          <w:lang w:val="en-GB"/>
        </w:rPr>
        <w:t xml:space="preserve"> et al</w:t>
      </w:r>
      <w:r w:rsidR="001E0EA5" w:rsidRPr="00773643">
        <w:rPr>
          <w:rFonts w:ascii="Book Antiqua" w:hAnsi="Book Antiqua"/>
          <w:sz w:val="24"/>
          <w:szCs w:val="24"/>
          <w:vertAlign w:val="superscript"/>
          <w:lang w:val="en-GB"/>
        </w:rPr>
        <w:t>[55]</w:t>
      </w:r>
      <w:r w:rsidRPr="00773643">
        <w:rPr>
          <w:rFonts w:ascii="Book Antiqua" w:hAnsi="Book Antiqua"/>
          <w:sz w:val="24"/>
          <w:szCs w:val="24"/>
          <w:lang w:val="en-GB"/>
        </w:rPr>
        <w:t xml:space="preserve"> involving 22 women with completely resected stage I LG-ESS, adjuvant ChT had no effect on the outcome. In this study, 49.1% of the patients received adjuvant ChT and their 10-year recurrence rate was similar to those who had not received the treatment.</w:t>
      </w:r>
    </w:p>
    <w:p w14:paraId="7EDCC737"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Recently, an observational retrospective cohort analysis identified 2414 and 1383 women with LG-ESS and HG-ESS</w:t>
      </w:r>
      <w:r w:rsidRPr="00773643">
        <w:rPr>
          <w:rFonts w:ascii="Book Antiqua" w:hAnsi="Book Antiqua"/>
          <w:sz w:val="24"/>
          <w:szCs w:val="24"/>
          <w:vertAlign w:val="superscript"/>
          <w:lang w:val="en-GB"/>
        </w:rPr>
        <w:t>[32]</w:t>
      </w:r>
      <w:r w:rsidRPr="00773643">
        <w:rPr>
          <w:rFonts w:ascii="Book Antiqua" w:hAnsi="Book Antiqua"/>
          <w:sz w:val="24"/>
          <w:szCs w:val="24"/>
          <w:lang w:val="en-GB"/>
        </w:rPr>
        <w:t>. Four hundred and forty-four patients with HG-ESS (444/1383, 33.4%) and 115 women with LG-ESS (115/2414, 4.8%) received postoperative ChT. Adjuvant ChT was associated with an increased survival in HG-ESS but with no benefit in patients with LG-ESS.</w:t>
      </w:r>
    </w:p>
    <w:p w14:paraId="76D37D6B"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773643">
        <w:rPr>
          <w:rFonts w:ascii="Book Antiqua" w:hAnsi="Book Antiqua"/>
          <w:sz w:val="24"/>
          <w:szCs w:val="24"/>
          <w:lang w:val="en-GB"/>
        </w:rPr>
        <w:t xml:space="preserve">The lack of consensus on the optimal management of LG-ESS is related to the rarity of the disease and to the extensive heterogeneity of previously published series, most of which often included several types of US. Currently, given the good prognosis characterising LG-ESS and the side effects of treatment, adjuvant ChT is not </w:t>
      </w:r>
      <w:r w:rsidRPr="00F42A1B">
        <w:rPr>
          <w:rFonts w:ascii="Book Antiqua" w:hAnsi="Book Antiqua"/>
          <w:sz w:val="24"/>
          <w:szCs w:val="24"/>
          <w:lang w:val="en-GB"/>
        </w:rPr>
        <w:t>consi</w:t>
      </w:r>
      <w:r w:rsidRPr="00773643">
        <w:rPr>
          <w:rFonts w:ascii="Book Antiqua" w:hAnsi="Book Antiqua"/>
          <w:sz w:val="24"/>
          <w:szCs w:val="24"/>
          <w:lang w:val="en-GB"/>
        </w:rPr>
        <w:t>dered clinically meaningful.</w:t>
      </w:r>
    </w:p>
    <w:p w14:paraId="2A7F6D21" w14:textId="77777777" w:rsidR="002A155B" w:rsidRPr="00773643" w:rsidRDefault="002A155B" w:rsidP="00773643">
      <w:pPr>
        <w:adjustRightInd w:val="0"/>
        <w:snapToGrid w:val="0"/>
        <w:spacing w:line="360" w:lineRule="auto"/>
        <w:jc w:val="both"/>
        <w:rPr>
          <w:rFonts w:ascii="Book Antiqua" w:hAnsi="Book Antiqua"/>
          <w:sz w:val="24"/>
          <w:szCs w:val="24"/>
          <w:lang w:val="en-GB"/>
        </w:rPr>
      </w:pPr>
    </w:p>
    <w:p w14:paraId="758A5D2F" w14:textId="77777777" w:rsidR="002A155B" w:rsidRPr="00773643" w:rsidRDefault="00721041" w:rsidP="00773643">
      <w:pPr>
        <w:adjustRightInd w:val="0"/>
        <w:snapToGrid w:val="0"/>
        <w:spacing w:line="360" w:lineRule="auto"/>
        <w:jc w:val="both"/>
        <w:rPr>
          <w:rFonts w:ascii="Book Antiqua" w:hAnsi="Book Antiqua"/>
          <w:sz w:val="24"/>
          <w:szCs w:val="24"/>
          <w:lang w:val="en-GB"/>
        </w:rPr>
      </w:pPr>
      <w:r w:rsidRPr="00773643">
        <w:rPr>
          <w:rFonts w:ascii="Book Antiqua" w:hAnsi="Book Antiqua"/>
          <w:b/>
          <w:color w:val="131313"/>
          <w:sz w:val="24"/>
          <w:szCs w:val="24"/>
          <w:lang w:val="en-GB"/>
        </w:rPr>
        <w:t>OTHER HISTOTYPES</w:t>
      </w:r>
    </w:p>
    <w:p w14:paraId="5825B7E1" w14:textId="77777777" w:rsidR="002A155B" w:rsidRPr="00557D29" w:rsidRDefault="002A155B" w:rsidP="00773643">
      <w:pPr>
        <w:adjustRightInd w:val="0"/>
        <w:snapToGrid w:val="0"/>
        <w:spacing w:line="360" w:lineRule="auto"/>
        <w:jc w:val="both"/>
        <w:rPr>
          <w:rFonts w:ascii="Book Antiqua" w:hAnsi="Book Antiqua"/>
          <w:sz w:val="24"/>
          <w:szCs w:val="24"/>
          <w:lang w:val="en-GB"/>
        </w:rPr>
      </w:pPr>
      <w:r w:rsidRPr="00773643">
        <w:rPr>
          <w:rFonts w:ascii="Book Antiqua" w:hAnsi="Book Antiqua"/>
          <w:sz w:val="24"/>
          <w:szCs w:val="24"/>
          <w:lang w:val="en-GB"/>
        </w:rPr>
        <w:t xml:space="preserve">In the retrospective study by Seagle </w:t>
      </w:r>
      <w:r w:rsidRPr="00773643">
        <w:rPr>
          <w:rFonts w:ascii="Book Antiqua" w:hAnsi="Book Antiqua"/>
          <w:i/>
          <w:iCs/>
          <w:sz w:val="24"/>
          <w:szCs w:val="24"/>
          <w:lang w:val="en-GB"/>
        </w:rPr>
        <w:t>et al</w:t>
      </w:r>
      <w:r w:rsidRPr="00773643">
        <w:rPr>
          <w:rFonts w:ascii="Book Antiqua" w:hAnsi="Book Antiqua"/>
          <w:sz w:val="24"/>
          <w:szCs w:val="24"/>
          <w:vertAlign w:val="superscript"/>
          <w:lang w:val="en-GB"/>
        </w:rPr>
        <w:t>[32]</w:t>
      </w:r>
      <w:r w:rsidRPr="00773643">
        <w:rPr>
          <w:rFonts w:ascii="Book Antiqua" w:hAnsi="Book Antiqua"/>
          <w:sz w:val="24"/>
          <w:szCs w:val="24"/>
          <w:lang w:val="en-GB"/>
        </w:rPr>
        <w:t>, as mentioned previously, the use of adjuvant ChT determined a modest survival benefit for HG-ESS. Recently, a retrospective, single-centre study evaluated prognostic factors in 40 patients affected by HG-ESS</w:t>
      </w:r>
      <w:r w:rsidRPr="00773643">
        <w:rPr>
          <w:rFonts w:ascii="Book Antiqua" w:hAnsi="Book Antiqua"/>
          <w:sz w:val="24"/>
          <w:szCs w:val="24"/>
          <w:vertAlign w:val="superscript"/>
          <w:lang w:val="en-GB"/>
        </w:rPr>
        <w:t>[5</w:t>
      </w:r>
      <w:r w:rsidR="001E0EA5" w:rsidRPr="00773643">
        <w:rPr>
          <w:rFonts w:ascii="Book Antiqua" w:hAnsi="Book Antiqua"/>
          <w:sz w:val="24"/>
          <w:szCs w:val="24"/>
          <w:vertAlign w:val="superscript"/>
          <w:lang w:val="en-GB"/>
        </w:rPr>
        <w:t>6</w:t>
      </w:r>
      <w:r w:rsidRPr="00773643">
        <w:rPr>
          <w:rFonts w:ascii="Book Antiqua" w:hAnsi="Book Antiqua"/>
          <w:sz w:val="24"/>
          <w:szCs w:val="24"/>
          <w:vertAlign w:val="superscript"/>
          <w:lang w:val="en-GB"/>
        </w:rPr>
        <w:t>]</w:t>
      </w:r>
      <w:r w:rsidRPr="00557D29">
        <w:rPr>
          <w:rFonts w:ascii="Book Antiqua" w:hAnsi="Book Antiqua"/>
          <w:sz w:val="24"/>
          <w:szCs w:val="24"/>
          <w:lang w:val="en-GB"/>
        </w:rPr>
        <w:t>; the combination of surgery with RT and ChT appeared to improve PFS in early-stage disease. These findings were confirmed by a retrospective analysis of the French Sarcoma Group in which multivariate analysis of adjuvant chemotherapy in completely resected HG-ESS and UUS was correlated with improved DFS</w:t>
      </w:r>
      <w:r w:rsidRPr="00557D29">
        <w:rPr>
          <w:rFonts w:ascii="Book Antiqua" w:hAnsi="Book Antiqua"/>
          <w:sz w:val="24"/>
          <w:szCs w:val="24"/>
          <w:vertAlign w:val="superscript"/>
          <w:lang w:val="en-GB"/>
        </w:rPr>
        <w:t>[5</w:t>
      </w:r>
      <w:r w:rsidR="001E0EA5" w:rsidRPr="00557D29">
        <w:rPr>
          <w:rFonts w:ascii="Book Antiqua" w:hAnsi="Book Antiqua"/>
          <w:sz w:val="24"/>
          <w:szCs w:val="24"/>
          <w:vertAlign w:val="superscript"/>
          <w:lang w:val="en-GB"/>
        </w:rPr>
        <w:t>7</w:t>
      </w:r>
      <w:r w:rsidRPr="00557D29">
        <w:rPr>
          <w:rFonts w:ascii="Book Antiqua" w:hAnsi="Book Antiqua"/>
          <w:sz w:val="24"/>
          <w:szCs w:val="24"/>
          <w:vertAlign w:val="superscript"/>
          <w:lang w:val="en-GB"/>
        </w:rPr>
        <w:t>]</w:t>
      </w:r>
      <w:r w:rsidRPr="00557D29">
        <w:rPr>
          <w:rFonts w:ascii="Book Antiqua" w:hAnsi="Book Antiqua"/>
          <w:sz w:val="24"/>
          <w:szCs w:val="24"/>
          <w:lang w:val="en-GB"/>
        </w:rPr>
        <w:t>. Presently, with respect to the prospective studies which might validate adjuvant ChT in HG-ESS and UUS, current guidelines consider the use of postoperative ChT appropriate taking into account the high risk of recurrence characterising these diseases</w:t>
      </w:r>
      <w:r w:rsidRPr="00557D29">
        <w:rPr>
          <w:rFonts w:ascii="Book Antiqua" w:hAnsi="Book Antiqua"/>
          <w:sz w:val="24"/>
          <w:szCs w:val="24"/>
          <w:vertAlign w:val="superscript"/>
          <w:lang w:val="en-GB"/>
        </w:rPr>
        <w:t>[6]</w:t>
      </w:r>
      <w:r w:rsidRPr="00557D29">
        <w:rPr>
          <w:rFonts w:ascii="Book Antiqua" w:hAnsi="Book Antiqua"/>
          <w:sz w:val="24"/>
          <w:szCs w:val="24"/>
          <w:lang w:val="en-GB"/>
        </w:rPr>
        <w:t>.</w:t>
      </w:r>
    </w:p>
    <w:p w14:paraId="3A0C0A7B"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No prospective or randomised controlled trials have evaluated the role of ChT as adjuvant treatment modality in UAS. The lack of data, only supported by case reports or case series, requires a careful clinical and pathological assessment to determine which patients might benefit from the therapy</w:t>
      </w:r>
      <w:r w:rsidRPr="00557D29">
        <w:rPr>
          <w:rFonts w:ascii="Book Antiqua" w:hAnsi="Book Antiqua"/>
          <w:sz w:val="24"/>
          <w:szCs w:val="24"/>
          <w:vertAlign w:val="superscript"/>
          <w:lang w:val="en-GB"/>
        </w:rPr>
        <w:t>[5</w:t>
      </w:r>
      <w:r w:rsidR="001E0EA5" w:rsidRPr="00557D29">
        <w:rPr>
          <w:rFonts w:ascii="Book Antiqua" w:hAnsi="Book Antiqua"/>
          <w:sz w:val="24"/>
          <w:szCs w:val="24"/>
          <w:vertAlign w:val="superscript"/>
          <w:lang w:val="en-GB"/>
        </w:rPr>
        <w:t>8</w:t>
      </w:r>
      <w:r w:rsidRPr="00557D29">
        <w:rPr>
          <w:rFonts w:ascii="Book Antiqua" w:hAnsi="Book Antiqua"/>
          <w:sz w:val="24"/>
          <w:szCs w:val="24"/>
          <w:vertAlign w:val="superscript"/>
          <w:lang w:val="en-GB"/>
        </w:rPr>
        <w:t>,</w:t>
      </w:r>
      <w:r w:rsidR="001E0EA5" w:rsidRPr="00557D29">
        <w:rPr>
          <w:rFonts w:ascii="Book Antiqua" w:hAnsi="Book Antiqua"/>
          <w:sz w:val="24"/>
          <w:szCs w:val="24"/>
          <w:vertAlign w:val="superscript"/>
          <w:lang w:val="en-GB"/>
        </w:rPr>
        <w:t>59</w:t>
      </w:r>
      <w:r w:rsidRPr="00557D29">
        <w:rPr>
          <w:rFonts w:ascii="Book Antiqua" w:hAnsi="Book Antiqua"/>
          <w:sz w:val="24"/>
          <w:szCs w:val="24"/>
          <w:vertAlign w:val="superscript"/>
          <w:lang w:val="en-GB"/>
        </w:rPr>
        <w:t>]</w:t>
      </w:r>
      <w:r w:rsidRPr="00557D29">
        <w:rPr>
          <w:rFonts w:ascii="Book Antiqua" w:hAnsi="Book Antiqua"/>
          <w:sz w:val="24"/>
          <w:szCs w:val="24"/>
          <w:lang w:val="en-GB"/>
        </w:rPr>
        <w:t xml:space="preserve">. Furthermore, in the case of uLMS, the choice of using adjuvant </w:t>
      </w:r>
      <w:r w:rsidRPr="00773643">
        <w:rPr>
          <w:rFonts w:ascii="Book Antiqua" w:hAnsi="Book Antiqua"/>
          <w:sz w:val="24"/>
          <w:szCs w:val="24"/>
          <w:lang w:val="en-GB"/>
        </w:rPr>
        <w:t>ChT in UAS might be considered on an individual basis despite the absence of high-quality evidence (</w:t>
      </w:r>
      <w:r w:rsidRPr="00773643">
        <w:rPr>
          <w:rFonts w:ascii="Book Antiqua" w:hAnsi="Book Antiqua"/>
          <w:i/>
          <w:iCs/>
          <w:sz w:val="24"/>
          <w:szCs w:val="24"/>
          <w:lang w:val="en-GB"/>
        </w:rPr>
        <w:t>e.g.</w:t>
      </w:r>
      <w:r w:rsidR="001E0EA5" w:rsidRPr="00773643">
        <w:rPr>
          <w:rFonts w:ascii="Book Antiqua" w:hAnsi="Book Antiqua"/>
          <w:i/>
          <w:iCs/>
          <w:sz w:val="24"/>
          <w:szCs w:val="24"/>
          <w:lang w:val="en-GB"/>
        </w:rPr>
        <w:t>,</w:t>
      </w:r>
      <w:r w:rsidRPr="00773643">
        <w:rPr>
          <w:rFonts w:ascii="Book Antiqua" w:hAnsi="Book Antiqua"/>
          <w:sz w:val="24"/>
          <w:szCs w:val="24"/>
          <w:lang w:val="en-GB"/>
        </w:rPr>
        <w:t xml:space="preserve"> in case of myometrial invasion, high-grade disease or sarcomatous overgrowth)</w:t>
      </w:r>
      <w:r w:rsidRPr="00773643">
        <w:rPr>
          <w:rFonts w:ascii="Book Antiqua" w:hAnsi="Book Antiqua"/>
          <w:sz w:val="24"/>
          <w:szCs w:val="24"/>
          <w:vertAlign w:val="superscript"/>
          <w:lang w:val="en-GB"/>
        </w:rPr>
        <w:t>[6]</w:t>
      </w:r>
      <w:r w:rsidRPr="00773643">
        <w:rPr>
          <w:rFonts w:ascii="Book Antiqua" w:hAnsi="Book Antiqua"/>
          <w:sz w:val="24"/>
          <w:szCs w:val="24"/>
          <w:lang w:val="en-GB"/>
        </w:rPr>
        <w:t xml:space="preserve">. </w:t>
      </w:r>
    </w:p>
    <w:p w14:paraId="7AFADF0E" w14:textId="77777777" w:rsidR="002A155B" w:rsidRPr="00773643" w:rsidRDefault="002A155B" w:rsidP="00773643">
      <w:pPr>
        <w:adjustRightInd w:val="0"/>
        <w:snapToGrid w:val="0"/>
        <w:spacing w:line="360" w:lineRule="auto"/>
        <w:jc w:val="both"/>
        <w:rPr>
          <w:rFonts w:ascii="Book Antiqua" w:hAnsi="Book Antiqua"/>
          <w:b/>
          <w:sz w:val="24"/>
          <w:szCs w:val="24"/>
          <w:lang w:val="en-GB"/>
        </w:rPr>
      </w:pPr>
    </w:p>
    <w:p w14:paraId="054C1C24" w14:textId="77777777" w:rsidR="002A155B" w:rsidRPr="00773643" w:rsidRDefault="00721041" w:rsidP="00773643">
      <w:pPr>
        <w:adjustRightInd w:val="0"/>
        <w:snapToGrid w:val="0"/>
        <w:spacing w:line="360" w:lineRule="auto"/>
        <w:jc w:val="both"/>
        <w:rPr>
          <w:rFonts w:ascii="Book Antiqua" w:hAnsi="Book Antiqua"/>
          <w:sz w:val="24"/>
          <w:szCs w:val="24"/>
          <w:lang w:val="en-GB"/>
        </w:rPr>
      </w:pPr>
      <w:r w:rsidRPr="00773643">
        <w:rPr>
          <w:rFonts w:ascii="Book Antiqua" w:hAnsi="Book Antiqua"/>
          <w:b/>
          <w:sz w:val="24"/>
          <w:szCs w:val="24"/>
          <w:lang w:val="en-GB"/>
        </w:rPr>
        <w:t>ADJUVANT HORMONAL THERAPY</w:t>
      </w:r>
    </w:p>
    <w:p w14:paraId="53E054E3" w14:textId="77777777" w:rsidR="002A155B" w:rsidRPr="00773643" w:rsidRDefault="002A155B" w:rsidP="00773643">
      <w:pPr>
        <w:adjustRightInd w:val="0"/>
        <w:snapToGrid w:val="0"/>
        <w:spacing w:line="360" w:lineRule="auto"/>
        <w:jc w:val="both"/>
        <w:rPr>
          <w:rFonts w:ascii="Book Antiqua" w:hAnsi="Book Antiqua"/>
          <w:b/>
          <w:i/>
          <w:iCs/>
          <w:sz w:val="24"/>
          <w:szCs w:val="24"/>
          <w:lang w:val="en-GB"/>
        </w:rPr>
      </w:pPr>
      <w:r w:rsidRPr="00773643">
        <w:rPr>
          <w:rFonts w:ascii="Book Antiqua" w:hAnsi="Book Antiqua"/>
          <w:b/>
          <w:i/>
          <w:iCs/>
          <w:sz w:val="24"/>
          <w:szCs w:val="24"/>
          <w:lang w:val="en-GB"/>
        </w:rPr>
        <w:t xml:space="preserve">Uterine </w:t>
      </w:r>
      <w:r w:rsidR="00721041" w:rsidRPr="00773643">
        <w:rPr>
          <w:rFonts w:ascii="Book Antiqua" w:hAnsi="Book Antiqua"/>
          <w:b/>
          <w:i/>
          <w:iCs/>
          <w:sz w:val="24"/>
          <w:szCs w:val="24"/>
          <w:lang w:val="en-GB"/>
        </w:rPr>
        <w:t>l</w:t>
      </w:r>
      <w:r w:rsidRPr="00773643">
        <w:rPr>
          <w:rFonts w:ascii="Book Antiqua" w:hAnsi="Book Antiqua"/>
          <w:b/>
          <w:i/>
          <w:iCs/>
          <w:sz w:val="24"/>
          <w:szCs w:val="24"/>
          <w:lang w:val="en-GB"/>
        </w:rPr>
        <w:t>eiomyosarcoma</w:t>
      </w:r>
    </w:p>
    <w:p w14:paraId="60257110" w14:textId="77777777" w:rsidR="002A155B" w:rsidRPr="00557D29" w:rsidRDefault="002A155B" w:rsidP="00773643">
      <w:pPr>
        <w:adjustRightInd w:val="0"/>
        <w:snapToGrid w:val="0"/>
        <w:spacing w:line="360" w:lineRule="auto"/>
        <w:jc w:val="both"/>
        <w:rPr>
          <w:rFonts w:ascii="Book Antiqua" w:hAnsi="Book Antiqua"/>
          <w:sz w:val="24"/>
          <w:szCs w:val="24"/>
          <w:lang w:val="en-GB"/>
        </w:rPr>
      </w:pPr>
      <w:r w:rsidRPr="00557D29">
        <w:rPr>
          <w:rFonts w:ascii="Book Antiqua" w:hAnsi="Book Antiqua"/>
          <w:sz w:val="24"/>
          <w:szCs w:val="24"/>
          <w:lang w:val="en-GB"/>
        </w:rPr>
        <w:t>In uLMS, estrogen receptor (ER) and progesterone receptor (PR) expression has been reported in about 25</w:t>
      </w:r>
      <w:r w:rsidR="00721041" w:rsidRPr="00557D29">
        <w:rPr>
          <w:rFonts w:ascii="Book Antiqua" w:hAnsi="Book Antiqua"/>
          <w:sz w:val="24"/>
          <w:szCs w:val="24"/>
          <w:lang w:val="en-GB"/>
        </w:rPr>
        <w:t>%</w:t>
      </w:r>
      <w:r w:rsidRPr="00557D29">
        <w:rPr>
          <w:rFonts w:ascii="Book Antiqua" w:hAnsi="Book Antiqua"/>
          <w:sz w:val="24"/>
          <w:szCs w:val="24"/>
          <w:lang w:val="en-GB"/>
        </w:rPr>
        <w:t>–80% of cases and 30</w:t>
      </w:r>
      <w:r w:rsidR="00721041" w:rsidRPr="00557D29">
        <w:rPr>
          <w:rFonts w:ascii="Book Antiqua" w:hAnsi="Book Antiqua"/>
          <w:sz w:val="24"/>
          <w:szCs w:val="24"/>
          <w:lang w:val="en-GB"/>
        </w:rPr>
        <w:t>%</w:t>
      </w:r>
      <w:r w:rsidRPr="00557D29">
        <w:rPr>
          <w:rFonts w:ascii="Book Antiqua" w:hAnsi="Book Antiqua"/>
          <w:sz w:val="24"/>
          <w:szCs w:val="24"/>
          <w:lang w:val="en-GB"/>
        </w:rPr>
        <w:t>–75% of cases, respectively</w:t>
      </w:r>
      <w:r w:rsidRPr="00557D29">
        <w:rPr>
          <w:rFonts w:ascii="Book Antiqua" w:hAnsi="Book Antiqua"/>
          <w:sz w:val="24"/>
          <w:szCs w:val="24"/>
          <w:vertAlign w:val="superscript"/>
          <w:lang w:val="en-GB"/>
        </w:rPr>
        <w:t>[6</w:t>
      </w:r>
      <w:r w:rsidR="001E0EA5" w:rsidRPr="00557D29">
        <w:rPr>
          <w:rFonts w:ascii="Book Antiqua" w:hAnsi="Book Antiqua"/>
          <w:sz w:val="24"/>
          <w:szCs w:val="24"/>
          <w:vertAlign w:val="superscript"/>
          <w:lang w:val="en-GB"/>
        </w:rPr>
        <w:t>0</w:t>
      </w:r>
      <w:r w:rsidRPr="00557D29">
        <w:rPr>
          <w:rFonts w:ascii="Book Antiqua" w:hAnsi="Book Antiqua"/>
          <w:sz w:val="24"/>
          <w:szCs w:val="24"/>
          <w:vertAlign w:val="superscript"/>
          <w:lang w:val="en-GB"/>
        </w:rPr>
        <w:t>–6</w:t>
      </w:r>
      <w:r w:rsidR="001E0EA5" w:rsidRPr="00557D29">
        <w:rPr>
          <w:rFonts w:ascii="Book Antiqua" w:hAnsi="Book Antiqua"/>
          <w:sz w:val="24"/>
          <w:szCs w:val="24"/>
          <w:vertAlign w:val="superscript"/>
          <w:lang w:val="en-GB"/>
        </w:rPr>
        <w:t>5</w:t>
      </w:r>
      <w:r w:rsidRPr="00557D29">
        <w:rPr>
          <w:rFonts w:ascii="Book Antiqua" w:hAnsi="Book Antiqua"/>
          <w:sz w:val="24"/>
          <w:szCs w:val="24"/>
          <w:vertAlign w:val="superscript"/>
          <w:lang w:val="en-GB"/>
        </w:rPr>
        <w:t>]</w:t>
      </w:r>
      <w:r w:rsidRPr="00557D29">
        <w:rPr>
          <w:rFonts w:ascii="Book Antiqua" w:hAnsi="Book Antiqua"/>
          <w:sz w:val="24"/>
          <w:szCs w:val="24"/>
          <w:lang w:val="en-GB"/>
        </w:rPr>
        <w:t>. The possibility of treating patients affected by uLMS with hormonal therapy (HT) was first explored in the metastatic setting with variable activity (stable disease ranging from 32 % to 71% of cases and duration of response ranging from 0.4 and 40.3 mo)</w:t>
      </w:r>
      <w:r w:rsidRPr="00557D29">
        <w:rPr>
          <w:rFonts w:ascii="Book Antiqua" w:hAnsi="Book Antiqua"/>
          <w:sz w:val="24"/>
          <w:szCs w:val="24"/>
          <w:vertAlign w:val="superscript"/>
          <w:lang w:val="en-GB"/>
        </w:rPr>
        <w:t>[6</w:t>
      </w:r>
      <w:r w:rsidR="001E0EA5" w:rsidRPr="00557D29">
        <w:rPr>
          <w:rFonts w:ascii="Book Antiqua" w:hAnsi="Book Antiqua"/>
          <w:sz w:val="24"/>
          <w:szCs w:val="24"/>
          <w:vertAlign w:val="superscript"/>
          <w:lang w:val="en-GB"/>
        </w:rPr>
        <w:t>3</w:t>
      </w:r>
      <w:r w:rsidRPr="00557D29">
        <w:rPr>
          <w:rFonts w:ascii="Book Antiqua" w:hAnsi="Book Antiqua"/>
          <w:sz w:val="24"/>
          <w:szCs w:val="24"/>
          <w:vertAlign w:val="superscript"/>
          <w:lang w:val="en-GB"/>
        </w:rPr>
        <w:t>–6</w:t>
      </w:r>
      <w:r w:rsidR="001E0EA5" w:rsidRPr="00557D29">
        <w:rPr>
          <w:rFonts w:ascii="Book Antiqua" w:hAnsi="Book Antiqua"/>
          <w:sz w:val="24"/>
          <w:szCs w:val="24"/>
          <w:vertAlign w:val="superscript"/>
          <w:lang w:val="en-GB"/>
        </w:rPr>
        <w:t>5</w:t>
      </w:r>
      <w:r w:rsidRPr="00557D29">
        <w:rPr>
          <w:rFonts w:ascii="Book Antiqua" w:hAnsi="Book Antiqua"/>
          <w:sz w:val="24"/>
          <w:szCs w:val="24"/>
          <w:vertAlign w:val="superscript"/>
          <w:lang w:val="en-GB"/>
        </w:rPr>
        <w:t>]</w:t>
      </w:r>
      <w:r w:rsidRPr="00557D29">
        <w:rPr>
          <w:rFonts w:ascii="Book Antiqua" w:hAnsi="Book Antiqua"/>
          <w:sz w:val="24"/>
          <w:szCs w:val="24"/>
          <w:lang w:val="en-GB"/>
        </w:rPr>
        <w:t>. The hormonal therapy included aromatase inhibitors (AIs) such as letrozole (2.5 mg daily) or exemestane.</w:t>
      </w:r>
    </w:p>
    <w:p w14:paraId="176F6289" w14:textId="77777777" w:rsidR="002A155B" w:rsidRPr="00557D29"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 xml:space="preserve">In 2012, Leitao </w:t>
      </w:r>
      <w:r w:rsidRPr="00557D29">
        <w:rPr>
          <w:rFonts w:ascii="Book Antiqua" w:hAnsi="Book Antiqua"/>
          <w:i/>
          <w:iCs/>
          <w:sz w:val="24"/>
          <w:szCs w:val="24"/>
          <w:lang w:val="en-GB"/>
        </w:rPr>
        <w:t>et al</w:t>
      </w:r>
      <w:r w:rsidR="00721041" w:rsidRPr="00557D29">
        <w:rPr>
          <w:rFonts w:ascii="Book Antiqua" w:hAnsi="Book Antiqua"/>
          <w:sz w:val="24"/>
          <w:szCs w:val="24"/>
          <w:vertAlign w:val="superscript"/>
          <w:lang w:val="en-GB"/>
        </w:rPr>
        <w:t>[6</w:t>
      </w:r>
      <w:r w:rsidR="001E0EA5" w:rsidRPr="00557D29">
        <w:rPr>
          <w:rFonts w:ascii="Book Antiqua" w:hAnsi="Book Antiqua"/>
          <w:sz w:val="24"/>
          <w:szCs w:val="24"/>
          <w:vertAlign w:val="superscript"/>
          <w:lang w:val="en-GB"/>
        </w:rPr>
        <w:t>2</w:t>
      </w:r>
      <w:r w:rsidR="00721041" w:rsidRPr="00557D29">
        <w:rPr>
          <w:rFonts w:ascii="Book Antiqua" w:hAnsi="Book Antiqua"/>
          <w:sz w:val="24"/>
          <w:szCs w:val="24"/>
          <w:vertAlign w:val="superscript"/>
          <w:lang w:val="en-GB"/>
        </w:rPr>
        <w:t>]</w:t>
      </w:r>
      <w:r w:rsidR="00721041" w:rsidRPr="00557D29">
        <w:rPr>
          <w:rFonts w:ascii="Book Antiqua" w:hAnsi="Book Antiqua"/>
          <w:i/>
          <w:iCs/>
          <w:sz w:val="24"/>
          <w:szCs w:val="24"/>
          <w:lang w:val="en-GB"/>
        </w:rPr>
        <w:t xml:space="preserve"> </w:t>
      </w:r>
      <w:r w:rsidRPr="00557D29">
        <w:rPr>
          <w:rFonts w:ascii="Book Antiqua" w:hAnsi="Book Antiqua"/>
          <w:sz w:val="24"/>
          <w:szCs w:val="24"/>
          <w:lang w:val="en-GB"/>
        </w:rPr>
        <w:t xml:space="preserve"> showed that ER and PR expression might identify cases of uterus-limited LMS associated to a better prognosis. A possible bias in interpreting data from trials about HT might be due to the better outcome which seems to physiologically characterise ER and PR positive uLMS.</w:t>
      </w:r>
    </w:p>
    <w:p w14:paraId="2723CE94"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Recently, data from a randomised, open-label, phase 2 study of letrozole 2.5 mg daily versus observation in completely resected uLMS was published</w:t>
      </w:r>
      <w:r w:rsidRPr="00557D29">
        <w:rPr>
          <w:rFonts w:ascii="Book Antiqua" w:hAnsi="Book Antiqua"/>
          <w:sz w:val="24"/>
          <w:szCs w:val="24"/>
          <w:vertAlign w:val="superscript"/>
          <w:lang w:val="en-GB"/>
        </w:rPr>
        <w:t>[6</w:t>
      </w:r>
      <w:r w:rsidR="001E0EA5" w:rsidRPr="00557D29">
        <w:rPr>
          <w:rFonts w:ascii="Book Antiqua" w:hAnsi="Book Antiqua"/>
          <w:sz w:val="24"/>
          <w:szCs w:val="24"/>
          <w:vertAlign w:val="superscript"/>
          <w:lang w:val="en-GB"/>
        </w:rPr>
        <w:t>6</w:t>
      </w:r>
      <w:r w:rsidRPr="00557D29">
        <w:rPr>
          <w:rFonts w:ascii="Book Antiqua" w:hAnsi="Book Antiqua"/>
          <w:sz w:val="24"/>
          <w:szCs w:val="24"/>
          <w:vertAlign w:val="superscript"/>
          <w:lang w:val="en-GB"/>
        </w:rPr>
        <w:t>]</w:t>
      </w:r>
      <w:r w:rsidRPr="00557D29">
        <w:rPr>
          <w:rFonts w:ascii="Book Antiqua" w:hAnsi="Book Antiqua"/>
          <w:sz w:val="24"/>
          <w:szCs w:val="24"/>
          <w:lang w:val="en-GB"/>
        </w:rPr>
        <w:t xml:space="preserve">. Similar to the case of the </w:t>
      </w:r>
      <w:r w:rsidRPr="00773643">
        <w:rPr>
          <w:rFonts w:ascii="Book Antiqua" w:hAnsi="Book Antiqua"/>
          <w:sz w:val="24"/>
          <w:szCs w:val="24"/>
          <w:lang w:val="en-GB"/>
        </w:rPr>
        <w:t>GOG-0277 trial</w:t>
      </w:r>
      <w:r w:rsidRPr="00773643">
        <w:rPr>
          <w:rFonts w:ascii="Book Antiqua" w:hAnsi="Book Antiqua"/>
          <w:sz w:val="24"/>
          <w:szCs w:val="24"/>
          <w:vertAlign w:val="superscript"/>
          <w:lang w:val="en-GB"/>
        </w:rPr>
        <w:t>[</w:t>
      </w:r>
      <w:r w:rsidR="001E0EA5" w:rsidRPr="00773643">
        <w:rPr>
          <w:rFonts w:ascii="Book Antiqua" w:hAnsi="Book Antiqua"/>
          <w:sz w:val="24"/>
          <w:szCs w:val="24"/>
          <w:vertAlign w:val="superscript"/>
          <w:lang w:val="en-GB"/>
        </w:rPr>
        <w:t>49</w:t>
      </w:r>
      <w:r w:rsidRPr="00773643">
        <w:rPr>
          <w:rFonts w:ascii="Book Antiqua" w:hAnsi="Book Antiqua"/>
          <w:sz w:val="24"/>
          <w:szCs w:val="24"/>
          <w:vertAlign w:val="superscript"/>
          <w:lang w:val="en-GB"/>
        </w:rPr>
        <w:t>]</w:t>
      </w:r>
      <w:r w:rsidRPr="00773643">
        <w:rPr>
          <w:rFonts w:ascii="Book Antiqua" w:hAnsi="Book Antiqua"/>
          <w:sz w:val="24"/>
          <w:szCs w:val="24"/>
          <w:lang w:val="en-GB"/>
        </w:rPr>
        <w:t>, this trial was prematurely closed due to its low accrual preventing the possibility of drawing definitive conclusions regarding the real benefit of adjuvant hormonal therapy in resected uLMS.</w:t>
      </w:r>
    </w:p>
    <w:p w14:paraId="23B8CF12" w14:textId="77777777" w:rsidR="002A155B" w:rsidRPr="00557D29" w:rsidRDefault="002A155B" w:rsidP="00773643">
      <w:pPr>
        <w:adjustRightInd w:val="0"/>
        <w:snapToGrid w:val="0"/>
        <w:spacing w:line="360" w:lineRule="auto"/>
        <w:jc w:val="both"/>
        <w:rPr>
          <w:rFonts w:ascii="Book Antiqua" w:hAnsi="Book Antiqua"/>
          <w:sz w:val="24"/>
          <w:szCs w:val="24"/>
          <w:lang w:val="en-GB"/>
        </w:rPr>
      </w:pPr>
      <w:r w:rsidRPr="00557D29">
        <w:rPr>
          <w:rFonts w:ascii="Book Antiqua" w:hAnsi="Book Antiqua"/>
          <w:sz w:val="24"/>
          <w:szCs w:val="24"/>
          <w:lang w:val="en-GB"/>
        </w:rPr>
        <w:t>The use of AIs is not routinely recommended as postoperative treatment in resected uLMS. In the recent years, several case reports and case series have suggested a potential benefit in the adjuvant setting provided by AIs but no prospective data are currently available; AIs might represent, according to the latest version of the NCCN Guidelines, an option in cases of hormone-receptor expressing tumours, preferably in case of strongly positive (superior to 90%) disease</w:t>
      </w:r>
      <w:r w:rsidRPr="00557D29">
        <w:rPr>
          <w:rFonts w:ascii="Book Antiqua" w:hAnsi="Book Antiqua"/>
          <w:sz w:val="24"/>
          <w:szCs w:val="24"/>
          <w:vertAlign w:val="superscript"/>
          <w:lang w:val="en-GB"/>
        </w:rPr>
        <w:t>[6]</w:t>
      </w:r>
      <w:r w:rsidRPr="00557D29">
        <w:rPr>
          <w:rFonts w:ascii="Book Antiqua" w:hAnsi="Book Antiqua"/>
          <w:sz w:val="24"/>
          <w:szCs w:val="24"/>
          <w:lang w:val="en-GB"/>
        </w:rPr>
        <w:t xml:space="preserve">. </w:t>
      </w:r>
    </w:p>
    <w:p w14:paraId="03ECAE13" w14:textId="77777777" w:rsidR="002A155B" w:rsidRPr="00557D29" w:rsidRDefault="002A155B" w:rsidP="00773643">
      <w:pPr>
        <w:adjustRightInd w:val="0"/>
        <w:snapToGrid w:val="0"/>
        <w:spacing w:line="360" w:lineRule="auto"/>
        <w:jc w:val="both"/>
        <w:rPr>
          <w:rFonts w:ascii="Book Antiqua" w:hAnsi="Book Antiqua"/>
          <w:sz w:val="24"/>
          <w:szCs w:val="24"/>
          <w:lang w:val="en-GB"/>
        </w:rPr>
      </w:pPr>
    </w:p>
    <w:p w14:paraId="29DEBBC9" w14:textId="77777777" w:rsidR="002A155B" w:rsidRPr="00557D29" w:rsidRDefault="002A155B" w:rsidP="00773643">
      <w:pPr>
        <w:adjustRightInd w:val="0"/>
        <w:snapToGrid w:val="0"/>
        <w:spacing w:line="360" w:lineRule="auto"/>
        <w:jc w:val="both"/>
        <w:rPr>
          <w:rFonts w:ascii="Book Antiqua" w:hAnsi="Book Antiqua"/>
          <w:b/>
          <w:i/>
          <w:iCs/>
          <w:color w:val="131313"/>
          <w:sz w:val="24"/>
          <w:szCs w:val="24"/>
          <w:lang w:val="en-GB"/>
        </w:rPr>
      </w:pPr>
      <w:r w:rsidRPr="00557D29">
        <w:rPr>
          <w:rFonts w:ascii="Book Antiqua" w:hAnsi="Book Antiqua"/>
          <w:b/>
          <w:i/>
          <w:iCs/>
          <w:color w:val="131313"/>
          <w:sz w:val="24"/>
          <w:szCs w:val="24"/>
          <w:lang w:val="en-GB"/>
        </w:rPr>
        <w:t>Low-grade endometrial stromal sarcoma</w:t>
      </w:r>
    </w:p>
    <w:p w14:paraId="60D6E04A" w14:textId="77777777" w:rsidR="002A155B" w:rsidRPr="00557D29" w:rsidRDefault="002A155B" w:rsidP="00773643">
      <w:pPr>
        <w:adjustRightInd w:val="0"/>
        <w:snapToGrid w:val="0"/>
        <w:spacing w:line="360" w:lineRule="auto"/>
        <w:jc w:val="both"/>
        <w:rPr>
          <w:rFonts w:ascii="Book Antiqua" w:hAnsi="Book Antiqua"/>
          <w:sz w:val="24"/>
          <w:szCs w:val="24"/>
          <w:lang w:val="en-GB"/>
        </w:rPr>
      </w:pPr>
      <w:r w:rsidRPr="00557D29">
        <w:rPr>
          <w:rFonts w:ascii="Book Antiqua" w:hAnsi="Book Antiqua"/>
          <w:sz w:val="24"/>
          <w:szCs w:val="24"/>
          <w:lang w:val="en-GB"/>
        </w:rPr>
        <w:t>For ESS, ER expression has been reported in approximately 87% of cases and PR expression in approximately 80%</w:t>
      </w:r>
      <w:r w:rsidRPr="00557D29">
        <w:rPr>
          <w:rFonts w:ascii="Book Antiqua" w:hAnsi="Book Antiqua"/>
          <w:sz w:val="24"/>
          <w:szCs w:val="24"/>
          <w:vertAlign w:val="superscript"/>
          <w:lang w:val="en-GB"/>
        </w:rPr>
        <w:t>[6</w:t>
      </w:r>
      <w:r w:rsidR="001E0EA5" w:rsidRPr="00557D29">
        <w:rPr>
          <w:rFonts w:ascii="Book Antiqua" w:hAnsi="Book Antiqua"/>
          <w:sz w:val="24"/>
          <w:szCs w:val="24"/>
          <w:vertAlign w:val="superscript"/>
          <w:lang w:val="en-GB"/>
        </w:rPr>
        <w:t>7</w:t>
      </w:r>
      <w:r w:rsidRPr="00557D29">
        <w:rPr>
          <w:rFonts w:ascii="Book Antiqua" w:hAnsi="Book Antiqua"/>
          <w:sz w:val="24"/>
          <w:szCs w:val="24"/>
          <w:vertAlign w:val="superscript"/>
          <w:lang w:val="en-GB"/>
        </w:rPr>
        <w:t>]</w:t>
      </w:r>
      <w:r w:rsidRPr="00557D29">
        <w:rPr>
          <w:rFonts w:ascii="Book Antiqua" w:hAnsi="Book Antiqua"/>
          <w:sz w:val="24"/>
          <w:szCs w:val="24"/>
          <w:lang w:val="en-GB"/>
        </w:rPr>
        <w:t>. Although hormonal treatment is not a standard adjuvant therapy for LG-ESS, previous studies indicated that patients with advanced or metastatic LG-ESS might benefit from hormonal therapy including AIs, megestrol acetate or medroxyprogesterone acetate</w:t>
      </w:r>
      <w:r w:rsidRPr="00557D29">
        <w:rPr>
          <w:rFonts w:ascii="Book Antiqua" w:hAnsi="Book Antiqua"/>
          <w:sz w:val="24"/>
          <w:szCs w:val="24"/>
          <w:vertAlign w:val="superscript"/>
          <w:lang w:val="en-GB"/>
        </w:rPr>
        <w:t>[6</w:t>
      </w:r>
      <w:r w:rsidR="001E0EA5" w:rsidRPr="00557D29">
        <w:rPr>
          <w:rFonts w:ascii="Book Antiqua" w:hAnsi="Book Antiqua"/>
          <w:sz w:val="24"/>
          <w:szCs w:val="24"/>
          <w:vertAlign w:val="superscript"/>
          <w:lang w:val="en-GB"/>
        </w:rPr>
        <w:t>8</w:t>
      </w:r>
      <w:r w:rsidRPr="00557D29">
        <w:rPr>
          <w:rFonts w:ascii="Book Antiqua" w:hAnsi="Book Antiqua"/>
          <w:sz w:val="24"/>
          <w:szCs w:val="24"/>
          <w:vertAlign w:val="superscript"/>
          <w:lang w:val="en-GB"/>
        </w:rPr>
        <w:t>,</w:t>
      </w:r>
      <w:r w:rsidR="001E0EA5" w:rsidRPr="00557D29">
        <w:rPr>
          <w:rFonts w:ascii="Book Antiqua" w:hAnsi="Book Antiqua"/>
          <w:sz w:val="24"/>
          <w:szCs w:val="24"/>
          <w:vertAlign w:val="superscript"/>
          <w:lang w:val="en-GB"/>
        </w:rPr>
        <w:t>69</w:t>
      </w:r>
      <w:r w:rsidRPr="00557D29">
        <w:rPr>
          <w:rFonts w:ascii="Book Antiqua" w:hAnsi="Book Antiqua"/>
          <w:sz w:val="24"/>
          <w:szCs w:val="24"/>
          <w:vertAlign w:val="superscript"/>
          <w:lang w:val="en-GB"/>
        </w:rPr>
        <w:t>]</w:t>
      </w:r>
      <w:r w:rsidRPr="00557D29">
        <w:rPr>
          <w:rFonts w:ascii="Book Antiqua" w:hAnsi="Book Antiqua"/>
          <w:sz w:val="24"/>
          <w:szCs w:val="24"/>
          <w:lang w:val="en-GB"/>
        </w:rPr>
        <w:t>.</w:t>
      </w:r>
    </w:p>
    <w:p w14:paraId="2E6761A8" w14:textId="77777777" w:rsidR="002A155B" w:rsidRPr="00557D29"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 xml:space="preserve">There are no prospective randomised controlled trials conducted for hormonal treatment in LG-ESS in the adjuvant setting. In 2007, Leath </w:t>
      </w:r>
      <w:r w:rsidRPr="00557D29">
        <w:rPr>
          <w:rFonts w:ascii="Book Antiqua" w:hAnsi="Book Antiqua"/>
          <w:i/>
          <w:iCs/>
          <w:sz w:val="24"/>
          <w:szCs w:val="24"/>
          <w:lang w:val="en-GB"/>
        </w:rPr>
        <w:t>et al</w:t>
      </w:r>
      <w:r w:rsidR="00721041" w:rsidRPr="00557D29">
        <w:rPr>
          <w:rFonts w:ascii="Book Antiqua" w:hAnsi="Book Antiqua"/>
          <w:sz w:val="24"/>
          <w:szCs w:val="24"/>
          <w:vertAlign w:val="superscript"/>
          <w:lang w:val="en-GB"/>
        </w:rPr>
        <w:t>[7</w:t>
      </w:r>
      <w:r w:rsidR="001E0EA5" w:rsidRPr="00557D29">
        <w:rPr>
          <w:rFonts w:ascii="Book Antiqua" w:hAnsi="Book Antiqua"/>
          <w:sz w:val="24"/>
          <w:szCs w:val="24"/>
          <w:vertAlign w:val="superscript"/>
          <w:lang w:val="en-GB"/>
        </w:rPr>
        <w:t>0</w:t>
      </w:r>
      <w:r w:rsidR="00721041" w:rsidRPr="00557D29">
        <w:rPr>
          <w:rFonts w:ascii="Book Antiqua" w:hAnsi="Book Antiqua"/>
          <w:sz w:val="24"/>
          <w:szCs w:val="24"/>
          <w:vertAlign w:val="superscript"/>
          <w:lang w:val="en-GB"/>
        </w:rPr>
        <w:t>]</w:t>
      </w:r>
      <w:r w:rsidRPr="00557D29">
        <w:rPr>
          <w:rFonts w:ascii="Book Antiqua" w:hAnsi="Book Antiqua"/>
          <w:sz w:val="24"/>
          <w:szCs w:val="24"/>
          <w:lang w:val="en-GB"/>
        </w:rPr>
        <w:t xml:space="preserve"> presented data from a retrospective series of 30 cases with completely resected LG-ESS treated with postoperative hormonal therapy (megestrol acetate or medroxyprogesterone). Patients treated with hormonal treatment showed a prolonged, statistically significant (</w:t>
      </w:r>
      <w:r w:rsidR="00721041" w:rsidRPr="00557D29">
        <w:rPr>
          <w:rFonts w:ascii="Book Antiqua" w:hAnsi="Book Antiqua"/>
          <w:i/>
          <w:iCs/>
          <w:sz w:val="24"/>
          <w:szCs w:val="24"/>
          <w:lang w:val="en-GB"/>
        </w:rPr>
        <w:t>P</w:t>
      </w:r>
      <w:r w:rsidR="00721041" w:rsidRPr="00557D29">
        <w:rPr>
          <w:rFonts w:ascii="Book Antiqua" w:hAnsi="Book Antiqua"/>
          <w:sz w:val="24"/>
          <w:szCs w:val="24"/>
          <w:lang w:val="en-GB"/>
        </w:rPr>
        <w:t xml:space="preserve"> </w:t>
      </w:r>
      <w:r w:rsidRPr="00557D29">
        <w:rPr>
          <w:rFonts w:ascii="Book Antiqua" w:hAnsi="Book Antiqua"/>
          <w:sz w:val="24"/>
          <w:szCs w:val="24"/>
          <w:lang w:val="en-GB"/>
        </w:rPr>
        <w:t>=</w:t>
      </w:r>
      <w:r w:rsidR="00721041" w:rsidRPr="00557D29">
        <w:rPr>
          <w:rFonts w:ascii="Book Antiqua" w:hAnsi="Book Antiqua"/>
          <w:sz w:val="24"/>
          <w:szCs w:val="24"/>
          <w:lang w:val="en-GB"/>
        </w:rPr>
        <w:t xml:space="preserve"> </w:t>
      </w:r>
      <w:r w:rsidRPr="00557D29">
        <w:rPr>
          <w:rFonts w:ascii="Book Antiqua" w:hAnsi="Book Antiqua"/>
          <w:sz w:val="24"/>
          <w:szCs w:val="24"/>
          <w:lang w:val="en-GB"/>
        </w:rPr>
        <w:t>0.07), median PFS when compared to the observation cohort (94 mo</w:t>
      </w:r>
      <w:r w:rsidRPr="00557D29">
        <w:rPr>
          <w:rFonts w:ascii="Book Antiqua" w:hAnsi="Book Antiqua"/>
          <w:i/>
          <w:iCs/>
          <w:sz w:val="24"/>
          <w:szCs w:val="24"/>
          <w:lang w:val="en-GB"/>
        </w:rPr>
        <w:t xml:space="preserve"> </w:t>
      </w:r>
      <w:r w:rsidR="001F38B2" w:rsidRPr="00557D29">
        <w:rPr>
          <w:rFonts w:ascii="Book Antiqua" w:hAnsi="Book Antiqua"/>
          <w:i/>
          <w:iCs/>
          <w:sz w:val="24"/>
          <w:szCs w:val="24"/>
          <w:lang w:val="en-GB"/>
        </w:rPr>
        <w:t xml:space="preserve">vs </w:t>
      </w:r>
      <w:r w:rsidRPr="00557D29">
        <w:rPr>
          <w:rFonts w:ascii="Book Antiqua" w:hAnsi="Book Antiqua"/>
          <w:sz w:val="24"/>
          <w:szCs w:val="24"/>
          <w:lang w:val="en-GB"/>
        </w:rPr>
        <w:t>72 mo).</w:t>
      </w:r>
    </w:p>
    <w:p w14:paraId="4F1A3DA7" w14:textId="77777777" w:rsidR="002A155B" w:rsidRPr="00557D29"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In another retrospective series, 11 out of 114 patients affected by LG-ESS received postoperative treatment with HT</w:t>
      </w:r>
      <w:r w:rsidRPr="00557D29">
        <w:rPr>
          <w:rFonts w:ascii="Book Antiqua" w:hAnsi="Book Antiqua"/>
          <w:sz w:val="24"/>
          <w:szCs w:val="24"/>
          <w:vertAlign w:val="superscript"/>
          <w:lang w:val="en-GB"/>
        </w:rPr>
        <w:t>[5</w:t>
      </w:r>
      <w:r w:rsidR="001E0EA5" w:rsidRPr="00557D29">
        <w:rPr>
          <w:rFonts w:ascii="Book Antiqua" w:hAnsi="Book Antiqua"/>
          <w:sz w:val="24"/>
          <w:szCs w:val="24"/>
          <w:vertAlign w:val="superscript"/>
          <w:lang w:val="en-GB"/>
        </w:rPr>
        <w:t>4</w:t>
      </w:r>
      <w:r w:rsidRPr="00557D29">
        <w:rPr>
          <w:rFonts w:ascii="Book Antiqua" w:hAnsi="Book Antiqua"/>
          <w:sz w:val="24"/>
          <w:szCs w:val="24"/>
          <w:vertAlign w:val="superscript"/>
          <w:lang w:val="en-GB"/>
        </w:rPr>
        <w:t>]</w:t>
      </w:r>
      <w:r w:rsidRPr="00557D29">
        <w:rPr>
          <w:rFonts w:ascii="Book Antiqua" w:hAnsi="Book Antiqua"/>
          <w:sz w:val="24"/>
          <w:szCs w:val="24"/>
          <w:lang w:val="en-GB"/>
        </w:rPr>
        <w:t>, and disease-free survival was not different with respect to the type of adjuvant treatment (neither chemotherapy, nor radiation, nor hormone blockade).</w:t>
      </w:r>
    </w:p>
    <w:p w14:paraId="3CBBFE6B"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According to the ESMO-EURACAN guidelines, although postoperative HT is not a current standard in LG-ESS, it might represent an alternative in this setting and can be considered for ER and/or PR positive disease</w:t>
      </w:r>
      <w:r w:rsidRPr="00557D29">
        <w:rPr>
          <w:rFonts w:ascii="Book Antiqua" w:hAnsi="Book Antiqua"/>
          <w:sz w:val="24"/>
          <w:szCs w:val="24"/>
          <w:vertAlign w:val="superscript"/>
          <w:lang w:val="en-GB"/>
        </w:rPr>
        <w:t>[18]</w:t>
      </w:r>
      <w:r w:rsidRPr="00557D29">
        <w:rPr>
          <w:rFonts w:ascii="Book Antiqua" w:hAnsi="Book Antiqua"/>
          <w:sz w:val="24"/>
          <w:szCs w:val="24"/>
          <w:lang w:val="en-GB"/>
        </w:rPr>
        <w:t>. The latest edition of of the NCCN guidelines classifies adjuvant HT in LG-ESS in the 2B category defining the intervention “appropriate”</w:t>
      </w:r>
      <w:r w:rsidRPr="00557D29">
        <w:rPr>
          <w:rFonts w:ascii="Book Antiqua" w:hAnsi="Book Antiqua"/>
          <w:sz w:val="24"/>
          <w:szCs w:val="24"/>
          <w:vertAlign w:val="superscript"/>
          <w:lang w:val="en-GB"/>
        </w:rPr>
        <w:t>[6]</w:t>
      </w:r>
      <w:r w:rsidRPr="00557D29">
        <w:rPr>
          <w:rFonts w:ascii="Book Antiqua" w:hAnsi="Book Antiqua"/>
          <w:sz w:val="24"/>
          <w:szCs w:val="24"/>
          <w:lang w:val="en-GB"/>
        </w:rPr>
        <w:t>. It is worth noting, at the same time, that many authors do not consider the potential benefit provided by adjuvant HT clinically significant considering the good prognosis and the long disease-free intervals characterising LG-ESS in the absence of specific therapy.</w:t>
      </w:r>
      <w:r w:rsidRPr="00773643">
        <w:rPr>
          <w:rFonts w:ascii="Book Antiqua" w:hAnsi="Book Antiqua"/>
          <w:sz w:val="24"/>
          <w:szCs w:val="24"/>
          <w:highlight w:val="white"/>
          <w:lang w:val="en-GB"/>
        </w:rPr>
        <w:t xml:space="preserve"> </w:t>
      </w:r>
    </w:p>
    <w:p w14:paraId="131C250B" w14:textId="77777777" w:rsidR="002A155B" w:rsidRPr="00773643" w:rsidRDefault="002A155B" w:rsidP="00773643">
      <w:pPr>
        <w:adjustRightInd w:val="0"/>
        <w:snapToGrid w:val="0"/>
        <w:spacing w:line="360" w:lineRule="auto"/>
        <w:jc w:val="both"/>
        <w:rPr>
          <w:rFonts w:ascii="Book Antiqua" w:hAnsi="Book Antiqua"/>
          <w:b/>
          <w:color w:val="131313"/>
          <w:sz w:val="24"/>
          <w:szCs w:val="24"/>
          <w:lang w:val="en-GB"/>
        </w:rPr>
      </w:pPr>
    </w:p>
    <w:p w14:paraId="39C5C620" w14:textId="77777777" w:rsidR="002A155B" w:rsidRPr="00773643" w:rsidRDefault="002A155B" w:rsidP="00773643">
      <w:pPr>
        <w:adjustRightInd w:val="0"/>
        <w:snapToGrid w:val="0"/>
        <w:spacing w:line="360" w:lineRule="auto"/>
        <w:jc w:val="both"/>
        <w:rPr>
          <w:rFonts w:ascii="Book Antiqua" w:hAnsi="Book Antiqua"/>
          <w:b/>
          <w:i/>
          <w:iCs/>
          <w:color w:val="131313"/>
          <w:sz w:val="24"/>
          <w:szCs w:val="24"/>
          <w:lang w:val="en-GB"/>
        </w:rPr>
      </w:pPr>
      <w:r w:rsidRPr="00773643">
        <w:rPr>
          <w:rFonts w:ascii="Book Antiqua" w:hAnsi="Book Antiqua"/>
          <w:b/>
          <w:i/>
          <w:iCs/>
          <w:color w:val="131313"/>
          <w:sz w:val="24"/>
          <w:szCs w:val="24"/>
          <w:lang w:val="en-GB"/>
        </w:rPr>
        <w:t>Other histotypes</w:t>
      </w:r>
    </w:p>
    <w:p w14:paraId="734E9D21" w14:textId="77777777" w:rsidR="002A155B" w:rsidRPr="00557D29" w:rsidRDefault="002A155B" w:rsidP="00773643">
      <w:pPr>
        <w:adjustRightInd w:val="0"/>
        <w:snapToGrid w:val="0"/>
        <w:spacing w:line="360" w:lineRule="auto"/>
        <w:jc w:val="both"/>
        <w:rPr>
          <w:rFonts w:ascii="Book Antiqua" w:hAnsi="Book Antiqua"/>
          <w:sz w:val="24"/>
          <w:szCs w:val="24"/>
          <w:lang w:val="en-GB"/>
        </w:rPr>
      </w:pPr>
      <w:r w:rsidRPr="00557D29">
        <w:rPr>
          <w:rFonts w:ascii="Book Antiqua" w:hAnsi="Book Antiqua"/>
          <w:sz w:val="24"/>
          <w:szCs w:val="24"/>
          <w:lang w:val="en-GB"/>
        </w:rPr>
        <w:t>HG-ESS are generally composed of cells lacking hormone expression. Nevertheless, some authors suggest considering the possibility of using postoperative HT in sporadic cases of hormone receptor-positive HG-ESS on an individual basis</w:t>
      </w:r>
      <w:r w:rsidRPr="00557D29">
        <w:rPr>
          <w:rFonts w:ascii="Book Antiqua" w:hAnsi="Book Antiqua"/>
          <w:sz w:val="24"/>
          <w:szCs w:val="24"/>
          <w:vertAlign w:val="superscript"/>
          <w:lang w:val="en-GB"/>
        </w:rPr>
        <w:t>[5</w:t>
      </w:r>
      <w:r w:rsidR="001E0EA5" w:rsidRPr="00557D29">
        <w:rPr>
          <w:rFonts w:ascii="Book Antiqua" w:hAnsi="Book Antiqua"/>
          <w:sz w:val="24"/>
          <w:szCs w:val="24"/>
          <w:vertAlign w:val="superscript"/>
          <w:lang w:val="en-GB"/>
        </w:rPr>
        <w:t>6</w:t>
      </w:r>
      <w:r w:rsidR="00993746" w:rsidRPr="00557D29">
        <w:rPr>
          <w:rFonts w:ascii="Book Antiqua" w:hAnsi="Book Antiqua"/>
          <w:sz w:val="24"/>
          <w:szCs w:val="24"/>
          <w:vertAlign w:val="superscript"/>
          <w:lang w:val="en-GB"/>
        </w:rPr>
        <w:t>]</w:t>
      </w:r>
      <w:r w:rsidRPr="00557D29">
        <w:rPr>
          <w:rFonts w:ascii="Book Antiqua" w:hAnsi="Book Antiqua"/>
          <w:sz w:val="24"/>
          <w:szCs w:val="24"/>
          <w:lang w:val="en-GB"/>
        </w:rPr>
        <w:t>.</w:t>
      </w:r>
    </w:p>
    <w:p w14:paraId="29EEDD39" w14:textId="77777777" w:rsidR="002A155B" w:rsidRPr="00557D29"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There is a lack of sufficient data on postoperative hormonal therapy in UUS and UAS; the lack of ER and PR expression in UUS excludes the possibility of using adjuvant hormonal treatment</w:t>
      </w:r>
      <w:r w:rsidRPr="00557D29">
        <w:rPr>
          <w:rFonts w:ascii="Book Antiqua" w:hAnsi="Book Antiqua"/>
          <w:sz w:val="24"/>
          <w:szCs w:val="24"/>
          <w:vertAlign w:val="superscript"/>
          <w:lang w:val="en-GB"/>
        </w:rPr>
        <w:t>[7</w:t>
      </w:r>
      <w:r w:rsidR="001E0EA5" w:rsidRPr="00557D29">
        <w:rPr>
          <w:rFonts w:ascii="Book Antiqua" w:hAnsi="Book Antiqua"/>
          <w:sz w:val="24"/>
          <w:szCs w:val="24"/>
          <w:vertAlign w:val="superscript"/>
          <w:lang w:val="en-GB"/>
        </w:rPr>
        <w:t>1</w:t>
      </w:r>
      <w:r w:rsidRPr="00557D29">
        <w:rPr>
          <w:rFonts w:ascii="Book Antiqua" w:hAnsi="Book Antiqua"/>
          <w:sz w:val="24"/>
          <w:szCs w:val="24"/>
          <w:vertAlign w:val="superscript"/>
          <w:lang w:val="en-GB"/>
        </w:rPr>
        <w:t>]</w:t>
      </w:r>
      <w:r w:rsidRPr="00557D29">
        <w:rPr>
          <w:rFonts w:ascii="Book Antiqua" w:hAnsi="Book Antiqua"/>
          <w:sz w:val="24"/>
          <w:szCs w:val="24"/>
          <w:lang w:val="en-GB"/>
        </w:rPr>
        <w:t xml:space="preserve">. Furthermore, Amant </w:t>
      </w:r>
      <w:r w:rsidRPr="00557D29">
        <w:rPr>
          <w:rFonts w:ascii="Book Antiqua" w:hAnsi="Book Antiqua"/>
          <w:i/>
          <w:iCs/>
          <w:sz w:val="24"/>
          <w:szCs w:val="24"/>
          <w:lang w:val="en-GB"/>
        </w:rPr>
        <w:t>et al</w:t>
      </w:r>
      <w:r w:rsidR="00721041" w:rsidRPr="00557D29">
        <w:rPr>
          <w:rFonts w:ascii="Book Antiqua" w:hAnsi="Book Antiqua"/>
          <w:sz w:val="24"/>
          <w:szCs w:val="24"/>
          <w:vertAlign w:val="superscript"/>
          <w:lang w:val="en-GB"/>
        </w:rPr>
        <w:t>[7</w:t>
      </w:r>
      <w:r w:rsidR="001E0EA5" w:rsidRPr="00557D29">
        <w:rPr>
          <w:rFonts w:ascii="Book Antiqua" w:hAnsi="Book Antiqua"/>
          <w:sz w:val="24"/>
          <w:szCs w:val="24"/>
          <w:vertAlign w:val="superscript"/>
          <w:lang w:val="en-GB"/>
        </w:rPr>
        <w:t>2</w:t>
      </w:r>
      <w:r w:rsidR="00721041" w:rsidRPr="00557D29">
        <w:rPr>
          <w:rFonts w:ascii="Book Antiqua" w:hAnsi="Book Antiqua"/>
          <w:sz w:val="24"/>
          <w:szCs w:val="24"/>
          <w:vertAlign w:val="superscript"/>
          <w:lang w:val="en-GB"/>
        </w:rPr>
        <w:t>]</w:t>
      </w:r>
      <w:r w:rsidRPr="00557D29">
        <w:rPr>
          <w:rFonts w:ascii="Book Antiqua" w:hAnsi="Book Antiqua"/>
          <w:sz w:val="24"/>
          <w:szCs w:val="24"/>
          <w:lang w:val="en-GB"/>
        </w:rPr>
        <w:t xml:space="preserve"> reported in 2004 that UAS might express hormone receptor in the epithelial and sarcomatous component; in this retrospective study, the sarcomatous component of UAS expressed the ER and PR in 16/20 (80%) and 12/20 (60%) of cases, respectively. In contrast, the sarcomatous component with sarcomatous overgrowth expressed the ER and PR in 0/8 (0%) and 1/8 (12%), respectively. These findings have been recently confirmed by a </w:t>
      </w:r>
      <w:r w:rsidRPr="00F42A1B">
        <w:rPr>
          <w:rFonts w:ascii="Book Antiqua" w:hAnsi="Book Antiqua"/>
          <w:sz w:val="24"/>
          <w:szCs w:val="24"/>
          <w:lang w:val="en-GB"/>
        </w:rPr>
        <w:t>retro</w:t>
      </w:r>
      <w:r w:rsidRPr="00557D29">
        <w:rPr>
          <w:rFonts w:ascii="Book Antiqua" w:hAnsi="Book Antiqua"/>
          <w:sz w:val="24"/>
          <w:szCs w:val="24"/>
          <w:lang w:val="en-GB"/>
        </w:rPr>
        <w:t>spective study</w:t>
      </w:r>
      <w:r w:rsidRPr="00557D29">
        <w:rPr>
          <w:rFonts w:ascii="Book Antiqua" w:hAnsi="Book Antiqua"/>
          <w:sz w:val="24"/>
          <w:szCs w:val="24"/>
          <w:vertAlign w:val="superscript"/>
          <w:lang w:val="en-GB"/>
        </w:rPr>
        <w:t>[7</w:t>
      </w:r>
      <w:r w:rsidR="001E0EA5" w:rsidRPr="00557D29">
        <w:rPr>
          <w:rFonts w:ascii="Book Antiqua" w:hAnsi="Book Antiqua"/>
          <w:sz w:val="24"/>
          <w:szCs w:val="24"/>
          <w:vertAlign w:val="superscript"/>
          <w:lang w:val="en-GB"/>
        </w:rPr>
        <w:t>3</w:t>
      </w:r>
      <w:r w:rsidRPr="00557D29">
        <w:rPr>
          <w:rFonts w:ascii="Book Antiqua" w:hAnsi="Book Antiqua"/>
          <w:sz w:val="24"/>
          <w:szCs w:val="24"/>
          <w:vertAlign w:val="superscript"/>
          <w:lang w:val="en-GB"/>
        </w:rPr>
        <w:t>]</w:t>
      </w:r>
      <w:r w:rsidRPr="00557D29">
        <w:rPr>
          <w:rFonts w:ascii="Book Antiqua" w:hAnsi="Book Antiqua"/>
          <w:sz w:val="24"/>
          <w:szCs w:val="24"/>
          <w:lang w:val="en-GB"/>
        </w:rPr>
        <w:t>. Despite these data, the significantly low number of patients does not allow definitive conclusions.</w:t>
      </w:r>
    </w:p>
    <w:p w14:paraId="4BA98C47"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Case reports and case series explore the use of adjuvant HT in UAS although no trials or series of at least 10 patients have been reported in literature</w:t>
      </w:r>
      <w:r w:rsidRPr="00557D29">
        <w:rPr>
          <w:rFonts w:ascii="Book Antiqua" w:hAnsi="Book Antiqua"/>
          <w:sz w:val="24"/>
          <w:szCs w:val="24"/>
          <w:vertAlign w:val="superscript"/>
          <w:lang w:val="en-GB"/>
        </w:rPr>
        <w:t>[7</w:t>
      </w:r>
      <w:r w:rsidR="001E0EA5" w:rsidRPr="00557D29">
        <w:rPr>
          <w:rFonts w:ascii="Book Antiqua" w:hAnsi="Book Antiqua"/>
          <w:sz w:val="24"/>
          <w:szCs w:val="24"/>
          <w:vertAlign w:val="superscript"/>
          <w:lang w:val="en-GB"/>
        </w:rPr>
        <w:t>4</w:t>
      </w:r>
      <w:r w:rsidRPr="00557D29">
        <w:rPr>
          <w:rFonts w:ascii="Book Antiqua" w:hAnsi="Book Antiqua"/>
          <w:sz w:val="24"/>
          <w:szCs w:val="24"/>
          <w:vertAlign w:val="superscript"/>
          <w:lang w:val="en-GB"/>
        </w:rPr>
        <w:t>,7</w:t>
      </w:r>
      <w:r w:rsidR="001E0EA5" w:rsidRPr="00557D29">
        <w:rPr>
          <w:rFonts w:ascii="Book Antiqua" w:hAnsi="Book Antiqua"/>
          <w:sz w:val="24"/>
          <w:szCs w:val="24"/>
          <w:vertAlign w:val="superscript"/>
          <w:lang w:val="en-GB"/>
        </w:rPr>
        <w:t>5</w:t>
      </w:r>
      <w:r w:rsidRPr="00557D29">
        <w:rPr>
          <w:rFonts w:ascii="Book Antiqua" w:hAnsi="Book Antiqua"/>
          <w:sz w:val="24"/>
          <w:szCs w:val="24"/>
          <w:vertAlign w:val="superscript"/>
          <w:lang w:val="en-GB"/>
        </w:rPr>
        <w:t>]</w:t>
      </w:r>
      <w:r w:rsidRPr="00557D29">
        <w:rPr>
          <w:rFonts w:ascii="Book Antiqua" w:hAnsi="Book Antiqua"/>
          <w:sz w:val="24"/>
          <w:szCs w:val="24"/>
          <w:lang w:val="en-GB"/>
        </w:rPr>
        <w:t xml:space="preserve">. </w:t>
      </w:r>
      <w:r w:rsidRPr="00557D29">
        <w:rPr>
          <w:rFonts w:ascii="Book Antiqua" w:hAnsi="Book Antiqua"/>
          <w:color w:val="333333"/>
          <w:sz w:val="24"/>
          <w:szCs w:val="24"/>
          <w:lang w:val="en-GB"/>
        </w:rPr>
        <w:t xml:space="preserve">Further investigations are required to identify the subset of patients that might obtain a proven benefit from HT in the adjuvant setting. </w:t>
      </w:r>
      <w:r w:rsidRPr="00557D29">
        <w:rPr>
          <w:rFonts w:ascii="Book Antiqua" w:hAnsi="Book Antiqua"/>
          <w:sz w:val="24"/>
          <w:szCs w:val="24"/>
          <w:lang w:val="en-GB"/>
        </w:rPr>
        <w:t>Consequently, adjuvant HT is not a standard in UAS, but its use seems reasonable in selected cases of ER and/or PR expression and in the absence of sarcomatous overgrowth</w:t>
      </w:r>
      <w:r w:rsidRPr="00557D29">
        <w:rPr>
          <w:rFonts w:ascii="Book Antiqua" w:hAnsi="Book Antiqua"/>
          <w:sz w:val="24"/>
          <w:szCs w:val="24"/>
          <w:vertAlign w:val="superscript"/>
          <w:lang w:val="en-GB"/>
        </w:rPr>
        <w:t>[6]</w:t>
      </w:r>
      <w:r w:rsidR="00453EF6" w:rsidRPr="00557D29">
        <w:rPr>
          <w:rFonts w:ascii="Book Antiqua" w:hAnsi="Book Antiqua"/>
          <w:sz w:val="24"/>
          <w:szCs w:val="24"/>
          <w:lang w:val="en-GB"/>
        </w:rPr>
        <w:t>(Table 1)</w:t>
      </w:r>
      <w:r w:rsidRPr="00557D29">
        <w:rPr>
          <w:rFonts w:ascii="Book Antiqua" w:hAnsi="Book Antiqua"/>
          <w:sz w:val="24"/>
          <w:szCs w:val="24"/>
          <w:lang w:val="en-GB"/>
        </w:rPr>
        <w:t xml:space="preserve">. </w:t>
      </w:r>
    </w:p>
    <w:p w14:paraId="42775EF4" w14:textId="77777777" w:rsidR="00E10EBC" w:rsidRPr="00993746" w:rsidRDefault="00E10EBC" w:rsidP="00773643">
      <w:pPr>
        <w:adjustRightInd w:val="0"/>
        <w:snapToGrid w:val="0"/>
        <w:spacing w:line="360" w:lineRule="auto"/>
        <w:jc w:val="both"/>
        <w:rPr>
          <w:rFonts w:ascii="Book Antiqua" w:hAnsi="Book Antiqua"/>
          <w:b/>
          <w:sz w:val="24"/>
          <w:szCs w:val="24"/>
          <w:lang w:val="en-GB"/>
        </w:rPr>
      </w:pPr>
    </w:p>
    <w:p w14:paraId="78828457"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CONCLUSION</w:t>
      </w:r>
    </w:p>
    <w:p w14:paraId="421BE54E" w14:textId="77777777" w:rsidR="002A155B" w:rsidRPr="00557D29" w:rsidRDefault="002A155B" w:rsidP="00773643">
      <w:pPr>
        <w:adjustRightInd w:val="0"/>
        <w:snapToGrid w:val="0"/>
        <w:spacing w:line="360" w:lineRule="auto"/>
        <w:jc w:val="both"/>
        <w:rPr>
          <w:rFonts w:ascii="Book Antiqua" w:hAnsi="Book Antiqua"/>
          <w:sz w:val="24"/>
          <w:szCs w:val="24"/>
          <w:lang w:val="en-GB"/>
        </w:rPr>
      </w:pPr>
      <w:r w:rsidRPr="00557D29">
        <w:rPr>
          <w:rFonts w:ascii="Book Antiqua" w:hAnsi="Book Antiqua"/>
          <w:sz w:val="24"/>
          <w:szCs w:val="24"/>
          <w:lang w:val="en-GB"/>
        </w:rPr>
        <w:t xml:space="preserve">Postoperative treatment modalities in US represent a sort of oncologic dilemma, balancing between lack of data, risk of recurrence, side effects and recommendations based on a lower-level evidence. Despite its rarity, achieving novel therapeutic options for US is considered an area of high unmet clinical need. As mentioned previously, studies on US were often affected by limitations such as the retrospective nature, the single-arm design, the population heterogeneity and small sample size. While simultaneously, the rarity of the disease and the poor recruitment in </w:t>
      </w:r>
      <w:r w:rsidRPr="00F42A1B">
        <w:rPr>
          <w:rFonts w:ascii="Book Antiqua" w:hAnsi="Book Antiqua"/>
          <w:sz w:val="24"/>
          <w:szCs w:val="24"/>
          <w:lang w:val="en-GB"/>
        </w:rPr>
        <w:t>randomi</w:t>
      </w:r>
      <w:r w:rsidRPr="00557D29">
        <w:rPr>
          <w:rFonts w:ascii="Book Antiqua" w:hAnsi="Book Antiqua"/>
          <w:sz w:val="24"/>
          <w:szCs w:val="24"/>
          <w:lang w:val="en-GB"/>
        </w:rPr>
        <w:t>sed trials raise serious doubts regarding the possibility of answering this question through the tools currently available.</w:t>
      </w:r>
    </w:p>
    <w:p w14:paraId="4338CA29" w14:textId="77777777" w:rsidR="002A155B" w:rsidRPr="00773643"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If LG-ESS are considered characterised by a favourable prognosis, the oncologic outcomes of women affected by other USs such as uLMS, UUS and UAS remain poor. In these histotypes, there is the temptation to treat patients instead of starting observation. The retrospective study by Littell</w:t>
      </w:r>
      <w:r w:rsidR="00993746" w:rsidRPr="00993746">
        <w:rPr>
          <w:rFonts w:ascii="Book Antiqua" w:hAnsi="Book Antiqua"/>
          <w:i/>
          <w:iCs/>
          <w:sz w:val="24"/>
          <w:szCs w:val="24"/>
          <w:lang w:val="en-GB"/>
        </w:rPr>
        <w:t xml:space="preserve"> et al</w:t>
      </w:r>
      <w:r w:rsidRPr="00773643">
        <w:rPr>
          <w:rFonts w:ascii="Book Antiqua" w:hAnsi="Book Antiqua"/>
          <w:sz w:val="24"/>
          <w:szCs w:val="24"/>
          <w:vertAlign w:val="superscript"/>
          <w:lang w:val="en-GB"/>
        </w:rPr>
        <w:t>[4</w:t>
      </w:r>
      <w:r w:rsidR="001E0EA5" w:rsidRPr="00773643">
        <w:rPr>
          <w:rFonts w:ascii="Book Antiqua" w:hAnsi="Book Antiqua"/>
          <w:sz w:val="24"/>
          <w:szCs w:val="24"/>
          <w:vertAlign w:val="superscript"/>
          <w:lang w:val="en-GB"/>
        </w:rPr>
        <w:t>8</w:t>
      </w:r>
      <w:r w:rsidRPr="00773643">
        <w:rPr>
          <w:rFonts w:ascii="Book Antiqua" w:hAnsi="Book Antiqua"/>
          <w:sz w:val="24"/>
          <w:szCs w:val="24"/>
          <w:vertAlign w:val="superscript"/>
          <w:lang w:val="en-GB"/>
        </w:rPr>
        <w:t>]</w:t>
      </w:r>
      <w:r w:rsidRPr="00773643">
        <w:rPr>
          <w:rFonts w:ascii="Book Antiqua" w:hAnsi="Book Antiqua"/>
          <w:sz w:val="24"/>
          <w:szCs w:val="24"/>
          <w:lang w:val="en-GB"/>
        </w:rPr>
        <w:t xml:space="preserve"> provided useful information on the paradigmatic case of adjuvant ChT in uLMS: the study found an “irrational” and not evidence-based increase in the use of adjuvant gemcitabine-docetaxel ranging from 6.5% of patients between 2006 to 2008 to 46.9% of women between 2009 and 2013, despite unproven benefit.</w:t>
      </w:r>
    </w:p>
    <w:p w14:paraId="74B06527" w14:textId="77777777" w:rsidR="002A155B" w:rsidRPr="00557D29" w:rsidRDefault="002A155B" w:rsidP="00993746">
      <w:pPr>
        <w:adjustRightInd w:val="0"/>
        <w:snapToGrid w:val="0"/>
        <w:spacing w:line="360" w:lineRule="auto"/>
        <w:ind w:firstLineChars="100" w:firstLine="240"/>
        <w:jc w:val="both"/>
        <w:rPr>
          <w:rFonts w:ascii="Book Antiqua" w:hAnsi="Book Antiqua"/>
          <w:sz w:val="24"/>
          <w:szCs w:val="24"/>
          <w:lang w:val="en-GB"/>
        </w:rPr>
      </w:pPr>
      <w:r w:rsidRPr="00557D29">
        <w:rPr>
          <w:rFonts w:ascii="Book Antiqua" w:hAnsi="Book Antiqua"/>
          <w:sz w:val="24"/>
          <w:szCs w:val="24"/>
          <w:lang w:val="en-GB"/>
        </w:rPr>
        <w:t>Similar to several other types of malignancies, in uLMS, agents with high response rates in the advanced disease stage failed to show any benefit in the adjuvant setting. However, considering the fact that any combination or single-agent ever achieved objective responses higher than gemcitabine-docetaxel, future efforts should be directed towards the selection of high-risk patients who might really benefit from adjuvant treatment.</w:t>
      </w:r>
    </w:p>
    <w:p w14:paraId="2E257657" w14:textId="77777777" w:rsidR="00453EF6" w:rsidRPr="00773643" w:rsidRDefault="002A155B" w:rsidP="00993746">
      <w:pPr>
        <w:adjustRightInd w:val="0"/>
        <w:snapToGrid w:val="0"/>
        <w:spacing w:line="360" w:lineRule="auto"/>
        <w:ind w:firstLineChars="100" w:firstLine="240"/>
        <w:jc w:val="both"/>
        <w:rPr>
          <w:rFonts w:ascii="Book Antiqua" w:hAnsi="Book Antiqua"/>
          <w:sz w:val="24"/>
          <w:szCs w:val="24"/>
          <w:highlight w:val="white"/>
          <w:lang w:val="en-GB"/>
        </w:rPr>
      </w:pPr>
      <w:r w:rsidRPr="00557D29">
        <w:rPr>
          <w:rFonts w:ascii="Book Antiqua" w:hAnsi="Book Antiqua"/>
          <w:sz w:val="24"/>
          <w:szCs w:val="24"/>
          <w:lang w:val="en-GB"/>
        </w:rPr>
        <w:t xml:space="preserve">In the era of precision, personalised oncology, one of the fundamental points would be to better define genes and pathways involved in US, providing a novel </w:t>
      </w:r>
      <w:r w:rsidRPr="00F42A1B">
        <w:rPr>
          <w:rFonts w:ascii="Book Antiqua" w:hAnsi="Book Antiqua"/>
          <w:sz w:val="24"/>
          <w:szCs w:val="24"/>
          <w:lang w:val="en-GB"/>
        </w:rPr>
        <w:t>under</w:t>
      </w:r>
      <w:r w:rsidRPr="00557D29">
        <w:rPr>
          <w:rFonts w:ascii="Book Antiqua" w:hAnsi="Book Antiqua"/>
          <w:sz w:val="24"/>
          <w:szCs w:val="24"/>
          <w:lang w:val="en-GB"/>
        </w:rPr>
        <w:t>standing of the pathophysiological mechanisms underlying the disease. A deeper biological characterisation might be mandatory to understand the molecular biology of US and to better select patients who could benefit more from adjuvant therapy. Progress in the management of US will require collaboration of basic science and clinical oncology to provide effective measures that might soon modify the natural history of this rare, challenging entity.</w:t>
      </w:r>
      <w:r w:rsidRPr="00773643">
        <w:rPr>
          <w:rFonts w:ascii="Book Antiqua" w:hAnsi="Book Antiqua"/>
          <w:sz w:val="24"/>
          <w:szCs w:val="24"/>
          <w:highlight w:val="white"/>
          <w:lang w:val="en-GB"/>
        </w:rPr>
        <w:t xml:space="preserve"> </w:t>
      </w:r>
    </w:p>
    <w:p w14:paraId="6E39B41B" w14:textId="77777777" w:rsidR="00453EF6" w:rsidRPr="00773643" w:rsidRDefault="00453EF6" w:rsidP="00773643">
      <w:pPr>
        <w:adjustRightInd w:val="0"/>
        <w:snapToGrid w:val="0"/>
        <w:spacing w:line="360" w:lineRule="auto"/>
        <w:jc w:val="both"/>
        <w:rPr>
          <w:rFonts w:ascii="Book Antiqua" w:hAnsi="Book Antiqua"/>
          <w:sz w:val="24"/>
          <w:szCs w:val="24"/>
          <w:highlight w:val="white"/>
          <w:lang w:val="en-GB"/>
        </w:rPr>
      </w:pPr>
      <w:r w:rsidRPr="00773643">
        <w:rPr>
          <w:rFonts w:ascii="Book Antiqua" w:hAnsi="Book Antiqua"/>
          <w:sz w:val="24"/>
          <w:szCs w:val="24"/>
          <w:highlight w:val="white"/>
          <w:lang w:val="en-GB"/>
        </w:rPr>
        <w:br w:type="page"/>
      </w:r>
    </w:p>
    <w:p w14:paraId="36BF5B1B" w14:textId="77777777" w:rsidR="00123A5E" w:rsidRPr="00773643" w:rsidRDefault="00453EF6" w:rsidP="00773643">
      <w:pPr>
        <w:adjustRightInd w:val="0"/>
        <w:snapToGrid w:val="0"/>
        <w:spacing w:line="360" w:lineRule="auto"/>
        <w:jc w:val="both"/>
        <w:rPr>
          <w:rFonts w:ascii="Book Antiqua" w:hAnsi="Book Antiqua"/>
          <w:b/>
          <w:sz w:val="24"/>
          <w:szCs w:val="24"/>
          <w:lang w:val="en-US"/>
        </w:rPr>
      </w:pPr>
      <w:r w:rsidRPr="00773643">
        <w:rPr>
          <w:rFonts w:ascii="Book Antiqua" w:hAnsi="Book Antiqua"/>
          <w:b/>
          <w:sz w:val="24"/>
          <w:szCs w:val="24"/>
          <w:lang w:val="en-US"/>
        </w:rPr>
        <w:t>REFERENCES</w:t>
      </w:r>
    </w:p>
    <w:p w14:paraId="6616F8D7"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1 </w:t>
      </w:r>
      <w:r w:rsidRPr="00773643">
        <w:rPr>
          <w:rFonts w:ascii="Book Antiqua" w:eastAsia="等线" w:hAnsi="Book Antiqua" w:cs="Times New Roman"/>
          <w:b/>
          <w:color w:val="auto"/>
          <w:kern w:val="2"/>
          <w:sz w:val="24"/>
          <w:szCs w:val="24"/>
          <w:lang w:val="en-US" w:eastAsia="zh-CN"/>
        </w:rPr>
        <w:t>Brooks SE</w:t>
      </w:r>
      <w:r w:rsidRPr="00773643">
        <w:rPr>
          <w:rFonts w:ascii="Book Antiqua" w:eastAsia="等线" w:hAnsi="Book Antiqua" w:cs="Times New Roman"/>
          <w:color w:val="auto"/>
          <w:kern w:val="2"/>
          <w:sz w:val="24"/>
          <w:szCs w:val="24"/>
          <w:lang w:val="en-US" w:eastAsia="zh-CN"/>
        </w:rPr>
        <w:t xml:space="preserve">, Zhan M, Cote T, Baquet CR. Surveillance, epidemiology, and end results analysis of 2677 cases of uterine sarcoma 1989-1999.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2004; </w:t>
      </w:r>
      <w:r w:rsidRPr="00773643">
        <w:rPr>
          <w:rFonts w:ascii="Book Antiqua" w:eastAsia="等线" w:hAnsi="Book Antiqua" w:cs="Times New Roman"/>
          <w:b/>
          <w:color w:val="auto"/>
          <w:kern w:val="2"/>
          <w:sz w:val="24"/>
          <w:szCs w:val="24"/>
          <w:lang w:val="en-US" w:eastAsia="zh-CN"/>
        </w:rPr>
        <w:t>93</w:t>
      </w:r>
      <w:r w:rsidRPr="00773643">
        <w:rPr>
          <w:rFonts w:ascii="Book Antiqua" w:eastAsia="等线" w:hAnsi="Book Antiqua" w:cs="Times New Roman"/>
          <w:color w:val="auto"/>
          <w:kern w:val="2"/>
          <w:sz w:val="24"/>
          <w:szCs w:val="24"/>
          <w:lang w:val="en-US" w:eastAsia="zh-CN"/>
        </w:rPr>
        <w:t>: 204-208 [PMID: 15047237 DOI: 10.1016/j.ygyno.2003.12.029</w:t>
      </w:r>
      <w:r>
        <w:rPr>
          <w:rFonts w:ascii="Book Antiqua" w:eastAsia="等线" w:hAnsi="Book Antiqua" w:cs="Times New Roman"/>
          <w:color w:val="auto"/>
          <w:kern w:val="2"/>
          <w:sz w:val="24"/>
          <w:szCs w:val="24"/>
          <w:lang w:val="en-US" w:eastAsia="zh-CN"/>
        </w:rPr>
        <w:t>]</w:t>
      </w:r>
    </w:p>
    <w:p w14:paraId="1A554EBD"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highlight w:val="yellow"/>
          <w:lang w:val="en-US" w:eastAsia="zh-CN"/>
        </w:rPr>
      </w:pPr>
      <w:r w:rsidRPr="00773643">
        <w:rPr>
          <w:rFonts w:ascii="Book Antiqua" w:eastAsia="等线" w:hAnsi="Book Antiqua" w:cs="Times New Roman"/>
          <w:color w:val="auto"/>
          <w:kern w:val="2"/>
          <w:sz w:val="24"/>
          <w:szCs w:val="24"/>
          <w:highlight w:val="yellow"/>
          <w:lang w:val="en-US" w:eastAsia="zh-CN"/>
        </w:rPr>
        <w:t xml:space="preserve">2 </w:t>
      </w:r>
      <w:r w:rsidRPr="00773643">
        <w:rPr>
          <w:rFonts w:ascii="Book Antiqua" w:eastAsia="等线" w:hAnsi="Book Antiqua" w:cs="Times New Roman"/>
          <w:b/>
          <w:color w:val="auto"/>
          <w:kern w:val="2"/>
          <w:sz w:val="24"/>
          <w:szCs w:val="24"/>
          <w:highlight w:val="yellow"/>
          <w:lang w:val="en-US" w:eastAsia="zh-CN"/>
        </w:rPr>
        <w:t xml:space="preserve">Alberta Health Services. </w:t>
      </w:r>
      <w:r w:rsidRPr="00773643">
        <w:rPr>
          <w:rFonts w:ascii="Book Antiqua" w:eastAsia="等线" w:hAnsi="Book Antiqua" w:cs="Times New Roman"/>
          <w:bCs/>
          <w:color w:val="auto"/>
          <w:kern w:val="2"/>
          <w:sz w:val="24"/>
          <w:szCs w:val="24"/>
          <w:highlight w:val="yellow"/>
          <w:lang w:val="en-US" w:eastAsia="zh-CN"/>
        </w:rPr>
        <w:t>Uterine sarcoma. Clinical Practice guideline Gyne-007.</w:t>
      </w:r>
      <w:r w:rsidRPr="00773643">
        <w:rPr>
          <w:rFonts w:ascii="Book Antiqua" w:eastAsia="等线" w:hAnsi="Book Antiqua" w:cs="Times New Roman"/>
          <w:color w:val="auto"/>
          <w:kern w:val="2"/>
          <w:sz w:val="24"/>
          <w:szCs w:val="24"/>
          <w:highlight w:val="yellow"/>
          <w:lang w:val="en-US" w:eastAsia="zh-CN"/>
        </w:rPr>
        <w:t xml:space="preserve"> version 2, 2013</w:t>
      </w:r>
    </w:p>
    <w:p w14:paraId="55BA5B16"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highlight w:val="yellow"/>
          <w:lang w:val="en-US" w:eastAsia="zh-CN"/>
        </w:rPr>
        <w:t xml:space="preserve">3 </w:t>
      </w:r>
      <w:r w:rsidRPr="00773643">
        <w:rPr>
          <w:rFonts w:ascii="Book Antiqua" w:eastAsia="等线" w:hAnsi="Book Antiqua" w:cs="Times New Roman"/>
          <w:b/>
          <w:color w:val="auto"/>
          <w:kern w:val="2"/>
          <w:sz w:val="24"/>
          <w:szCs w:val="24"/>
          <w:highlight w:val="yellow"/>
          <w:lang w:val="en-US" w:eastAsia="zh-CN"/>
        </w:rPr>
        <w:t>Ries LAG,</w:t>
      </w:r>
      <w:r w:rsidRPr="00773643">
        <w:rPr>
          <w:rFonts w:ascii="Book Antiqua" w:eastAsia="等线" w:hAnsi="Book Antiqua" w:cs="Times New Roman"/>
          <w:color w:val="auto"/>
          <w:kern w:val="2"/>
          <w:sz w:val="24"/>
          <w:szCs w:val="24"/>
          <w:highlight w:val="yellow"/>
          <w:lang w:val="en-US" w:eastAsia="zh-CN"/>
        </w:rPr>
        <w:t xml:space="preserve"> Young JL, Keel GE, Eisner MP, Lin YD, Horner MJ. SEER Survival Monograph: Cancer Survival Among Adults: U.S. SEER Program, 1988-2001, Patient and Tumor Characteristics. National Cancer Institute, SEER Program, NIH Pub. No. 07-6215, Bethesda, MD, 2007</w:t>
      </w:r>
    </w:p>
    <w:p w14:paraId="69453E32"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4 </w:t>
      </w:r>
      <w:r w:rsidRPr="00773643">
        <w:rPr>
          <w:rFonts w:ascii="Book Antiqua" w:eastAsia="等线" w:hAnsi="Book Antiqua" w:cs="Times New Roman"/>
          <w:b/>
          <w:color w:val="auto"/>
          <w:kern w:val="2"/>
          <w:sz w:val="24"/>
          <w:szCs w:val="24"/>
          <w:lang w:val="en-US" w:eastAsia="zh-CN"/>
        </w:rPr>
        <w:t>Livi L</w:t>
      </w:r>
      <w:r w:rsidRPr="00773643">
        <w:rPr>
          <w:rFonts w:ascii="Book Antiqua" w:eastAsia="等线" w:hAnsi="Book Antiqua" w:cs="Times New Roman"/>
          <w:color w:val="auto"/>
          <w:kern w:val="2"/>
          <w:sz w:val="24"/>
          <w:szCs w:val="24"/>
          <w:lang w:val="en-US" w:eastAsia="zh-CN"/>
        </w:rPr>
        <w:t xml:space="preserve">, Paiar F, Shah N, Blake P, Villanucci A, Amunni G, Barca R, Judson I, Lodge N, Meldolesi E, Simontacchi G, Piperno G, Galardi A, Scoccianti S, Biti GP, Harmer C. Uterine sarcoma: twenty-seven years of experience. </w:t>
      </w:r>
      <w:r w:rsidRPr="00773643">
        <w:rPr>
          <w:rFonts w:ascii="Book Antiqua" w:eastAsia="等线" w:hAnsi="Book Antiqua" w:cs="Times New Roman"/>
          <w:i/>
          <w:color w:val="auto"/>
          <w:kern w:val="2"/>
          <w:sz w:val="24"/>
          <w:szCs w:val="24"/>
          <w:lang w:val="en-US" w:eastAsia="zh-CN"/>
        </w:rPr>
        <w:t>Int J Radiat Oncol Biol Phys</w:t>
      </w:r>
      <w:r w:rsidRPr="00773643">
        <w:rPr>
          <w:rFonts w:ascii="Book Antiqua" w:eastAsia="等线" w:hAnsi="Book Antiqua" w:cs="Times New Roman"/>
          <w:color w:val="auto"/>
          <w:kern w:val="2"/>
          <w:sz w:val="24"/>
          <w:szCs w:val="24"/>
          <w:lang w:val="en-US" w:eastAsia="zh-CN"/>
        </w:rPr>
        <w:t xml:space="preserve"> 2003; </w:t>
      </w:r>
      <w:r w:rsidRPr="00773643">
        <w:rPr>
          <w:rFonts w:ascii="Book Antiqua" w:eastAsia="等线" w:hAnsi="Book Antiqua" w:cs="Times New Roman"/>
          <w:b/>
          <w:color w:val="auto"/>
          <w:kern w:val="2"/>
          <w:sz w:val="24"/>
          <w:szCs w:val="24"/>
          <w:lang w:val="en-US" w:eastAsia="zh-CN"/>
        </w:rPr>
        <w:t>57</w:t>
      </w:r>
      <w:r w:rsidRPr="00773643">
        <w:rPr>
          <w:rFonts w:ascii="Book Antiqua" w:eastAsia="等线" w:hAnsi="Book Antiqua" w:cs="Times New Roman"/>
          <w:color w:val="auto"/>
          <w:kern w:val="2"/>
          <w:sz w:val="24"/>
          <w:szCs w:val="24"/>
          <w:lang w:val="en-US" w:eastAsia="zh-CN"/>
        </w:rPr>
        <w:t>: 1366-1373 [PMID: 14630275 DOI: 10.1016/S0360-3016(03)00750-8</w:t>
      </w:r>
      <w:r>
        <w:rPr>
          <w:rFonts w:ascii="Book Antiqua" w:eastAsia="等线" w:hAnsi="Book Antiqua" w:cs="Times New Roman"/>
          <w:color w:val="auto"/>
          <w:kern w:val="2"/>
          <w:sz w:val="24"/>
          <w:szCs w:val="24"/>
          <w:lang w:val="en-US" w:eastAsia="zh-CN"/>
        </w:rPr>
        <w:t>]</w:t>
      </w:r>
    </w:p>
    <w:p w14:paraId="206FF0E3"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5 </w:t>
      </w:r>
      <w:r w:rsidRPr="00773643">
        <w:rPr>
          <w:rFonts w:ascii="Book Antiqua" w:eastAsia="等线" w:hAnsi="Book Antiqua" w:cs="Times New Roman"/>
          <w:b/>
          <w:color w:val="auto"/>
          <w:kern w:val="2"/>
          <w:sz w:val="24"/>
          <w:szCs w:val="24"/>
          <w:lang w:val="en-US" w:eastAsia="zh-CN"/>
        </w:rPr>
        <w:t>Koivisto-Korander R</w:t>
      </w:r>
      <w:r w:rsidRPr="00773643">
        <w:rPr>
          <w:rFonts w:ascii="Book Antiqua" w:eastAsia="等线" w:hAnsi="Book Antiqua" w:cs="Times New Roman"/>
          <w:color w:val="auto"/>
          <w:kern w:val="2"/>
          <w:sz w:val="24"/>
          <w:szCs w:val="24"/>
          <w:lang w:val="en-US" w:eastAsia="zh-CN"/>
        </w:rPr>
        <w:t xml:space="preserve">, Martinsen JI, Weiderpass E, Leminen A, Pukkala E. Incidence of uterine leiomyosarcoma and endometrial stromal sarcoma in Nordic countries: results from NORDCAN and NOCCA databases. </w:t>
      </w:r>
      <w:r w:rsidRPr="00773643">
        <w:rPr>
          <w:rFonts w:ascii="Book Antiqua" w:eastAsia="等线" w:hAnsi="Book Antiqua" w:cs="Times New Roman"/>
          <w:i/>
          <w:color w:val="auto"/>
          <w:kern w:val="2"/>
          <w:sz w:val="24"/>
          <w:szCs w:val="24"/>
          <w:lang w:val="en-US" w:eastAsia="zh-CN"/>
        </w:rPr>
        <w:t>Maturitas</w:t>
      </w:r>
      <w:r w:rsidRPr="00773643">
        <w:rPr>
          <w:rFonts w:ascii="Book Antiqua" w:eastAsia="等线" w:hAnsi="Book Antiqua" w:cs="Times New Roman"/>
          <w:color w:val="auto"/>
          <w:kern w:val="2"/>
          <w:sz w:val="24"/>
          <w:szCs w:val="24"/>
          <w:lang w:val="en-US" w:eastAsia="zh-CN"/>
        </w:rPr>
        <w:t xml:space="preserve"> 2012; </w:t>
      </w:r>
      <w:r w:rsidRPr="00773643">
        <w:rPr>
          <w:rFonts w:ascii="Book Antiqua" w:eastAsia="等线" w:hAnsi="Book Antiqua" w:cs="Times New Roman"/>
          <w:b/>
          <w:color w:val="auto"/>
          <w:kern w:val="2"/>
          <w:sz w:val="24"/>
          <w:szCs w:val="24"/>
          <w:lang w:val="en-US" w:eastAsia="zh-CN"/>
        </w:rPr>
        <w:t>72</w:t>
      </w:r>
      <w:r w:rsidRPr="00773643">
        <w:rPr>
          <w:rFonts w:ascii="Book Antiqua" w:eastAsia="等线" w:hAnsi="Book Antiqua" w:cs="Times New Roman"/>
          <w:color w:val="auto"/>
          <w:kern w:val="2"/>
          <w:sz w:val="24"/>
          <w:szCs w:val="24"/>
          <w:lang w:val="en-US" w:eastAsia="zh-CN"/>
        </w:rPr>
        <w:t>: 56-60 [PMID: 22377186 DOI: 10.1016/j.maturitas.2012.01.021</w:t>
      </w:r>
      <w:r>
        <w:rPr>
          <w:rFonts w:ascii="Book Antiqua" w:eastAsia="等线" w:hAnsi="Book Antiqua" w:cs="Times New Roman"/>
          <w:color w:val="auto"/>
          <w:kern w:val="2"/>
          <w:sz w:val="24"/>
          <w:szCs w:val="24"/>
          <w:lang w:val="en-US" w:eastAsia="zh-CN"/>
        </w:rPr>
        <w:t>]</w:t>
      </w:r>
    </w:p>
    <w:p w14:paraId="0178FD73"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6 </w:t>
      </w:r>
      <w:r w:rsidRPr="00773643">
        <w:rPr>
          <w:rFonts w:ascii="Book Antiqua" w:eastAsia="等线" w:hAnsi="Book Antiqua" w:cs="Times New Roman"/>
          <w:b/>
          <w:color w:val="auto"/>
          <w:kern w:val="2"/>
          <w:sz w:val="24"/>
          <w:szCs w:val="24"/>
          <w:lang w:val="en-US" w:eastAsia="zh-CN"/>
        </w:rPr>
        <w:t>Koh WJ</w:t>
      </w:r>
      <w:r w:rsidRPr="00773643">
        <w:rPr>
          <w:rFonts w:ascii="Book Antiqua" w:eastAsia="等线" w:hAnsi="Book Antiqua" w:cs="Times New Roman"/>
          <w:color w:val="auto"/>
          <w:kern w:val="2"/>
          <w:sz w:val="24"/>
          <w:szCs w:val="24"/>
          <w:lang w:val="en-US" w:eastAsia="zh-CN"/>
        </w:rPr>
        <w:t xml:space="preserve">, Abu-Rustum NR, Bean S, Bradley K, Campos SM, Cho KR, Chon HS, Chu C, Cohn D, Crispens MA, Damast S, Dorigo O, Eifel PJ, Fisher CM, Frederick P, Gaffney DK, George S, Han E, Higgins S, Huh WK, Lurain JR 3rd, Mariani A, Mutch D, Nagel C, Nekhlyudov L, Fader AN, Remmenga SW, Reynolds RK, Tillmanns T, Ueda S, Wyse E, Yashar CM, McMillian NR, Scavone JL. Uterine Neoplasms, Version 1.2018, NCCN Clinical Practice Guidelines in Oncology. </w:t>
      </w:r>
      <w:r w:rsidRPr="00773643">
        <w:rPr>
          <w:rFonts w:ascii="Book Antiqua" w:eastAsia="等线" w:hAnsi="Book Antiqua" w:cs="Times New Roman"/>
          <w:i/>
          <w:color w:val="auto"/>
          <w:kern w:val="2"/>
          <w:sz w:val="24"/>
          <w:szCs w:val="24"/>
          <w:lang w:val="en-US" w:eastAsia="zh-CN"/>
        </w:rPr>
        <w:t>J Natl Compr Canc Netw</w:t>
      </w:r>
      <w:r w:rsidRPr="00773643">
        <w:rPr>
          <w:rFonts w:ascii="Book Antiqua" w:eastAsia="等线" w:hAnsi="Book Antiqua" w:cs="Times New Roman"/>
          <w:color w:val="auto"/>
          <w:kern w:val="2"/>
          <w:sz w:val="24"/>
          <w:szCs w:val="24"/>
          <w:lang w:val="en-US" w:eastAsia="zh-CN"/>
        </w:rPr>
        <w:t xml:space="preserve"> 2018; </w:t>
      </w:r>
      <w:r w:rsidRPr="00773643">
        <w:rPr>
          <w:rFonts w:ascii="Book Antiqua" w:eastAsia="等线" w:hAnsi="Book Antiqua" w:cs="Times New Roman"/>
          <w:b/>
          <w:color w:val="auto"/>
          <w:kern w:val="2"/>
          <w:sz w:val="24"/>
          <w:szCs w:val="24"/>
          <w:lang w:val="en-US" w:eastAsia="zh-CN"/>
        </w:rPr>
        <w:t>16</w:t>
      </w:r>
      <w:r w:rsidRPr="00773643">
        <w:rPr>
          <w:rFonts w:ascii="Book Antiqua" w:eastAsia="等线" w:hAnsi="Book Antiqua" w:cs="Times New Roman"/>
          <w:color w:val="auto"/>
          <w:kern w:val="2"/>
          <w:sz w:val="24"/>
          <w:szCs w:val="24"/>
          <w:lang w:val="en-US" w:eastAsia="zh-CN"/>
        </w:rPr>
        <w:t>: 170-199 [PMID: 29439178 DOI: 10.6004/jnccn.2018.0006</w:t>
      </w:r>
      <w:r>
        <w:rPr>
          <w:rFonts w:ascii="Book Antiqua" w:eastAsia="等线" w:hAnsi="Book Antiqua" w:cs="Times New Roman"/>
          <w:color w:val="auto"/>
          <w:kern w:val="2"/>
          <w:sz w:val="24"/>
          <w:szCs w:val="24"/>
          <w:lang w:val="en-US" w:eastAsia="zh-CN"/>
        </w:rPr>
        <w:t>]</w:t>
      </w:r>
    </w:p>
    <w:p w14:paraId="199FD51C"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7 </w:t>
      </w:r>
      <w:r w:rsidRPr="00773643">
        <w:rPr>
          <w:rFonts w:ascii="Book Antiqua" w:eastAsia="等线" w:hAnsi="Book Antiqua" w:cs="Times New Roman"/>
          <w:b/>
          <w:color w:val="auto"/>
          <w:kern w:val="2"/>
          <w:sz w:val="24"/>
          <w:szCs w:val="24"/>
          <w:lang w:val="en-US" w:eastAsia="zh-CN"/>
        </w:rPr>
        <w:t>Carroll A</w:t>
      </w:r>
      <w:r w:rsidRPr="00773643">
        <w:rPr>
          <w:rFonts w:ascii="Book Antiqua" w:eastAsia="等线" w:hAnsi="Book Antiqua" w:cs="Times New Roman"/>
          <w:color w:val="auto"/>
          <w:kern w:val="2"/>
          <w:sz w:val="24"/>
          <w:szCs w:val="24"/>
          <w:lang w:val="en-US" w:eastAsia="zh-CN"/>
        </w:rPr>
        <w:t xml:space="preserve">, Ramirez PT, Westin SN, Soliman PT, Munsell MF, Nick AM, Schmeler KM, Klopp AH, Fleming ND. Uterine adenosarcoma: an analysis on management, outcomes, and risk factors for recurrence.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2014; </w:t>
      </w:r>
      <w:r w:rsidRPr="00773643">
        <w:rPr>
          <w:rFonts w:ascii="Book Antiqua" w:eastAsia="等线" w:hAnsi="Book Antiqua" w:cs="Times New Roman"/>
          <w:b/>
          <w:color w:val="auto"/>
          <w:kern w:val="2"/>
          <w:sz w:val="24"/>
          <w:szCs w:val="24"/>
          <w:lang w:val="en-US" w:eastAsia="zh-CN"/>
        </w:rPr>
        <w:t>135</w:t>
      </w:r>
      <w:r w:rsidRPr="00773643">
        <w:rPr>
          <w:rFonts w:ascii="Book Antiqua" w:eastAsia="等线" w:hAnsi="Book Antiqua" w:cs="Times New Roman"/>
          <w:color w:val="auto"/>
          <w:kern w:val="2"/>
          <w:sz w:val="24"/>
          <w:szCs w:val="24"/>
          <w:lang w:val="en-US" w:eastAsia="zh-CN"/>
        </w:rPr>
        <w:t>: 455-461 [PMID: 25449308 DOI: 10.1016/j.ygyno.2014.10.022</w:t>
      </w:r>
      <w:r>
        <w:rPr>
          <w:rFonts w:ascii="Book Antiqua" w:eastAsia="等线" w:hAnsi="Book Antiqua" w:cs="Times New Roman"/>
          <w:color w:val="auto"/>
          <w:kern w:val="2"/>
          <w:sz w:val="24"/>
          <w:szCs w:val="24"/>
          <w:lang w:val="en-US" w:eastAsia="zh-CN"/>
        </w:rPr>
        <w:t>]</w:t>
      </w:r>
    </w:p>
    <w:p w14:paraId="23BF4CB8"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8 </w:t>
      </w:r>
      <w:r w:rsidRPr="00773643">
        <w:rPr>
          <w:rFonts w:ascii="Book Antiqua" w:eastAsia="等线" w:hAnsi="Book Antiqua" w:cs="Times New Roman"/>
          <w:b/>
          <w:color w:val="auto"/>
          <w:kern w:val="2"/>
          <w:sz w:val="24"/>
          <w:szCs w:val="24"/>
          <w:lang w:val="en-US" w:eastAsia="zh-CN"/>
        </w:rPr>
        <w:t>Krivak TC</w:t>
      </w:r>
      <w:r w:rsidRPr="00773643">
        <w:rPr>
          <w:rFonts w:ascii="Book Antiqua" w:eastAsia="等线" w:hAnsi="Book Antiqua" w:cs="Times New Roman"/>
          <w:color w:val="auto"/>
          <w:kern w:val="2"/>
          <w:sz w:val="24"/>
          <w:szCs w:val="24"/>
          <w:lang w:val="en-US" w:eastAsia="zh-CN"/>
        </w:rPr>
        <w:t xml:space="preserve">, Seidman JD, McBroom JW, MacKoul PJ, Aye LM, Rose GS. Uterine adenosarcoma with sarcomatous overgrowth versus uterine carcinosarcoma: comparison of treatment and survival.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2001; </w:t>
      </w:r>
      <w:r w:rsidRPr="00773643">
        <w:rPr>
          <w:rFonts w:ascii="Book Antiqua" w:eastAsia="等线" w:hAnsi="Book Antiqua" w:cs="Times New Roman"/>
          <w:b/>
          <w:color w:val="auto"/>
          <w:kern w:val="2"/>
          <w:sz w:val="24"/>
          <w:szCs w:val="24"/>
          <w:lang w:val="en-US" w:eastAsia="zh-CN"/>
        </w:rPr>
        <w:t>83</w:t>
      </w:r>
      <w:r w:rsidRPr="00773643">
        <w:rPr>
          <w:rFonts w:ascii="Book Antiqua" w:eastAsia="等线" w:hAnsi="Book Antiqua" w:cs="Times New Roman"/>
          <w:color w:val="auto"/>
          <w:kern w:val="2"/>
          <w:sz w:val="24"/>
          <w:szCs w:val="24"/>
          <w:lang w:val="en-US" w:eastAsia="zh-CN"/>
        </w:rPr>
        <w:t>: 89-94 [PMID: 11585418 DOI: 10.1006/gyno.2001.6334</w:t>
      </w:r>
      <w:r>
        <w:rPr>
          <w:rFonts w:ascii="Book Antiqua" w:eastAsia="等线" w:hAnsi="Book Antiqua" w:cs="Times New Roman"/>
          <w:color w:val="auto"/>
          <w:kern w:val="2"/>
          <w:sz w:val="24"/>
          <w:szCs w:val="24"/>
          <w:lang w:val="en-US" w:eastAsia="zh-CN"/>
        </w:rPr>
        <w:t>]</w:t>
      </w:r>
    </w:p>
    <w:p w14:paraId="7CEF0100"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9 </w:t>
      </w:r>
      <w:r w:rsidRPr="00773643">
        <w:rPr>
          <w:rFonts w:ascii="Book Antiqua" w:eastAsia="等线" w:hAnsi="Book Antiqua" w:cs="Times New Roman"/>
          <w:b/>
          <w:color w:val="auto"/>
          <w:kern w:val="2"/>
          <w:sz w:val="24"/>
          <w:szCs w:val="24"/>
          <w:lang w:val="en-US" w:eastAsia="zh-CN"/>
        </w:rPr>
        <w:t>Wu TI</w:t>
      </w:r>
      <w:r w:rsidRPr="00773643">
        <w:rPr>
          <w:rFonts w:ascii="Book Antiqua" w:eastAsia="等线" w:hAnsi="Book Antiqua" w:cs="Times New Roman"/>
          <w:color w:val="auto"/>
          <w:kern w:val="2"/>
          <w:sz w:val="24"/>
          <w:szCs w:val="24"/>
          <w:lang w:val="en-US" w:eastAsia="zh-CN"/>
        </w:rPr>
        <w:t xml:space="preserve">, Chang TC, Hsueh S, Hsu KH, Chou HH, Huang HJ, Lai CH. Prognostic factors and impact of adjuvant chemotherapy for uterine leiomyosarcoma.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2006; </w:t>
      </w:r>
      <w:r w:rsidRPr="00773643">
        <w:rPr>
          <w:rFonts w:ascii="Book Antiqua" w:eastAsia="等线" w:hAnsi="Book Antiqua" w:cs="Times New Roman"/>
          <w:b/>
          <w:color w:val="auto"/>
          <w:kern w:val="2"/>
          <w:sz w:val="24"/>
          <w:szCs w:val="24"/>
          <w:lang w:val="en-US" w:eastAsia="zh-CN"/>
        </w:rPr>
        <w:t>100</w:t>
      </w:r>
      <w:r w:rsidRPr="00773643">
        <w:rPr>
          <w:rFonts w:ascii="Book Antiqua" w:eastAsia="等线" w:hAnsi="Book Antiqua" w:cs="Times New Roman"/>
          <w:color w:val="auto"/>
          <w:kern w:val="2"/>
          <w:sz w:val="24"/>
          <w:szCs w:val="24"/>
          <w:lang w:val="en-US" w:eastAsia="zh-CN"/>
        </w:rPr>
        <w:t>: 166-172 [PMID: 16182349 DOI: 10.1016/j.ygyno.2005.08.010</w:t>
      </w:r>
      <w:r>
        <w:rPr>
          <w:rFonts w:ascii="Book Antiqua" w:eastAsia="等线" w:hAnsi="Book Antiqua" w:cs="Times New Roman"/>
          <w:color w:val="auto"/>
          <w:kern w:val="2"/>
          <w:sz w:val="24"/>
          <w:szCs w:val="24"/>
          <w:lang w:val="en-US" w:eastAsia="zh-CN"/>
        </w:rPr>
        <w:t>]</w:t>
      </w:r>
    </w:p>
    <w:p w14:paraId="78065080"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10 </w:t>
      </w:r>
      <w:r w:rsidRPr="00773643">
        <w:rPr>
          <w:rFonts w:ascii="Book Antiqua" w:eastAsia="等线" w:hAnsi="Book Antiqua" w:cs="Times New Roman"/>
          <w:b/>
          <w:color w:val="auto"/>
          <w:kern w:val="2"/>
          <w:sz w:val="24"/>
          <w:szCs w:val="24"/>
          <w:lang w:val="en-US" w:eastAsia="zh-CN"/>
        </w:rPr>
        <w:t>Kapp DS</w:t>
      </w:r>
      <w:r w:rsidRPr="00773643">
        <w:rPr>
          <w:rFonts w:ascii="Book Antiqua" w:eastAsia="等线" w:hAnsi="Book Antiqua" w:cs="Times New Roman"/>
          <w:color w:val="auto"/>
          <w:kern w:val="2"/>
          <w:sz w:val="24"/>
          <w:szCs w:val="24"/>
          <w:lang w:val="en-US" w:eastAsia="zh-CN"/>
        </w:rPr>
        <w:t xml:space="preserve">, Shin JY, Chan JK. Prognostic factors and survival in 1396 patients with uterine leiomyosarcomas: emphasis on impact of lymphadenectomy and oophorectomy. </w:t>
      </w:r>
      <w:r w:rsidRPr="00773643">
        <w:rPr>
          <w:rFonts w:ascii="Book Antiqua" w:eastAsia="等线" w:hAnsi="Book Antiqua" w:cs="Times New Roman"/>
          <w:i/>
          <w:color w:val="auto"/>
          <w:kern w:val="2"/>
          <w:sz w:val="24"/>
          <w:szCs w:val="24"/>
          <w:lang w:val="en-US" w:eastAsia="zh-CN"/>
        </w:rPr>
        <w:t>Cancer</w:t>
      </w:r>
      <w:r w:rsidRPr="00773643">
        <w:rPr>
          <w:rFonts w:ascii="Book Antiqua" w:eastAsia="等线" w:hAnsi="Book Antiqua" w:cs="Times New Roman"/>
          <w:color w:val="auto"/>
          <w:kern w:val="2"/>
          <w:sz w:val="24"/>
          <w:szCs w:val="24"/>
          <w:lang w:val="en-US" w:eastAsia="zh-CN"/>
        </w:rPr>
        <w:t xml:space="preserve"> 2008; </w:t>
      </w:r>
      <w:r w:rsidRPr="00773643">
        <w:rPr>
          <w:rFonts w:ascii="Book Antiqua" w:eastAsia="等线" w:hAnsi="Book Antiqua" w:cs="Times New Roman"/>
          <w:b/>
          <w:color w:val="auto"/>
          <w:kern w:val="2"/>
          <w:sz w:val="24"/>
          <w:szCs w:val="24"/>
          <w:lang w:val="en-US" w:eastAsia="zh-CN"/>
        </w:rPr>
        <w:t>112</w:t>
      </w:r>
      <w:r w:rsidRPr="00773643">
        <w:rPr>
          <w:rFonts w:ascii="Book Antiqua" w:eastAsia="等线" w:hAnsi="Book Antiqua" w:cs="Times New Roman"/>
          <w:color w:val="auto"/>
          <w:kern w:val="2"/>
          <w:sz w:val="24"/>
          <w:szCs w:val="24"/>
          <w:lang w:val="en-US" w:eastAsia="zh-CN"/>
        </w:rPr>
        <w:t>: 820-830 [PMID: 18189292 DOI: 10.1002/cncr.23245</w:t>
      </w:r>
      <w:r>
        <w:rPr>
          <w:rFonts w:ascii="Book Antiqua" w:eastAsia="等线" w:hAnsi="Book Antiqua" w:cs="Times New Roman"/>
          <w:color w:val="auto"/>
          <w:kern w:val="2"/>
          <w:sz w:val="24"/>
          <w:szCs w:val="24"/>
          <w:lang w:val="en-US" w:eastAsia="zh-CN"/>
        </w:rPr>
        <w:t>]</w:t>
      </w:r>
    </w:p>
    <w:p w14:paraId="254B2B86"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11 </w:t>
      </w:r>
      <w:r w:rsidRPr="00773643">
        <w:rPr>
          <w:rFonts w:ascii="Book Antiqua" w:eastAsia="等线" w:hAnsi="Book Antiqua" w:cs="Times New Roman"/>
          <w:b/>
          <w:color w:val="auto"/>
          <w:kern w:val="2"/>
          <w:sz w:val="24"/>
          <w:szCs w:val="24"/>
          <w:lang w:val="en-US" w:eastAsia="zh-CN"/>
        </w:rPr>
        <w:t>Hensley ML</w:t>
      </w:r>
      <w:r w:rsidRPr="00773643">
        <w:rPr>
          <w:rFonts w:ascii="Book Antiqua" w:eastAsia="等线" w:hAnsi="Book Antiqua" w:cs="Times New Roman"/>
          <w:color w:val="auto"/>
          <w:kern w:val="2"/>
          <w:sz w:val="24"/>
          <w:szCs w:val="24"/>
          <w:lang w:val="en-US" w:eastAsia="zh-CN"/>
        </w:rPr>
        <w:t xml:space="preserve">, Ishill N, Soslow R, Larkin J, Abu-Rustum N, Sabbatini P, Konner J, Tew W, Spriggs D, Aghajanian CA. Adjuvant gemcitabine plus docetaxel for completely resected stages I-IV high grade uterine leiomyosarcoma: Results of a prospective study.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2009; </w:t>
      </w:r>
      <w:r w:rsidRPr="00773643">
        <w:rPr>
          <w:rFonts w:ascii="Book Antiqua" w:eastAsia="等线" w:hAnsi="Book Antiqua" w:cs="Times New Roman"/>
          <w:b/>
          <w:color w:val="auto"/>
          <w:kern w:val="2"/>
          <w:sz w:val="24"/>
          <w:szCs w:val="24"/>
          <w:lang w:val="en-US" w:eastAsia="zh-CN"/>
        </w:rPr>
        <w:t>112</w:t>
      </w:r>
      <w:r w:rsidRPr="00773643">
        <w:rPr>
          <w:rFonts w:ascii="Book Antiqua" w:eastAsia="等线" w:hAnsi="Book Antiqua" w:cs="Times New Roman"/>
          <w:color w:val="auto"/>
          <w:kern w:val="2"/>
          <w:sz w:val="24"/>
          <w:szCs w:val="24"/>
          <w:lang w:val="en-US" w:eastAsia="zh-CN"/>
        </w:rPr>
        <w:t>: 563-567 [PMID: 19135708 DOI: 10.1016/j.ygyno.2008.11.027</w:t>
      </w:r>
      <w:r>
        <w:rPr>
          <w:rFonts w:ascii="Book Antiqua" w:eastAsia="等线" w:hAnsi="Book Antiqua" w:cs="Times New Roman"/>
          <w:color w:val="auto"/>
          <w:kern w:val="2"/>
          <w:sz w:val="24"/>
          <w:szCs w:val="24"/>
          <w:lang w:val="en-US" w:eastAsia="zh-CN"/>
        </w:rPr>
        <w:t>]</w:t>
      </w:r>
    </w:p>
    <w:p w14:paraId="4FD1723F"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12 </w:t>
      </w:r>
      <w:r w:rsidRPr="00773643">
        <w:rPr>
          <w:rFonts w:ascii="Book Antiqua" w:eastAsia="等线" w:hAnsi="Book Antiqua" w:cs="Times New Roman"/>
          <w:b/>
          <w:color w:val="auto"/>
          <w:kern w:val="2"/>
          <w:sz w:val="24"/>
          <w:szCs w:val="24"/>
          <w:lang w:val="en-US" w:eastAsia="zh-CN"/>
        </w:rPr>
        <w:t>D'Angelo E</w:t>
      </w:r>
      <w:r w:rsidRPr="00773643">
        <w:rPr>
          <w:rFonts w:ascii="Book Antiqua" w:eastAsia="等线" w:hAnsi="Book Antiqua" w:cs="Times New Roman"/>
          <w:color w:val="auto"/>
          <w:kern w:val="2"/>
          <w:sz w:val="24"/>
          <w:szCs w:val="24"/>
          <w:lang w:val="en-US" w:eastAsia="zh-CN"/>
        </w:rPr>
        <w:t xml:space="preserve">, Prat J. Uterine sarcomas: a review.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2010; </w:t>
      </w:r>
      <w:r w:rsidRPr="00773643">
        <w:rPr>
          <w:rFonts w:ascii="Book Antiqua" w:eastAsia="等线" w:hAnsi="Book Antiqua" w:cs="Times New Roman"/>
          <w:b/>
          <w:color w:val="auto"/>
          <w:kern w:val="2"/>
          <w:sz w:val="24"/>
          <w:szCs w:val="24"/>
          <w:lang w:val="en-US" w:eastAsia="zh-CN"/>
        </w:rPr>
        <w:t>116</w:t>
      </w:r>
      <w:r w:rsidRPr="00773643">
        <w:rPr>
          <w:rFonts w:ascii="Book Antiqua" w:eastAsia="等线" w:hAnsi="Book Antiqua" w:cs="Times New Roman"/>
          <w:color w:val="auto"/>
          <w:kern w:val="2"/>
          <w:sz w:val="24"/>
          <w:szCs w:val="24"/>
          <w:lang w:val="en-US" w:eastAsia="zh-CN"/>
        </w:rPr>
        <w:t>: 131-139 [PMID: 19853898 DOI: 10.1016/j.ygyno.2009.09.023</w:t>
      </w:r>
      <w:r>
        <w:rPr>
          <w:rFonts w:ascii="Book Antiqua" w:eastAsia="等线" w:hAnsi="Book Antiqua" w:cs="Times New Roman"/>
          <w:color w:val="auto"/>
          <w:kern w:val="2"/>
          <w:sz w:val="24"/>
          <w:szCs w:val="24"/>
          <w:lang w:val="en-US" w:eastAsia="zh-CN"/>
        </w:rPr>
        <w:t>]</w:t>
      </w:r>
    </w:p>
    <w:p w14:paraId="3118A810"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13 </w:t>
      </w:r>
      <w:r w:rsidRPr="00773643">
        <w:rPr>
          <w:rFonts w:ascii="Book Antiqua" w:eastAsia="等线" w:hAnsi="Book Antiqua" w:cs="Times New Roman"/>
          <w:b/>
          <w:color w:val="auto"/>
          <w:kern w:val="2"/>
          <w:sz w:val="24"/>
          <w:szCs w:val="24"/>
          <w:lang w:val="en-US" w:eastAsia="zh-CN"/>
        </w:rPr>
        <w:t>Cui R</w:t>
      </w:r>
      <w:r w:rsidRPr="00773643">
        <w:rPr>
          <w:rFonts w:ascii="Book Antiqua" w:eastAsia="等线" w:hAnsi="Book Antiqua" w:cs="Times New Roman"/>
          <w:color w:val="auto"/>
          <w:kern w:val="2"/>
          <w:sz w:val="24"/>
          <w:szCs w:val="24"/>
          <w:lang w:val="en-US" w:eastAsia="zh-CN"/>
        </w:rPr>
        <w:t xml:space="preserve">, Yuan F, Wang Y, Li X, Zhang Z, Bai H. Clinicopathological characteristics and treatment strategies for patients with low-grade endometrial stromal sarcoma. </w:t>
      </w:r>
      <w:r w:rsidRPr="00773643">
        <w:rPr>
          <w:rFonts w:ascii="Book Antiqua" w:eastAsia="等线" w:hAnsi="Book Antiqua" w:cs="Times New Roman"/>
          <w:i/>
          <w:color w:val="auto"/>
          <w:kern w:val="2"/>
          <w:sz w:val="24"/>
          <w:szCs w:val="24"/>
          <w:lang w:val="en-US" w:eastAsia="zh-CN"/>
        </w:rPr>
        <w:t>Medicine (Baltimore)</w:t>
      </w:r>
      <w:r w:rsidRPr="00773643">
        <w:rPr>
          <w:rFonts w:ascii="Book Antiqua" w:eastAsia="等线" w:hAnsi="Book Antiqua" w:cs="Times New Roman"/>
          <w:color w:val="auto"/>
          <w:kern w:val="2"/>
          <w:sz w:val="24"/>
          <w:szCs w:val="24"/>
          <w:lang w:val="en-US" w:eastAsia="zh-CN"/>
        </w:rPr>
        <w:t xml:space="preserve"> 2017; </w:t>
      </w:r>
      <w:r w:rsidRPr="00773643">
        <w:rPr>
          <w:rFonts w:ascii="Book Antiqua" w:eastAsia="等线" w:hAnsi="Book Antiqua" w:cs="Times New Roman"/>
          <w:b/>
          <w:color w:val="auto"/>
          <w:kern w:val="2"/>
          <w:sz w:val="24"/>
          <w:szCs w:val="24"/>
          <w:lang w:val="en-US" w:eastAsia="zh-CN"/>
        </w:rPr>
        <w:t>96</w:t>
      </w:r>
      <w:r w:rsidRPr="00773643">
        <w:rPr>
          <w:rFonts w:ascii="Book Antiqua" w:eastAsia="等线" w:hAnsi="Book Antiqua" w:cs="Times New Roman"/>
          <w:color w:val="auto"/>
          <w:kern w:val="2"/>
          <w:sz w:val="24"/>
          <w:szCs w:val="24"/>
          <w:lang w:val="en-US" w:eastAsia="zh-CN"/>
        </w:rPr>
        <w:t>: e6584 [PMID: 28403089 DOI: 10.1097/MD.0000000000006584</w:t>
      </w:r>
      <w:r>
        <w:rPr>
          <w:rFonts w:ascii="Book Antiqua" w:eastAsia="等线" w:hAnsi="Book Antiqua" w:cs="Times New Roman"/>
          <w:color w:val="auto"/>
          <w:kern w:val="2"/>
          <w:sz w:val="24"/>
          <w:szCs w:val="24"/>
          <w:lang w:val="en-US" w:eastAsia="zh-CN"/>
        </w:rPr>
        <w:t>]</w:t>
      </w:r>
    </w:p>
    <w:p w14:paraId="19F44B1A"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14 </w:t>
      </w:r>
      <w:r w:rsidRPr="00773643">
        <w:rPr>
          <w:rFonts w:ascii="Book Antiqua" w:eastAsia="等线" w:hAnsi="Book Antiqua" w:cs="Times New Roman"/>
          <w:b/>
          <w:color w:val="auto"/>
          <w:kern w:val="2"/>
          <w:sz w:val="24"/>
          <w:szCs w:val="24"/>
          <w:lang w:val="en-US" w:eastAsia="zh-CN"/>
        </w:rPr>
        <w:t>Chang KL</w:t>
      </w:r>
      <w:r w:rsidRPr="00773643">
        <w:rPr>
          <w:rFonts w:ascii="Book Antiqua" w:eastAsia="等线" w:hAnsi="Book Antiqua" w:cs="Times New Roman"/>
          <w:color w:val="auto"/>
          <w:kern w:val="2"/>
          <w:sz w:val="24"/>
          <w:szCs w:val="24"/>
          <w:lang w:val="en-US" w:eastAsia="zh-CN"/>
        </w:rPr>
        <w:t xml:space="preserve">, Crabtree GS, Lim-Tan SK, Kempson RL, Hendrickson MR. Primary uterine endometrial stromal neoplasms. A clinicopathologic study of 117 cases. </w:t>
      </w:r>
      <w:r w:rsidRPr="00773643">
        <w:rPr>
          <w:rFonts w:ascii="Book Antiqua" w:eastAsia="等线" w:hAnsi="Book Antiqua" w:cs="Times New Roman"/>
          <w:i/>
          <w:color w:val="auto"/>
          <w:kern w:val="2"/>
          <w:sz w:val="24"/>
          <w:szCs w:val="24"/>
          <w:lang w:val="en-US" w:eastAsia="zh-CN"/>
        </w:rPr>
        <w:t>Am J Surg Pathol</w:t>
      </w:r>
      <w:r w:rsidRPr="00773643">
        <w:rPr>
          <w:rFonts w:ascii="Book Antiqua" w:eastAsia="等线" w:hAnsi="Book Antiqua" w:cs="Times New Roman"/>
          <w:color w:val="auto"/>
          <w:kern w:val="2"/>
          <w:sz w:val="24"/>
          <w:szCs w:val="24"/>
          <w:lang w:val="en-US" w:eastAsia="zh-CN"/>
        </w:rPr>
        <w:t xml:space="preserve"> 1990; </w:t>
      </w:r>
      <w:r w:rsidRPr="00773643">
        <w:rPr>
          <w:rFonts w:ascii="Book Antiqua" w:eastAsia="等线" w:hAnsi="Book Antiqua" w:cs="Times New Roman"/>
          <w:b/>
          <w:color w:val="auto"/>
          <w:kern w:val="2"/>
          <w:sz w:val="24"/>
          <w:szCs w:val="24"/>
          <w:lang w:val="en-US" w:eastAsia="zh-CN"/>
        </w:rPr>
        <w:t>14</w:t>
      </w:r>
      <w:r w:rsidRPr="00773643">
        <w:rPr>
          <w:rFonts w:ascii="Book Antiqua" w:eastAsia="等线" w:hAnsi="Book Antiqua" w:cs="Times New Roman"/>
          <w:color w:val="auto"/>
          <w:kern w:val="2"/>
          <w:sz w:val="24"/>
          <w:szCs w:val="24"/>
          <w:lang w:val="en-US" w:eastAsia="zh-CN"/>
        </w:rPr>
        <w:t>: 415-438 [PMID: 2327549 DOI: 10.1097/00000478-199005000-00002</w:t>
      </w:r>
      <w:r>
        <w:rPr>
          <w:rFonts w:ascii="Book Antiqua" w:eastAsia="等线" w:hAnsi="Book Antiqua" w:cs="Times New Roman"/>
          <w:color w:val="auto"/>
          <w:kern w:val="2"/>
          <w:sz w:val="24"/>
          <w:szCs w:val="24"/>
          <w:lang w:val="en-US" w:eastAsia="zh-CN"/>
        </w:rPr>
        <w:t>]</w:t>
      </w:r>
    </w:p>
    <w:p w14:paraId="4BF1DD64"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15 </w:t>
      </w:r>
      <w:r w:rsidRPr="00773643">
        <w:rPr>
          <w:rFonts w:ascii="Book Antiqua" w:eastAsia="等线" w:hAnsi="Book Antiqua" w:cs="Times New Roman"/>
          <w:b/>
          <w:color w:val="auto"/>
          <w:kern w:val="2"/>
          <w:sz w:val="24"/>
          <w:szCs w:val="24"/>
          <w:lang w:val="en-US" w:eastAsia="zh-CN"/>
        </w:rPr>
        <w:t>Barney B</w:t>
      </w:r>
      <w:r w:rsidRPr="00773643">
        <w:rPr>
          <w:rFonts w:ascii="Book Antiqua" w:eastAsia="等线" w:hAnsi="Book Antiqua" w:cs="Times New Roman"/>
          <w:color w:val="auto"/>
          <w:kern w:val="2"/>
          <w:sz w:val="24"/>
          <w:szCs w:val="24"/>
          <w:lang w:val="en-US" w:eastAsia="zh-CN"/>
        </w:rPr>
        <w:t xml:space="preserve">, Tward JD, Skidmore T, Gaffney DK. Does radiotherapy or lymphadenectomy improve survival in endometrial stromal sarcoma? </w:t>
      </w:r>
      <w:r w:rsidRPr="00773643">
        <w:rPr>
          <w:rFonts w:ascii="Book Antiqua" w:eastAsia="等线" w:hAnsi="Book Antiqua" w:cs="Times New Roman"/>
          <w:i/>
          <w:color w:val="auto"/>
          <w:kern w:val="2"/>
          <w:sz w:val="24"/>
          <w:szCs w:val="24"/>
          <w:lang w:val="en-US" w:eastAsia="zh-CN"/>
        </w:rPr>
        <w:t>Int J Gynecol Cancer</w:t>
      </w:r>
      <w:r w:rsidRPr="00773643">
        <w:rPr>
          <w:rFonts w:ascii="Book Antiqua" w:eastAsia="等线" w:hAnsi="Book Antiqua" w:cs="Times New Roman"/>
          <w:color w:val="auto"/>
          <w:kern w:val="2"/>
          <w:sz w:val="24"/>
          <w:szCs w:val="24"/>
          <w:lang w:val="en-US" w:eastAsia="zh-CN"/>
        </w:rPr>
        <w:t xml:space="preserve"> 2009; </w:t>
      </w:r>
      <w:r w:rsidRPr="00773643">
        <w:rPr>
          <w:rFonts w:ascii="Book Antiqua" w:eastAsia="等线" w:hAnsi="Book Antiqua" w:cs="Times New Roman"/>
          <w:b/>
          <w:color w:val="auto"/>
          <w:kern w:val="2"/>
          <w:sz w:val="24"/>
          <w:szCs w:val="24"/>
          <w:lang w:val="en-US" w:eastAsia="zh-CN"/>
        </w:rPr>
        <w:t>19</w:t>
      </w:r>
      <w:r w:rsidRPr="00773643">
        <w:rPr>
          <w:rFonts w:ascii="Book Antiqua" w:eastAsia="等线" w:hAnsi="Book Antiqua" w:cs="Times New Roman"/>
          <w:color w:val="auto"/>
          <w:kern w:val="2"/>
          <w:sz w:val="24"/>
          <w:szCs w:val="24"/>
          <w:lang w:val="en-US" w:eastAsia="zh-CN"/>
        </w:rPr>
        <w:t>: 1232-1238 [PMID: 19823060 DOI: 10.1111/IGC.0b013e3181b33c9a</w:t>
      </w:r>
      <w:r>
        <w:rPr>
          <w:rFonts w:ascii="Book Antiqua" w:eastAsia="等线" w:hAnsi="Book Antiqua" w:cs="Times New Roman"/>
          <w:color w:val="auto"/>
          <w:kern w:val="2"/>
          <w:sz w:val="24"/>
          <w:szCs w:val="24"/>
          <w:lang w:val="en-US" w:eastAsia="zh-CN"/>
        </w:rPr>
        <w:t>]</w:t>
      </w:r>
    </w:p>
    <w:p w14:paraId="18C720F8"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16 </w:t>
      </w:r>
      <w:r w:rsidRPr="00773643">
        <w:rPr>
          <w:rFonts w:ascii="Book Antiqua" w:eastAsia="等线" w:hAnsi="Book Antiqua" w:cs="Times New Roman"/>
          <w:b/>
          <w:color w:val="auto"/>
          <w:kern w:val="2"/>
          <w:sz w:val="24"/>
          <w:szCs w:val="24"/>
          <w:lang w:val="en-US" w:eastAsia="zh-CN"/>
        </w:rPr>
        <w:t>Mbatani N</w:t>
      </w:r>
      <w:r w:rsidRPr="00773643">
        <w:rPr>
          <w:rFonts w:ascii="Book Antiqua" w:eastAsia="等线" w:hAnsi="Book Antiqua" w:cs="Times New Roman"/>
          <w:color w:val="auto"/>
          <w:kern w:val="2"/>
          <w:sz w:val="24"/>
          <w:szCs w:val="24"/>
          <w:lang w:val="en-US" w:eastAsia="zh-CN"/>
        </w:rPr>
        <w:t xml:space="preserve">, Olawaiye AB, Prat J. Uterine sarcomas. </w:t>
      </w:r>
      <w:r w:rsidRPr="00773643">
        <w:rPr>
          <w:rFonts w:ascii="Book Antiqua" w:eastAsia="等线" w:hAnsi="Book Antiqua" w:cs="Times New Roman"/>
          <w:i/>
          <w:color w:val="auto"/>
          <w:kern w:val="2"/>
          <w:sz w:val="24"/>
          <w:szCs w:val="24"/>
          <w:lang w:val="en-US" w:eastAsia="zh-CN"/>
        </w:rPr>
        <w:t>Int J Gynaecol Obstet</w:t>
      </w:r>
      <w:r w:rsidRPr="00773643">
        <w:rPr>
          <w:rFonts w:ascii="Book Antiqua" w:eastAsia="等线" w:hAnsi="Book Antiqua" w:cs="Times New Roman"/>
          <w:color w:val="auto"/>
          <w:kern w:val="2"/>
          <w:sz w:val="24"/>
          <w:szCs w:val="24"/>
          <w:lang w:val="en-US" w:eastAsia="zh-CN"/>
        </w:rPr>
        <w:t xml:space="preserve"> 2018; </w:t>
      </w:r>
      <w:r w:rsidRPr="00773643">
        <w:rPr>
          <w:rFonts w:ascii="Book Antiqua" w:eastAsia="等线" w:hAnsi="Book Antiqua" w:cs="Times New Roman"/>
          <w:b/>
          <w:color w:val="auto"/>
          <w:kern w:val="2"/>
          <w:sz w:val="24"/>
          <w:szCs w:val="24"/>
          <w:lang w:val="en-US" w:eastAsia="zh-CN"/>
        </w:rPr>
        <w:t>143 Suppl 2</w:t>
      </w:r>
      <w:r w:rsidRPr="00773643">
        <w:rPr>
          <w:rFonts w:ascii="Book Antiqua" w:eastAsia="等线" w:hAnsi="Book Antiqua" w:cs="Times New Roman"/>
          <w:color w:val="auto"/>
          <w:kern w:val="2"/>
          <w:sz w:val="24"/>
          <w:szCs w:val="24"/>
          <w:lang w:val="en-US" w:eastAsia="zh-CN"/>
        </w:rPr>
        <w:t>: 51-58 [PMID: 30306577 DOI: 10.1002/ijgo.12613</w:t>
      </w:r>
      <w:r>
        <w:rPr>
          <w:rFonts w:ascii="Book Antiqua" w:eastAsia="等线" w:hAnsi="Book Antiqua" w:cs="Times New Roman"/>
          <w:color w:val="auto"/>
          <w:kern w:val="2"/>
          <w:sz w:val="24"/>
          <w:szCs w:val="24"/>
          <w:lang w:val="en-US" w:eastAsia="zh-CN"/>
        </w:rPr>
        <w:t>]</w:t>
      </w:r>
    </w:p>
    <w:p w14:paraId="2A488331"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17 </w:t>
      </w:r>
      <w:r w:rsidRPr="00773643">
        <w:rPr>
          <w:rFonts w:ascii="Book Antiqua" w:eastAsia="等线" w:hAnsi="Book Antiqua" w:cs="Times New Roman"/>
          <w:b/>
          <w:color w:val="auto"/>
          <w:kern w:val="2"/>
          <w:sz w:val="24"/>
          <w:szCs w:val="24"/>
          <w:lang w:val="en-US" w:eastAsia="zh-CN"/>
        </w:rPr>
        <w:t>Tropé CG</w:t>
      </w:r>
      <w:r w:rsidRPr="00773643">
        <w:rPr>
          <w:rFonts w:ascii="Book Antiqua" w:eastAsia="等线" w:hAnsi="Book Antiqua" w:cs="Times New Roman"/>
          <w:color w:val="auto"/>
          <w:kern w:val="2"/>
          <w:sz w:val="24"/>
          <w:szCs w:val="24"/>
          <w:lang w:val="en-US" w:eastAsia="zh-CN"/>
        </w:rPr>
        <w:t xml:space="preserve">, Abeler VM, Kristensen GB. Diagnosis and treatment of sarcoma of the uterus. A review. </w:t>
      </w:r>
      <w:r w:rsidRPr="00773643">
        <w:rPr>
          <w:rFonts w:ascii="Book Antiqua" w:eastAsia="等线" w:hAnsi="Book Antiqua" w:cs="Times New Roman"/>
          <w:i/>
          <w:color w:val="auto"/>
          <w:kern w:val="2"/>
          <w:sz w:val="24"/>
          <w:szCs w:val="24"/>
          <w:lang w:val="en-US" w:eastAsia="zh-CN"/>
        </w:rPr>
        <w:t>Acta Oncol</w:t>
      </w:r>
      <w:r w:rsidRPr="00773643">
        <w:rPr>
          <w:rFonts w:ascii="Book Antiqua" w:eastAsia="等线" w:hAnsi="Book Antiqua" w:cs="Times New Roman"/>
          <w:color w:val="auto"/>
          <w:kern w:val="2"/>
          <w:sz w:val="24"/>
          <w:szCs w:val="24"/>
          <w:lang w:val="en-US" w:eastAsia="zh-CN"/>
        </w:rPr>
        <w:t xml:space="preserve"> 2012; </w:t>
      </w:r>
      <w:r w:rsidRPr="00773643">
        <w:rPr>
          <w:rFonts w:ascii="Book Antiqua" w:eastAsia="等线" w:hAnsi="Book Antiqua" w:cs="Times New Roman"/>
          <w:b/>
          <w:color w:val="auto"/>
          <w:kern w:val="2"/>
          <w:sz w:val="24"/>
          <w:szCs w:val="24"/>
          <w:lang w:val="en-US" w:eastAsia="zh-CN"/>
        </w:rPr>
        <w:t>51</w:t>
      </w:r>
      <w:r w:rsidRPr="00773643">
        <w:rPr>
          <w:rFonts w:ascii="Book Antiqua" w:eastAsia="等线" w:hAnsi="Book Antiqua" w:cs="Times New Roman"/>
          <w:color w:val="auto"/>
          <w:kern w:val="2"/>
          <w:sz w:val="24"/>
          <w:szCs w:val="24"/>
          <w:lang w:val="en-US" w:eastAsia="zh-CN"/>
        </w:rPr>
        <w:t>: 694-705 [PMID: 22793037 DOI: 10.3109/0284186X.2012.689111</w:t>
      </w:r>
      <w:r>
        <w:rPr>
          <w:rFonts w:ascii="Book Antiqua" w:eastAsia="等线" w:hAnsi="Book Antiqua" w:cs="Times New Roman"/>
          <w:color w:val="auto"/>
          <w:kern w:val="2"/>
          <w:sz w:val="24"/>
          <w:szCs w:val="24"/>
          <w:lang w:val="en-US" w:eastAsia="zh-CN"/>
        </w:rPr>
        <w:t>]</w:t>
      </w:r>
    </w:p>
    <w:p w14:paraId="3ADDB203"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18 </w:t>
      </w:r>
      <w:r w:rsidRPr="00773643">
        <w:rPr>
          <w:rFonts w:ascii="Book Antiqua" w:eastAsia="等线" w:hAnsi="Book Antiqua" w:cs="Times New Roman"/>
          <w:b/>
          <w:color w:val="auto"/>
          <w:kern w:val="2"/>
          <w:sz w:val="24"/>
          <w:szCs w:val="24"/>
          <w:lang w:val="en-US" w:eastAsia="zh-CN"/>
        </w:rPr>
        <w:t>Casali PG</w:t>
      </w:r>
      <w:r w:rsidRPr="00773643">
        <w:rPr>
          <w:rFonts w:ascii="Book Antiqua" w:eastAsia="等线" w:hAnsi="Book Antiqua" w:cs="Times New Roman"/>
          <w:color w:val="auto"/>
          <w:kern w:val="2"/>
          <w:sz w:val="24"/>
          <w:szCs w:val="24"/>
          <w:lang w:val="en-US" w:eastAsia="zh-CN"/>
        </w:rPr>
        <w:t xml:space="preserve">, Abecassis N, Bauer S, Biagini R, Bielack S, Bonvalot S, Boukovinas I, Bovee JVMG, Brodowicz T, Broto JM, Buonadonna A, De Álava E, Dei Tos AP, Del Muro XG, Dileo P, Eriksson M, Fedenko A, Ferraresi V, Ferrari A, Ferrari S, Frezza AM, Gasperoni S, Gelderblom H, Gil T, Grignani G, Gronchi A, Haas RL, Hannu A, Hassan B, Hohenberger P, Issels R, Joensuu H, Jones RL, Judson I, Jutte P, Kaal S, Kasper B, Kopeckova K, Krákorová DA, Le Cesne A, Lugowska I, Merimsky O, Montemurro M, Pantaleo MA, Piana R, Picci P, Piperno-Neumann S, Pousa AL, Reichardt P, Robinson MH, Rutkowski P, Safwat AA, Schöffski P, Sleijfer S, Stacchiotti S, Sundby Hall K, Unk M, Van Coevorden F, Van der Graaf W, Whelan J, Wardelmann E, Zaikova O, Blay JY; ESMO Guidelines Committee and EURACAN. Soft tissue and visceral sarcomas: ESMO-EURACAN Clinical Practice Guidelines for diagnosis, treatment and follow-up. </w:t>
      </w:r>
      <w:r w:rsidRPr="00773643">
        <w:rPr>
          <w:rFonts w:ascii="Book Antiqua" w:eastAsia="等线" w:hAnsi="Book Antiqua" w:cs="Times New Roman"/>
          <w:i/>
          <w:color w:val="auto"/>
          <w:kern w:val="2"/>
          <w:sz w:val="24"/>
          <w:szCs w:val="24"/>
          <w:lang w:val="en-US" w:eastAsia="zh-CN"/>
        </w:rPr>
        <w:t>Ann Oncol</w:t>
      </w:r>
      <w:r w:rsidRPr="00773643">
        <w:rPr>
          <w:rFonts w:ascii="Book Antiqua" w:eastAsia="等线" w:hAnsi="Book Antiqua" w:cs="Times New Roman"/>
          <w:color w:val="auto"/>
          <w:kern w:val="2"/>
          <w:sz w:val="24"/>
          <w:szCs w:val="24"/>
          <w:lang w:val="en-US" w:eastAsia="zh-CN"/>
        </w:rPr>
        <w:t xml:space="preserve"> 2018; </w:t>
      </w:r>
      <w:r w:rsidRPr="00773643">
        <w:rPr>
          <w:rFonts w:ascii="Book Antiqua" w:eastAsia="等线" w:hAnsi="Book Antiqua" w:cs="Times New Roman"/>
          <w:b/>
          <w:color w:val="auto"/>
          <w:kern w:val="2"/>
          <w:sz w:val="24"/>
          <w:szCs w:val="24"/>
          <w:lang w:val="en-US" w:eastAsia="zh-CN"/>
        </w:rPr>
        <w:t>29</w:t>
      </w:r>
      <w:r w:rsidRPr="00773643">
        <w:rPr>
          <w:rFonts w:ascii="Book Antiqua" w:eastAsia="等线" w:hAnsi="Book Antiqua" w:cs="Times New Roman"/>
          <w:color w:val="auto"/>
          <w:kern w:val="2"/>
          <w:sz w:val="24"/>
          <w:szCs w:val="24"/>
          <w:lang w:val="en-US" w:eastAsia="zh-CN"/>
        </w:rPr>
        <w:t>: iv51-iv67 [PMID: 29846498 DOI: 10.1093/annonc/mdy096</w:t>
      </w:r>
      <w:r>
        <w:rPr>
          <w:rFonts w:ascii="Book Antiqua" w:eastAsia="等线" w:hAnsi="Book Antiqua" w:cs="Times New Roman"/>
          <w:color w:val="auto"/>
          <w:kern w:val="2"/>
          <w:sz w:val="24"/>
          <w:szCs w:val="24"/>
          <w:lang w:val="en-US" w:eastAsia="zh-CN"/>
        </w:rPr>
        <w:t>]</w:t>
      </w:r>
    </w:p>
    <w:p w14:paraId="6602F44E"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19 </w:t>
      </w:r>
      <w:r w:rsidRPr="00773643">
        <w:rPr>
          <w:rFonts w:ascii="Book Antiqua" w:eastAsia="等线" w:hAnsi="Book Antiqua" w:cs="Times New Roman"/>
          <w:b/>
          <w:color w:val="auto"/>
          <w:kern w:val="2"/>
          <w:sz w:val="24"/>
          <w:szCs w:val="24"/>
          <w:lang w:val="en-US" w:eastAsia="zh-CN"/>
        </w:rPr>
        <w:t>Giuntoli RL 2nd</w:t>
      </w:r>
      <w:r w:rsidRPr="00773643">
        <w:rPr>
          <w:rFonts w:ascii="Book Antiqua" w:eastAsia="等线" w:hAnsi="Book Antiqua" w:cs="Times New Roman"/>
          <w:color w:val="auto"/>
          <w:kern w:val="2"/>
          <w:sz w:val="24"/>
          <w:szCs w:val="24"/>
          <w:lang w:val="en-US" w:eastAsia="zh-CN"/>
        </w:rPr>
        <w:t xml:space="preserve">, Metzinger DS, DiMarco CS, Cha SS, Sloan JA, Keeney GL, Gostout BS. Retrospective review of 208 patients with leiomyosarcoma of the uterus: prognostic indicators, surgical management, and adjuvant therapy.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2003; </w:t>
      </w:r>
      <w:r w:rsidRPr="00773643">
        <w:rPr>
          <w:rFonts w:ascii="Book Antiqua" w:eastAsia="等线" w:hAnsi="Book Antiqua" w:cs="Times New Roman"/>
          <w:b/>
          <w:color w:val="auto"/>
          <w:kern w:val="2"/>
          <w:sz w:val="24"/>
          <w:szCs w:val="24"/>
          <w:lang w:val="en-US" w:eastAsia="zh-CN"/>
        </w:rPr>
        <w:t>89</w:t>
      </w:r>
      <w:r w:rsidRPr="00773643">
        <w:rPr>
          <w:rFonts w:ascii="Book Antiqua" w:eastAsia="等线" w:hAnsi="Book Antiqua" w:cs="Times New Roman"/>
          <w:color w:val="auto"/>
          <w:kern w:val="2"/>
          <w:sz w:val="24"/>
          <w:szCs w:val="24"/>
          <w:lang w:val="en-US" w:eastAsia="zh-CN"/>
        </w:rPr>
        <w:t>: 460-469 [PMID: 12798712 DOI: 10.1016/S0090-8258(03)00137-9</w:t>
      </w:r>
      <w:r>
        <w:rPr>
          <w:rFonts w:ascii="Book Antiqua" w:eastAsia="等线" w:hAnsi="Book Antiqua" w:cs="Times New Roman"/>
          <w:color w:val="auto"/>
          <w:kern w:val="2"/>
          <w:sz w:val="24"/>
          <w:szCs w:val="24"/>
          <w:lang w:val="en-US" w:eastAsia="zh-CN"/>
        </w:rPr>
        <w:t>]</w:t>
      </w:r>
    </w:p>
    <w:p w14:paraId="1A633EA9"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20 </w:t>
      </w:r>
      <w:r w:rsidRPr="00773643">
        <w:rPr>
          <w:rFonts w:ascii="Book Antiqua" w:eastAsia="等线" w:hAnsi="Book Antiqua" w:cs="Times New Roman"/>
          <w:b/>
          <w:color w:val="auto"/>
          <w:kern w:val="2"/>
          <w:sz w:val="24"/>
          <w:szCs w:val="24"/>
          <w:lang w:val="en-US" w:eastAsia="zh-CN"/>
        </w:rPr>
        <w:t>Tinkler SD</w:t>
      </w:r>
      <w:r w:rsidRPr="00773643">
        <w:rPr>
          <w:rFonts w:ascii="Book Antiqua" w:eastAsia="等线" w:hAnsi="Book Antiqua" w:cs="Times New Roman"/>
          <w:color w:val="auto"/>
          <w:kern w:val="2"/>
          <w:sz w:val="24"/>
          <w:szCs w:val="24"/>
          <w:lang w:val="en-US" w:eastAsia="zh-CN"/>
        </w:rPr>
        <w:t xml:space="preserve">, Cowie VJ. Uterine sarcomas: a review of the Edinburgh experience from 1974 to 1992. </w:t>
      </w:r>
      <w:r w:rsidRPr="00773643">
        <w:rPr>
          <w:rFonts w:ascii="Book Antiqua" w:eastAsia="等线" w:hAnsi="Book Antiqua" w:cs="Times New Roman"/>
          <w:i/>
          <w:color w:val="auto"/>
          <w:kern w:val="2"/>
          <w:sz w:val="24"/>
          <w:szCs w:val="24"/>
          <w:lang w:val="en-US" w:eastAsia="zh-CN"/>
        </w:rPr>
        <w:t>Br J Radiol</w:t>
      </w:r>
      <w:r w:rsidRPr="00773643">
        <w:rPr>
          <w:rFonts w:ascii="Book Antiqua" w:eastAsia="等线" w:hAnsi="Book Antiqua" w:cs="Times New Roman"/>
          <w:color w:val="auto"/>
          <w:kern w:val="2"/>
          <w:sz w:val="24"/>
          <w:szCs w:val="24"/>
          <w:lang w:val="en-US" w:eastAsia="zh-CN"/>
        </w:rPr>
        <w:t xml:space="preserve"> 1993; </w:t>
      </w:r>
      <w:r w:rsidRPr="00773643">
        <w:rPr>
          <w:rFonts w:ascii="Book Antiqua" w:eastAsia="等线" w:hAnsi="Book Antiqua" w:cs="Times New Roman"/>
          <w:b/>
          <w:color w:val="auto"/>
          <w:kern w:val="2"/>
          <w:sz w:val="24"/>
          <w:szCs w:val="24"/>
          <w:lang w:val="en-US" w:eastAsia="zh-CN"/>
        </w:rPr>
        <w:t>66</w:t>
      </w:r>
      <w:r w:rsidRPr="00773643">
        <w:rPr>
          <w:rFonts w:ascii="Book Antiqua" w:eastAsia="等线" w:hAnsi="Book Antiqua" w:cs="Times New Roman"/>
          <w:color w:val="auto"/>
          <w:kern w:val="2"/>
          <w:sz w:val="24"/>
          <w:szCs w:val="24"/>
          <w:lang w:val="en-US" w:eastAsia="zh-CN"/>
        </w:rPr>
        <w:t>: 998-1001 [PMID: 8281393 DOI: 10.1259/0007-1285-66-791-998</w:t>
      </w:r>
      <w:r>
        <w:rPr>
          <w:rFonts w:ascii="Book Antiqua" w:eastAsia="等线" w:hAnsi="Book Antiqua" w:cs="Times New Roman"/>
          <w:color w:val="auto"/>
          <w:kern w:val="2"/>
          <w:sz w:val="24"/>
          <w:szCs w:val="24"/>
          <w:lang w:val="en-US" w:eastAsia="zh-CN"/>
        </w:rPr>
        <w:t>]</w:t>
      </w:r>
    </w:p>
    <w:p w14:paraId="6C67A991"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21 </w:t>
      </w:r>
      <w:r w:rsidRPr="00773643">
        <w:rPr>
          <w:rFonts w:ascii="Book Antiqua" w:eastAsia="等线" w:hAnsi="Book Antiqua" w:cs="Times New Roman"/>
          <w:b/>
          <w:color w:val="auto"/>
          <w:kern w:val="2"/>
          <w:sz w:val="24"/>
          <w:szCs w:val="24"/>
          <w:lang w:val="en-US" w:eastAsia="zh-CN"/>
        </w:rPr>
        <w:t>Wright JD,</w:t>
      </w:r>
      <w:r>
        <w:rPr>
          <w:rFonts w:ascii="Book Antiqua" w:eastAsia="等线" w:hAnsi="Book Antiqua" w:cs="Times New Roman"/>
          <w:color w:val="auto"/>
          <w:kern w:val="2"/>
          <w:sz w:val="24"/>
          <w:szCs w:val="24"/>
          <w:lang w:val="en-US" w:eastAsia="zh-CN"/>
        </w:rPr>
        <w:t xml:space="preserve"> </w:t>
      </w:r>
      <w:r w:rsidRPr="00773643">
        <w:rPr>
          <w:rFonts w:ascii="Book Antiqua" w:eastAsia="等线" w:hAnsi="Book Antiqua" w:cs="Times New Roman"/>
          <w:color w:val="auto"/>
          <w:kern w:val="2"/>
          <w:sz w:val="24"/>
          <w:szCs w:val="24"/>
          <w:lang w:val="en-US" w:eastAsia="zh-CN"/>
        </w:rPr>
        <w:t>Seshan VE, Shah M, Schiff PB, Burke WM, Cohen CJ, Herzog TJ. The role of radiation in improving survival for early-stage carcinosarcoma and leiomyosarcoma.</w:t>
      </w:r>
      <w:r w:rsidRPr="00773643">
        <w:rPr>
          <w:rFonts w:ascii="Book Antiqua" w:eastAsia="等线" w:hAnsi="Book Antiqua" w:cs="Times New Roman"/>
          <w:i/>
          <w:iCs/>
          <w:color w:val="auto"/>
          <w:kern w:val="2"/>
          <w:sz w:val="24"/>
          <w:szCs w:val="24"/>
          <w:lang w:val="en-US" w:eastAsia="zh-CN"/>
        </w:rPr>
        <w:t xml:space="preserve"> Am J Obstet Gynecol</w:t>
      </w:r>
      <w:r>
        <w:rPr>
          <w:rFonts w:ascii="Book Antiqua" w:eastAsia="等线" w:hAnsi="Book Antiqua" w:cs="Times New Roman"/>
          <w:color w:val="auto"/>
          <w:kern w:val="2"/>
          <w:sz w:val="24"/>
          <w:szCs w:val="24"/>
          <w:lang w:val="en-US" w:eastAsia="zh-CN"/>
        </w:rPr>
        <w:t xml:space="preserve"> </w:t>
      </w:r>
      <w:r w:rsidRPr="00773643">
        <w:rPr>
          <w:rFonts w:ascii="Book Antiqua" w:eastAsia="等线" w:hAnsi="Book Antiqua" w:cs="Times New Roman"/>
          <w:color w:val="auto"/>
          <w:kern w:val="2"/>
          <w:sz w:val="24"/>
          <w:szCs w:val="24"/>
          <w:lang w:val="en-US" w:eastAsia="zh-CN"/>
        </w:rPr>
        <w:t xml:space="preserve">2008; </w:t>
      </w:r>
      <w:r w:rsidRPr="00773643">
        <w:rPr>
          <w:rFonts w:ascii="Book Antiqua" w:eastAsia="等线" w:hAnsi="Book Antiqua" w:cs="Times New Roman"/>
          <w:b/>
          <w:bCs/>
          <w:color w:val="auto"/>
          <w:kern w:val="2"/>
          <w:sz w:val="24"/>
          <w:szCs w:val="24"/>
          <w:lang w:val="en-US" w:eastAsia="zh-CN"/>
        </w:rPr>
        <w:t>199</w:t>
      </w:r>
      <w:r w:rsidRPr="00773643">
        <w:rPr>
          <w:rFonts w:ascii="Book Antiqua" w:eastAsia="等线" w:hAnsi="Book Antiqua" w:cs="Times New Roman"/>
          <w:color w:val="auto"/>
          <w:kern w:val="2"/>
          <w:sz w:val="24"/>
          <w:szCs w:val="24"/>
          <w:lang w:val="en-US" w:eastAsia="zh-CN"/>
        </w:rPr>
        <w:t>:</w:t>
      </w:r>
      <w:r>
        <w:rPr>
          <w:rFonts w:ascii="Book Antiqua" w:eastAsia="等线" w:hAnsi="Book Antiqua" w:cs="Times New Roman"/>
          <w:color w:val="auto"/>
          <w:kern w:val="2"/>
          <w:sz w:val="24"/>
          <w:szCs w:val="24"/>
          <w:lang w:val="en-US" w:eastAsia="zh-CN"/>
        </w:rPr>
        <w:t xml:space="preserve"> </w:t>
      </w:r>
      <w:r w:rsidRPr="00773643">
        <w:rPr>
          <w:rFonts w:ascii="Book Antiqua" w:eastAsia="等线" w:hAnsi="Book Antiqua" w:cs="Times New Roman"/>
          <w:color w:val="auto"/>
          <w:kern w:val="2"/>
          <w:sz w:val="24"/>
          <w:szCs w:val="24"/>
          <w:lang w:val="en-US" w:eastAsia="zh-CN"/>
        </w:rPr>
        <w:t>536.e1–8</w:t>
      </w:r>
      <w:r>
        <w:rPr>
          <w:rFonts w:ascii="Book Antiqua" w:eastAsia="等线" w:hAnsi="Book Antiqua" w:cs="Times New Roman"/>
          <w:color w:val="auto"/>
          <w:kern w:val="2"/>
          <w:sz w:val="24"/>
          <w:szCs w:val="24"/>
          <w:lang w:val="en-US" w:eastAsia="zh-CN"/>
        </w:rPr>
        <w:t xml:space="preserve"> [</w:t>
      </w:r>
      <w:r w:rsidRPr="00773643">
        <w:rPr>
          <w:rFonts w:ascii="Book Antiqua" w:eastAsia="等线" w:hAnsi="Book Antiqua" w:cs="Times New Roman"/>
          <w:color w:val="auto"/>
          <w:kern w:val="2"/>
          <w:sz w:val="24"/>
          <w:szCs w:val="24"/>
          <w:lang w:val="en-US" w:eastAsia="zh-CN"/>
        </w:rPr>
        <w:t>DOI: 10.1016/j.ajog.2008.04.019</w:t>
      </w:r>
      <w:r>
        <w:rPr>
          <w:rFonts w:ascii="Book Antiqua" w:eastAsia="等线" w:hAnsi="Book Antiqua" w:cs="Times New Roman"/>
          <w:color w:val="auto"/>
          <w:kern w:val="2"/>
          <w:sz w:val="24"/>
          <w:szCs w:val="24"/>
          <w:lang w:val="en-US" w:eastAsia="zh-CN"/>
        </w:rPr>
        <w:t>]</w:t>
      </w:r>
    </w:p>
    <w:p w14:paraId="5FE10726"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22 </w:t>
      </w:r>
      <w:r w:rsidRPr="00773643">
        <w:rPr>
          <w:rFonts w:ascii="Book Antiqua" w:eastAsia="等线" w:hAnsi="Book Antiqua" w:cs="Times New Roman"/>
          <w:b/>
          <w:color w:val="auto"/>
          <w:kern w:val="2"/>
          <w:sz w:val="24"/>
          <w:szCs w:val="24"/>
          <w:lang w:val="en-US" w:eastAsia="zh-CN"/>
        </w:rPr>
        <w:t>Gadducci A</w:t>
      </w:r>
      <w:r w:rsidRPr="00773643">
        <w:rPr>
          <w:rFonts w:ascii="Book Antiqua" w:eastAsia="等线" w:hAnsi="Book Antiqua" w:cs="Times New Roman"/>
          <w:color w:val="auto"/>
          <w:kern w:val="2"/>
          <w:sz w:val="24"/>
          <w:szCs w:val="24"/>
          <w:lang w:val="en-US" w:eastAsia="zh-CN"/>
        </w:rPr>
        <w:t xml:space="preserve">, Landoni F, Sartori E, Zola P, Maggino T, Lissoni A, Bazzurini L, Arisio R, Romagnolo C, Cristofani R. Uterine leiomyosarcoma: analysis of treatment failures and survival.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1996; </w:t>
      </w:r>
      <w:r w:rsidRPr="00773643">
        <w:rPr>
          <w:rFonts w:ascii="Book Antiqua" w:eastAsia="等线" w:hAnsi="Book Antiqua" w:cs="Times New Roman"/>
          <w:b/>
          <w:color w:val="auto"/>
          <w:kern w:val="2"/>
          <w:sz w:val="24"/>
          <w:szCs w:val="24"/>
          <w:lang w:val="en-US" w:eastAsia="zh-CN"/>
        </w:rPr>
        <w:t>62</w:t>
      </w:r>
      <w:r w:rsidRPr="00773643">
        <w:rPr>
          <w:rFonts w:ascii="Book Antiqua" w:eastAsia="等线" w:hAnsi="Book Antiqua" w:cs="Times New Roman"/>
          <w:color w:val="auto"/>
          <w:kern w:val="2"/>
          <w:sz w:val="24"/>
          <w:szCs w:val="24"/>
          <w:lang w:val="en-US" w:eastAsia="zh-CN"/>
        </w:rPr>
        <w:t>: 25-32 [PMID: 8690287 DOI: 10.1006/gyno.1996.0185</w:t>
      </w:r>
      <w:r>
        <w:rPr>
          <w:rFonts w:ascii="Book Antiqua" w:eastAsia="等线" w:hAnsi="Book Antiqua" w:cs="Times New Roman"/>
          <w:color w:val="auto"/>
          <w:kern w:val="2"/>
          <w:sz w:val="24"/>
          <w:szCs w:val="24"/>
          <w:lang w:val="en-US" w:eastAsia="zh-CN"/>
        </w:rPr>
        <w:t>]</w:t>
      </w:r>
    </w:p>
    <w:p w14:paraId="56DC3729"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23 </w:t>
      </w:r>
      <w:r w:rsidRPr="00773643">
        <w:rPr>
          <w:rFonts w:ascii="Book Antiqua" w:eastAsia="等线" w:hAnsi="Book Antiqua" w:cs="Times New Roman"/>
          <w:b/>
          <w:color w:val="auto"/>
          <w:kern w:val="2"/>
          <w:sz w:val="24"/>
          <w:szCs w:val="24"/>
          <w:lang w:val="en-US" w:eastAsia="zh-CN"/>
        </w:rPr>
        <w:t>Reed NS</w:t>
      </w:r>
      <w:r w:rsidRPr="00773643">
        <w:rPr>
          <w:rFonts w:ascii="Book Antiqua" w:eastAsia="等线" w:hAnsi="Book Antiqua" w:cs="Times New Roman"/>
          <w:color w:val="auto"/>
          <w:kern w:val="2"/>
          <w:sz w:val="24"/>
          <w:szCs w:val="24"/>
          <w:lang w:val="en-US" w:eastAsia="zh-CN"/>
        </w:rPr>
        <w:t xml:space="preserve">, Mangioni C, Malmström H, Scarfone G, Poveda A, Pecorelli S, Tateo S, Franchi M, Jobsen JJ, Coens C, Teodorovic I, Vergote I, Vermorken JB; European Organisation for Research and Treatment of Cancer Gynaecological Cancer Group. Phase III randomised study to evaluate the role of adjuvant pelvic radiotherapy in the treatment of uterine sarcomas stages I and II: an European Organisation for Research and Treatment of Cancer Gynaecological Cancer Group Study (protocol 55874). </w:t>
      </w:r>
      <w:r w:rsidRPr="00773643">
        <w:rPr>
          <w:rFonts w:ascii="Book Antiqua" w:eastAsia="等线" w:hAnsi="Book Antiqua" w:cs="Times New Roman"/>
          <w:i/>
          <w:color w:val="auto"/>
          <w:kern w:val="2"/>
          <w:sz w:val="24"/>
          <w:szCs w:val="24"/>
          <w:lang w:val="en-US" w:eastAsia="zh-CN"/>
        </w:rPr>
        <w:t>Eur J Cancer</w:t>
      </w:r>
      <w:r w:rsidRPr="00773643">
        <w:rPr>
          <w:rFonts w:ascii="Book Antiqua" w:eastAsia="等线" w:hAnsi="Book Antiqua" w:cs="Times New Roman"/>
          <w:color w:val="auto"/>
          <w:kern w:val="2"/>
          <w:sz w:val="24"/>
          <w:szCs w:val="24"/>
          <w:lang w:val="en-US" w:eastAsia="zh-CN"/>
        </w:rPr>
        <w:t xml:space="preserve"> 2008; </w:t>
      </w:r>
      <w:r w:rsidRPr="00773643">
        <w:rPr>
          <w:rFonts w:ascii="Book Antiqua" w:eastAsia="等线" w:hAnsi="Book Antiqua" w:cs="Times New Roman"/>
          <w:b/>
          <w:color w:val="auto"/>
          <w:kern w:val="2"/>
          <w:sz w:val="24"/>
          <w:szCs w:val="24"/>
          <w:lang w:val="en-US" w:eastAsia="zh-CN"/>
        </w:rPr>
        <w:t>44</w:t>
      </w:r>
      <w:r w:rsidRPr="00773643">
        <w:rPr>
          <w:rFonts w:ascii="Book Antiqua" w:eastAsia="等线" w:hAnsi="Book Antiqua" w:cs="Times New Roman"/>
          <w:color w:val="auto"/>
          <w:kern w:val="2"/>
          <w:sz w:val="24"/>
          <w:szCs w:val="24"/>
          <w:lang w:val="en-US" w:eastAsia="zh-CN"/>
        </w:rPr>
        <w:t>: 808-818 [PMID: 18378136 DOI: 10.1016/j.ejca.2008.01.019</w:t>
      </w:r>
      <w:r>
        <w:rPr>
          <w:rFonts w:ascii="Book Antiqua" w:eastAsia="等线" w:hAnsi="Book Antiqua" w:cs="Times New Roman"/>
          <w:color w:val="auto"/>
          <w:kern w:val="2"/>
          <w:sz w:val="24"/>
          <w:szCs w:val="24"/>
          <w:lang w:val="en-US" w:eastAsia="zh-CN"/>
        </w:rPr>
        <w:t>]</w:t>
      </w:r>
    </w:p>
    <w:p w14:paraId="593D117C"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24 </w:t>
      </w:r>
      <w:r w:rsidRPr="00773643">
        <w:rPr>
          <w:rFonts w:ascii="Book Antiqua" w:eastAsia="等线" w:hAnsi="Book Antiqua" w:cs="Times New Roman"/>
          <w:b/>
          <w:color w:val="auto"/>
          <w:kern w:val="2"/>
          <w:sz w:val="24"/>
          <w:szCs w:val="24"/>
          <w:lang w:val="en-US" w:eastAsia="zh-CN"/>
        </w:rPr>
        <w:t>Friedman CF</w:t>
      </w:r>
      <w:r w:rsidRPr="00773643">
        <w:rPr>
          <w:rFonts w:ascii="Book Antiqua" w:eastAsia="等线" w:hAnsi="Book Antiqua" w:cs="Times New Roman"/>
          <w:color w:val="auto"/>
          <w:kern w:val="2"/>
          <w:sz w:val="24"/>
          <w:szCs w:val="24"/>
          <w:lang w:val="en-US" w:eastAsia="zh-CN"/>
        </w:rPr>
        <w:t xml:space="preserve">, Hensley ML. Options for Adjuvant Therapy for Uterine Leiomyosarcoma. </w:t>
      </w:r>
      <w:r w:rsidRPr="00773643">
        <w:rPr>
          <w:rFonts w:ascii="Book Antiqua" w:eastAsia="等线" w:hAnsi="Book Antiqua" w:cs="Times New Roman"/>
          <w:i/>
          <w:color w:val="auto"/>
          <w:kern w:val="2"/>
          <w:sz w:val="24"/>
          <w:szCs w:val="24"/>
          <w:lang w:val="en-US" w:eastAsia="zh-CN"/>
        </w:rPr>
        <w:t>Curr Treat Options Oncol</w:t>
      </w:r>
      <w:r w:rsidRPr="00773643">
        <w:rPr>
          <w:rFonts w:ascii="Book Antiqua" w:eastAsia="等线" w:hAnsi="Book Antiqua" w:cs="Times New Roman"/>
          <w:color w:val="auto"/>
          <w:kern w:val="2"/>
          <w:sz w:val="24"/>
          <w:szCs w:val="24"/>
          <w:lang w:val="en-US" w:eastAsia="zh-CN"/>
        </w:rPr>
        <w:t xml:space="preserve"> 2018; </w:t>
      </w:r>
      <w:r w:rsidRPr="00773643">
        <w:rPr>
          <w:rFonts w:ascii="Book Antiqua" w:eastAsia="等线" w:hAnsi="Book Antiqua" w:cs="Times New Roman"/>
          <w:b/>
          <w:color w:val="auto"/>
          <w:kern w:val="2"/>
          <w:sz w:val="24"/>
          <w:szCs w:val="24"/>
          <w:lang w:val="en-US" w:eastAsia="zh-CN"/>
        </w:rPr>
        <w:t>19</w:t>
      </w:r>
      <w:r w:rsidRPr="00773643">
        <w:rPr>
          <w:rFonts w:ascii="Book Antiqua" w:eastAsia="等线" w:hAnsi="Book Antiqua" w:cs="Times New Roman"/>
          <w:color w:val="auto"/>
          <w:kern w:val="2"/>
          <w:sz w:val="24"/>
          <w:szCs w:val="24"/>
          <w:lang w:val="en-US" w:eastAsia="zh-CN"/>
        </w:rPr>
        <w:t>: 7 [PMID: 29417238 DOI: 10.1007/s11864-018-0526-0</w:t>
      </w:r>
      <w:r>
        <w:rPr>
          <w:rFonts w:ascii="Book Antiqua" w:eastAsia="等线" w:hAnsi="Book Antiqua" w:cs="Times New Roman"/>
          <w:color w:val="auto"/>
          <w:kern w:val="2"/>
          <w:sz w:val="24"/>
          <w:szCs w:val="24"/>
          <w:lang w:val="en-US" w:eastAsia="zh-CN"/>
        </w:rPr>
        <w:t>]</w:t>
      </w:r>
    </w:p>
    <w:p w14:paraId="16D4A9FA"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25 </w:t>
      </w:r>
      <w:r w:rsidRPr="00773643">
        <w:rPr>
          <w:rFonts w:ascii="Book Antiqua" w:eastAsia="等线" w:hAnsi="Book Antiqua" w:cs="Times New Roman"/>
          <w:b/>
          <w:color w:val="auto"/>
          <w:kern w:val="2"/>
          <w:sz w:val="24"/>
          <w:szCs w:val="24"/>
          <w:lang w:val="en-US" w:eastAsia="zh-CN"/>
        </w:rPr>
        <w:t>Benson C</w:t>
      </w:r>
      <w:r w:rsidRPr="00773643">
        <w:rPr>
          <w:rFonts w:ascii="Book Antiqua" w:eastAsia="等线" w:hAnsi="Book Antiqua" w:cs="Times New Roman"/>
          <w:color w:val="auto"/>
          <w:kern w:val="2"/>
          <w:sz w:val="24"/>
          <w:szCs w:val="24"/>
          <w:lang w:val="en-US" w:eastAsia="zh-CN"/>
        </w:rPr>
        <w:t xml:space="preserve">, Miah AB. Uterine sarcoma - current perspectives. </w:t>
      </w:r>
      <w:r w:rsidRPr="00773643">
        <w:rPr>
          <w:rFonts w:ascii="Book Antiqua" w:eastAsia="等线" w:hAnsi="Book Antiqua" w:cs="Times New Roman"/>
          <w:i/>
          <w:color w:val="auto"/>
          <w:kern w:val="2"/>
          <w:sz w:val="24"/>
          <w:szCs w:val="24"/>
          <w:lang w:val="en-US" w:eastAsia="zh-CN"/>
        </w:rPr>
        <w:t>Int J Womens Health</w:t>
      </w:r>
      <w:r w:rsidRPr="00773643">
        <w:rPr>
          <w:rFonts w:ascii="Book Antiqua" w:eastAsia="等线" w:hAnsi="Book Antiqua" w:cs="Times New Roman"/>
          <w:color w:val="auto"/>
          <w:kern w:val="2"/>
          <w:sz w:val="24"/>
          <w:szCs w:val="24"/>
          <w:lang w:val="en-US" w:eastAsia="zh-CN"/>
        </w:rPr>
        <w:t xml:space="preserve"> 2017; </w:t>
      </w:r>
      <w:r w:rsidRPr="00773643">
        <w:rPr>
          <w:rFonts w:ascii="Book Antiqua" w:eastAsia="等线" w:hAnsi="Book Antiqua" w:cs="Times New Roman"/>
          <w:b/>
          <w:color w:val="auto"/>
          <w:kern w:val="2"/>
          <w:sz w:val="24"/>
          <w:szCs w:val="24"/>
          <w:lang w:val="en-US" w:eastAsia="zh-CN"/>
        </w:rPr>
        <w:t>9</w:t>
      </w:r>
      <w:r w:rsidRPr="00773643">
        <w:rPr>
          <w:rFonts w:ascii="Book Antiqua" w:eastAsia="等线" w:hAnsi="Book Antiqua" w:cs="Times New Roman"/>
          <w:color w:val="auto"/>
          <w:kern w:val="2"/>
          <w:sz w:val="24"/>
          <w:szCs w:val="24"/>
          <w:lang w:val="en-US" w:eastAsia="zh-CN"/>
        </w:rPr>
        <w:t>: 597-606 [PMID: 28919822 DOI: 10.2147/IJWH.S117754</w:t>
      </w:r>
      <w:r>
        <w:rPr>
          <w:rFonts w:ascii="Book Antiqua" w:eastAsia="等线" w:hAnsi="Book Antiqua" w:cs="Times New Roman"/>
          <w:color w:val="auto"/>
          <w:kern w:val="2"/>
          <w:sz w:val="24"/>
          <w:szCs w:val="24"/>
          <w:lang w:val="en-US" w:eastAsia="zh-CN"/>
        </w:rPr>
        <w:t>]</w:t>
      </w:r>
    </w:p>
    <w:p w14:paraId="77898CD2"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26 </w:t>
      </w:r>
      <w:r w:rsidRPr="00773643">
        <w:rPr>
          <w:rFonts w:ascii="Book Antiqua" w:eastAsia="等线" w:hAnsi="Book Antiqua" w:cs="Times New Roman"/>
          <w:b/>
          <w:color w:val="auto"/>
          <w:kern w:val="2"/>
          <w:sz w:val="24"/>
          <w:szCs w:val="24"/>
          <w:lang w:val="en-US" w:eastAsia="zh-CN"/>
        </w:rPr>
        <w:t>Moskovic E</w:t>
      </w:r>
      <w:r w:rsidRPr="00773643">
        <w:rPr>
          <w:rFonts w:ascii="Book Antiqua" w:eastAsia="等线" w:hAnsi="Book Antiqua" w:cs="Times New Roman"/>
          <w:color w:val="auto"/>
          <w:kern w:val="2"/>
          <w:sz w:val="24"/>
          <w:szCs w:val="24"/>
          <w:lang w:val="en-US" w:eastAsia="zh-CN"/>
        </w:rPr>
        <w:t xml:space="preserve">, MacSweeney E, Law M, Price A. Survival, patterns of spread and prognostic factors in uterine sarcoma: a study of 76 patients. </w:t>
      </w:r>
      <w:r w:rsidRPr="00773643">
        <w:rPr>
          <w:rFonts w:ascii="Book Antiqua" w:eastAsia="等线" w:hAnsi="Book Antiqua" w:cs="Times New Roman"/>
          <w:i/>
          <w:color w:val="auto"/>
          <w:kern w:val="2"/>
          <w:sz w:val="24"/>
          <w:szCs w:val="24"/>
          <w:lang w:val="en-US" w:eastAsia="zh-CN"/>
        </w:rPr>
        <w:t>Br J Radiol</w:t>
      </w:r>
      <w:r w:rsidRPr="00773643">
        <w:rPr>
          <w:rFonts w:ascii="Book Antiqua" w:eastAsia="等线" w:hAnsi="Book Antiqua" w:cs="Times New Roman"/>
          <w:color w:val="auto"/>
          <w:kern w:val="2"/>
          <w:sz w:val="24"/>
          <w:szCs w:val="24"/>
          <w:lang w:val="en-US" w:eastAsia="zh-CN"/>
        </w:rPr>
        <w:t xml:space="preserve"> 1993; </w:t>
      </w:r>
      <w:r w:rsidRPr="00773643">
        <w:rPr>
          <w:rFonts w:ascii="Book Antiqua" w:eastAsia="等线" w:hAnsi="Book Antiqua" w:cs="Times New Roman"/>
          <w:b/>
          <w:color w:val="auto"/>
          <w:kern w:val="2"/>
          <w:sz w:val="24"/>
          <w:szCs w:val="24"/>
          <w:lang w:val="en-US" w:eastAsia="zh-CN"/>
        </w:rPr>
        <w:t>66</w:t>
      </w:r>
      <w:r w:rsidRPr="00773643">
        <w:rPr>
          <w:rFonts w:ascii="Book Antiqua" w:eastAsia="等线" w:hAnsi="Book Antiqua" w:cs="Times New Roman"/>
          <w:color w:val="auto"/>
          <w:kern w:val="2"/>
          <w:sz w:val="24"/>
          <w:szCs w:val="24"/>
          <w:lang w:val="en-US" w:eastAsia="zh-CN"/>
        </w:rPr>
        <w:t>: 1009-1015 [PMID: 8281375 DOI: 10.1259/0007-1285-66-791-1009</w:t>
      </w:r>
      <w:r>
        <w:rPr>
          <w:rFonts w:ascii="Book Antiqua" w:eastAsia="等线" w:hAnsi="Book Antiqua" w:cs="Times New Roman"/>
          <w:color w:val="auto"/>
          <w:kern w:val="2"/>
          <w:sz w:val="24"/>
          <w:szCs w:val="24"/>
          <w:lang w:val="en-US" w:eastAsia="zh-CN"/>
        </w:rPr>
        <w:t>]</w:t>
      </w:r>
    </w:p>
    <w:p w14:paraId="72EC4C8C"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27 </w:t>
      </w:r>
      <w:r w:rsidRPr="00773643">
        <w:rPr>
          <w:rFonts w:ascii="Book Antiqua" w:eastAsia="等线" w:hAnsi="Book Antiqua" w:cs="Times New Roman"/>
          <w:b/>
          <w:color w:val="auto"/>
          <w:kern w:val="2"/>
          <w:sz w:val="24"/>
          <w:szCs w:val="24"/>
          <w:lang w:val="en-US" w:eastAsia="zh-CN"/>
        </w:rPr>
        <w:t>Weitmann HD</w:t>
      </w:r>
      <w:r w:rsidRPr="00773643">
        <w:rPr>
          <w:rFonts w:ascii="Book Antiqua" w:eastAsia="等线" w:hAnsi="Book Antiqua" w:cs="Times New Roman"/>
          <w:color w:val="auto"/>
          <w:kern w:val="2"/>
          <w:sz w:val="24"/>
          <w:szCs w:val="24"/>
          <w:lang w:val="en-US" w:eastAsia="zh-CN"/>
        </w:rPr>
        <w:t xml:space="preserve">, Knocke TH, Kucera H, Pötter R. Radiation therapy in the treatment of endometrial stromal sarcoma. </w:t>
      </w:r>
      <w:r w:rsidRPr="00773643">
        <w:rPr>
          <w:rFonts w:ascii="Book Antiqua" w:eastAsia="等线" w:hAnsi="Book Antiqua" w:cs="Times New Roman"/>
          <w:i/>
          <w:color w:val="auto"/>
          <w:kern w:val="2"/>
          <w:sz w:val="24"/>
          <w:szCs w:val="24"/>
          <w:lang w:val="en-US" w:eastAsia="zh-CN"/>
        </w:rPr>
        <w:t>Int J Radiat Oncol Biol Phys</w:t>
      </w:r>
      <w:r w:rsidRPr="00773643">
        <w:rPr>
          <w:rFonts w:ascii="Book Antiqua" w:eastAsia="等线" w:hAnsi="Book Antiqua" w:cs="Times New Roman"/>
          <w:color w:val="auto"/>
          <w:kern w:val="2"/>
          <w:sz w:val="24"/>
          <w:szCs w:val="24"/>
          <w:lang w:val="en-US" w:eastAsia="zh-CN"/>
        </w:rPr>
        <w:t xml:space="preserve"> 2001; </w:t>
      </w:r>
      <w:r w:rsidRPr="00773643">
        <w:rPr>
          <w:rFonts w:ascii="Book Antiqua" w:eastAsia="等线" w:hAnsi="Book Antiqua" w:cs="Times New Roman"/>
          <w:b/>
          <w:color w:val="auto"/>
          <w:kern w:val="2"/>
          <w:sz w:val="24"/>
          <w:szCs w:val="24"/>
          <w:lang w:val="en-US" w:eastAsia="zh-CN"/>
        </w:rPr>
        <w:t>49</w:t>
      </w:r>
      <w:r w:rsidRPr="00773643">
        <w:rPr>
          <w:rFonts w:ascii="Book Antiqua" w:eastAsia="等线" w:hAnsi="Book Antiqua" w:cs="Times New Roman"/>
          <w:color w:val="auto"/>
          <w:kern w:val="2"/>
          <w:sz w:val="24"/>
          <w:szCs w:val="24"/>
          <w:lang w:val="en-US" w:eastAsia="zh-CN"/>
        </w:rPr>
        <w:t>: 739-748 [PMID: 11172957 DOI: 10.1016/S0360-3016(00)01369-9</w:t>
      </w:r>
      <w:r>
        <w:rPr>
          <w:rFonts w:ascii="Book Antiqua" w:eastAsia="等线" w:hAnsi="Book Antiqua" w:cs="Times New Roman"/>
          <w:color w:val="auto"/>
          <w:kern w:val="2"/>
          <w:sz w:val="24"/>
          <w:szCs w:val="24"/>
          <w:lang w:val="en-US" w:eastAsia="zh-CN"/>
        </w:rPr>
        <w:t>]</w:t>
      </w:r>
    </w:p>
    <w:p w14:paraId="6E41853A"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28 </w:t>
      </w:r>
      <w:r w:rsidRPr="00773643">
        <w:rPr>
          <w:rFonts w:ascii="Book Antiqua" w:eastAsia="等线" w:hAnsi="Book Antiqua" w:cs="Times New Roman"/>
          <w:b/>
          <w:color w:val="auto"/>
          <w:kern w:val="2"/>
          <w:sz w:val="24"/>
          <w:szCs w:val="24"/>
          <w:lang w:val="en-US" w:eastAsia="zh-CN"/>
        </w:rPr>
        <w:t>Echt G</w:t>
      </w:r>
      <w:r w:rsidRPr="00773643">
        <w:rPr>
          <w:rFonts w:ascii="Book Antiqua" w:eastAsia="等线" w:hAnsi="Book Antiqua" w:cs="Times New Roman"/>
          <w:color w:val="auto"/>
          <w:kern w:val="2"/>
          <w:sz w:val="24"/>
          <w:szCs w:val="24"/>
          <w:lang w:val="en-US" w:eastAsia="zh-CN"/>
        </w:rPr>
        <w:t xml:space="preserve">, Jepson J, Steel J, Langholz B, Luxton G, Hernandez W, Astrahan M, Petrovich Z. Treatment of uterine sarcomas. </w:t>
      </w:r>
      <w:r w:rsidRPr="00773643">
        <w:rPr>
          <w:rFonts w:ascii="Book Antiqua" w:eastAsia="等线" w:hAnsi="Book Antiqua" w:cs="Times New Roman"/>
          <w:i/>
          <w:color w:val="auto"/>
          <w:kern w:val="2"/>
          <w:sz w:val="24"/>
          <w:szCs w:val="24"/>
          <w:lang w:val="en-US" w:eastAsia="zh-CN"/>
        </w:rPr>
        <w:t>Cancer</w:t>
      </w:r>
      <w:r w:rsidRPr="00773643">
        <w:rPr>
          <w:rFonts w:ascii="Book Antiqua" w:eastAsia="等线" w:hAnsi="Book Antiqua" w:cs="Times New Roman"/>
          <w:color w:val="auto"/>
          <w:kern w:val="2"/>
          <w:sz w:val="24"/>
          <w:szCs w:val="24"/>
          <w:lang w:val="en-US" w:eastAsia="zh-CN"/>
        </w:rPr>
        <w:t xml:space="preserve"> 1990; </w:t>
      </w:r>
      <w:r w:rsidRPr="00773643">
        <w:rPr>
          <w:rFonts w:ascii="Book Antiqua" w:eastAsia="等线" w:hAnsi="Book Antiqua" w:cs="Times New Roman"/>
          <w:b/>
          <w:color w:val="auto"/>
          <w:kern w:val="2"/>
          <w:sz w:val="24"/>
          <w:szCs w:val="24"/>
          <w:lang w:val="en-US" w:eastAsia="zh-CN"/>
        </w:rPr>
        <w:t>66</w:t>
      </w:r>
      <w:r w:rsidRPr="00773643">
        <w:rPr>
          <w:rFonts w:ascii="Book Antiqua" w:eastAsia="等线" w:hAnsi="Book Antiqua" w:cs="Times New Roman"/>
          <w:color w:val="auto"/>
          <w:kern w:val="2"/>
          <w:sz w:val="24"/>
          <w:szCs w:val="24"/>
          <w:lang w:val="en-US" w:eastAsia="zh-CN"/>
        </w:rPr>
        <w:t>: 35-39 [PMID: 2354406 DOI: 10.1002/1097-0142(19900701)66:1&lt;35::AID-CNCR2820660108&gt;3.0.CO;2-V</w:t>
      </w:r>
      <w:r>
        <w:rPr>
          <w:rFonts w:ascii="Book Antiqua" w:eastAsia="等线" w:hAnsi="Book Antiqua" w:cs="Times New Roman"/>
          <w:color w:val="auto"/>
          <w:kern w:val="2"/>
          <w:sz w:val="24"/>
          <w:szCs w:val="24"/>
          <w:lang w:val="en-US" w:eastAsia="zh-CN"/>
        </w:rPr>
        <w:t>]</w:t>
      </w:r>
    </w:p>
    <w:p w14:paraId="62A0F156"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29 </w:t>
      </w:r>
      <w:r w:rsidRPr="00773643">
        <w:rPr>
          <w:rFonts w:ascii="Book Antiqua" w:eastAsia="等线" w:hAnsi="Book Antiqua" w:cs="Times New Roman"/>
          <w:b/>
          <w:color w:val="auto"/>
          <w:kern w:val="2"/>
          <w:sz w:val="24"/>
          <w:szCs w:val="24"/>
          <w:lang w:val="en-US" w:eastAsia="zh-CN"/>
        </w:rPr>
        <w:t>Berchuck A</w:t>
      </w:r>
      <w:r w:rsidRPr="00773643">
        <w:rPr>
          <w:rFonts w:ascii="Book Antiqua" w:eastAsia="等线" w:hAnsi="Book Antiqua" w:cs="Times New Roman"/>
          <w:color w:val="auto"/>
          <w:kern w:val="2"/>
          <w:sz w:val="24"/>
          <w:szCs w:val="24"/>
          <w:lang w:val="en-US" w:eastAsia="zh-CN"/>
        </w:rPr>
        <w:t xml:space="preserve">, Rubin SC, Hoskins WJ, Saigo PE, Pierce VK, Lewis JL Jr. Treatment of endometrial stromal tumors.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1990; </w:t>
      </w:r>
      <w:r w:rsidRPr="00773643">
        <w:rPr>
          <w:rFonts w:ascii="Book Antiqua" w:eastAsia="等线" w:hAnsi="Book Antiqua" w:cs="Times New Roman"/>
          <w:b/>
          <w:color w:val="auto"/>
          <w:kern w:val="2"/>
          <w:sz w:val="24"/>
          <w:szCs w:val="24"/>
          <w:lang w:val="en-US" w:eastAsia="zh-CN"/>
        </w:rPr>
        <w:t>36</w:t>
      </w:r>
      <w:r w:rsidRPr="00773643">
        <w:rPr>
          <w:rFonts w:ascii="Book Antiqua" w:eastAsia="等线" w:hAnsi="Book Antiqua" w:cs="Times New Roman"/>
          <w:color w:val="auto"/>
          <w:kern w:val="2"/>
          <w:sz w:val="24"/>
          <w:szCs w:val="24"/>
          <w:lang w:val="en-US" w:eastAsia="zh-CN"/>
        </w:rPr>
        <w:t>: 60-65 [PMID: 2295453 DOI: 10.1016/0090-8258(90)90109-X</w:t>
      </w:r>
      <w:r>
        <w:rPr>
          <w:rFonts w:ascii="Book Antiqua" w:eastAsia="等线" w:hAnsi="Book Antiqua" w:cs="Times New Roman"/>
          <w:color w:val="auto"/>
          <w:kern w:val="2"/>
          <w:sz w:val="24"/>
          <w:szCs w:val="24"/>
          <w:lang w:val="en-US" w:eastAsia="zh-CN"/>
        </w:rPr>
        <w:t>]</w:t>
      </w:r>
    </w:p>
    <w:p w14:paraId="53576667"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30 </w:t>
      </w:r>
      <w:r w:rsidRPr="00773643">
        <w:rPr>
          <w:rFonts w:ascii="Book Antiqua" w:eastAsia="等线" w:hAnsi="Book Antiqua" w:cs="Times New Roman"/>
          <w:b/>
          <w:color w:val="auto"/>
          <w:kern w:val="2"/>
          <w:sz w:val="24"/>
          <w:szCs w:val="24"/>
          <w:lang w:val="en-US" w:eastAsia="zh-CN"/>
        </w:rPr>
        <w:t>Nola M</w:t>
      </w:r>
      <w:r w:rsidRPr="00773643">
        <w:rPr>
          <w:rFonts w:ascii="Book Antiqua" w:eastAsia="等线" w:hAnsi="Book Antiqua" w:cs="Times New Roman"/>
          <w:color w:val="auto"/>
          <w:kern w:val="2"/>
          <w:sz w:val="24"/>
          <w:szCs w:val="24"/>
          <w:lang w:val="en-US" w:eastAsia="zh-CN"/>
        </w:rPr>
        <w:t>, Babi</w:t>
      </w:r>
      <w:r w:rsidRPr="00773643">
        <w:rPr>
          <w:rFonts w:ascii="Book Antiqua" w:eastAsia="等线" w:hAnsi="Book Antiqua" w:cs="Cambria"/>
          <w:color w:val="auto"/>
          <w:kern w:val="2"/>
          <w:sz w:val="24"/>
          <w:szCs w:val="24"/>
          <w:lang w:val="en-US" w:eastAsia="zh-CN"/>
        </w:rPr>
        <w:t>ć</w:t>
      </w:r>
      <w:r w:rsidRPr="00773643">
        <w:rPr>
          <w:rFonts w:ascii="Book Antiqua" w:eastAsia="等线" w:hAnsi="Book Antiqua" w:cs="Times New Roman"/>
          <w:color w:val="auto"/>
          <w:kern w:val="2"/>
          <w:sz w:val="24"/>
          <w:szCs w:val="24"/>
          <w:lang w:val="en-US" w:eastAsia="zh-CN"/>
        </w:rPr>
        <w:t xml:space="preserve"> D, Ili</w:t>
      </w:r>
      <w:r w:rsidRPr="00773643">
        <w:rPr>
          <w:rFonts w:ascii="Book Antiqua" w:eastAsia="等线" w:hAnsi="Book Antiqua" w:cs="Cambria"/>
          <w:color w:val="auto"/>
          <w:kern w:val="2"/>
          <w:sz w:val="24"/>
          <w:szCs w:val="24"/>
          <w:lang w:val="en-US" w:eastAsia="zh-CN"/>
        </w:rPr>
        <w:t>ć</w:t>
      </w:r>
      <w:r w:rsidRPr="00773643">
        <w:rPr>
          <w:rFonts w:ascii="Book Antiqua" w:eastAsia="等线" w:hAnsi="Book Antiqua" w:cs="Times New Roman"/>
          <w:color w:val="auto"/>
          <w:kern w:val="2"/>
          <w:sz w:val="24"/>
          <w:szCs w:val="24"/>
          <w:lang w:val="en-US" w:eastAsia="zh-CN"/>
        </w:rPr>
        <w:t xml:space="preserve"> J, Marusi</w:t>
      </w:r>
      <w:r w:rsidRPr="00773643">
        <w:rPr>
          <w:rFonts w:ascii="Book Antiqua" w:eastAsia="等线" w:hAnsi="Book Antiqua" w:cs="Cambria"/>
          <w:color w:val="auto"/>
          <w:kern w:val="2"/>
          <w:sz w:val="24"/>
          <w:szCs w:val="24"/>
          <w:lang w:val="en-US" w:eastAsia="zh-CN"/>
        </w:rPr>
        <w:t>ć</w:t>
      </w:r>
      <w:r w:rsidRPr="00773643">
        <w:rPr>
          <w:rFonts w:ascii="Book Antiqua" w:eastAsia="等线" w:hAnsi="Book Antiqua" w:cs="Times New Roman"/>
          <w:color w:val="auto"/>
          <w:kern w:val="2"/>
          <w:sz w:val="24"/>
          <w:szCs w:val="24"/>
          <w:lang w:val="en-US" w:eastAsia="zh-CN"/>
        </w:rPr>
        <w:t xml:space="preserve"> M, Uzarevi</w:t>
      </w:r>
      <w:r w:rsidRPr="00773643">
        <w:rPr>
          <w:rFonts w:ascii="Book Antiqua" w:eastAsia="等线" w:hAnsi="Book Antiqua" w:cs="Cambria"/>
          <w:color w:val="auto"/>
          <w:kern w:val="2"/>
          <w:sz w:val="24"/>
          <w:szCs w:val="24"/>
          <w:lang w:val="en-US" w:eastAsia="zh-CN"/>
        </w:rPr>
        <w:t>ć</w:t>
      </w:r>
      <w:r w:rsidRPr="00773643">
        <w:rPr>
          <w:rFonts w:ascii="Book Antiqua" w:eastAsia="等线" w:hAnsi="Book Antiqua" w:cs="Times New Roman"/>
          <w:color w:val="auto"/>
          <w:kern w:val="2"/>
          <w:sz w:val="24"/>
          <w:szCs w:val="24"/>
          <w:lang w:val="en-US" w:eastAsia="zh-CN"/>
        </w:rPr>
        <w:t xml:space="preserve"> B, Petrovecki M, Sabioncello A, Kovac D, Juki</w:t>
      </w:r>
      <w:r w:rsidRPr="00773643">
        <w:rPr>
          <w:rFonts w:ascii="Book Antiqua" w:eastAsia="等线" w:hAnsi="Book Antiqua" w:cs="Cambria"/>
          <w:color w:val="auto"/>
          <w:kern w:val="2"/>
          <w:sz w:val="24"/>
          <w:szCs w:val="24"/>
          <w:lang w:val="en-US" w:eastAsia="zh-CN"/>
        </w:rPr>
        <w:t>ć</w:t>
      </w:r>
      <w:r w:rsidRPr="00773643">
        <w:rPr>
          <w:rFonts w:ascii="Book Antiqua" w:eastAsia="等线" w:hAnsi="Book Antiqua" w:cs="Times New Roman"/>
          <w:color w:val="auto"/>
          <w:kern w:val="2"/>
          <w:sz w:val="24"/>
          <w:szCs w:val="24"/>
          <w:lang w:val="en-US" w:eastAsia="zh-CN"/>
        </w:rPr>
        <w:t xml:space="preserve"> S. Prognostic parameters for survival of patients with malignant mesenchymal tumors of the uterus. </w:t>
      </w:r>
      <w:r w:rsidRPr="00773643">
        <w:rPr>
          <w:rFonts w:ascii="Book Antiqua" w:eastAsia="等线" w:hAnsi="Book Antiqua" w:cs="Times New Roman"/>
          <w:i/>
          <w:color w:val="auto"/>
          <w:kern w:val="2"/>
          <w:sz w:val="24"/>
          <w:szCs w:val="24"/>
          <w:lang w:val="en-US" w:eastAsia="zh-CN"/>
        </w:rPr>
        <w:t>Cancer</w:t>
      </w:r>
      <w:r w:rsidRPr="00773643">
        <w:rPr>
          <w:rFonts w:ascii="Book Antiqua" w:eastAsia="等线" w:hAnsi="Book Antiqua" w:cs="Times New Roman"/>
          <w:color w:val="auto"/>
          <w:kern w:val="2"/>
          <w:sz w:val="24"/>
          <w:szCs w:val="24"/>
          <w:lang w:val="en-US" w:eastAsia="zh-CN"/>
        </w:rPr>
        <w:t xml:space="preserve"> 1996; </w:t>
      </w:r>
      <w:r w:rsidRPr="00773643">
        <w:rPr>
          <w:rFonts w:ascii="Book Antiqua" w:eastAsia="等线" w:hAnsi="Book Antiqua" w:cs="Times New Roman"/>
          <w:b/>
          <w:color w:val="auto"/>
          <w:kern w:val="2"/>
          <w:sz w:val="24"/>
          <w:szCs w:val="24"/>
          <w:lang w:val="en-US" w:eastAsia="zh-CN"/>
        </w:rPr>
        <w:t>78</w:t>
      </w:r>
      <w:r w:rsidRPr="00773643">
        <w:rPr>
          <w:rFonts w:ascii="Book Antiqua" w:eastAsia="等线" w:hAnsi="Book Antiqua" w:cs="Times New Roman"/>
          <w:color w:val="auto"/>
          <w:kern w:val="2"/>
          <w:sz w:val="24"/>
          <w:szCs w:val="24"/>
          <w:lang w:val="en-US" w:eastAsia="zh-CN"/>
        </w:rPr>
        <w:t>: 2543-2550 [PMID: 8952563 DOI: 10.1002/(SICI)1097-0142(19961215)78:12&lt;2543::AID-CNCR14&gt;3.0.CO;2-W</w:t>
      </w:r>
      <w:r>
        <w:rPr>
          <w:rFonts w:ascii="Book Antiqua" w:eastAsia="等线" w:hAnsi="Book Antiqua" w:cs="Times New Roman"/>
          <w:color w:val="auto"/>
          <w:kern w:val="2"/>
          <w:sz w:val="24"/>
          <w:szCs w:val="24"/>
          <w:lang w:val="en-US" w:eastAsia="zh-CN"/>
        </w:rPr>
        <w:t>]</w:t>
      </w:r>
    </w:p>
    <w:p w14:paraId="5B00686A"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31 </w:t>
      </w:r>
      <w:r w:rsidRPr="00773643">
        <w:rPr>
          <w:rFonts w:ascii="Book Antiqua" w:eastAsia="等线" w:hAnsi="Book Antiqua" w:cs="Times New Roman"/>
          <w:b/>
          <w:color w:val="auto"/>
          <w:kern w:val="2"/>
          <w:sz w:val="24"/>
          <w:szCs w:val="24"/>
          <w:lang w:val="en-US" w:eastAsia="zh-CN"/>
        </w:rPr>
        <w:t>Jereczek B</w:t>
      </w:r>
      <w:r w:rsidRPr="00773643">
        <w:rPr>
          <w:rFonts w:ascii="Book Antiqua" w:eastAsia="等线" w:hAnsi="Book Antiqua" w:cs="Times New Roman"/>
          <w:color w:val="auto"/>
          <w:kern w:val="2"/>
          <w:sz w:val="24"/>
          <w:szCs w:val="24"/>
          <w:lang w:val="en-US" w:eastAsia="zh-CN"/>
        </w:rPr>
        <w:t xml:space="preserve">, Jassem J, Kobierska A. Sarcoma of the uterus. A clinical study of 42 patients. </w:t>
      </w:r>
      <w:r w:rsidRPr="00773643">
        <w:rPr>
          <w:rFonts w:ascii="Book Antiqua" w:eastAsia="等线" w:hAnsi="Book Antiqua" w:cs="Times New Roman"/>
          <w:i/>
          <w:color w:val="auto"/>
          <w:kern w:val="2"/>
          <w:sz w:val="24"/>
          <w:szCs w:val="24"/>
          <w:lang w:val="en-US" w:eastAsia="zh-CN"/>
        </w:rPr>
        <w:t>Arch Gynecol Obstet</w:t>
      </w:r>
      <w:r w:rsidRPr="00773643">
        <w:rPr>
          <w:rFonts w:ascii="Book Antiqua" w:eastAsia="等线" w:hAnsi="Book Antiqua" w:cs="Times New Roman"/>
          <w:color w:val="auto"/>
          <w:kern w:val="2"/>
          <w:sz w:val="24"/>
          <w:szCs w:val="24"/>
          <w:lang w:val="en-US" w:eastAsia="zh-CN"/>
        </w:rPr>
        <w:t xml:space="preserve"> 1996; </w:t>
      </w:r>
      <w:r w:rsidRPr="00773643">
        <w:rPr>
          <w:rFonts w:ascii="Book Antiqua" w:eastAsia="等线" w:hAnsi="Book Antiqua" w:cs="Times New Roman"/>
          <w:b/>
          <w:color w:val="auto"/>
          <w:kern w:val="2"/>
          <w:sz w:val="24"/>
          <w:szCs w:val="24"/>
          <w:lang w:val="en-US" w:eastAsia="zh-CN"/>
        </w:rPr>
        <w:t>258</w:t>
      </w:r>
      <w:r w:rsidRPr="00773643">
        <w:rPr>
          <w:rFonts w:ascii="Book Antiqua" w:eastAsia="等线" w:hAnsi="Book Antiqua" w:cs="Times New Roman"/>
          <w:color w:val="auto"/>
          <w:kern w:val="2"/>
          <w:sz w:val="24"/>
          <w:szCs w:val="24"/>
          <w:lang w:val="en-US" w:eastAsia="zh-CN"/>
        </w:rPr>
        <w:t>: 171-180 [PMID: 8844134 DOI: 10.1007/s004040050121</w:t>
      </w:r>
      <w:r>
        <w:rPr>
          <w:rFonts w:ascii="Book Antiqua" w:eastAsia="等线" w:hAnsi="Book Antiqua" w:cs="Times New Roman"/>
          <w:color w:val="auto"/>
          <w:kern w:val="2"/>
          <w:sz w:val="24"/>
          <w:szCs w:val="24"/>
          <w:lang w:val="en-US" w:eastAsia="zh-CN"/>
        </w:rPr>
        <w:t>]</w:t>
      </w:r>
    </w:p>
    <w:p w14:paraId="39B29309"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32 </w:t>
      </w:r>
      <w:r w:rsidRPr="00773643">
        <w:rPr>
          <w:rFonts w:ascii="Book Antiqua" w:eastAsia="等线" w:hAnsi="Book Antiqua" w:cs="Times New Roman"/>
          <w:b/>
          <w:color w:val="auto"/>
          <w:kern w:val="2"/>
          <w:sz w:val="24"/>
          <w:szCs w:val="24"/>
          <w:lang w:val="en-US" w:eastAsia="zh-CN"/>
        </w:rPr>
        <w:t>Seagle BL</w:t>
      </w:r>
      <w:r w:rsidRPr="00773643">
        <w:rPr>
          <w:rFonts w:ascii="Book Antiqua" w:eastAsia="等线" w:hAnsi="Book Antiqua" w:cs="Times New Roman"/>
          <w:color w:val="auto"/>
          <w:kern w:val="2"/>
          <w:sz w:val="24"/>
          <w:szCs w:val="24"/>
          <w:lang w:val="en-US" w:eastAsia="zh-CN"/>
        </w:rPr>
        <w:t xml:space="preserve">, Shilpi A, Buchanan S, Goodman C, Shahabi S. Low-grade and high-grade endometrial stromal sarcoma: A National Cancer Database study.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2017; </w:t>
      </w:r>
      <w:r w:rsidRPr="00773643">
        <w:rPr>
          <w:rFonts w:ascii="Book Antiqua" w:eastAsia="等线" w:hAnsi="Book Antiqua" w:cs="Times New Roman"/>
          <w:b/>
          <w:color w:val="auto"/>
          <w:kern w:val="2"/>
          <w:sz w:val="24"/>
          <w:szCs w:val="24"/>
          <w:lang w:val="en-US" w:eastAsia="zh-CN"/>
        </w:rPr>
        <w:t>146</w:t>
      </w:r>
      <w:r w:rsidRPr="00773643">
        <w:rPr>
          <w:rFonts w:ascii="Book Antiqua" w:eastAsia="等线" w:hAnsi="Book Antiqua" w:cs="Times New Roman"/>
          <w:color w:val="auto"/>
          <w:kern w:val="2"/>
          <w:sz w:val="24"/>
          <w:szCs w:val="24"/>
          <w:lang w:val="en-US" w:eastAsia="zh-CN"/>
        </w:rPr>
        <w:t>: 254-262 [PMID: 28596015 DOI: 10.1016/j.ygyno.2017.05.036</w:t>
      </w:r>
      <w:r>
        <w:rPr>
          <w:rFonts w:ascii="Book Antiqua" w:eastAsia="等线" w:hAnsi="Book Antiqua" w:cs="Times New Roman"/>
          <w:color w:val="auto"/>
          <w:kern w:val="2"/>
          <w:sz w:val="24"/>
          <w:szCs w:val="24"/>
          <w:lang w:val="en-US" w:eastAsia="zh-CN"/>
        </w:rPr>
        <w:t>]</w:t>
      </w:r>
    </w:p>
    <w:p w14:paraId="12BF82A9"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33 </w:t>
      </w:r>
      <w:r w:rsidRPr="00773643">
        <w:rPr>
          <w:rFonts w:ascii="Book Antiqua" w:eastAsia="等线" w:hAnsi="Book Antiqua" w:cs="Times New Roman"/>
          <w:b/>
          <w:color w:val="auto"/>
          <w:kern w:val="2"/>
          <w:sz w:val="24"/>
          <w:szCs w:val="24"/>
          <w:lang w:val="en-US" w:eastAsia="zh-CN"/>
        </w:rPr>
        <w:t>Malouf GG</w:t>
      </w:r>
      <w:r w:rsidRPr="00773643">
        <w:rPr>
          <w:rFonts w:ascii="Book Antiqua" w:eastAsia="等线" w:hAnsi="Book Antiqua" w:cs="Times New Roman"/>
          <w:color w:val="auto"/>
          <w:kern w:val="2"/>
          <w:sz w:val="24"/>
          <w:szCs w:val="24"/>
          <w:lang w:val="en-US" w:eastAsia="zh-CN"/>
        </w:rPr>
        <w:t xml:space="preserve">, Lhommé C, Duvillard P, Morice P, Haie-Meder C, Pautier P. Prognostic factors and outcome of undifferentiated endometrial sarcoma treated by multimodal therapy. </w:t>
      </w:r>
      <w:r w:rsidRPr="00773643">
        <w:rPr>
          <w:rFonts w:ascii="Book Antiqua" w:eastAsia="等线" w:hAnsi="Book Antiqua" w:cs="Times New Roman"/>
          <w:i/>
          <w:color w:val="auto"/>
          <w:kern w:val="2"/>
          <w:sz w:val="24"/>
          <w:szCs w:val="24"/>
          <w:lang w:val="en-US" w:eastAsia="zh-CN"/>
        </w:rPr>
        <w:t>Int J Gynaecol Obstet</w:t>
      </w:r>
      <w:r w:rsidRPr="00773643">
        <w:rPr>
          <w:rFonts w:ascii="Book Antiqua" w:eastAsia="等线" w:hAnsi="Book Antiqua" w:cs="Times New Roman"/>
          <w:color w:val="auto"/>
          <w:kern w:val="2"/>
          <w:sz w:val="24"/>
          <w:szCs w:val="24"/>
          <w:lang w:val="en-US" w:eastAsia="zh-CN"/>
        </w:rPr>
        <w:t xml:space="preserve"> 2013; </w:t>
      </w:r>
      <w:r w:rsidRPr="00773643">
        <w:rPr>
          <w:rFonts w:ascii="Book Antiqua" w:eastAsia="等线" w:hAnsi="Book Antiqua" w:cs="Times New Roman"/>
          <w:b/>
          <w:color w:val="auto"/>
          <w:kern w:val="2"/>
          <w:sz w:val="24"/>
          <w:szCs w:val="24"/>
          <w:lang w:val="en-US" w:eastAsia="zh-CN"/>
        </w:rPr>
        <w:t>122</w:t>
      </w:r>
      <w:r w:rsidRPr="00773643">
        <w:rPr>
          <w:rFonts w:ascii="Book Antiqua" w:eastAsia="等线" w:hAnsi="Book Antiqua" w:cs="Times New Roman"/>
          <w:color w:val="auto"/>
          <w:kern w:val="2"/>
          <w:sz w:val="24"/>
          <w:szCs w:val="24"/>
          <w:lang w:val="en-US" w:eastAsia="zh-CN"/>
        </w:rPr>
        <w:t>: 57-61 [PMID: 23597861 DOI: 10.1016/j.ijgo.2013.01.025</w:t>
      </w:r>
      <w:r>
        <w:rPr>
          <w:rFonts w:ascii="Book Antiqua" w:eastAsia="等线" w:hAnsi="Book Antiqua" w:cs="Times New Roman"/>
          <w:color w:val="auto"/>
          <w:kern w:val="2"/>
          <w:sz w:val="24"/>
          <w:szCs w:val="24"/>
          <w:lang w:val="en-US" w:eastAsia="zh-CN"/>
        </w:rPr>
        <w:t>]</w:t>
      </w:r>
    </w:p>
    <w:p w14:paraId="58043E52"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34 </w:t>
      </w:r>
      <w:r w:rsidRPr="00773643">
        <w:rPr>
          <w:rFonts w:ascii="Book Antiqua" w:eastAsia="等线" w:hAnsi="Book Antiqua" w:cs="Times New Roman"/>
          <w:b/>
          <w:color w:val="auto"/>
          <w:kern w:val="2"/>
          <w:sz w:val="24"/>
          <w:szCs w:val="24"/>
          <w:lang w:val="en-US" w:eastAsia="zh-CN"/>
        </w:rPr>
        <w:t>Tanner EJ</w:t>
      </w:r>
      <w:r w:rsidRPr="00773643">
        <w:rPr>
          <w:rFonts w:ascii="Book Antiqua" w:eastAsia="等线" w:hAnsi="Book Antiqua" w:cs="Times New Roman"/>
          <w:color w:val="auto"/>
          <w:kern w:val="2"/>
          <w:sz w:val="24"/>
          <w:szCs w:val="24"/>
          <w:lang w:val="en-US" w:eastAsia="zh-CN"/>
        </w:rPr>
        <w:t xml:space="preserve">, Toussaint T, Leitao MM Jr, Hensley ML, Soslow RA, Gardner GJ, Jewell EL. Management of uterine adenosarcomas with and without sarcomatous overgrowth.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2013; </w:t>
      </w:r>
      <w:r w:rsidRPr="00773643">
        <w:rPr>
          <w:rFonts w:ascii="Book Antiqua" w:eastAsia="等线" w:hAnsi="Book Antiqua" w:cs="Times New Roman"/>
          <w:b/>
          <w:color w:val="auto"/>
          <w:kern w:val="2"/>
          <w:sz w:val="24"/>
          <w:szCs w:val="24"/>
          <w:lang w:val="en-US" w:eastAsia="zh-CN"/>
        </w:rPr>
        <w:t>129</w:t>
      </w:r>
      <w:r w:rsidRPr="00773643">
        <w:rPr>
          <w:rFonts w:ascii="Book Antiqua" w:eastAsia="等线" w:hAnsi="Book Antiqua" w:cs="Times New Roman"/>
          <w:color w:val="auto"/>
          <w:kern w:val="2"/>
          <w:sz w:val="24"/>
          <w:szCs w:val="24"/>
          <w:lang w:val="en-US" w:eastAsia="zh-CN"/>
        </w:rPr>
        <w:t>: 140-144 [PMID: 23283300 DOI: 10.1016/j.ygyno.2012.12.036</w:t>
      </w:r>
      <w:r>
        <w:rPr>
          <w:rFonts w:ascii="Book Antiqua" w:eastAsia="等线" w:hAnsi="Book Antiqua" w:cs="Times New Roman"/>
          <w:color w:val="auto"/>
          <w:kern w:val="2"/>
          <w:sz w:val="24"/>
          <w:szCs w:val="24"/>
          <w:lang w:val="en-US" w:eastAsia="zh-CN"/>
        </w:rPr>
        <w:t>]</w:t>
      </w:r>
    </w:p>
    <w:p w14:paraId="35D7C115"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35 </w:t>
      </w:r>
      <w:r w:rsidRPr="00773643">
        <w:rPr>
          <w:rFonts w:ascii="Book Antiqua" w:eastAsia="等线" w:hAnsi="Book Antiqua" w:cs="Times New Roman"/>
          <w:b/>
          <w:color w:val="auto"/>
          <w:kern w:val="2"/>
          <w:sz w:val="24"/>
          <w:szCs w:val="24"/>
          <w:lang w:val="en-US" w:eastAsia="zh-CN"/>
        </w:rPr>
        <w:t>Arend R</w:t>
      </w:r>
      <w:r w:rsidRPr="00773643">
        <w:rPr>
          <w:rFonts w:ascii="Book Antiqua" w:eastAsia="等线" w:hAnsi="Book Antiqua" w:cs="Times New Roman"/>
          <w:color w:val="auto"/>
          <w:kern w:val="2"/>
          <w:sz w:val="24"/>
          <w:szCs w:val="24"/>
          <w:lang w:val="en-US" w:eastAsia="zh-CN"/>
        </w:rPr>
        <w:t xml:space="preserve">, Bagaria M, Lewin SN, Sun X, Deutsch I, Burke WM, Herzog TJ, Wright JD. Long-term outcome and natural history of uterine adenosarcomas.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2010; </w:t>
      </w:r>
      <w:r w:rsidRPr="00773643">
        <w:rPr>
          <w:rFonts w:ascii="Book Antiqua" w:eastAsia="等线" w:hAnsi="Book Antiqua" w:cs="Times New Roman"/>
          <w:b/>
          <w:color w:val="auto"/>
          <w:kern w:val="2"/>
          <w:sz w:val="24"/>
          <w:szCs w:val="24"/>
          <w:lang w:val="en-US" w:eastAsia="zh-CN"/>
        </w:rPr>
        <w:t>119</w:t>
      </w:r>
      <w:r w:rsidRPr="00773643">
        <w:rPr>
          <w:rFonts w:ascii="Book Antiqua" w:eastAsia="等线" w:hAnsi="Book Antiqua" w:cs="Times New Roman"/>
          <w:color w:val="auto"/>
          <w:kern w:val="2"/>
          <w:sz w:val="24"/>
          <w:szCs w:val="24"/>
          <w:lang w:val="en-US" w:eastAsia="zh-CN"/>
        </w:rPr>
        <w:t>: 305-308 [PMID: 20688363 DOI: 10.1016/j.ygyno.2010.07.001</w:t>
      </w:r>
      <w:r>
        <w:rPr>
          <w:rFonts w:ascii="Book Antiqua" w:eastAsia="等线" w:hAnsi="Book Antiqua" w:cs="Times New Roman"/>
          <w:color w:val="auto"/>
          <w:kern w:val="2"/>
          <w:sz w:val="24"/>
          <w:szCs w:val="24"/>
          <w:lang w:val="en-US" w:eastAsia="zh-CN"/>
        </w:rPr>
        <w:t>]</w:t>
      </w:r>
    </w:p>
    <w:p w14:paraId="31170EAF"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36 </w:t>
      </w:r>
      <w:r w:rsidRPr="00773643">
        <w:rPr>
          <w:rFonts w:ascii="Book Antiqua" w:eastAsia="等线" w:hAnsi="Book Antiqua" w:cs="Times New Roman"/>
          <w:b/>
          <w:color w:val="auto"/>
          <w:kern w:val="2"/>
          <w:sz w:val="24"/>
          <w:szCs w:val="24"/>
          <w:lang w:val="en-US" w:eastAsia="zh-CN"/>
        </w:rPr>
        <w:t>Pautier P</w:t>
      </w:r>
      <w:r w:rsidRPr="00773643">
        <w:rPr>
          <w:rFonts w:ascii="Book Antiqua" w:eastAsia="等线" w:hAnsi="Book Antiqua" w:cs="Times New Roman"/>
          <w:color w:val="auto"/>
          <w:kern w:val="2"/>
          <w:sz w:val="24"/>
          <w:szCs w:val="24"/>
          <w:lang w:val="en-US" w:eastAsia="zh-CN"/>
        </w:rPr>
        <w:t xml:space="preserve">, Nam EJ, Provencher DM, Hamilton AL, Mangili G, Siddiqui NA, Westermann AM, Reed NS, Harter P, Ray-Coquard I. Gynecologic Cancer InterGroup (GCIG) consensus review for high-grade undifferentiated sarcomas of the uterus. </w:t>
      </w:r>
      <w:r w:rsidRPr="00773643">
        <w:rPr>
          <w:rFonts w:ascii="Book Antiqua" w:eastAsia="等线" w:hAnsi="Book Antiqua" w:cs="Times New Roman"/>
          <w:i/>
          <w:color w:val="auto"/>
          <w:kern w:val="2"/>
          <w:sz w:val="24"/>
          <w:szCs w:val="24"/>
          <w:lang w:val="en-US" w:eastAsia="zh-CN"/>
        </w:rPr>
        <w:t>Int J Gynecol Cancer</w:t>
      </w:r>
      <w:r w:rsidRPr="00773643">
        <w:rPr>
          <w:rFonts w:ascii="Book Antiqua" w:eastAsia="等线" w:hAnsi="Book Antiqua" w:cs="Times New Roman"/>
          <w:color w:val="auto"/>
          <w:kern w:val="2"/>
          <w:sz w:val="24"/>
          <w:szCs w:val="24"/>
          <w:lang w:val="en-US" w:eastAsia="zh-CN"/>
        </w:rPr>
        <w:t xml:space="preserve"> 2014; </w:t>
      </w:r>
      <w:r w:rsidRPr="00773643">
        <w:rPr>
          <w:rFonts w:ascii="Book Antiqua" w:eastAsia="等线" w:hAnsi="Book Antiqua" w:cs="Times New Roman"/>
          <w:b/>
          <w:color w:val="auto"/>
          <w:kern w:val="2"/>
          <w:sz w:val="24"/>
          <w:szCs w:val="24"/>
          <w:lang w:val="en-US" w:eastAsia="zh-CN"/>
        </w:rPr>
        <w:t>24</w:t>
      </w:r>
      <w:r w:rsidRPr="00773643">
        <w:rPr>
          <w:rFonts w:ascii="Book Antiqua" w:eastAsia="等线" w:hAnsi="Book Antiqua" w:cs="Times New Roman"/>
          <w:color w:val="auto"/>
          <w:kern w:val="2"/>
          <w:sz w:val="24"/>
          <w:szCs w:val="24"/>
          <w:lang w:val="en-US" w:eastAsia="zh-CN"/>
        </w:rPr>
        <w:t>: S73-S77 [PMID: 25341584 DOI: 10.1097/IGC.0000000000000281</w:t>
      </w:r>
      <w:r>
        <w:rPr>
          <w:rFonts w:ascii="Book Antiqua" w:eastAsia="等线" w:hAnsi="Book Antiqua" w:cs="Times New Roman"/>
          <w:color w:val="auto"/>
          <w:kern w:val="2"/>
          <w:sz w:val="24"/>
          <w:szCs w:val="24"/>
          <w:lang w:val="en-US" w:eastAsia="zh-CN"/>
        </w:rPr>
        <w:t>]</w:t>
      </w:r>
    </w:p>
    <w:p w14:paraId="5C9B110F"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37 </w:t>
      </w:r>
      <w:r w:rsidRPr="00773643">
        <w:rPr>
          <w:rFonts w:ascii="Book Antiqua" w:eastAsia="等线" w:hAnsi="Book Antiqua" w:cs="Times New Roman"/>
          <w:b/>
          <w:color w:val="auto"/>
          <w:kern w:val="2"/>
          <w:sz w:val="24"/>
          <w:szCs w:val="24"/>
          <w:lang w:val="en-US" w:eastAsia="zh-CN"/>
        </w:rPr>
        <w:t>Sutton GP</w:t>
      </w:r>
      <w:r w:rsidRPr="00773643">
        <w:rPr>
          <w:rFonts w:ascii="Book Antiqua" w:eastAsia="等线" w:hAnsi="Book Antiqua" w:cs="Times New Roman"/>
          <w:color w:val="auto"/>
          <w:kern w:val="2"/>
          <w:sz w:val="24"/>
          <w:szCs w:val="24"/>
          <w:lang w:val="en-US" w:eastAsia="zh-CN"/>
        </w:rPr>
        <w:t xml:space="preserve">, Blessing JA, Rosenshein N, Photopulos G, DiSaia PJ. Phase II trial of ifosfamide and mesna in mixed mesodermal tumors of the uterus (a Gynecologic Oncology Group study). </w:t>
      </w:r>
      <w:r w:rsidRPr="00773643">
        <w:rPr>
          <w:rFonts w:ascii="Book Antiqua" w:eastAsia="等线" w:hAnsi="Book Antiqua" w:cs="Times New Roman"/>
          <w:i/>
          <w:color w:val="auto"/>
          <w:kern w:val="2"/>
          <w:sz w:val="24"/>
          <w:szCs w:val="24"/>
          <w:lang w:val="en-US" w:eastAsia="zh-CN"/>
        </w:rPr>
        <w:t>Am J Obstet Gynecol</w:t>
      </w:r>
      <w:r w:rsidRPr="00773643">
        <w:rPr>
          <w:rFonts w:ascii="Book Antiqua" w:eastAsia="等线" w:hAnsi="Book Antiqua" w:cs="Times New Roman"/>
          <w:color w:val="auto"/>
          <w:kern w:val="2"/>
          <w:sz w:val="24"/>
          <w:szCs w:val="24"/>
          <w:lang w:val="en-US" w:eastAsia="zh-CN"/>
        </w:rPr>
        <w:t xml:space="preserve"> 1989; </w:t>
      </w:r>
      <w:r w:rsidRPr="00773643">
        <w:rPr>
          <w:rFonts w:ascii="Book Antiqua" w:eastAsia="等线" w:hAnsi="Book Antiqua" w:cs="Times New Roman"/>
          <w:b/>
          <w:color w:val="auto"/>
          <w:kern w:val="2"/>
          <w:sz w:val="24"/>
          <w:szCs w:val="24"/>
          <w:lang w:val="en-US" w:eastAsia="zh-CN"/>
        </w:rPr>
        <w:t>161</w:t>
      </w:r>
      <w:r w:rsidRPr="00773643">
        <w:rPr>
          <w:rFonts w:ascii="Book Antiqua" w:eastAsia="等线" w:hAnsi="Book Antiqua" w:cs="Times New Roman"/>
          <w:color w:val="auto"/>
          <w:kern w:val="2"/>
          <w:sz w:val="24"/>
          <w:szCs w:val="24"/>
          <w:lang w:val="en-US" w:eastAsia="zh-CN"/>
        </w:rPr>
        <w:t>: 309-312 [PMID: 2548382 DOI: 10.1016/0002-9378(89)90507-3</w:t>
      </w:r>
      <w:r>
        <w:rPr>
          <w:rFonts w:ascii="Book Antiqua" w:eastAsia="等线" w:hAnsi="Book Antiqua" w:cs="Times New Roman"/>
          <w:color w:val="auto"/>
          <w:kern w:val="2"/>
          <w:sz w:val="24"/>
          <w:szCs w:val="24"/>
          <w:lang w:val="en-US" w:eastAsia="zh-CN"/>
        </w:rPr>
        <w:t>]</w:t>
      </w:r>
    </w:p>
    <w:p w14:paraId="43EA6336"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38 </w:t>
      </w:r>
      <w:r w:rsidRPr="00773643">
        <w:rPr>
          <w:rFonts w:ascii="Book Antiqua" w:eastAsia="等线" w:hAnsi="Book Antiqua" w:cs="Times New Roman"/>
          <w:b/>
          <w:color w:val="auto"/>
          <w:kern w:val="2"/>
          <w:sz w:val="24"/>
          <w:szCs w:val="24"/>
          <w:lang w:val="en-US" w:eastAsia="zh-CN"/>
        </w:rPr>
        <w:t>Sutton GP</w:t>
      </w:r>
      <w:r w:rsidRPr="00773643">
        <w:rPr>
          <w:rFonts w:ascii="Book Antiqua" w:eastAsia="等线" w:hAnsi="Book Antiqua" w:cs="Times New Roman"/>
          <w:color w:val="auto"/>
          <w:kern w:val="2"/>
          <w:sz w:val="24"/>
          <w:szCs w:val="24"/>
          <w:lang w:val="en-US" w:eastAsia="zh-CN"/>
        </w:rPr>
        <w:t xml:space="preserve">, Blessing JA, Barrett RJ, McGehee R. Phase II trial of ifosfamide and mesna in leiomyosarcoma of the uterus: a Gynecologic Oncology Group study. </w:t>
      </w:r>
      <w:r w:rsidRPr="00773643">
        <w:rPr>
          <w:rFonts w:ascii="Book Antiqua" w:eastAsia="等线" w:hAnsi="Book Antiqua" w:cs="Times New Roman"/>
          <w:i/>
          <w:color w:val="auto"/>
          <w:kern w:val="2"/>
          <w:sz w:val="24"/>
          <w:szCs w:val="24"/>
          <w:lang w:val="en-US" w:eastAsia="zh-CN"/>
        </w:rPr>
        <w:t>Am J Obstet Gynecol</w:t>
      </w:r>
      <w:r w:rsidRPr="00773643">
        <w:rPr>
          <w:rFonts w:ascii="Book Antiqua" w:eastAsia="等线" w:hAnsi="Book Antiqua" w:cs="Times New Roman"/>
          <w:color w:val="auto"/>
          <w:kern w:val="2"/>
          <w:sz w:val="24"/>
          <w:szCs w:val="24"/>
          <w:lang w:val="en-US" w:eastAsia="zh-CN"/>
        </w:rPr>
        <w:t xml:space="preserve"> 1992; </w:t>
      </w:r>
      <w:r w:rsidRPr="00773643">
        <w:rPr>
          <w:rFonts w:ascii="Book Antiqua" w:eastAsia="等线" w:hAnsi="Book Antiqua" w:cs="Times New Roman"/>
          <w:b/>
          <w:color w:val="auto"/>
          <w:kern w:val="2"/>
          <w:sz w:val="24"/>
          <w:szCs w:val="24"/>
          <w:lang w:val="en-US" w:eastAsia="zh-CN"/>
        </w:rPr>
        <w:t>166</w:t>
      </w:r>
      <w:r w:rsidRPr="00773643">
        <w:rPr>
          <w:rFonts w:ascii="Book Antiqua" w:eastAsia="等线" w:hAnsi="Book Antiqua" w:cs="Times New Roman"/>
          <w:color w:val="auto"/>
          <w:kern w:val="2"/>
          <w:sz w:val="24"/>
          <w:szCs w:val="24"/>
          <w:lang w:val="en-US" w:eastAsia="zh-CN"/>
        </w:rPr>
        <w:t>: 556-559 [PMID: 1536229 DOI: 10.1016/0002-9378(92)91671-V</w:t>
      </w:r>
      <w:r>
        <w:rPr>
          <w:rFonts w:ascii="Book Antiqua" w:eastAsia="等线" w:hAnsi="Book Antiqua" w:cs="Times New Roman"/>
          <w:color w:val="auto"/>
          <w:kern w:val="2"/>
          <w:sz w:val="24"/>
          <w:szCs w:val="24"/>
          <w:lang w:val="en-US" w:eastAsia="zh-CN"/>
        </w:rPr>
        <w:t>]</w:t>
      </w:r>
    </w:p>
    <w:p w14:paraId="11ECE4A3"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1F38B2">
        <w:rPr>
          <w:rFonts w:ascii="Book Antiqua" w:eastAsia="等线" w:hAnsi="Book Antiqua" w:cs="Times New Roman"/>
          <w:color w:val="auto"/>
          <w:kern w:val="2"/>
          <w:sz w:val="24"/>
          <w:szCs w:val="24"/>
          <w:lang w:val="en-US" w:eastAsia="zh-CN"/>
        </w:rPr>
        <w:t xml:space="preserve">39 </w:t>
      </w:r>
      <w:r w:rsidRPr="001F38B2">
        <w:rPr>
          <w:rFonts w:ascii="Book Antiqua" w:eastAsia="等线" w:hAnsi="Book Antiqua" w:cs="Times New Roman"/>
          <w:b/>
          <w:color w:val="auto"/>
          <w:kern w:val="2"/>
          <w:sz w:val="24"/>
          <w:szCs w:val="24"/>
          <w:lang w:val="en-US" w:eastAsia="zh-CN"/>
        </w:rPr>
        <w:t>Sutton GP,</w:t>
      </w:r>
      <w:r w:rsidRPr="001F38B2">
        <w:rPr>
          <w:rFonts w:ascii="Book Antiqua" w:eastAsia="等线" w:hAnsi="Book Antiqua" w:cs="Times New Roman"/>
          <w:color w:val="auto"/>
          <w:kern w:val="2"/>
          <w:sz w:val="24"/>
          <w:szCs w:val="24"/>
          <w:lang w:val="en-US" w:eastAsia="zh-CN"/>
        </w:rPr>
        <w:t xml:space="preserve"> Blessing JA, Manetta A, Homesley H, McGuire W. Gynecologic Oncology Group studies with ifosfamide.</w:t>
      </w:r>
      <w:r w:rsidRPr="001F38B2">
        <w:rPr>
          <w:rFonts w:ascii="Book Antiqua" w:eastAsia="等线" w:hAnsi="Book Antiqua" w:cs="Times New Roman"/>
          <w:i/>
          <w:iCs/>
          <w:color w:val="auto"/>
          <w:kern w:val="2"/>
          <w:sz w:val="24"/>
          <w:szCs w:val="24"/>
          <w:lang w:val="en-US" w:eastAsia="zh-CN"/>
        </w:rPr>
        <w:t xml:space="preserve"> Semin Oncol</w:t>
      </w:r>
      <w:r w:rsidRPr="001F38B2">
        <w:rPr>
          <w:rFonts w:ascii="Book Antiqua" w:eastAsia="等线" w:hAnsi="Book Antiqua" w:cs="Times New Roman"/>
          <w:color w:val="auto"/>
          <w:kern w:val="2"/>
          <w:sz w:val="24"/>
          <w:szCs w:val="24"/>
          <w:lang w:val="en-US" w:eastAsia="zh-CN"/>
        </w:rPr>
        <w:t xml:space="preserve"> </w:t>
      </w:r>
      <w:r w:rsidR="001F38B2" w:rsidRPr="001F38B2">
        <w:rPr>
          <w:rFonts w:ascii="Book Antiqua" w:eastAsia="等线" w:hAnsi="Book Antiqua" w:cs="Times New Roman"/>
          <w:color w:val="auto"/>
          <w:kern w:val="2"/>
          <w:sz w:val="24"/>
          <w:szCs w:val="24"/>
          <w:lang w:val="en-US" w:eastAsia="zh-CN"/>
        </w:rPr>
        <w:t xml:space="preserve">1992; </w:t>
      </w:r>
      <w:r w:rsidRPr="001F38B2">
        <w:rPr>
          <w:rFonts w:ascii="Book Antiqua" w:eastAsia="等线" w:hAnsi="Book Antiqua" w:cs="Times New Roman"/>
          <w:b/>
          <w:bCs/>
          <w:color w:val="auto"/>
          <w:kern w:val="2"/>
          <w:sz w:val="24"/>
          <w:szCs w:val="24"/>
          <w:lang w:val="en-US" w:eastAsia="zh-CN"/>
        </w:rPr>
        <w:t>19</w:t>
      </w:r>
      <w:r w:rsidRPr="001F38B2">
        <w:rPr>
          <w:rFonts w:ascii="Book Antiqua" w:eastAsia="等线" w:hAnsi="Book Antiqua" w:cs="Times New Roman"/>
          <w:color w:val="auto"/>
          <w:kern w:val="2"/>
          <w:sz w:val="24"/>
          <w:szCs w:val="24"/>
          <w:lang w:val="en-US" w:eastAsia="zh-CN"/>
        </w:rPr>
        <w:t>:</w:t>
      </w:r>
      <w:r w:rsidR="001F38B2" w:rsidRPr="001F38B2">
        <w:rPr>
          <w:rFonts w:ascii="Book Antiqua" w:eastAsia="等线" w:hAnsi="Book Antiqua" w:cs="Times New Roman"/>
          <w:color w:val="auto"/>
          <w:kern w:val="2"/>
          <w:sz w:val="24"/>
          <w:szCs w:val="24"/>
          <w:lang w:val="en-US" w:eastAsia="zh-CN"/>
        </w:rPr>
        <w:t xml:space="preserve"> </w:t>
      </w:r>
      <w:r w:rsidRPr="001F38B2">
        <w:rPr>
          <w:rFonts w:ascii="Book Antiqua" w:eastAsia="等线" w:hAnsi="Book Antiqua" w:cs="Times New Roman"/>
          <w:color w:val="auto"/>
          <w:kern w:val="2"/>
          <w:sz w:val="24"/>
          <w:szCs w:val="24"/>
          <w:lang w:val="en-US" w:eastAsia="zh-CN"/>
        </w:rPr>
        <w:t>31–35</w:t>
      </w:r>
      <w:r w:rsidR="001F38B2" w:rsidRPr="001F38B2">
        <w:rPr>
          <w:rFonts w:ascii="Book Antiqua" w:eastAsia="等线" w:hAnsi="Book Antiqua" w:cs="Times New Roman"/>
          <w:color w:val="auto"/>
          <w:kern w:val="2"/>
          <w:sz w:val="24"/>
          <w:szCs w:val="24"/>
          <w:lang w:val="en-US" w:eastAsia="zh-CN"/>
        </w:rPr>
        <w:t xml:space="preserve"> [PMID: 1485172]</w:t>
      </w:r>
    </w:p>
    <w:p w14:paraId="480C08C5"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40 </w:t>
      </w:r>
      <w:r w:rsidRPr="00773643">
        <w:rPr>
          <w:rFonts w:ascii="Book Antiqua" w:eastAsia="等线" w:hAnsi="Book Antiqua" w:cs="Times New Roman"/>
          <w:b/>
          <w:color w:val="auto"/>
          <w:kern w:val="2"/>
          <w:sz w:val="24"/>
          <w:szCs w:val="24"/>
          <w:lang w:val="en-US" w:eastAsia="zh-CN"/>
        </w:rPr>
        <w:t>Omura GA</w:t>
      </w:r>
      <w:r w:rsidRPr="00773643">
        <w:rPr>
          <w:rFonts w:ascii="Book Antiqua" w:eastAsia="等线" w:hAnsi="Book Antiqua" w:cs="Times New Roman"/>
          <w:color w:val="auto"/>
          <w:kern w:val="2"/>
          <w:sz w:val="24"/>
          <w:szCs w:val="24"/>
          <w:lang w:val="en-US" w:eastAsia="zh-CN"/>
        </w:rPr>
        <w:t xml:space="preserve">, Blessing JA, Major F, Lifshitz S, Ehrlich CE, Mangan C, Beecham J, Park R, Silverberg S. A randomized clinical trial of adjuvant adriamycin in uterine sarcomas: a Gynecologic Oncology Group Study. </w:t>
      </w:r>
      <w:r w:rsidRPr="00773643">
        <w:rPr>
          <w:rFonts w:ascii="Book Antiqua" w:eastAsia="等线" w:hAnsi="Book Antiqua" w:cs="Times New Roman"/>
          <w:i/>
          <w:color w:val="auto"/>
          <w:kern w:val="2"/>
          <w:sz w:val="24"/>
          <w:szCs w:val="24"/>
          <w:lang w:val="en-US" w:eastAsia="zh-CN"/>
        </w:rPr>
        <w:t>J Clin Oncol</w:t>
      </w:r>
      <w:r w:rsidRPr="00773643">
        <w:rPr>
          <w:rFonts w:ascii="Book Antiqua" w:eastAsia="等线" w:hAnsi="Book Antiqua" w:cs="Times New Roman"/>
          <w:color w:val="auto"/>
          <w:kern w:val="2"/>
          <w:sz w:val="24"/>
          <w:szCs w:val="24"/>
          <w:lang w:val="en-US" w:eastAsia="zh-CN"/>
        </w:rPr>
        <w:t xml:space="preserve"> 1985; </w:t>
      </w:r>
      <w:r w:rsidRPr="00773643">
        <w:rPr>
          <w:rFonts w:ascii="Book Antiqua" w:eastAsia="等线" w:hAnsi="Book Antiqua" w:cs="Times New Roman"/>
          <w:b/>
          <w:color w:val="auto"/>
          <w:kern w:val="2"/>
          <w:sz w:val="24"/>
          <w:szCs w:val="24"/>
          <w:lang w:val="en-US" w:eastAsia="zh-CN"/>
        </w:rPr>
        <w:t>3</w:t>
      </w:r>
      <w:r w:rsidRPr="00773643">
        <w:rPr>
          <w:rFonts w:ascii="Book Antiqua" w:eastAsia="等线" w:hAnsi="Book Antiqua" w:cs="Times New Roman"/>
          <w:color w:val="auto"/>
          <w:kern w:val="2"/>
          <w:sz w:val="24"/>
          <w:szCs w:val="24"/>
          <w:lang w:val="en-US" w:eastAsia="zh-CN"/>
        </w:rPr>
        <w:t>: 1240-1245 [PMID: 3897471 DOI: 10.1200/JCO.1985.3.9.1240</w:t>
      </w:r>
      <w:r>
        <w:rPr>
          <w:rFonts w:ascii="Book Antiqua" w:eastAsia="等线" w:hAnsi="Book Antiqua" w:cs="Times New Roman"/>
          <w:color w:val="auto"/>
          <w:kern w:val="2"/>
          <w:sz w:val="24"/>
          <w:szCs w:val="24"/>
          <w:lang w:val="en-US" w:eastAsia="zh-CN"/>
        </w:rPr>
        <w:t>]</w:t>
      </w:r>
    </w:p>
    <w:p w14:paraId="10B95951"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41 </w:t>
      </w:r>
      <w:r w:rsidRPr="00773643">
        <w:rPr>
          <w:rFonts w:ascii="Book Antiqua" w:eastAsia="等线" w:hAnsi="Book Antiqua" w:cs="Times New Roman"/>
          <w:b/>
          <w:color w:val="auto"/>
          <w:kern w:val="2"/>
          <w:sz w:val="24"/>
          <w:szCs w:val="24"/>
          <w:lang w:val="en-US" w:eastAsia="zh-CN"/>
        </w:rPr>
        <w:t>Kushner DM</w:t>
      </w:r>
      <w:r w:rsidRPr="00773643">
        <w:rPr>
          <w:rFonts w:ascii="Book Antiqua" w:eastAsia="等线" w:hAnsi="Book Antiqua" w:cs="Times New Roman"/>
          <w:color w:val="auto"/>
          <w:kern w:val="2"/>
          <w:sz w:val="24"/>
          <w:szCs w:val="24"/>
          <w:lang w:val="en-US" w:eastAsia="zh-CN"/>
        </w:rPr>
        <w:t xml:space="preserve">, Webster KD, Belinson JL, Rybicki LA, Kennedy AW, Markman M. Safety and efficacy of adjuvant single-agent ifosfamide in uterine sarcoma.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2000; </w:t>
      </w:r>
      <w:r w:rsidRPr="00773643">
        <w:rPr>
          <w:rFonts w:ascii="Book Antiqua" w:eastAsia="等线" w:hAnsi="Book Antiqua" w:cs="Times New Roman"/>
          <w:b/>
          <w:color w:val="auto"/>
          <w:kern w:val="2"/>
          <w:sz w:val="24"/>
          <w:szCs w:val="24"/>
          <w:lang w:val="en-US" w:eastAsia="zh-CN"/>
        </w:rPr>
        <w:t>78</w:t>
      </w:r>
      <w:r w:rsidRPr="00773643">
        <w:rPr>
          <w:rFonts w:ascii="Book Antiqua" w:eastAsia="等线" w:hAnsi="Book Antiqua" w:cs="Times New Roman"/>
          <w:color w:val="auto"/>
          <w:kern w:val="2"/>
          <w:sz w:val="24"/>
          <w:szCs w:val="24"/>
          <w:lang w:val="en-US" w:eastAsia="zh-CN"/>
        </w:rPr>
        <w:t>: 221-227 [PMID: 10926807 DOI: 10.1006/gyno.2000.5875</w:t>
      </w:r>
      <w:r>
        <w:rPr>
          <w:rFonts w:ascii="Book Antiqua" w:eastAsia="等线" w:hAnsi="Book Antiqua" w:cs="Times New Roman"/>
          <w:color w:val="auto"/>
          <w:kern w:val="2"/>
          <w:sz w:val="24"/>
          <w:szCs w:val="24"/>
          <w:lang w:val="en-US" w:eastAsia="zh-CN"/>
        </w:rPr>
        <w:t>]</w:t>
      </w:r>
    </w:p>
    <w:p w14:paraId="31A4338C"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42 </w:t>
      </w:r>
      <w:r w:rsidRPr="00773643">
        <w:rPr>
          <w:rFonts w:ascii="Book Antiqua" w:eastAsia="等线" w:hAnsi="Book Antiqua" w:cs="Times New Roman"/>
          <w:b/>
          <w:color w:val="auto"/>
          <w:kern w:val="2"/>
          <w:sz w:val="24"/>
          <w:szCs w:val="24"/>
          <w:lang w:val="en-US" w:eastAsia="zh-CN"/>
        </w:rPr>
        <w:t>Hensley ML</w:t>
      </w:r>
      <w:r w:rsidRPr="00773643">
        <w:rPr>
          <w:rFonts w:ascii="Book Antiqua" w:eastAsia="等线" w:hAnsi="Book Antiqua" w:cs="Times New Roman"/>
          <w:color w:val="auto"/>
          <w:kern w:val="2"/>
          <w:sz w:val="24"/>
          <w:szCs w:val="24"/>
          <w:lang w:val="en-US" w:eastAsia="zh-CN"/>
        </w:rPr>
        <w:t xml:space="preserve">, Blessing JA, Degeest K, Abulafia O, Rose PG, Homesley HD. Fixed-dose rate gemcitabine plus docetaxel as second-line therapy for metastatic uterine leiomyosarcoma: a Gynecologic Oncology Group phase II study.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2008; </w:t>
      </w:r>
      <w:r w:rsidRPr="00773643">
        <w:rPr>
          <w:rFonts w:ascii="Book Antiqua" w:eastAsia="等线" w:hAnsi="Book Antiqua" w:cs="Times New Roman"/>
          <w:b/>
          <w:color w:val="auto"/>
          <w:kern w:val="2"/>
          <w:sz w:val="24"/>
          <w:szCs w:val="24"/>
          <w:lang w:val="en-US" w:eastAsia="zh-CN"/>
        </w:rPr>
        <w:t>109</w:t>
      </w:r>
      <w:r w:rsidRPr="00773643">
        <w:rPr>
          <w:rFonts w:ascii="Book Antiqua" w:eastAsia="等线" w:hAnsi="Book Antiqua" w:cs="Times New Roman"/>
          <w:color w:val="auto"/>
          <w:kern w:val="2"/>
          <w:sz w:val="24"/>
          <w:szCs w:val="24"/>
          <w:lang w:val="en-US" w:eastAsia="zh-CN"/>
        </w:rPr>
        <w:t>: 323-328 [PMID: 18394689 DOI: 10.1016/j.ygyno.2008.02.024</w:t>
      </w:r>
      <w:r>
        <w:rPr>
          <w:rFonts w:ascii="Book Antiqua" w:eastAsia="等线" w:hAnsi="Book Antiqua" w:cs="Times New Roman"/>
          <w:color w:val="auto"/>
          <w:kern w:val="2"/>
          <w:sz w:val="24"/>
          <w:szCs w:val="24"/>
          <w:lang w:val="en-US" w:eastAsia="zh-CN"/>
        </w:rPr>
        <w:t>]</w:t>
      </w:r>
    </w:p>
    <w:p w14:paraId="035A4167"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43 </w:t>
      </w:r>
      <w:r w:rsidRPr="00773643">
        <w:rPr>
          <w:rFonts w:ascii="Book Antiqua" w:eastAsia="等线" w:hAnsi="Book Antiqua" w:cs="Times New Roman"/>
          <w:b/>
          <w:color w:val="auto"/>
          <w:kern w:val="2"/>
          <w:sz w:val="24"/>
          <w:szCs w:val="24"/>
          <w:lang w:val="en-US" w:eastAsia="zh-CN"/>
        </w:rPr>
        <w:t>Hensley ML</w:t>
      </w:r>
      <w:r w:rsidRPr="00773643">
        <w:rPr>
          <w:rFonts w:ascii="Book Antiqua" w:eastAsia="等线" w:hAnsi="Book Antiqua" w:cs="Times New Roman"/>
          <w:color w:val="auto"/>
          <w:kern w:val="2"/>
          <w:sz w:val="24"/>
          <w:szCs w:val="24"/>
          <w:lang w:val="en-US" w:eastAsia="zh-CN"/>
        </w:rPr>
        <w:t xml:space="preserve">, Blessing JA, Mannel R, Rose PG. Fixed-dose rate gemcitabine plus docetaxel as first-line therapy for metastatic uterine leiomyosarcoma: a Gynecologic Oncology Group phase II trial.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2008; </w:t>
      </w:r>
      <w:r w:rsidRPr="00773643">
        <w:rPr>
          <w:rFonts w:ascii="Book Antiqua" w:eastAsia="等线" w:hAnsi="Book Antiqua" w:cs="Times New Roman"/>
          <w:b/>
          <w:color w:val="auto"/>
          <w:kern w:val="2"/>
          <w:sz w:val="24"/>
          <w:szCs w:val="24"/>
          <w:lang w:val="en-US" w:eastAsia="zh-CN"/>
        </w:rPr>
        <w:t>109</w:t>
      </w:r>
      <w:r w:rsidRPr="00773643">
        <w:rPr>
          <w:rFonts w:ascii="Book Antiqua" w:eastAsia="等线" w:hAnsi="Book Antiqua" w:cs="Times New Roman"/>
          <w:color w:val="auto"/>
          <w:kern w:val="2"/>
          <w:sz w:val="24"/>
          <w:szCs w:val="24"/>
          <w:lang w:val="en-US" w:eastAsia="zh-CN"/>
        </w:rPr>
        <w:t>: 329-334 [PMID: 18534250 DOI: 10.1016/j.ygyno.2008.03.010</w:t>
      </w:r>
      <w:r>
        <w:rPr>
          <w:rFonts w:ascii="Book Antiqua" w:eastAsia="等线" w:hAnsi="Book Antiqua" w:cs="Times New Roman"/>
          <w:color w:val="auto"/>
          <w:kern w:val="2"/>
          <w:sz w:val="24"/>
          <w:szCs w:val="24"/>
          <w:lang w:val="en-US" w:eastAsia="zh-CN"/>
        </w:rPr>
        <w:t>]</w:t>
      </w:r>
    </w:p>
    <w:p w14:paraId="388BC118"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44 </w:t>
      </w:r>
      <w:r w:rsidRPr="00773643">
        <w:rPr>
          <w:rFonts w:ascii="Book Antiqua" w:eastAsia="等线" w:hAnsi="Book Antiqua" w:cs="Times New Roman"/>
          <w:b/>
          <w:color w:val="auto"/>
          <w:kern w:val="2"/>
          <w:sz w:val="24"/>
          <w:szCs w:val="24"/>
          <w:lang w:val="en-US" w:eastAsia="zh-CN"/>
        </w:rPr>
        <w:t>Hensley ML</w:t>
      </w:r>
      <w:r w:rsidRPr="00773643">
        <w:rPr>
          <w:rFonts w:ascii="Book Antiqua" w:eastAsia="等线" w:hAnsi="Book Antiqua" w:cs="Times New Roman"/>
          <w:color w:val="auto"/>
          <w:kern w:val="2"/>
          <w:sz w:val="24"/>
          <w:szCs w:val="24"/>
          <w:lang w:val="en-US" w:eastAsia="zh-CN"/>
        </w:rPr>
        <w:t xml:space="preserve">, Maki R, Venkatraman E, Geller G, Lovegren M, Aghajanian C, Sabbatini P, Tong W, Barakat R, Spriggs DR. Gemcitabine and docetaxel in patients with unresectable leiomyosarcoma: results of a phase II trial. </w:t>
      </w:r>
      <w:r w:rsidRPr="00773643">
        <w:rPr>
          <w:rFonts w:ascii="Book Antiqua" w:eastAsia="等线" w:hAnsi="Book Antiqua" w:cs="Times New Roman"/>
          <w:i/>
          <w:color w:val="auto"/>
          <w:kern w:val="2"/>
          <w:sz w:val="24"/>
          <w:szCs w:val="24"/>
          <w:lang w:val="en-US" w:eastAsia="zh-CN"/>
        </w:rPr>
        <w:t>J Clin Oncol</w:t>
      </w:r>
      <w:r w:rsidRPr="00773643">
        <w:rPr>
          <w:rFonts w:ascii="Book Antiqua" w:eastAsia="等线" w:hAnsi="Book Antiqua" w:cs="Times New Roman"/>
          <w:color w:val="auto"/>
          <w:kern w:val="2"/>
          <w:sz w:val="24"/>
          <w:szCs w:val="24"/>
          <w:lang w:val="en-US" w:eastAsia="zh-CN"/>
        </w:rPr>
        <w:t xml:space="preserve"> 2002; </w:t>
      </w:r>
      <w:r w:rsidRPr="00773643">
        <w:rPr>
          <w:rFonts w:ascii="Book Antiqua" w:eastAsia="等线" w:hAnsi="Book Antiqua" w:cs="Times New Roman"/>
          <w:b/>
          <w:color w:val="auto"/>
          <w:kern w:val="2"/>
          <w:sz w:val="24"/>
          <w:szCs w:val="24"/>
          <w:lang w:val="en-US" w:eastAsia="zh-CN"/>
        </w:rPr>
        <w:t>20</w:t>
      </w:r>
      <w:r w:rsidRPr="00773643">
        <w:rPr>
          <w:rFonts w:ascii="Book Antiqua" w:eastAsia="等线" w:hAnsi="Book Antiqua" w:cs="Times New Roman"/>
          <w:color w:val="auto"/>
          <w:kern w:val="2"/>
          <w:sz w:val="24"/>
          <w:szCs w:val="24"/>
          <w:lang w:val="en-US" w:eastAsia="zh-CN"/>
        </w:rPr>
        <w:t>: 2824-2831 [PMID: 12065559 DOI: 10.1200/JCO.2002.11.050</w:t>
      </w:r>
      <w:r>
        <w:rPr>
          <w:rFonts w:ascii="Book Antiqua" w:eastAsia="等线" w:hAnsi="Book Antiqua" w:cs="Times New Roman"/>
          <w:color w:val="auto"/>
          <w:kern w:val="2"/>
          <w:sz w:val="24"/>
          <w:szCs w:val="24"/>
          <w:lang w:val="en-US" w:eastAsia="zh-CN"/>
        </w:rPr>
        <w:t>]</w:t>
      </w:r>
    </w:p>
    <w:p w14:paraId="647B83CB"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45 </w:t>
      </w:r>
      <w:r w:rsidRPr="00773643">
        <w:rPr>
          <w:rFonts w:ascii="Book Antiqua" w:eastAsia="等线" w:hAnsi="Book Antiqua" w:cs="Times New Roman"/>
          <w:b/>
          <w:color w:val="auto"/>
          <w:kern w:val="2"/>
          <w:sz w:val="24"/>
          <w:szCs w:val="24"/>
          <w:lang w:val="en-US" w:eastAsia="zh-CN"/>
        </w:rPr>
        <w:t>Chauveinc L</w:t>
      </w:r>
      <w:r w:rsidRPr="00773643">
        <w:rPr>
          <w:rFonts w:ascii="Book Antiqua" w:eastAsia="等线" w:hAnsi="Book Antiqua" w:cs="Times New Roman"/>
          <w:color w:val="auto"/>
          <w:kern w:val="2"/>
          <w:sz w:val="24"/>
          <w:szCs w:val="24"/>
          <w:lang w:val="en-US" w:eastAsia="zh-CN"/>
        </w:rPr>
        <w:t xml:space="preserve">, Deniaud E, Plancher C, Sastre X, Amsani F, de la Rochefordiere A, Rozemberg H, Clough KB. Uterine sarcomas: the Curie Institut experience. Prognosis factors and adjuvant treatments.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1999; </w:t>
      </w:r>
      <w:r w:rsidRPr="00773643">
        <w:rPr>
          <w:rFonts w:ascii="Book Antiqua" w:eastAsia="等线" w:hAnsi="Book Antiqua" w:cs="Times New Roman"/>
          <w:b/>
          <w:color w:val="auto"/>
          <w:kern w:val="2"/>
          <w:sz w:val="24"/>
          <w:szCs w:val="24"/>
          <w:lang w:val="en-US" w:eastAsia="zh-CN"/>
        </w:rPr>
        <w:t>72</w:t>
      </w:r>
      <w:r w:rsidRPr="00773643">
        <w:rPr>
          <w:rFonts w:ascii="Book Antiqua" w:eastAsia="等线" w:hAnsi="Book Antiqua" w:cs="Times New Roman"/>
          <w:color w:val="auto"/>
          <w:kern w:val="2"/>
          <w:sz w:val="24"/>
          <w:szCs w:val="24"/>
          <w:lang w:val="en-US" w:eastAsia="zh-CN"/>
        </w:rPr>
        <w:t>: 232-237 [PMID: 10021306 DOI: 10.1006/gyno.1998.5251</w:t>
      </w:r>
      <w:r>
        <w:rPr>
          <w:rFonts w:ascii="Book Antiqua" w:eastAsia="等线" w:hAnsi="Book Antiqua" w:cs="Times New Roman"/>
          <w:color w:val="auto"/>
          <w:kern w:val="2"/>
          <w:sz w:val="24"/>
          <w:szCs w:val="24"/>
          <w:lang w:val="en-US" w:eastAsia="zh-CN"/>
        </w:rPr>
        <w:t>]</w:t>
      </w:r>
    </w:p>
    <w:p w14:paraId="717BE6EC"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46 </w:t>
      </w:r>
      <w:r w:rsidRPr="00773643">
        <w:rPr>
          <w:rFonts w:ascii="Book Antiqua" w:eastAsia="等线" w:hAnsi="Book Antiqua" w:cs="Times New Roman"/>
          <w:b/>
          <w:color w:val="auto"/>
          <w:kern w:val="2"/>
          <w:sz w:val="24"/>
          <w:szCs w:val="24"/>
          <w:lang w:val="en-US" w:eastAsia="zh-CN"/>
        </w:rPr>
        <w:t>Hensley ML</w:t>
      </w:r>
      <w:r w:rsidRPr="00773643">
        <w:rPr>
          <w:rFonts w:ascii="Book Antiqua" w:eastAsia="等线" w:hAnsi="Book Antiqua" w:cs="Times New Roman"/>
          <w:color w:val="auto"/>
          <w:kern w:val="2"/>
          <w:sz w:val="24"/>
          <w:szCs w:val="24"/>
          <w:lang w:val="en-US" w:eastAsia="zh-CN"/>
        </w:rPr>
        <w:t xml:space="preserve">, Wathen JK, Maki RG, Araujo DM, Sutton G, Priebat DA, George S, Soslow RA, Baker LH. Adjuvant therapy for high-grade, uterus-limited leiomyosarcoma: results of a phase 2 trial (SARC 005). </w:t>
      </w:r>
      <w:r w:rsidRPr="00773643">
        <w:rPr>
          <w:rFonts w:ascii="Book Antiqua" w:eastAsia="等线" w:hAnsi="Book Antiqua" w:cs="Times New Roman"/>
          <w:i/>
          <w:color w:val="auto"/>
          <w:kern w:val="2"/>
          <w:sz w:val="24"/>
          <w:szCs w:val="24"/>
          <w:lang w:val="en-US" w:eastAsia="zh-CN"/>
        </w:rPr>
        <w:t>Cancer</w:t>
      </w:r>
      <w:r w:rsidRPr="00773643">
        <w:rPr>
          <w:rFonts w:ascii="Book Antiqua" w:eastAsia="等线" w:hAnsi="Book Antiqua" w:cs="Times New Roman"/>
          <w:color w:val="auto"/>
          <w:kern w:val="2"/>
          <w:sz w:val="24"/>
          <w:szCs w:val="24"/>
          <w:lang w:val="en-US" w:eastAsia="zh-CN"/>
        </w:rPr>
        <w:t xml:space="preserve"> 2013; </w:t>
      </w:r>
      <w:r w:rsidRPr="00773643">
        <w:rPr>
          <w:rFonts w:ascii="Book Antiqua" w:eastAsia="等线" w:hAnsi="Book Antiqua" w:cs="Times New Roman"/>
          <w:b/>
          <w:color w:val="auto"/>
          <w:kern w:val="2"/>
          <w:sz w:val="24"/>
          <w:szCs w:val="24"/>
          <w:lang w:val="en-US" w:eastAsia="zh-CN"/>
        </w:rPr>
        <w:t>119</w:t>
      </w:r>
      <w:r w:rsidRPr="00773643">
        <w:rPr>
          <w:rFonts w:ascii="Book Antiqua" w:eastAsia="等线" w:hAnsi="Book Antiqua" w:cs="Times New Roman"/>
          <w:color w:val="auto"/>
          <w:kern w:val="2"/>
          <w:sz w:val="24"/>
          <w:szCs w:val="24"/>
          <w:lang w:val="en-US" w:eastAsia="zh-CN"/>
        </w:rPr>
        <w:t>: 1555-1561 [PMID: 23335221 DOI: 10.1002/cncr.27942</w:t>
      </w:r>
      <w:r>
        <w:rPr>
          <w:rFonts w:ascii="Book Antiqua" w:eastAsia="等线" w:hAnsi="Book Antiqua" w:cs="Times New Roman"/>
          <w:color w:val="auto"/>
          <w:kern w:val="2"/>
          <w:sz w:val="24"/>
          <w:szCs w:val="24"/>
          <w:lang w:val="en-US" w:eastAsia="zh-CN"/>
        </w:rPr>
        <w:t>]</w:t>
      </w:r>
    </w:p>
    <w:p w14:paraId="3956E651"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47 </w:t>
      </w:r>
      <w:r w:rsidRPr="00773643">
        <w:rPr>
          <w:rFonts w:ascii="Book Antiqua" w:eastAsia="等线" w:hAnsi="Book Antiqua" w:cs="Times New Roman"/>
          <w:b/>
          <w:color w:val="auto"/>
          <w:kern w:val="2"/>
          <w:sz w:val="24"/>
          <w:szCs w:val="24"/>
          <w:lang w:val="en-US" w:eastAsia="zh-CN"/>
        </w:rPr>
        <w:t>Pautier P</w:t>
      </w:r>
      <w:r w:rsidRPr="00773643">
        <w:rPr>
          <w:rFonts w:ascii="Book Antiqua" w:eastAsia="等线" w:hAnsi="Book Antiqua" w:cs="Times New Roman"/>
          <w:color w:val="auto"/>
          <w:kern w:val="2"/>
          <w:sz w:val="24"/>
          <w:szCs w:val="24"/>
          <w:lang w:val="en-US" w:eastAsia="zh-CN"/>
        </w:rPr>
        <w:t xml:space="preserve">, Floquet A, Gladieff L, Bompas E, Ray-Coquard I, Piperno-Neumann S, Selle F, Guillemet C, Weber B, Largillier R, Bertucci F, Opinel P, Duffaud F, Reynaud-Bougnoux A, Delcambre C, Isambert N, Kerbrat P, Netter-Pinon G, Pinto N, Duvillard P, Haie-Meder C, Lhommé C, Rey A. A randomized clinical trial of adjuvant chemotherapy with doxorubicin, ifosfamide, and cisplatin followed by radiotherapy versus radiotherapy alone in patients with localized uterine sarcomas (SARCGYN study). A study of the French Sarcoma Group. </w:t>
      </w:r>
      <w:r w:rsidRPr="00773643">
        <w:rPr>
          <w:rFonts w:ascii="Book Antiqua" w:eastAsia="等线" w:hAnsi="Book Antiqua" w:cs="Times New Roman"/>
          <w:i/>
          <w:color w:val="auto"/>
          <w:kern w:val="2"/>
          <w:sz w:val="24"/>
          <w:szCs w:val="24"/>
          <w:lang w:val="en-US" w:eastAsia="zh-CN"/>
        </w:rPr>
        <w:t>Ann Oncol</w:t>
      </w:r>
      <w:r w:rsidRPr="00773643">
        <w:rPr>
          <w:rFonts w:ascii="Book Antiqua" w:eastAsia="等线" w:hAnsi="Book Antiqua" w:cs="Times New Roman"/>
          <w:color w:val="auto"/>
          <w:kern w:val="2"/>
          <w:sz w:val="24"/>
          <w:szCs w:val="24"/>
          <w:lang w:val="en-US" w:eastAsia="zh-CN"/>
        </w:rPr>
        <w:t xml:space="preserve"> 2013; </w:t>
      </w:r>
      <w:r w:rsidRPr="00773643">
        <w:rPr>
          <w:rFonts w:ascii="Book Antiqua" w:eastAsia="等线" w:hAnsi="Book Antiqua" w:cs="Times New Roman"/>
          <w:b/>
          <w:color w:val="auto"/>
          <w:kern w:val="2"/>
          <w:sz w:val="24"/>
          <w:szCs w:val="24"/>
          <w:lang w:val="en-US" w:eastAsia="zh-CN"/>
        </w:rPr>
        <w:t>24</w:t>
      </w:r>
      <w:r w:rsidRPr="00773643">
        <w:rPr>
          <w:rFonts w:ascii="Book Antiqua" w:eastAsia="等线" w:hAnsi="Book Antiqua" w:cs="Times New Roman"/>
          <w:color w:val="auto"/>
          <w:kern w:val="2"/>
          <w:sz w:val="24"/>
          <w:szCs w:val="24"/>
          <w:lang w:val="en-US" w:eastAsia="zh-CN"/>
        </w:rPr>
        <w:t>: 1099-1104 [PMID: 23139262 DOI: 10.1093/annonc/mds545</w:t>
      </w:r>
      <w:r>
        <w:rPr>
          <w:rFonts w:ascii="Book Antiqua" w:eastAsia="等线" w:hAnsi="Book Antiqua" w:cs="Times New Roman"/>
          <w:color w:val="auto"/>
          <w:kern w:val="2"/>
          <w:sz w:val="24"/>
          <w:szCs w:val="24"/>
          <w:lang w:val="en-US" w:eastAsia="zh-CN"/>
        </w:rPr>
        <w:t>]</w:t>
      </w:r>
    </w:p>
    <w:p w14:paraId="55CE918F"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48 </w:t>
      </w:r>
      <w:r w:rsidRPr="00773643">
        <w:rPr>
          <w:rFonts w:ascii="Book Antiqua" w:eastAsia="等线" w:hAnsi="Book Antiqua" w:cs="Times New Roman"/>
          <w:b/>
          <w:color w:val="auto"/>
          <w:kern w:val="2"/>
          <w:sz w:val="24"/>
          <w:szCs w:val="24"/>
          <w:lang w:val="en-US" w:eastAsia="zh-CN"/>
        </w:rPr>
        <w:t>Littell RD</w:t>
      </w:r>
      <w:r w:rsidRPr="00773643">
        <w:rPr>
          <w:rFonts w:ascii="Book Antiqua" w:eastAsia="等线" w:hAnsi="Book Antiqua" w:cs="Times New Roman"/>
          <w:color w:val="auto"/>
          <w:kern w:val="2"/>
          <w:sz w:val="24"/>
          <w:szCs w:val="24"/>
          <w:lang w:val="en-US" w:eastAsia="zh-CN"/>
        </w:rPr>
        <w:t xml:space="preserve">, Tucker LY, Raine-Bennett T, Palen TE, Zaritsky E, Neugebauer R, Embry-Schubert J, Lentz SE. Adjuvant gemcitabine-docetaxel chemotherapy for stage I uterine leiomyosarcoma: Trends and survival outcomes.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2017; </w:t>
      </w:r>
      <w:r w:rsidRPr="00773643">
        <w:rPr>
          <w:rFonts w:ascii="Book Antiqua" w:eastAsia="等线" w:hAnsi="Book Antiqua" w:cs="Times New Roman"/>
          <w:b/>
          <w:color w:val="auto"/>
          <w:kern w:val="2"/>
          <w:sz w:val="24"/>
          <w:szCs w:val="24"/>
          <w:lang w:val="en-US" w:eastAsia="zh-CN"/>
        </w:rPr>
        <w:t>147</w:t>
      </w:r>
      <w:r w:rsidRPr="00773643">
        <w:rPr>
          <w:rFonts w:ascii="Book Antiqua" w:eastAsia="等线" w:hAnsi="Book Antiqua" w:cs="Times New Roman"/>
          <w:color w:val="auto"/>
          <w:kern w:val="2"/>
          <w:sz w:val="24"/>
          <w:szCs w:val="24"/>
          <w:lang w:val="en-US" w:eastAsia="zh-CN"/>
        </w:rPr>
        <w:t>: 11-17 [PMID: 28747255 DOI: 10.1016/j.ygyno.2017.07.122</w:t>
      </w:r>
      <w:r>
        <w:rPr>
          <w:rFonts w:ascii="Book Antiqua" w:eastAsia="等线" w:hAnsi="Book Antiqua" w:cs="Times New Roman"/>
          <w:color w:val="auto"/>
          <w:kern w:val="2"/>
          <w:sz w:val="24"/>
          <w:szCs w:val="24"/>
          <w:lang w:val="en-US" w:eastAsia="zh-CN"/>
        </w:rPr>
        <w:t>]</w:t>
      </w:r>
    </w:p>
    <w:p w14:paraId="70B2F682"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49 </w:t>
      </w:r>
      <w:r w:rsidRPr="00773643">
        <w:rPr>
          <w:rFonts w:ascii="Book Antiqua" w:eastAsia="等线" w:hAnsi="Book Antiqua" w:cs="Times New Roman"/>
          <w:b/>
          <w:color w:val="auto"/>
          <w:kern w:val="2"/>
          <w:sz w:val="24"/>
          <w:szCs w:val="24"/>
          <w:lang w:val="en-US" w:eastAsia="zh-CN"/>
        </w:rPr>
        <w:t>Hensley ML</w:t>
      </w:r>
      <w:r w:rsidRPr="00773643">
        <w:rPr>
          <w:rFonts w:ascii="Book Antiqua" w:eastAsia="等线" w:hAnsi="Book Antiqua" w:cs="Times New Roman"/>
          <w:color w:val="auto"/>
          <w:kern w:val="2"/>
          <w:sz w:val="24"/>
          <w:szCs w:val="24"/>
          <w:lang w:val="en-US" w:eastAsia="zh-CN"/>
        </w:rPr>
        <w:t xml:space="preserve">, Enserro D, Hatcher H, Ottevanger PB, Krarup-Hansen A, Blay JY, Fisher C, Moxley KM, Lele SB, Lea JS, Tewari KS, Thaker PH, Zivanovic O, O'Malley DM, Robison K, Miller DS. Adjuvant Gemcitabine Plus Docetaxel Followed by Doxorubicin Versus Observation for High-Grade Uterine Leiomyosarcoma: A Phase III NRG Oncology/Gynecologic Oncology Group Study. </w:t>
      </w:r>
      <w:r w:rsidRPr="00773643">
        <w:rPr>
          <w:rFonts w:ascii="Book Antiqua" w:eastAsia="等线" w:hAnsi="Book Antiqua" w:cs="Times New Roman"/>
          <w:i/>
          <w:color w:val="auto"/>
          <w:kern w:val="2"/>
          <w:sz w:val="24"/>
          <w:szCs w:val="24"/>
          <w:lang w:val="en-US" w:eastAsia="zh-CN"/>
        </w:rPr>
        <w:t>J Clin Oncol</w:t>
      </w:r>
      <w:r w:rsidRPr="00773643">
        <w:rPr>
          <w:rFonts w:ascii="Book Antiqua" w:eastAsia="等线" w:hAnsi="Book Antiqua" w:cs="Times New Roman"/>
          <w:color w:val="auto"/>
          <w:kern w:val="2"/>
          <w:sz w:val="24"/>
          <w:szCs w:val="24"/>
          <w:lang w:val="en-US" w:eastAsia="zh-CN"/>
        </w:rPr>
        <w:t xml:space="preserve"> 2018;</w:t>
      </w:r>
      <w:r w:rsidR="001F38B2">
        <w:rPr>
          <w:rFonts w:ascii="Book Antiqua" w:eastAsia="等线" w:hAnsi="Book Antiqua" w:cs="Times New Roman"/>
          <w:color w:val="auto"/>
          <w:kern w:val="2"/>
          <w:sz w:val="24"/>
          <w:szCs w:val="24"/>
          <w:lang w:val="en-US" w:eastAsia="zh-CN"/>
        </w:rPr>
        <w:t xml:space="preserve"> </w:t>
      </w:r>
      <w:r w:rsidRPr="00773643">
        <w:rPr>
          <w:rFonts w:ascii="Book Antiqua" w:eastAsia="等线" w:hAnsi="Book Antiqua" w:cs="Times New Roman"/>
          <w:color w:val="auto"/>
          <w:kern w:val="2"/>
          <w:sz w:val="24"/>
          <w:szCs w:val="24"/>
          <w:lang w:val="en-US" w:eastAsia="zh-CN"/>
        </w:rPr>
        <w:t>JCO1800454 [PMID: 30289732 DOI: 10.1200/JCO.18.00454</w:t>
      </w:r>
      <w:r>
        <w:rPr>
          <w:rFonts w:ascii="Book Antiqua" w:eastAsia="等线" w:hAnsi="Book Antiqua" w:cs="Times New Roman"/>
          <w:color w:val="auto"/>
          <w:kern w:val="2"/>
          <w:sz w:val="24"/>
          <w:szCs w:val="24"/>
          <w:lang w:val="en-US" w:eastAsia="zh-CN"/>
        </w:rPr>
        <w:t>]</w:t>
      </w:r>
    </w:p>
    <w:p w14:paraId="1CA7D815"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50 </w:t>
      </w:r>
      <w:r w:rsidRPr="00773643">
        <w:rPr>
          <w:rFonts w:ascii="Book Antiqua" w:eastAsia="等线" w:hAnsi="Book Antiqua" w:cs="Times New Roman"/>
          <w:b/>
          <w:color w:val="auto"/>
          <w:kern w:val="2"/>
          <w:sz w:val="24"/>
          <w:szCs w:val="24"/>
          <w:lang w:val="en-US" w:eastAsia="zh-CN"/>
        </w:rPr>
        <w:t>Tap WD</w:t>
      </w:r>
      <w:r w:rsidRPr="00773643">
        <w:rPr>
          <w:rFonts w:ascii="Book Antiqua" w:eastAsia="等线" w:hAnsi="Book Antiqua" w:cs="Times New Roman"/>
          <w:color w:val="auto"/>
          <w:kern w:val="2"/>
          <w:sz w:val="24"/>
          <w:szCs w:val="24"/>
          <w:lang w:val="en-US" w:eastAsia="zh-CN"/>
        </w:rPr>
        <w:t xml:space="preserve">, Jones RL, Van Tine BA, Chmielowski B, Elias AD, Adkins D, Agulnik M, Cooney MM, Livingston MB, Pennock G, Hameed MR, Shah GD, Qin A, Shahir A, Cronier DM, Ilaria R Jr, Conti I, Cosaert J, Schwartz GK. Olaratumab and doxorubicin versus doxorubicin alone for treatment of soft-tissue sarcoma: an open-label phase 1b and randomised phase 2 trial. </w:t>
      </w:r>
      <w:r w:rsidRPr="00773643">
        <w:rPr>
          <w:rFonts w:ascii="Book Antiqua" w:eastAsia="等线" w:hAnsi="Book Antiqua" w:cs="Times New Roman"/>
          <w:i/>
          <w:color w:val="auto"/>
          <w:kern w:val="2"/>
          <w:sz w:val="24"/>
          <w:szCs w:val="24"/>
          <w:lang w:val="en-US" w:eastAsia="zh-CN"/>
        </w:rPr>
        <w:t>Lancet</w:t>
      </w:r>
      <w:r w:rsidRPr="00773643">
        <w:rPr>
          <w:rFonts w:ascii="Book Antiqua" w:eastAsia="等线" w:hAnsi="Book Antiqua" w:cs="Times New Roman"/>
          <w:color w:val="auto"/>
          <w:kern w:val="2"/>
          <w:sz w:val="24"/>
          <w:szCs w:val="24"/>
          <w:lang w:val="en-US" w:eastAsia="zh-CN"/>
        </w:rPr>
        <w:t xml:space="preserve"> 2016; </w:t>
      </w:r>
      <w:r w:rsidRPr="00773643">
        <w:rPr>
          <w:rFonts w:ascii="Book Antiqua" w:eastAsia="等线" w:hAnsi="Book Antiqua" w:cs="Times New Roman"/>
          <w:b/>
          <w:color w:val="auto"/>
          <w:kern w:val="2"/>
          <w:sz w:val="24"/>
          <w:szCs w:val="24"/>
          <w:lang w:val="en-US" w:eastAsia="zh-CN"/>
        </w:rPr>
        <w:t>388</w:t>
      </w:r>
      <w:r w:rsidRPr="00773643">
        <w:rPr>
          <w:rFonts w:ascii="Book Antiqua" w:eastAsia="等线" w:hAnsi="Book Antiqua" w:cs="Times New Roman"/>
          <w:color w:val="auto"/>
          <w:kern w:val="2"/>
          <w:sz w:val="24"/>
          <w:szCs w:val="24"/>
          <w:lang w:val="en-US" w:eastAsia="zh-CN"/>
        </w:rPr>
        <w:t>: 488-497 [PMID: 27291997 DOI: 10.1016/S0140-6736(16)30587-6</w:t>
      </w:r>
      <w:r>
        <w:rPr>
          <w:rFonts w:ascii="Book Antiqua" w:eastAsia="等线" w:hAnsi="Book Antiqua" w:cs="Times New Roman"/>
          <w:color w:val="auto"/>
          <w:kern w:val="2"/>
          <w:sz w:val="24"/>
          <w:szCs w:val="24"/>
          <w:lang w:val="en-US" w:eastAsia="zh-CN"/>
        </w:rPr>
        <w:t>]</w:t>
      </w:r>
    </w:p>
    <w:p w14:paraId="6E196508"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51 </w:t>
      </w:r>
      <w:r w:rsidRPr="00773643">
        <w:rPr>
          <w:rFonts w:ascii="Book Antiqua" w:eastAsia="等线" w:hAnsi="Book Antiqua" w:cs="Times New Roman"/>
          <w:b/>
          <w:color w:val="auto"/>
          <w:kern w:val="2"/>
          <w:sz w:val="24"/>
          <w:szCs w:val="24"/>
          <w:lang w:val="en-US" w:eastAsia="zh-CN"/>
        </w:rPr>
        <w:t>Hensley ML</w:t>
      </w:r>
      <w:r w:rsidRPr="00773643">
        <w:rPr>
          <w:rFonts w:ascii="Book Antiqua" w:eastAsia="等线" w:hAnsi="Book Antiqua" w:cs="Times New Roman"/>
          <w:color w:val="auto"/>
          <w:kern w:val="2"/>
          <w:sz w:val="24"/>
          <w:szCs w:val="24"/>
          <w:lang w:val="en-US" w:eastAsia="zh-CN"/>
        </w:rPr>
        <w:t xml:space="preserve">, Patel SR, von Mehren M, Ganjoo K, Jones RL, Staddon A, Rushing D, Milhem M, Monk B, Wang G, McCarthy S, Knoblauch RE, Parekh TV, Maki RG, Demetri GD. Efficacy and safety of trabectedin or dacarbazine in patients with advanced uterine leiomyosarcoma after failure of anthracycline-based chemotherapy: Subgroup analysis of a phase 3, randomized clinical trial.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2017; </w:t>
      </w:r>
      <w:r w:rsidRPr="00773643">
        <w:rPr>
          <w:rFonts w:ascii="Book Antiqua" w:eastAsia="等线" w:hAnsi="Book Antiqua" w:cs="Times New Roman"/>
          <w:b/>
          <w:color w:val="auto"/>
          <w:kern w:val="2"/>
          <w:sz w:val="24"/>
          <w:szCs w:val="24"/>
          <w:lang w:val="en-US" w:eastAsia="zh-CN"/>
        </w:rPr>
        <w:t>146</w:t>
      </w:r>
      <w:r w:rsidRPr="00773643">
        <w:rPr>
          <w:rFonts w:ascii="Book Antiqua" w:eastAsia="等线" w:hAnsi="Book Antiqua" w:cs="Times New Roman"/>
          <w:color w:val="auto"/>
          <w:kern w:val="2"/>
          <w:sz w:val="24"/>
          <w:szCs w:val="24"/>
          <w:lang w:val="en-US" w:eastAsia="zh-CN"/>
        </w:rPr>
        <w:t>: 531-537 [PMID: 28651804 DOI: 10.1016/j.ygyno.2017.06.018</w:t>
      </w:r>
      <w:r>
        <w:rPr>
          <w:rFonts w:ascii="Book Antiqua" w:eastAsia="等线" w:hAnsi="Book Antiqua" w:cs="Times New Roman"/>
          <w:color w:val="auto"/>
          <w:kern w:val="2"/>
          <w:sz w:val="24"/>
          <w:szCs w:val="24"/>
          <w:lang w:val="en-US" w:eastAsia="zh-CN"/>
        </w:rPr>
        <w:t>]</w:t>
      </w:r>
    </w:p>
    <w:p w14:paraId="5F45E814"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52 </w:t>
      </w:r>
      <w:r w:rsidRPr="00773643">
        <w:rPr>
          <w:rFonts w:ascii="Book Antiqua" w:eastAsia="等线" w:hAnsi="Book Antiqua" w:cs="Times New Roman"/>
          <w:b/>
          <w:color w:val="auto"/>
          <w:kern w:val="2"/>
          <w:sz w:val="24"/>
          <w:szCs w:val="24"/>
          <w:lang w:val="en-US" w:eastAsia="zh-CN"/>
        </w:rPr>
        <w:t>Roberts ME</w:t>
      </w:r>
      <w:r w:rsidRPr="00773643">
        <w:rPr>
          <w:rFonts w:ascii="Book Antiqua" w:eastAsia="等线" w:hAnsi="Book Antiqua" w:cs="Times New Roman"/>
          <w:color w:val="auto"/>
          <w:kern w:val="2"/>
          <w:sz w:val="24"/>
          <w:szCs w:val="24"/>
          <w:lang w:val="en-US" w:eastAsia="zh-CN"/>
        </w:rPr>
        <w:t xml:space="preserve">, Aynardi JT, Chu CS. Uterine leiomyosarcoma: A review of the literature and update on management options.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2018; </w:t>
      </w:r>
      <w:r w:rsidRPr="00773643">
        <w:rPr>
          <w:rFonts w:ascii="Book Antiqua" w:eastAsia="等线" w:hAnsi="Book Antiqua" w:cs="Times New Roman"/>
          <w:b/>
          <w:color w:val="auto"/>
          <w:kern w:val="2"/>
          <w:sz w:val="24"/>
          <w:szCs w:val="24"/>
          <w:lang w:val="en-US" w:eastAsia="zh-CN"/>
        </w:rPr>
        <w:t>151</w:t>
      </w:r>
      <w:r w:rsidRPr="00773643">
        <w:rPr>
          <w:rFonts w:ascii="Book Antiqua" w:eastAsia="等线" w:hAnsi="Book Antiqua" w:cs="Times New Roman"/>
          <w:color w:val="auto"/>
          <w:kern w:val="2"/>
          <w:sz w:val="24"/>
          <w:szCs w:val="24"/>
          <w:lang w:val="en-US" w:eastAsia="zh-CN"/>
        </w:rPr>
        <w:t>: 562-572 [PMID: 30244960 DOI: 10.1016/j.ygyno.2018.09.010</w:t>
      </w:r>
      <w:r>
        <w:rPr>
          <w:rFonts w:ascii="Book Antiqua" w:eastAsia="等线" w:hAnsi="Book Antiqua" w:cs="Times New Roman"/>
          <w:color w:val="auto"/>
          <w:kern w:val="2"/>
          <w:sz w:val="24"/>
          <w:szCs w:val="24"/>
          <w:lang w:val="en-US" w:eastAsia="zh-CN"/>
        </w:rPr>
        <w:t>]</w:t>
      </w:r>
    </w:p>
    <w:p w14:paraId="17E530FE"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53 </w:t>
      </w:r>
      <w:r w:rsidRPr="00773643">
        <w:rPr>
          <w:rFonts w:ascii="Book Antiqua" w:eastAsia="等线" w:hAnsi="Book Antiqua" w:cs="Times New Roman"/>
          <w:b/>
          <w:color w:val="auto"/>
          <w:kern w:val="2"/>
          <w:sz w:val="24"/>
          <w:szCs w:val="24"/>
          <w:lang w:val="en-US" w:eastAsia="zh-CN"/>
        </w:rPr>
        <w:t>Bai H</w:t>
      </w:r>
      <w:r w:rsidRPr="00773643">
        <w:rPr>
          <w:rFonts w:ascii="Book Antiqua" w:eastAsia="等线" w:hAnsi="Book Antiqua" w:cs="Times New Roman"/>
          <w:color w:val="auto"/>
          <w:kern w:val="2"/>
          <w:sz w:val="24"/>
          <w:szCs w:val="24"/>
          <w:lang w:val="en-US" w:eastAsia="zh-CN"/>
        </w:rPr>
        <w:t xml:space="preserve">, Yang J, Cao D, Huang H, Xiang Y, Wu M, Cui Q, Chen J, Lang J, Shen K. Ovary and uterus-sparing procedures for low-grade endometrial stromal sarcoma: a retrospective study of 153 cases.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2014; </w:t>
      </w:r>
      <w:r w:rsidRPr="00773643">
        <w:rPr>
          <w:rFonts w:ascii="Book Antiqua" w:eastAsia="等线" w:hAnsi="Book Antiqua" w:cs="Times New Roman"/>
          <w:b/>
          <w:color w:val="auto"/>
          <w:kern w:val="2"/>
          <w:sz w:val="24"/>
          <w:szCs w:val="24"/>
          <w:lang w:val="en-US" w:eastAsia="zh-CN"/>
        </w:rPr>
        <w:t>132</w:t>
      </w:r>
      <w:r w:rsidRPr="00773643">
        <w:rPr>
          <w:rFonts w:ascii="Book Antiqua" w:eastAsia="等线" w:hAnsi="Book Antiqua" w:cs="Times New Roman"/>
          <w:color w:val="auto"/>
          <w:kern w:val="2"/>
          <w:sz w:val="24"/>
          <w:szCs w:val="24"/>
          <w:lang w:val="en-US" w:eastAsia="zh-CN"/>
        </w:rPr>
        <w:t>: 654-660 [PMID: 24412112 DOI: 10.1016/j.ygyno.2013.12.032</w:t>
      </w:r>
      <w:r>
        <w:rPr>
          <w:rFonts w:ascii="Book Antiqua" w:eastAsia="等线" w:hAnsi="Book Antiqua" w:cs="Times New Roman"/>
          <w:color w:val="auto"/>
          <w:kern w:val="2"/>
          <w:sz w:val="24"/>
          <w:szCs w:val="24"/>
          <w:lang w:val="en-US" w:eastAsia="zh-CN"/>
        </w:rPr>
        <w:t>]</w:t>
      </w:r>
    </w:p>
    <w:p w14:paraId="4E953F10"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54 </w:t>
      </w:r>
      <w:r w:rsidRPr="00773643">
        <w:rPr>
          <w:rFonts w:ascii="Book Antiqua" w:eastAsia="等线" w:hAnsi="Book Antiqua" w:cs="Times New Roman"/>
          <w:b/>
          <w:color w:val="auto"/>
          <w:kern w:val="2"/>
          <w:sz w:val="24"/>
          <w:szCs w:val="24"/>
          <w:lang w:val="en-US" w:eastAsia="zh-CN"/>
        </w:rPr>
        <w:t>Zhou J</w:t>
      </w:r>
      <w:r w:rsidRPr="00773643">
        <w:rPr>
          <w:rFonts w:ascii="Book Antiqua" w:eastAsia="等线" w:hAnsi="Book Antiqua" w:cs="Times New Roman"/>
          <w:color w:val="auto"/>
          <w:kern w:val="2"/>
          <w:sz w:val="24"/>
          <w:szCs w:val="24"/>
          <w:lang w:val="en-US" w:eastAsia="zh-CN"/>
        </w:rPr>
        <w:t xml:space="preserve">, Zheng H, Wu SG, He ZY, Li FY, Su GQ, Sun JY. Influence of different treatment modalities on survival of patients with low-grade endometrial stromal sarcoma: A retrospective cohort study. </w:t>
      </w:r>
      <w:r w:rsidRPr="00773643">
        <w:rPr>
          <w:rFonts w:ascii="Book Antiqua" w:eastAsia="等线" w:hAnsi="Book Antiqua" w:cs="Times New Roman"/>
          <w:i/>
          <w:color w:val="auto"/>
          <w:kern w:val="2"/>
          <w:sz w:val="24"/>
          <w:szCs w:val="24"/>
          <w:lang w:val="en-US" w:eastAsia="zh-CN"/>
        </w:rPr>
        <w:t>Int J Surg</w:t>
      </w:r>
      <w:r w:rsidRPr="00773643">
        <w:rPr>
          <w:rFonts w:ascii="Book Antiqua" w:eastAsia="等线" w:hAnsi="Book Antiqua" w:cs="Times New Roman"/>
          <w:color w:val="auto"/>
          <w:kern w:val="2"/>
          <w:sz w:val="24"/>
          <w:szCs w:val="24"/>
          <w:lang w:val="en-US" w:eastAsia="zh-CN"/>
        </w:rPr>
        <w:t xml:space="preserve"> 2015; </w:t>
      </w:r>
      <w:r w:rsidRPr="00773643">
        <w:rPr>
          <w:rFonts w:ascii="Book Antiqua" w:eastAsia="等线" w:hAnsi="Book Antiqua" w:cs="Times New Roman"/>
          <w:b/>
          <w:color w:val="auto"/>
          <w:kern w:val="2"/>
          <w:sz w:val="24"/>
          <w:szCs w:val="24"/>
          <w:lang w:val="en-US" w:eastAsia="zh-CN"/>
        </w:rPr>
        <w:t>23</w:t>
      </w:r>
      <w:r w:rsidRPr="00773643">
        <w:rPr>
          <w:rFonts w:ascii="Book Antiqua" w:eastAsia="等线" w:hAnsi="Book Antiqua" w:cs="Times New Roman"/>
          <w:color w:val="auto"/>
          <w:kern w:val="2"/>
          <w:sz w:val="24"/>
          <w:szCs w:val="24"/>
          <w:lang w:val="en-US" w:eastAsia="zh-CN"/>
        </w:rPr>
        <w:t>: 147-151 [PMID: 26449652 DOI: 10.1016/j.ijsu.2015.09.072</w:t>
      </w:r>
      <w:r>
        <w:rPr>
          <w:rFonts w:ascii="Book Antiqua" w:eastAsia="等线" w:hAnsi="Book Antiqua" w:cs="Times New Roman"/>
          <w:color w:val="auto"/>
          <w:kern w:val="2"/>
          <w:sz w:val="24"/>
          <w:szCs w:val="24"/>
          <w:lang w:val="en-US" w:eastAsia="zh-CN"/>
        </w:rPr>
        <w:t>]</w:t>
      </w:r>
    </w:p>
    <w:p w14:paraId="4EA12AE5"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55 </w:t>
      </w:r>
      <w:r w:rsidRPr="00773643">
        <w:rPr>
          <w:rFonts w:ascii="Book Antiqua" w:eastAsia="等线" w:hAnsi="Book Antiqua" w:cs="Times New Roman"/>
          <w:b/>
          <w:color w:val="auto"/>
          <w:kern w:val="2"/>
          <w:sz w:val="24"/>
          <w:szCs w:val="24"/>
          <w:lang w:val="en-US" w:eastAsia="zh-CN"/>
        </w:rPr>
        <w:t>Kim WY</w:t>
      </w:r>
      <w:r w:rsidRPr="00773643">
        <w:rPr>
          <w:rFonts w:ascii="Book Antiqua" w:eastAsia="等线" w:hAnsi="Book Antiqua" w:cs="Times New Roman"/>
          <w:color w:val="auto"/>
          <w:kern w:val="2"/>
          <w:sz w:val="24"/>
          <w:szCs w:val="24"/>
          <w:lang w:val="en-US" w:eastAsia="zh-CN"/>
        </w:rPr>
        <w:t xml:space="preserve">, Lee JW, Choi CH, Kang H, Kim TJ, Kim BG, Lee JH, Bae DS. Low-grade endometrial stromal sarcoma: a single center's experience with 22 cases. </w:t>
      </w:r>
      <w:r w:rsidRPr="00773643">
        <w:rPr>
          <w:rFonts w:ascii="Book Antiqua" w:eastAsia="等线" w:hAnsi="Book Antiqua" w:cs="Times New Roman"/>
          <w:i/>
          <w:color w:val="auto"/>
          <w:kern w:val="2"/>
          <w:sz w:val="24"/>
          <w:szCs w:val="24"/>
          <w:lang w:val="en-US" w:eastAsia="zh-CN"/>
        </w:rPr>
        <w:t>Int J Gynecol Cancer</w:t>
      </w:r>
      <w:r w:rsidRPr="00773643">
        <w:rPr>
          <w:rFonts w:ascii="Book Antiqua" w:eastAsia="等线" w:hAnsi="Book Antiqua" w:cs="Times New Roman"/>
          <w:color w:val="auto"/>
          <w:kern w:val="2"/>
          <w:sz w:val="24"/>
          <w:szCs w:val="24"/>
          <w:lang w:val="en-US" w:eastAsia="zh-CN"/>
        </w:rPr>
        <w:t xml:space="preserve"> 2008; </w:t>
      </w:r>
      <w:r w:rsidRPr="00773643">
        <w:rPr>
          <w:rFonts w:ascii="Book Antiqua" w:eastAsia="等线" w:hAnsi="Book Antiqua" w:cs="Times New Roman"/>
          <w:b/>
          <w:color w:val="auto"/>
          <w:kern w:val="2"/>
          <w:sz w:val="24"/>
          <w:szCs w:val="24"/>
          <w:lang w:val="en-US" w:eastAsia="zh-CN"/>
        </w:rPr>
        <w:t>18</w:t>
      </w:r>
      <w:r w:rsidRPr="00773643">
        <w:rPr>
          <w:rFonts w:ascii="Book Antiqua" w:eastAsia="等线" w:hAnsi="Book Antiqua" w:cs="Times New Roman"/>
          <w:color w:val="auto"/>
          <w:kern w:val="2"/>
          <w:sz w:val="24"/>
          <w:szCs w:val="24"/>
          <w:lang w:val="en-US" w:eastAsia="zh-CN"/>
        </w:rPr>
        <w:t>: 1084-1089 [PMID: 18179547 DOI: 10.1111/j.1525-1438.2007.01159.x</w:t>
      </w:r>
      <w:r>
        <w:rPr>
          <w:rFonts w:ascii="Book Antiqua" w:eastAsia="等线" w:hAnsi="Book Antiqua" w:cs="Times New Roman"/>
          <w:color w:val="auto"/>
          <w:kern w:val="2"/>
          <w:sz w:val="24"/>
          <w:szCs w:val="24"/>
          <w:lang w:val="en-US" w:eastAsia="zh-CN"/>
        </w:rPr>
        <w:t>]</w:t>
      </w:r>
    </w:p>
    <w:p w14:paraId="17F7641E"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56 </w:t>
      </w:r>
      <w:r w:rsidRPr="00773643">
        <w:rPr>
          <w:rFonts w:ascii="Book Antiqua" w:eastAsia="等线" w:hAnsi="Book Antiqua" w:cs="Times New Roman"/>
          <w:b/>
          <w:color w:val="auto"/>
          <w:kern w:val="2"/>
          <w:sz w:val="24"/>
          <w:szCs w:val="24"/>
          <w:lang w:val="en-US" w:eastAsia="zh-CN"/>
        </w:rPr>
        <w:t>Zhang YY</w:t>
      </w:r>
      <w:r w:rsidRPr="00773643">
        <w:rPr>
          <w:rFonts w:ascii="Book Antiqua" w:eastAsia="等线" w:hAnsi="Book Antiqua" w:cs="Times New Roman"/>
          <w:color w:val="auto"/>
          <w:kern w:val="2"/>
          <w:sz w:val="24"/>
          <w:szCs w:val="24"/>
          <w:lang w:val="en-US" w:eastAsia="zh-CN"/>
        </w:rPr>
        <w:t xml:space="preserve">, Li Y, Qin M, Cai Y, Jin Y, Pan LY. High-grade endometrial stromal sarcoma: a retrospective study of factors influencing prognosis. </w:t>
      </w:r>
      <w:r w:rsidRPr="00773643">
        <w:rPr>
          <w:rFonts w:ascii="Book Antiqua" w:eastAsia="等线" w:hAnsi="Book Antiqua" w:cs="Times New Roman"/>
          <w:i/>
          <w:color w:val="auto"/>
          <w:kern w:val="2"/>
          <w:sz w:val="24"/>
          <w:szCs w:val="24"/>
          <w:lang w:val="en-US" w:eastAsia="zh-CN"/>
        </w:rPr>
        <w:t>Cancer Manag Res</w:t>
      </w:r>
      <w:r w:rsidRPr="00773643">
        <w:rPr>
          <w:rFonts w:ascii="Book Antiqua" w:eastAsia="等线" w:hAnsi="Book Antiqua" w:cs="Times New Roman"/>
          <w:color w:val="auto"/>
          <w:kern w:val="2"/>
          <w:sz w:val="24"/>
          <w:szCs w:val="24"/>
          <w:lang w:val="en-US" w:eastAsia="zh-CN"/>
        </w:rPr>
        <w:t xml:space="preserve"> 2019; </w:t>
      </w:r>
      <w:r w:rsidRPr="00773643">
        <w:rPr>
          <w:rFonts w:ascii="Book Antiqua" w:eastAsia="等线" w:hAnsi="Book Antiqua" w:cs="Times New Roman"/>
          <w:b/>
          <w:color w:val="auto"/>
          <w:kern w:val="2"/>
          <w:sz w:val="24"/>
          <w:szCs w:val="24"/>
          <w:lang w:val="en-US" w:eastAsia="zh-CN"/>
        </w:rPr>
        <w:t>11</w:t>
      </w:r>
      <w:r w:rsidRPr="00773643">
        <w:rPr>
          <w:rFonts w:ascii="Book Antiqua" w:eastAsia="等线" w:hAnsi="Book Antiqua" w:cs="Times New Roman"/>
          <w:color w:val="auto"/>
          <w:kern w:val="2"/>
          <w:sz w:val="24"/>
          <w:szCs w:val="24"/>
          <w:lang w:val="en-US" w:eastAsia="zh-CN"/>
        </w:rPr>
        <w:t>: 831-837 [PMID: 30697075 DOI: 10.2147/CMAR.S187849</w:t>
      </w:r>
      <w:r>
        <w:rPr>
          <w:rFonts w:ascii="Book Antiqua" w:eastAsia="等线" w:hAnsi="Book Antiqua" w:cs="Times New Roman"/>
          <w:color w:val="auto"/>
          <w:kern w:val="2"/>
          <w:sz w:val="24"/>
          <w:szCs w:val="24"/>
          <w:lang w:val="en-US" w:eastAsia="zh-CN"/>
        </w:rPr>
        <w:t>]</w:t>
      </w:r>
    </w:p>
    <w:p w14:paraId="08C88CF9"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57 </w:t>
      </w:r>
      <w:r w:rsidRPr="00773643">
        <w:rPr>
          <w:rFonts w:ascii="Book Antiqua" w:eastAsia="等线" w:hAnsi="Book Antiqua" w:cs="Times New Roman"/>
          <w:b/>
          <w:color w:val="auto"/>
          <w:kern w:val="2"/>
          <w:sz w:val="24"/>
          <w:szCs w:val="24"/>
          <w:lang w:val="en-US" w:eastAsia="zh-CN"/>
        </w:rPr>
        <w:t>Meurer M</w:t>
      </w:r>
      <w:r w:rsidRPr="00773643">
        <w:rPr>
          <w:rFonts w:ascii="Book Antiqua" w:eastAsia="等线" w:hAnsi="Book Antiqua" w:cs="Times New Roman"/>
          <w:color w:val="auto"/>
          <w:kern w:val="2"/>
          <w:sz w:val="24"/>
          <w:szCs w:val="24"/>
          <w:lang w:val="en-US" w:eastAsia="zh-CN"/>
        </w:rPr>
        <w:t xml:space="preserve">, Floquet A, Ray-Coquard I, Bertucci F, Auriche M, Cordoba A, Piperno-Neumann S, Salas S, Delannes M, Chevalier T, Italiano A, Blay JY, Mancini J, Pautier P, Duffaud F. Localized high grade endometrial stromal sarcoma and localized undifferentiated uterine sarcoma: a retrospective series of the French Sarcoma Group. </w:t>
      </w:r>
      <w:r w:rsidRPr="00773643">
        <w:rPr>
          <w:rFonts w:ascii="Book Antiqua" w:eastAsia="等线" w:hAnsi="Book Antiqua" w:cs="Times New Roman"/>
          <w:i/>
          <w:color w:val="auto"/>
          <w:kern w:val="2"/>
          <w:sz w:val="24"/>
          <w:szCs w:val="24"/>
          <w:lang w:val="en-US" w:eastAsia="zh-CN"/>
        </w:rPr>
        <w:t>Int J Gynecol Cancer</w:t>
      </w:r>
      <w:r w:rsidRPr="00773643">
        <w:rPr>
          <w:rFonts w:ascii="Book Antiqua" w:eastAsia="等线" w:hAnsi="Book Antiqua" w:cs="Times New Roman"/>
          <w:color w:val="auto"/>
          <w:kern w:val="2"/>
          <w:sz w:val="24"/>
          <w:szCs w:val="24"/>
          <w:lang w:val="en-US" w:eastAsia="zh-CN"/>
        </w:rPr>
        <w:t xml:space="preserve"> 2019; </w:t>
      </w:r>
      <w:r w:rsidRPr="00773643">
        <w:rPr>
          <w:rFonts w:ascii="Book Antiqua" w:eastAsia="等线" w:hAnsi="Book Antiqua" w:cs="Times New Roman"/>
          <w:b/>
          <w:color w:val="auto"/>
          <w:kern w:val="2"/>
          <w:sz w:val="24"/>
          <w:szCs w:val="24"/>
          <w:lang w:val="en-US" w:eastAsia="zh-CN"/>
        </w:rPr>
        <w:t>29</w:t>
      </w:r>
      <w:r w:rsidRPr="00773643">
        <w:rPr>
          <w:rFonts w:ascii="Book Antiqua" w:eastAsia="等线" w:hAnsi="Book Antiqua" w:cs="Times New Roman"/>
          <w:color w:val="auto"/>
          <w:kern w:val="2"/>
          <w:sz w:val="24"/>
          <w:szCs w:val="24"/>
          <w:lang w:val="en-US" w:eastAsia="zh-CN"/>
        </w:rPr>
        <w:t>: 691-698 [PMID: 30772825 DOI: 10.1136/ijgc-2018-000064</w:t>
      </w:r>
      <w:r>
        <w:rPr>
          <w:rFonts w:ascii="Book Antiqua" w:eastAsia="等线" w:hAnsi="Book Antiqua" w:cs="Times New Roman"/>
          <w:color w:val="auto"/>
          <w:kern w:val="2"/>
          <w:sz w:val="24"/>
          <w:szCs w:val="24"/>
          <w:lang w:val="en-US" w:eastAsia="zh-CN"/>
        </w:rPr>
        <w:t>]</w:t>
      </w:r>
    </w:p>
    <w:p w14:paraId="10D4D72B"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58 </w:t>
      </w:r>
      <w:r w:rsidRPr="00773643">
        <w:rPr>
          <w:rFonts w:ascii="Book Antiqua" w:eastAsia="等线" w:hAnsi="Book Antiqua" w:cs="Times New Roman"/>
          <w:b/>
          <w:color w:val="auto"/>
          <w:kern w:val="2"/>
          <w:sz w:val="24"/>
          <w:szCs w:val="24"/>
          <w:lang w:val="en-US" w:eastAsia="zh-CN"/>
        </w:rPr>
        <w:t>Nathenson MJ</w:t>
      </w:r>
      <w:r w:rsidRPr="00773643">
        <w:rPr>
          <w:rFonts w:ascii="Book Antiqua" w:eastAsia="等线" w:hAnsi="Book Antiqua" w:cs="Times New Roman"/>
          <w:color w:val="auto"/>
          <w:kern w:val="2"/>
          <w:sz w:val="24"/>
          <w:szCs w:val="24"/>
          <w:lang w:val="en-US" w:eastAsia="zh-CN"/>
        </w:rPr>
        <w:t xml:space="preserve">, Ravi V, Fleming N, Wang WL, Conley A. Uterine Adenosarcoma: a Review. </w:t>
      </w:r>
      <w:r w:rsidRPr="00773643">
        <w:rPr>
          <w:rFonts w:ascii="Book Antiqua" w:eastAsia="等线" w:hAnsi="Book Antiqua" w:cs="Times New Roman"/>
          <w:i/>
          <w:color w:val="auto"/>
          <w:kern w:val="2"/>
          <w:sz w:val="24"/>
          <w:szCs w:val="24"/>
          <w:lang w:val="en-US" w:eastAsia="zh-CN"/>
        </w:rPr>
        <w:t>Curr Oncol Rep</w:t>
      </w:r>
      <w:r w:rsidRPr="00773643">
        <w:rPr>
          <w:rFonts w:ascii="Book Antiqua" w:eastAsia="等线" w:hAnsi="Book Antiqua" w:cs="Times New Roman"/>
          <w:color w:val="auto"/>
          <w:kern w:val="2"/>
          <w:sz w:val="24"/>
          <w:szCs w:val="24"/>
          <w:lang w:val="en-US" w:eastAsia="zh-CN"/>
        </w:rPr>
        <w:t xml:space="preserve"> 2016; </w:t>
      </w:r>
      <w:r w:rsidRPr="00773643">
        <w:rPr>
          <w:rFonts w:ascii="Book Antiqua" w:eastAsia="等线" w:hAnsi="Book Antiqua" w:cs="Times New Roman"/>
          <w:b/>
          <w:color w:val="auto"/>
          <w:kern w:val="2"/>
          <w:sz w:val="24"/>
          <w:szCs w:val="24"/>
          <w:lang w:val="en-US" w:eastAsia="zh-CN"/>
        </w:rPr>
        <w:t>18</w:t>
      </w:r>
      <w:r w:rsidRPr="00773643">
        <w:rPr>
          <w:rFonts w:ascii="Book Antiqua" w:eastAsia="等线" w:hAnsi="Book Antiqua" w:cs="Times New Roman"/>
          <w:color w:val="auto"/>
          <w:kern w:val="2"/>
          <w:sz w:val="24"/>
          <w:szCs w:val="24"/>
          <w:lang w:val="en-US" w:eastAsia="zh-CN"/>
        </w:rPr>
        <w:t>: 68 [PMID: 27718181 DOI: 10.1007/s11912-016-0552-7</w:t>
      </w:r>
      <w:r>
        <w:rPr>
          <w:rFonts w:ascii="Book Antiqua" w:eastAsia="等线" w:hAnsi="Book Antiqua" w:cs="Times New Roman"/>
          <w:color w:val="auto"/>
          <w:kern w:val="2"/>
          <w:sz w:val="24"/>
          <w:szCs w:val="24"/>
          <w:lang w:val="en-US" w:eastAsia="zh-CN"/>
        </w:rPr>
        <w:t>]</w:t>
      </w:r>
    </w:p>
    <w:p w14:paraId="504F54A0"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59 </w:t>
      </w:r>
      <w:r w:rsidRPr="00773643">
        <w:rPr>
          <w:rFonts w:ascii="Book Antiqua" w:eastAsia="等线" w:hAnsi="Book Antiqua" w:cs="Times New Roman"/>
          <w:b/>
          <w:color w:val="auto"/>
          <w:kern w:val="2"/>
          <w:sz w:val="24"/>
          <w:szCs w:val="24"/>
          <w:lang w:val="en-US" w:eastAsia="zh-CN"/>
        </w:rPr>
        <w:t>Pinto A</w:t>
      </w:r>
      <w:r w:rsidRPr="00773643">
        <w:rPr>
          <w:rFonts w:ascii="Book Antiqua" w:eastAsia="等线" w:hAnsi="Book Antiqua" w:cs="Times New Roman"/>
          <w:color w:val="auto"/>
          <w:kern w:val="2"/>
          <w:sz w:val="24"/>
          <w:szCs w:val="24"/>
          <w:lang w:val="en-US" w:eastAsia="zh-CN"/>
        </w:rPr>
        <w:t xml:space="preserve">, Howitt B. Uterine Adenosarcoma. </w:t>
      </w:r>
      <w:r w:rsidRPr="00773643">
        <w:rPr>
          <w:rFonts w:ascii="Book Antiqua" w:eastAsia="等线" w:hAnsi="Book Antiqua" w:cs="Times New Roman"/>
          <w:i/>
          <w:color w:val="auto"/>
          <w:kern w:val="2"/>
          <w:sz w:val="24"/>
          <w:szCs w:val="24"/>
          <w:lang w:val="en-US" w:eastAsia="zh-CN"/>
        </w:rPr>
        <w:t>Arch Pathol Lab Med</w:t>
      </w:r>
      <w:r w:rsidRPr="00773643">
        <w:rPr>
          <w:rFonts w:ascii="Book Antiqua" w:eastAsia="等线" w:hAnsi="Book Antiqua" w:cs="Times New Roman"/>
          <w:color w:val="auto"/>
          <w:kern w:val="2"/>
          <w:sz w:val="24"/>
          <w:szCs w:val="24"/>
          <w:lang w:val="en-US" w:eastAsia="zh-CN"/>
        </w:rPr>
        <w:t xml:space="preserve"> 2016; </w:t>
      </w:r>
      <w:r w:rsidRPr="00773643">
        <w:rPr>
          <w:rFonts w:ascii="Book Antiqua" w:eastAsia="等线" w:hAnsi="Book Antiqua" w:cs="Times New Roman"/>
          <w:b/>
          <w:color w:val="auto"/>
          <w:kern w:val="2"/>
          <w:sz w:val="24"/>
          <w:szCs w:val="24"/>
          <w:lang w:val="en-US" w:eastAsia="zh-CN"/>
        </w:rPr>
        <w:t>140</w:t>
      </w:r>
      <w:r w:rsidRPr="00773643">
        <w:rPr>
          <w:rFonts w:ascii="Book Antiqua" w:eastAsia="等线" w:hAnsi="Book Antiqua" w:cs="Times New Roman"/>
          <w:color w:val="auto"/>
          <w:kern w:val="2"/>
          <w:sz w:val="24"/>
          <w:szCs w:val="24"/>
          <w:lang w:val="en-US" w:eastAsia="zh-CN"/>
        </w:rPr>
        <w:t>: 286-290 [PMID: 26927725 DOI: 10.5858/arpa.2014-0523-RS</w:t>
      </w:r>
      <w:r>
        <w:rPr>
          <w:rFonts w:ascii="Book Antiqua" w:eastAsia="等线" w:hAnsi="Book Antiqua" w:cs="Times New Roman"/>
          <w:color w:val="auto"/>
          <w:kern w:val="2"/>
          <w:sz w:val="24"/>
          <w:szCs w:val="24"/>
          <w:lang w:val="en-US" w:eastAsia="zh-CN"/>
        </w:rPr>
        <w:t>]</w:t>
      </w:r>
    </w:p>
    <w:p w14:paraId="0E6E6D52"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60 </w:t>
      </w:r>
      <w:r w:rsidRPr="00773643">
        <w:rPr>
          <w:rFonts w:ascii="Book Antiqua" w:eastAsia="等线" w:hAnsi="Book Antiqua" w:cs="Times New Roman"/>
          <w:b/>
          <w:color w:val="auto"/>
          <w:kern w:val="2"/>
          <w:sz w:val="24"/>
          <w:szCs w:val="24"/>
          <w:lang w:val="en-US" w:eastAsia="zh-CN"/>
        </w:rPr>
        <w:t>Bodner K</w:t>
      </w:r>
      <w:r w:rsidRPr="00773643">
        <w:rPr>
          <w:rFonts w:ascii="Book Antiqua" w:eastAsia="等线" w:hAnsi="Book Antiqua" w:cs="Times New Roman"/>
          <w:color w:val="auto"/>
          <w:kern w:val="2"/>
          <w:sz w:val="24"/>
          <w:szCs w:val="24"/>
          <w:lang w:val="en-US" w:eastAsia="zh-CN"/>
        </w:rPr>
        <w:t xml:space="preserve">, Bodner-Adler B, Kimberger O, Czerwenka K, Leodolter S, Mayerhofer K. Estrogen and progesterone receptor expression in patients with uterine leiomyosarcoma and correlation with different clinicopathological parameters. </w:t>
      </w:r>
      <w:r w:rsidRPr="00773643">
        <w:rPr>
          <w:rFonts w:ascii="Book Antiqua" w:eastAsia="等线" w:hAnsi="Book Antiqua" w:cs="Times New Roman"/>
          <w:i/>
          <w:color w:val="auto"/>
          <w:kern w:val="2"/>
          <w:sz w:val="24"/>
          <w:szCs w:val="24"/>
          <w:lang w:val="en-US" w:eastAsia="zh-CN"/>
        </w:rPr>
        <w:t>Anticancer Res</w:t>
      </w:r>
      <w:r w:rsidRPr="00773643">
        <w:rPr>
          <w:rFonts w:ascii="Book Antiqua" w:eastAsia="等线" w:hAnsi="Book Antiqua" w:cs="Times New Roman"/>
          <w:color w:val="auto"/>
          <w:kern w:val="2"/>
          <w:sz w:val="24"/>
          <w:szCs w:val="24"/>
          <w:lang w:val="en-US" w:eastAsia="zh-CN"/>
        </w:rPr>
        <w:t xml:space="preserve"> 2003; </w:t>
      </w:r>
      <w:r w:rsidRPr="00773643">
        <w:rPr>
          <w:rFonts w:ascii="Book Antiqua" w:eastAsia="等线" w:hAnsi="Book Antiqua" w:cs="Times New Roman"/>
          <w:b/>
          <w:color w:val="auto"/>
          <w:kern w:val="2"/>
          <w:sz w:val="24"/>
          <w:szCs w:val="24"/>
          <w:lang w:val="en-US" w:eastAsia="zh-CN"/>
        </w:rPr>
        <w:t>23</w:t>
      </w:r>
      <w:r w:rsidRPr="00773643">
        <w:rPr>
          <w:rFonts w:ascii="Book Antiqua" w:eastAsia="等线" w:hAnsi="Book Antiqua" w:cs="Times New Roman"/>
          <w:color w:val="auto"/>
          <w:kern w:val="2"/>
          <w:sz w:val="24"/>
          <w:szCs w:val="24"/>
          <w:lang w:val="en-US" w:eastAsia="zh-CN"/>
        </w:rPr>
        <w:t>: 729-732 [PMID: 12680175]</w:t>
      </w:r>
    </w:p>
    <w:p w14:paraId="3D64AB8B"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61 </w:t>
      </w:r>
      <w:r w:rsidRPr="00773643">
        <w:rPr>
          <w:rFonts w:ascii="Book Antiqua" w:eastAsia="等线" w:hAnsi="Book Antiqua" w:cs="Times New Roman"/>
          <w:b/>
          <w:color w:val="auto"/>
          <w:kern w:val="2"/>
          <w:sz w:val="24"/>
          <w:szCs w:val="24"/>
          <w:lang w:val="en-US" w:eastAsia="zh-CN"/>
        </w:rPr>
        <w:t>Kitaoka Y</w:t>
      </w:r>
      <w:r w:rsidRPr="00773643">
        <w:rPr>
          <w:rFonts w:ascii="Book Antiqua" w:eastAsia="等线" w:hAnsi="Book Antiqua" w:cs="Times New Roman"/>
          <w:color w:val="auto"/>
          <w:kern w:val="2"/>
          <w:sz w:val="24"/>
          <w:szCs w:val="24"/>
          <w:lang w:val="en-US" w:eastAsia="zh-CN"/>
        </w:rPr>
        <w:t xml:space="preserve">, Kitawaki J, Koshiba H, Inoue S, Ishihara H, Teramoto M, Honjo H. Aromatase cytochrome P450 and estrogen and progesterone receptors in uterine sarcomas: correlation with clinical parameters. </w:t>
      </w:r>
      <w:r w:rsidRPr="00773643">
        <w:rPr>
          <w:rFonts w:ascii="Book Antiqua" w:eastAsia="等线" w:hAnsi="Book Antiqua" w:cs="Times New Roman"/>
          <w:i/>
          <w:color w:val="auto"/>
          <w:kern w:val="2"/>
          <w:sz w:val="24"/>
          <w:szCs w:val="24"/>
          <w:lang w:val="en-US" w:eastAsia="zh-CN"/>
        </w:rPr>
        <w:t>J Steroid Biochem Mol Biol</w:t>
      </w:r>
      <w:r w:rsidRPr="00773643">
        <w:rPr>
          <w:rFonts w:ascii="Book Antiqua" w:eastAsia="等线" w:hAnsi="Book Antiqua" w:cs="Times New Roman"/>
          <w:color w:val="auto"/>
          <w:kern w:val="2"/>
          <w:sz w:val="24"/>
          <w:szCs w:val="24"/>
          <w:lang w:val="en-US" w:eastAsia="zh-CN"/>
        </w:rPr>
        <w:t xml:space="preserve"> 2004; </w:t>
      </w:r>
      <w:r w:rsidRPr="00773643">
        <w:rPr>
          <w:rFonts w:ascii="Book Antiqua" w:eastAsia="等线" w:hAnsi="Book Antiqua" w:cs="Times New Roman"/>
          <w:b/>
          <w:color w:val="auto"/>
          <w:kern w:val="2"/>
          <w:sz w:val="24"/>
          <w:szCs w:val="24"/>
          <w:lang w:val="en-US" w:eastAsia="zh-CN"/>
        </w:rPr>
        <w:t>88</w:t>
      </w:r>
      <w:r w:rsidRPr="00773643">
        <w:rPr>
          <w:rFonts w:ascii="Book Antiqua" w:eastAsia="等线" w:hAnsi="Book Antiqua" w:cs="Times New Roman"/>
          <w:color w:val="auto"/>
          <w:kern w:val="2"/>
          <w:sz w:val="24"/>
          <w:szCs w:val="24"/>
          <w:lang w:val="en-US" w:eastAsia="zh-CN"/>
        </w:rPr>
        <w:t>: 183-189 [PMID: 15084350 DOI: 10.1016/j.jsbmb.2003.11.013</w:t>
      </w:r>
      <w:r>
        <w:rPr>
          <w:rFonts w:ascii="Book Antiqua" w:eastAsia="等线" w:hAnsi="Book Antiqua" w:cs="Times New Roman"/>
          <w:color w:val="auto"/>
          <w:kern w:val="2"/>
          <w:sz w:val="24"/>
          <w:szCs w:val="24"/>
          <w:lang w:val="en-US" w:eastAsia="zh-CN"/>
        </w:rPr>
        <w:t>]</w:t>
      </w:r>
    </w:p>
    <w:p w14:paraId="5A15DBA5"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62 </w:t>
      </w:r>
      <w:r w:rsidRPr="00773643">
        <w:rPr>
          <w:rFonts w:ascii="Book Antiqua" w:eastAsia="等线" w:hAnsi="Book Antiqua" w:cs="Times New Roman"/>
          <w:b/>
          <w:color w:val="auto"/>
          <w:kern w:val="2"/>
          <w:sz w:val="24"/>
          <w:szCs w:val="24"/>
          <w:lang w:val="en-US" w:eastAsia="zh-CN"/>
        </w:rPr>
        <w:t>Leitao MM Jr</w:t>
      </w:r>
      <w:r w:rsidRPr="00773643">
        <w:rPr>
          <w:rFonts w:ascii="Book Antiqua" w:eastAsia="等线" w:hAnsi="Book Antiqua" w:cs="Times New Roman"/>
          <w:color w:val="auto"/>
          <w:kern w:val="2"/>
          <w:sz w:val="24"/>
          <w:szCs w:val="24"/>
          <w:lang w:val="en-US" w:eastAsia="zh-CN"/>
        </w:rPr>
        <w:t xml:space="preserve">, Hensley ML, Barakat RR, Aghajanian C, Gardner GJ, Jewell EL, O'Cearbhaill R, Soslow RA. Immunohistochemical expression of estrogen and progesterone receptors and outcomes in patients with newly diagnosed uterine leiomyosarcoma.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2012; </w:t>
      </w:r>
      <w:r w:rsidRPr="00773643">
        <w:rPr>
          <w:rFonts w:ascii="Book Antiqua" w:eastAsia="等线" w:hAnsi="Book Antiqua" w:cs="Times New Roman"/>
          <w:b/>
          <w:color w:val="auto"/>
          <w:kern w:val="2"/>
          <w:sz w:val="24"/>
          <w:szCs w:val="24"/>
          <w:lang w:val="en-US" w:eastAsia="zh-CN"/>
        </w:rPr>
        <w:t>124</w:t>
      </w:r>
      <w:r w:rsidRPr="00773643">
        <w:rPr>
          <w:rFonts w:ascii="Book Antiqua" w:eastAsia="等线" w:hAnsi="Book Antiqua" w:cs="Times New Roman"/>
          <w:color w:val="auto"/>
          <w:kern w:val="2"/>
          <w:sz w:val="24"/>
          <w:szCs w:val="24"/>
          <w:lang w:val="en-US" w:eastAsia="zh-CN"/>
        </w:rPr>
        <w:t>: 558-562 [PMID: 22085894 DOI: 10.1016/j.ygyno.2011.11.009</w:t>
      </w:r>
      <w:r>
        <w:rPr>
          <w:rFonts w:ascii="Book Antiqua" w:eastAsia="等线" w:hAnsi="Book Antiqua" w:cs="Times New Roman"/>
          <w:color w:val="auto"/>
          <w:kern w:val="2"/>
          <w:sz w:val="24"/>
          <w:szCs w:val="24"/>
          <w:lang w:val="en-US" w:eastAsia="zh-CN"/>
        </w:rPr>
        <w:t>]</w:t>
      </w:r>
    </w:p>
    <w:p w14:paraId="13983537"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63 </w:t>
      </w:r>
      <w:r w:rsidRPr="00773643">
        <w:rPr>
          <w:rFonts w:ascii="Book Antiqua" w:eastAsia="等线" w:hAnsi="Book Antiqua" w:cs="Times New Roman"/>
          <w:b/>
          <w:color w:val="auto"/>
          <w:kern w:val="2"/>
          <w:sz w:val="24"/>
          <w:szCs w:val="24"/>
          <w:lang w:val="en-US" w:eastAsia="zh-CN"/>
        </w:rPr>
        <w:t>O'Cearbhaill R</w:t>
      </w:r>
      <w:r w:rsidRPr="00773643">
        <w:rPr>
          <w:rFonts w:ascii="Book Antiqua" w:eastAsia="等线" w:hAnsi="Book Antiqua" w:cs="Times New Roman"/>
          <w:color w:val="auto"/>
          <w:kern w:val="2"/>
          <w:sz w:val="24"/>
          <w:szCs w:val="24"/>
          <w:lang w:val="en-US" w:eastAsia="zh-CN"/>
        </w:rPr>
        <w:t xml:space="preserve">, Zhou Q, Iasonos A, Soslow RA, Leitao MM, Aghajanian C, Hensley ML. Treatment of advanced uterine leiomyosarcoma with aromatase inhibitors.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2010; </w:t>
      </w:r>
      <w:r w:rsidRPr="00773643">
        <w:rPr>
          <w:rFonts w:ascii="Book Antiqua" w:eastAsia="等线" w:hAnsi="Book Antiqua" w:cs="Times New Roman"/>
          <w:b/>
          <w:color w:val="auto"/>
          <w:kern w:val="2"/>
          <w:sz w:val="24"/>
          <w:szCs w:val="24"/>
          <w:lang w:val="en-US" w:eastAsia="zh-CN"/>
        </w:rPr>
        <w:t>116</w:t>
      </w:r>
      <w:r w:rsidRPr="00773643">
        <w:rPr>
          <w:rFonts w:ascii="Book Antiqua" w:eastAsia="等线" w:hAnsi="Book Antiqua" w:cs="Times New Roman"/>
          <w:color w:val="auto"/>
          <w:kern w:val="2"/>
          <w:sz w:val="24"/>
          <w:szCs w:val="24"/>
          <w:lang w:val="en-US" w:eastAsia="zh-CN"/>
        </w:rPr>
        <w:t>: 424-429 [PMID: 19932916 DOI: 10.1016/j.ygyno.2009.10.064</w:t>
      </w:r>
      <w:r>
        <w:rPr>
          <w:rFonts w:ascii="Book Antiqua" w:eastAsia="等线" w:hAnsi="Book Antiqua" w:cs="Times New Roman"/>
          <w:color w:val="auto"/>
          <w:kern w:val="2"/>
          <w:sz w:val="24"/>
          <w:szCs w:val="24"/>
          <w:lang w:val="en-US" w:eastAsia="zh-CN"/>
        </w:rPr>
        <w:t>]</w:t>
      </w:r>
    </w:p>
    <w:p w14:paraId="513E4483"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64 </w:t>
      </w:r>
      <w:r w:rsidRPr="00773643">
        <w:rPr>
          <w:rFonts w:ascii="Book Antiqua" w:eastAsia="等线" w:hAnsi="Book Antiqua" w:cs="Times New Roman"/>
          <w:b/>
          <w:color w:val="auto"/>
          <w:kern w:val="2"/>
          <w:sz w:val="24"/>
          <w:szCs w:val="24"/>
          <w:lang w:val="en-US" w:eastAsia="zh-CN"/>
        </w:rPr>
        <w:t>Thanopoulou E</w:t>
      </w:r>
      <w:r w:rsidRPr="00773643">
        <w:rPr>
          <w:rFonts w:ascii="Book Antiqua" w:eastAsia="等线" w:hAnsi="Book Antiqua" w:cs="Times New Roman"/>
          <w:color w:val="auto"/>
          <w:kern w:val="2"/>
          <w:sz w:val="24"/>
          <w:szCs w:val="24"/>
          <w:lang w:val="en-US" w:eastAsia="zh-CN"/>
        </w:rPr>
        <w:t xml:space="preserve">, Thway K, Khabra K, Judson I. Treatment of hormone positive uterine leiomyosarcoma with aromatase inhibitors. </w:t>
      </w:r>
      <w:r w:rsidRPr="00773643">
        <w:rPr>
          <w:rFonts w:ascii="Book Antiqua" w:eastAsia="等线" w:hAnsi="Book Antiqua" w:cs="Times New Roman"/>
          <w:i/>
          <w:color w:val="auto"/>
          <w:kern w:val="2"/>
          <w:sz w:val="24"/>
          <w:szCs w:val="24"/>
          <w:lang w:val="en-US" w:eastAsia="zh-CN"/>
        </w:rPr>
        <w:t>Clin Sarcoma Res</w:t>
      </w:r>
      <w:r w:rsidRPr="00773643">
        <w:rPr>
          <w:rFonts w:ascii="Book Antiqua" w:eastAsia="等线" w:hAnsi="Book Antiqua" w:cs="Times New Roman"/>
          <w:color w:val="auto"/>
          <w:kern w:val="2"/>
          <w:sz w:val="24"/>
          <w:szCs w:val="24"/>
          <w:lang w:val="en-US" w:eastAsia="zh-CN"/>
        </w:rPr>
        <w:t xml:space="preserve"> 2014; </w:t>
      </w:r>
      <w:r w:rsidRPr="00773643">
        <w:rPr>
          <w:rFonts w:ascii="Book Antiqua" w:eastAsia="等线" w:hAnsi="Book Antiqua" w:cs="Times New Roman"/>
          <w:b/>
          <w:color w:val="auto"/>
          <w:kern w:val="2"/>
          <w:sz w:val="24"/>
          <w:szCs w:val="24"/>
          <w:lang w:val="en-US" w:eastAsia="zh-CN"/>
        </w:rPr>
        <w:t>4</w:t>
      </w:r>
      <w:r w:rsidRPr="00773643">
        <w:rPr>
          <w:rFonts w:ascii="Book Antiqua" w:eastAsia="等线" w:hAnsi="Book Antiqua" w:cs="Times New Roman"/>
          <w:color w:val="auto"/>
          <w:kern w:val="2"/>
          <w:sz w:val="24"/>
          <w:szCs w:val="24"/>
          <w:lang w:val="en-US" w:eastAsia="zh-CN"/>
        </w:rPr>
        <w:t>: 5 [PMID: 25018868 DOI: 10.1186/2045-3329-4-5</w:t>
      </w:r>
      <w:r>
        <w:rPr>
          <w:rFonts w:ascii="Book Antiqua" w:eastAsia="等线" w:hAnsi="Book Antiqua" w:cs="Times New Roman"/>
          <w:color w:val="auto"/>
          <w:kern w:val="2"/>
          <w:sz w:val="24"/>
          <w:szCs w:val="24"/>
          <w:lang w:val="en-US" w:eastAsia="zh-CN"/>
        </w:rPr>
        <w:t>]</w:t>
      </w:r>
    </w:p>
    <w:p w14:paraId="5CD74502"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65 </w:t>
      </w:r>
      <w:r w:rsidRPr="00773643">
        <w:rPr>
          <w:rFonts w:ascii="Book Antiqua" w:eastAsia="等线" w:hAnsi="Book Antiqua" w:cs="Times New Roman"/>
          <w:b/>
          <w:color w:val="auto"/>
          <w:kern w:val="2"/>
          <w:sz w:val="24"/>
          <w:szCs w:val="24"/>
          <w:lang w:val="en-US" w:eastAsia="zh-CN"/>
        </w:rPr>
        <w:t>George S</w:t>
      </w:r>
      <w:r w:rsidRPr="00773643">
        <w:rPr>
          <w:rFonts w:ascii="Book Antiqua" w:eastAsia="等线" w:hAnsi="Book Antiqua" w:cs="Times New Roman"/>
          <w:color w:val="auto"/>
          <w:kern w:val="2"/>
          <w:sz w:val="24"/>
          <w:szCs w:val="24"/>
          <w:lang w:val="en-US" w:eastAsia="zh-CN"/>
        </w:rPr>
        <w:t xml:space="preserve">, Feng Y, Manola J, Nucci MR, Butrynski JE, Morgan JA, Ramaiya N, Quek R, Penson RT, Wagner AJ, Harmon D, Demetri GD, Krasner C. Phase 2 trial of aromatase inhibition with letrozole in patients with uterine leiomyosarcomas expressing estrogen and/or progesterone receptors. </w:t>
      </w:r>
      <w:r w:rsidRPr="00773643">
        <w:rPr>
          <w:rFonts w:ascii="Book Antiqua" w:eastAsia="等线" w:hAnsi="Book Antiqua" w:cs="Times New Roman"/>
          <w:i/>
          <w:color w:val="auto"/>
          <w:kern w:val="2"/>
          <w:sz w:val="24"/>
          <w:szCs w:val="24"/>
          <w:lang w:val="en-US" w:eastAsia="zh-CN"/>
        </w:rPr>
        <w:t>Cancer</w:t>
      </w:r>
      <w:r w:rsidRPr="00773643">
        <w:rPr>
          <w:rFonts w:ascii="Book Antiqua" w:eastAsia="等线" w:hAnsi="Book Antiqua" w:cs="Times New Roman"/>
          <w:color w:val="auto"/>
          <w:kern w:val="2"/>
          <w:sz w:val="24"/>
          <w:szCs w:val="24"/>
          <w:lang w:val="en-US" w:eastAsia="zh-CN"/>
        </w:rPr>
        <w:t xml:space="preserve"> 2014; </w:t>
      </w:r>
      <w:r w:rsidRPr="00773643">
        <w:rPr>
          <w:rFonts w:ascii="Book Antiqua" w:eastAsia="等线" w:hAnsi="Book Antiqua" w:cs="Times New Roman"/>
          <w:b/>
          <w:color w:val="auto"/>
          <w:kern w:val="2"/>
          <w:sz w:val="24"/>
          <w:szCs w:val="24"/>
          <w:lang w:val="en-US" w:eastAsia="zh-CN"/>
        </w:rPr>
        <w:t>120</w:t>
      </w:r>
      <w:r w:rsidRPr="00773643">
        <w:rPr>
          <w:rFonts w:ascii="Book Antiqua" w:eastAsia="等线" w:hAnsi="Book Antiqua" w:cs="Times New Roman"/>
          <w:color w:val="auto"/>
          <w:kern w:val="2"/>
          <w:sz w:val="24"/>
          <w:szCs w:val="24"/>
          <w:lang w:val="en-US" w:eastAsia="zh-CN"/>
        </w:rPr>
        <w:t>: 738-743 [PMID: 24222211 DOI: 10.1002/cncr.28476</w:t>
      </w:r>
      <w:r>
        <w:rPr>
          <w:rFonts w:ascii="Book Antiqua" w:eastAsia="等线" w:hAnsi="Book Antiqua" w:cs="Times New Roman"/>
          <w:color w:val="auto"/>
          <w:kern w:val="2"/>
          <w:sz w:val="24"/>
          <w:szCs w:val="24"/>
          <w:lang w:val="en-US" w:eastAsia="zh-CN"/>
        </w:rPr>
        <w:t>]</w:t>
      </w:r>
    </w:p>
    <w:p w14:paraId="497F3B63"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66 </w:t>
      </w:r>
      <w:r w:rsidRPr="00773643">
        <w:rPr>
          <w:rFonts w:ascii="Book Antiqua" w:eastAsia="等线" w:hAnsi="Book Antiqua" w:cs="Times New Roman"/>
          <w:b/>
          <w:color w:val="auto"/>
          <w:kern w:val="2"/>
          <w:sz w:val="24"/>
          <w:szCs w:val="24"/>
          <w:lang w:val="en-US" w:eastAsia="zh-CN"/>
        </w:rPr>
        <w:t>Slomovitz BM</w:t>
      </w:r>
      <w:r w:rsidRPr="00773643">
        <w:rPr>
          <w:rFonts w:ascii="Book Antiqua" w:eastAsia="等线" w:hAnsi="Book Antiqua" w:cs="Times New Roman"/>
          <w:color w:val="auto"/>
          <w:kern w:val="2"/>
          <w:sz w:val="24"/>
          <w:szCs w:val="24"/>
          <w:lang w:val="en-US" w:eastAsia="zh-CN"/>
        </w:rPr>
        <w:t xml:space="preserve">, Taub MC, Huang M, Levenback C, Coleman RL. A randomized phase II study of letrozole vs. observation in patients with newly diagnosed uterine leiomyosarcoma (uLMS). </w:t>
      </w:r>
      <w:r w:rsidRPr="00773643">
        <w:rPr>
          <w:rFonts w:ascii="Book Antiqua" w:eastAsia="等线" w:hAnsi="Book Antiqua" w:cs="Times New Roman"/>
          <w:i/>
          <w:color w:val="auto"/>
          <w:kern w:val="2"/>
          <w:sz w:val="24"/>
          <w:szCs w:val="24"/>
          <w:lang w:val="en-US" w:eastAsia="zh-CN"/>
        </w:rPr>
        <w:t>Gynecol Oncol Rep</w:t>
      </w:r>
      <w:r w:rsidRPr="00773643">
        <w:rPr>
          <w:rFonts w:ascii="Book Antiqua" w:eastAsia="等线" w:hAnsi="Book Antiqua" w:cs="Times New Roman"/>
          <w:color w:val="auto"/>
          <w:kern w:val="2"/>
          <w:sz w:val="24"/>
          <w:szCs w:val="24"/>
          <w:lang w:val="en-US" w:eastAsia="zh-CN"/>
        </w:rPr>
        <w:t xml:space="preserve"> 2018; </w:t>
      </w:r>
      <w:r w:rsidRPr="00773643">
        <w:rPr>
          <w:rFonts w:ascii="Book Antiqua" w:eastAsia="等线" w:hAnsi="Book Antiqua" w:cs="Times New Roman"/>
          <w:b/>
          <w:color w:val="auto"/>
          <w:kern w:val="2"/>
          <w:sz w:val="24"/>
          <w:szCs w:val="24"/>
          <w:lang w:val="en-US" w:eastAsia="zh-CN"/>
        </w:rPr>
        <w:t>27</w:t>
      </w:r>
      <w:r w:rsidRPr="00773643">
        <w:rPr>
          <w:rFonts w:ascii="Book Antiqua" w:eastAsia="等线" w:hAnsi="Book Antiqua" w:cs="Times New Roman"/>
          <w:color w:val="auto"/>
          <w:kern w:val="2"/>
          <w:sz w:val="24"/>
          <w:szCs w:val="24"/>
          <w:lang w:val="en-US" w:eastAsia="zh-CN"/>
        </w:rPr>
        <w:t>: 1-4 [PMID: 30519622 DOI: 10.1016/j.gore.2018.11.001</w:t>
      </w:r>
      <w:r>
        <w:rPr>
          <w:rFonts w:ascii="Book Antiqua" w:eastAsia="等线" w:hAnsi="Book Antiqua" w:cs="Times New Roman"/>
          <w:color w:val="auto"/>
          <w:kern w:val="2"/>
          <w:sz w:val="24"/>
          <w:szCs w:val="24"/>
          <w:lang w:val="en-US" w:eastAsia="zh-CN"/>
        </w:rPr>
        <w:t>]</w:t>
      </w:r>
    </w:p>
    <w:p w14:paraId="311620C1"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67 </w:t>
      </w:r>
      <w:r w:rsidRPr="00773643">
        <w:rPr>
          <w:rFonts w:ascii="Book Antiqua" w:eastAsia="等线" w:hAnsi="Book Antiqua" w:cs="Times New Roman"/>
          <w:b/>
          <w:color w:val="auto"/>
          <w:kern w:val="2"/>
          <w:sz w:val="24"/>
          <w:szCs w:val="24"/>
          <w:lang w:val="en-US" w:eastAsia="zh-CN"/>
        </w:rPr>
        <w:t>Amant F</w:t>
      </w:r>
      <w:r w:rsidRPr="00773643">
        <w:rPr>
          <w:rFonts w:ascii="Book Antiqua" w:eastAsia="等线" w:hAnsi="Book Antiqua" w:cs="Times New Roman"/>
          <w:color w:val="auto"/>
          <w:kern w:val="2"/>
          <w:sz w:val="24"/>
          <w:szCs w:val="24"/>
          <w:lang w:val="en-US" w:eastAsia="zh-CN"/>
        </w:rPr>
        <w:t xml:space="preserve">, Coosemans A, Debiec-Rychter M, Timmerman D, Vergote I. Clinical management of uterine sarcomas. </w:t>
      </w:r>
      <w:r w:rsidRPr="00773643">
        <w:rPr>
          <w:rFonts w:ascii="Book Antiqua" w:eastAsia="等线" w:hAnsi="Book Antiqua" w:cs="Times New Roman"/>
          <w:i/>
          <w:color w:val="auto"/>
          <w:kern w:val="2"/>
          <w:sz w:val="24"/>
          <w:szCs w:val="24"/>
          <w:lang w:val="en-US" w:eastAsia="zh-CN"/>
        </w:rPr>
        <w:t>Lancet Oncol</w:t>
      </w:r>
      <w:r w:rsidRPr="00773643">
        <w:rPr>
          <w:rFonts w:ascii="Book Antiqua" w:eastAsia="等线" w:hAnsi="Book Antiqua" w:cs="Times New Roman"/>
          <w:color w:val="auto"/>
          <w:kern w:val="2"/>
          <w:sz w:val="24"/>
          <w:szCs w:val="24"/>
          <w:lang w:val="en-US" w:eastAsia="zh-CN"/>
        </w:rPr>
        <w:t xml:space="preserve"> 2009; </w:t>
      </w:r>
      <w:r w:rsidRPr="00773643">
        <w:rPr>
          <w:rFonts w:ascii="Book Antiqua" w:eastAsia="等线" w:hAnsi="Book Antiqua" w:cs="Times New Roman"/>
          <w:b/>
          <w:color w:val="auto"/>
          <w:kern w:val="2"/>
          <w:sz w:val="24"/>
          <w:szCs w:val="24"/>
          <w:lang w:val="en-US" w:eastAsia="zh-CN"/>
        </w:rPr>
        <w:t>10</w:t>
      </w:r>
      <w:r w:rsidRPr="00773643">
        <w:rPr>
          <w:rFonts w:ascii="Book Antiqua" w:eastAsia="等线" w:hAnsi="Book Antiqua" w:cs="Times New Roman"/>
          <w:color w:val="auto"/>
          <w:kern w:val="2"/>
          <w:sz w:val="24"/>
          <w:szCs w:val="24"/>
          <w:lang w:val="en-US" w:eastAsia="zh-CN"/>
        </w:rPr>
        <w:t>: 1188-1198 [PMID: 19959075 DOI: 10.1016/S1470-2045(09)70226-8</w:t>
      </w:r>
      <w:r>
        <w:rPr>
          <w:rFonts w:ascii="Book Antiqua" w:eastAsia="等线" w:hAnsi="Book Antiqua" w:cs="Times New Roman"/>
          <w:color w:val="auto"/>
          <w:kern w:val="2"/>
          <w:sz w:val="24"/>
          <w:szCs w:val="24"/>
          <w:lang w:val="en-US" w:eastAsia="zh-CN"/>
        </w:rPr>
        <w:t>]</w:t>
      </w:r>
    </w:p>
    <w:p w14:paraId="38F35325"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68 </w:t>
      </w:r>
      <w:r w:rsidRPr="00773643">
        <w:rPr>
          <w:rFonts w:ascii="Book Antiqua" w:eastAsia="等线" w:hAnsi="Book Antiqua" w:cs="Times New Roman"/>
          <w:b/>
          <w:color w:val="auto"/>
          <w:kern w:val="2"/>
          <w:sz w:val="24"/>
          <w:szCs w:val="24"/>
          <w:lang w:val="en-US" w:eastAsia="zh-CN"/>
        </w:rPr>
        <w:t>Cheng X</w:t>
      </w:r>
      <w:r w:rsidRPr="00773643">
        <w:rPr>
          <w:rFonts w:ascii="Book Antiqua" w:eastAsia="等线" w:hAnsi="Book Antiqua" w:cs="Times New Roman"/>
          <w:color w:val="auto"/>
          <w:kern w:val="2"/>
          <w:sz w:val="24"/>
          <w:szCs w:val="24"/>
          <w:lang w:val="en-US" w:eastAsia="zh-CN"/>
        </w:rPr>
        <w:t xml:space="preserve">, Yang G, Schmeler KM, Coleman RL, Tu X, Liu J, Kavanagh JJ. Recurrence patterns and prognosis of endometrial stromal sarcoma and the potential of tyrosine kinase-inhibiting therapy.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2011; </w:t>
      </w:r>
      <w:r w:rsidRPr="00773643">
        <w:rPr>
          <w:rFonts w:ascii="Book Antiqua" w:eastAsia="等线" w:hAnsi="Book Antiqua" w:cs="Times New Roman"/>
          <w:b/>
          <w:color w:val="auto"/>
          <w:kern w:val="2"/>
          <w:sz w:val="24"/>
          <w:szCs w:val="24"/>
          <w:lang w:val="en-US" w:eastAsia="zh-CN"/>
        </w:rPr>
        <w:t>121</w:t>
      </w:r>
      <w:r w:rsidRPr="00773643">
        <w:rPr>
          <w:rFonts w:ascii="Book Antiqua" w:eastAsia="等线" w:hAnsi="Book Antiqua" w:cs="Times New Roman"/>
          <w:color w:val="auto"/>
          <w:kern w:val="2"/>
          <w:sz w:val="24"/>
          <w:szCs w:val="24"/>
          <w:lang w:val="en-US" w:eastAsia="zh-CN"/>
        </w:rPr>
        <w:t>: 323-327 [PMID: 21277011 DOI: 10.1016/j.ygyno.2010.12.360</w:t>
      </w:r>
      <w:r>
        <w:rPr>
          <w:rFonts w:ascii="Book Antiqua" w:eastAsia="等线" w:hAnsi="Book Antiqua" w:cs="Times New Roman"/>
          <w:color w:val="auto"/>
          <w:kern w:val="2"/>
          <w:sz w:val="24"/>
          <w:szCs w:val="24"/>
          <w:lang w:val="en-US" w:eastAsia="zh-CN"/>
        </w:rPr>
        <w:t>]</w:t>
      </w:r>
    </w:p>
    <w:p w14:paraId="69C993C5"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69 </w:t>
      </w:r>
      <w:r w:rsidRPr="00773643">
        <w:rPr>
          <w:rFonts w:ascii="Book Antiqua" w:eastAsia="等线" w:hAnsi="Book Antiqua" w:cs="Times New Roman"/>
          <w:b/>
          <w:color w:val="auto"/>
          <w:kern w:val="2"/>
          <w:sz w:val="24"/>
          <w:szCs w:val="24"/>
          <w:lang w:val="en-US" w:eastAsia="zh-CN"/>
        </w:rPr>
        <w:t>Reich O,</w:t>
      </w:r>
      <w:r w:rsidR="001F38B2">
        <w:rPr>
          <w:rFonts w:ascii="Book Antiqua" w:eastAsia="等线" w:hAnsi="Book Antiqua" w:cs="Times New Roman"/>
          <w:color w:val="auto"/>
          <w:kern w:val="2"/>
          <w:sz w:val="24"/>
          <w:szCs w:val="24"/>
          <w:lang w:val="en-US" w:eastAsia="zh-CN"/>
        </w:rPr>
        <w:t xml:space="preserve"> </w:t>
      </w:r>
      <w:r w:rsidRPr="00773643">
        <w:rPr>
          <w:rFonts w:ascii="Book Antiqua" w:eastAsia="等线" w:hAnsi="Book Antiqua" w:cs="Times New Roman"/>
          <w:color w:val="auto"/>
          <w:kern w:val="2"/>
          <w:sz w:val="24"/>
          <w:szCs w:val="24"/>
          <w:lang w:val="en-US" w:eastAsia="zh-CN"/>
        </w:rPr>
        <w:t xml:space="preserve">Nogales FF, Regauer S. Gonadotropin-releasing hormone receptor expression in endometrial stromal sarcomas: an immunohistochemical study. </w:t>
      </w:r>
      <w:r w:rsidRPr="001F38B2">
        <w:rPr>
          <w:rFonts w:ascii="Book Antiqua" w:eastAsia="等线" w:hAnsi="Book Antiqua" w:cs="Times New Roman"/>
          <w:i/>
          <w:iCs/>
          <w:color w:val="auto"/>
          <w:kern w:val="2"/>
          <w:sz w:val="24"/>
          <w:szCs w:val="24"/>
          <w:lang w:val="en-US" w:eastAsia="zh-CN"/>
        </w:rPr>
        <w:t>Modern Patho</w:t>
      </w:r>
      <w:r w:rsidR="001F38B2">
        <w:rPr>
          <w:rFonts w:ascii="Book Antiqua" w:eastAsia="等线" w:hAnsi="Book Antiqua" w:cs="Times New Roman"/>
          <w:i/>
          <w:iCs/>
          <w:color w:val="auto"/>
          <w:kern w:val="2"/>
          <w:sz w:val="24"/>
          <w:szCs w:val="24"/>
          <w:lang w:val="en-US" w:eastAsia="zh-CN"/>
        </w:rPr>
        <w:t xml:space="preserve"> </w:t>
      </w:r>
      <w:r w:rsidR="001F38B2" w:rsidRPr="00773643">
        <w:rPr>
          <w:rFonts w:ascii="Book Antiqua" w:eastAsia="等线" w:hAnsi="Book Antiqua" w:cs="Times New Roman"/>
          <w:color w:val="auto"/>
          <w:kern w:val="2"/>
          <w:sz w:val="24"/>
          <w:szCs w:val="24"/>
          <w:lang w:val="en-US" w:eastAsia="zh-CN"/>
        </w:rPr>
        <w:t>2005</w:t>
      </w:r>
      <w:r w:rsidR="001F38B2">
        <w:rPr>
          <w:rFonts w:ascii="Book Antiqua" w:eastAsia="等线" w:hAnsi="Book Antiqua" w:cs="Times New Roman"/>
          <w:color w:val="auto"/>
          <w:kern w:val="2"/>
          <w:sz w:val="24"/>
          <w:szCs w:val="24"/>
          <w:lang w:val="en-US" w:eastAsia="zh-CN"/>
        </w:rPr>
        <w:t>;</w:t>
      </w:r>
      <w:r w:rsidRPr="00773643">
        <w:rPr>
          <w:rFonts w:ascii="Book Antiqua" w:eastAsia="等线" w:hAnsi="Book Antiqua" w:cs="Times New Roman"/>
          <w:color w:val="auto"/>
          <w:kern w:val="2"/>
          <w:sz w:val="24"/>
          <w:szCs w:val="24"/>
          <w:lang w:val="en-US" w:eastAsia="zh-CN"/>
        </w:rPr>
        <w:t xml:space="preserve"> </w:t>
      </w:r>
      <w:r w:rsidRPr="001F38B2">
        <w:rPr>
          <w:rFonts w:ascii="Book Antiqua" w:eastAsia="等线" w:hAnsi="Book Antiqua" w:cs="Times New Roman"/>
          <w:b/>
          <w:bCs/>
          <w:color w:val="auto"/>
          <w:kern w:val="2"/>
          <w:sz w:val="24"/>
          <w:szCs w:val="24"/>
          <w:lang w:val="en-US" w:eastAsia="zh-CN"/>
        </w:rPr>
        <w:t>18</w:t>
      </w:r>
      <w:r w:rsidR="001F38B2">
        <w:rPr>
          <w:rFonts w:ascii="Book Antiqua" w:eastAsia="等线" w:hAnsi="Book Antiqua" w:cs="Times New Roman"/>
          <w:color w:val="auto"/>
          <w:kern w:val="2"/>
          <w:sz w:val="24"/>
          <w:szCs w:val="24"/>
          <w:lang w:val="en-US" w:eastAsia="zh-CN"/>
        </w:rPr>
        <w:t xml:space="preserve">: </w:t>
      </w:r>
      <w:r w:rsidRPr="00773643">
        <w:rPr>
          <w:rFonts w:ascii="Book Antiqua" w:eastAsia="等线" w:hAnsi="Book Antiqua" w:cs="Times New Roman"/>
          <w:color w:val="auto"/>
          <w:kern w:val="2"/>
          <w:sz w:val="24"/>
          <w:szCs w:val="24"/>
          <w:lang w:val="en-US" w:eastAsia="zh-CN"/>
        </w:rPr>
        <w:t xml:space="preserve"> 573-576</w:t>
      </w:r>
      <w:r w:rsidR="001F38B2">
        <w:rPr>
          <w:rFonts w:ascii="Book Antiqua" w:eastAsia="等线" w:hAnsi="Book Antiqua" w:cs="Times New Roman"/>
          <w:color w:val="auto"/>
          <w:kern w:val="2"/>
          <w:sz w:val="24"/>
          <w:szCs w:val="24"/>
          <w:lang w:val="en-US" w:eastAsia="zh-CN"/>
        </w:rPr>
        <w:t xml:space="preserve"> [</w:t>
      </w:r>
      <w:r w:rsidR="001F38B2" w:rsidRPr="00773643">
        <w:rPr>
          <w:rFonts w:ascii="Book Antiqua" w:eastAsia="等线" w:hAnsi="Book Antiqua" w:cs="Times New Roman"/>
          <w:color w:val="auto"/>
          <w:kern w:val="2"/>
          <w:sz w:val="24"/>
          <w:szCs w:val="24"/>
          <w:lang w:val="en-US" w:eastAsia="zh-CN"/>
        </w:rPr>
        <w:t>DOI:</w:t>
      </w:r>
      <w:r w:rsidR="001F38B2">
        <w:rPr>
          <w:rFonts w:ascii="Book Antiqua" w:eastAsia="等线" w:hAnsi="Book Antiqua" w:cs="Times New Roman"/>
          <w:color w:val="auto"/>
          <w:kern w:val="2"/>
          <w:sz w:val="24"/>
          <w:szCs w:val="24"/>
          <w:lang w:val="en-US" w:eastAsia="zh-CN"/>
        </w:rPr>
        <w:t xml:space="preserve"> </w:t>
      </w:r>
      <w:r w:rsidRPr="00773643">
        <w:rPr>
          <w:rFonts w:ascii="Book Antiqua" w:eastAsia="等线" w:hAnsi="Book Antiqua" w:cs="Times New Roman"/>
          <w:color w:val="auto"/>
          <w:kern w:val="2"/>
          <w:sz w:val="24"/>
          <w:szCs w:val="24"/>
          <w:lang w:val="en-US" w:eastAsia="zh-CN"/>
        </w:rPr>
        <w:t>10.1038/modpathol.3800325</w:t>
      </w:r>
      <w:r w:rsidR="001F38B2">
        <w:rPr>
          <w:rFonts w:ascii="Book Antiqua" w:eastAsia="等线" w:hAnsi="Book Antiqua" w:cs="Times New Roman"/>
          <w:color w:val="auto"/>
          <w:kern w:val="2"/>
          <w:sz w:val="24"/>
          <w:szCs w:val="24"/>
          <w:lang w:val="en-US" w:eastAsia="zh-CN"/>
        </w:rPr>
        <w:t>]</w:t>
      </w:r>
    </w:p>
    <w:p w14:paraId="7536EAE5"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70 </w:t>
      </w:r>
      <w:r w:rsidRPr="00773643">
        <w:rPr>
          <w:rFonts w:ascii="Book Antiqua" w:eastAsia="等线" w:hAnsi="Book Antiqua" w:cs="Times New Roman"/>
          <w:b/>
          <w:color w:val="auto"/>
          <w:kern w:val="2"/>
          <w:sz w:val="24"/>
          <w:szCs w:val="24"/>
          <w:lang w:val="en-US" w:eastAsia="zh-CN"/>
        </w:rPr>
        <w:t>Leath CA 3rd</w:t>
      </w:r>
      <w:r w:rsidRPr="00773643">
        <w:rPr>
          <w:rFonts w:ascii="Book Antiqua" w:eastAsia="等线" w:hAnsi="Book Antiqua" w:cs="Times New Roman"/>
          <w:color w:val="auto"/>
          <w:kern w:val="2"/>
          <w:sz w:val="24"/>
          <w:szCs w:val="24"/>
          <w:lang w:val="en-US" w:eastAsia="zh-CN"/>
        </w:rPr>
        <w:t xml:space="preserve">, Huh WK, Hyde J Jr, Cohn DE, Resnick KE, Taylor NP, Powell MA, Mutch DG, Bradley WH, Geller MA, Argenta PA, Gold MA. A multi-institutional review of outcomes of endometrial stromal sarcoma.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2007; </w:t>
      </w:r>
      <w:r w:rsidRPr="00773643">
        <w:rPr>
          <w:rFonts w:ascii="Book Antiqua" w:eastAsia="等线" w:hAnsi="Book Antiqua" w:cs="Times New Roman"/>
          <w:b/>
          <w:color w:val="auto"/>
          <w:kern w:val="2"/>
          <w:sz w:val="24"/>
          <w:szCs w:val="24"/>
          <w:lang w:val="en-US" w:eastAsia="zh-CN"/>
        </w:rPr>
        <w:t>105</w:t>
      </w:r>
      <w:r w:rsidRPr="00773643">
        <w:rPr>
          <w:rFonts w:ascii="Book Antiqua" w:eastAsia="等线" w:hAnsi="Book Antiqua" w:cs="Times New Roman"/>
          <w:color w:val="auto"/>
          <w:kern w:val="2"/>
          <w:sz w:val="24"/>
          <w:szCs w:val="24"/>
          <w:lang w:val="en-US" w:eastAsia="zh-CN"/>
        </w:rPr>
        <w:t>: 630-634 [PMID: 17320937 DOI: 10.1016/j.ygyno.2007.01.031</w:t>
      </w:r>
      <w:r>
        <w:rPr>
          <w:rFonts w:ascii="Book Antiqua" w:eastAsia="等线" w:hAnsi="Book Antiqua" w:cs="Times New Roman"/>
          <w:color w:val="auto"/>
          <w:kern w:val="2"/>
          <w:sz w:val="24"/>
          <w:szCs w:val="24"/>
          <w:lang w:val="en-US" w:eastAsia="zh-CN"/>
        </w:rPr>
        <w:t>]</w:t>
      </w:r>
    </w:p>
    <w:p w14:paraId="56DE3678"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71 </w:t>
      </w:r>
      <w:r w:rsidRPr="00773643">
        <w:rPr>
          <w:rFonts w:ascii="Book Antiqua" w:eastAsia="等线" w:hAnsi="Book Antiqua" w:cs="Times New Roman"/>
          <w:b/>
          <w:color w:val="auto"/>
          <w:kern w:val="2"/>
          <w:sz w:val="24"/>
          <w:szCs w:val="24"/>
          <w:lang w:val="en-US" w:eastAsia="zh-CN"/>
        </w:rPr>
        <w:t>Desar IME</w:t>
      </w:r>
      <w:r w:rsidRPr="00773643">
        <w:rPr>
          <w:rFonts w:ascii="Book Antiqua" w:eastAsia="等线" w:hAnsi="Book Antiqua" w:cs="Times New Roman"/>
          <w:color w:val="auto"/>
          <w:kern w:val="2"/>
          <w:sz w:val="24"/>
          <w:szCs w:val="24"/>
          <w:lang w:val="en-US" w:eastAsia="zh-CN"/>
        </w:rPr>
        <w:t xml:space="preserve">, Ottevanger PB, Benson C, van der Graaf WTA. Systemic treatment in adult uterine sarcomas. </w:t>
      </w:r>
      <w:r w:rsidRPr="00773643">
        <w:rPr>
          <w:rFonts w:ascii="Book Antiqua" w:eastAsia="等线" w:hAnsi="Book Antiqua" w:cs="Times New Roman"/>
          <w:i/>
          <w:color w:val="auto"/>
          <w:kern w:val="2"/>
          <w:sz w:val="24"/>
          <w:szCs w:val="24"/>
          <w:lang w:val="en-US" w:eastAsia="zh-CN"/>
        </w:rPr>
        <w:t>Crit Rev Oncol Hematol</w:t>
      </w:r>
      <w:r w:rsidRPr="00773643">
        <w:rPr>
          <w:rFonts w:ascii="Book Antiqua" w:eastAsia="等线" w:hAnsi="Book Antiqua" w:cs="Times New Roman"/>
          <w:color w:val="auto"/>
          <w:kern w:val="2"/>
          <w:sz w:val="24"/>
          <w:szCs w:val="24"/>
          <w:lang w:val="en-US" w:eastAsia="zh-CN"/>
        </w:rPr>
        <w:t xml:space="preserve"> 2018; </w:t>
      </w:r>
      <w:r w:rsidRPr="00773643">
        <w:rPr>
          <w:rFonts w:ascii="Book Antiqua" w:eastAsia="等线" w:hAnsi="Book Antiqua" w:cs="Times New Roman"/>
          <w:b/>
          <w:color w:val="auto"/>
          <w:kern w:val="2"/>
          <w:sz w:val="24"/>
          <w:szCs w:val="24"/>
          <w:lang w:val="en-US" w:eastAsia="zh-CN"/>
        </w:rPr>
        <w:t>122</w:t>
      </w:r>
      <w:r w:rsidRPr="00773643">
        <w:rPr>
          <w:rFonts w:ascii="Book Antiqua" w:eastAsia="等线" w:hAnsi="Book Antiqua" w:cs="Times New Roman"/>
          <w:color w:val="auto"/>
          <w:kern w:val="2"/>
          <w:sz w:val="24"/>
          <w:szCs w:val="24"/>
          <w:lang w:val="en-US" w:eastAsia="zh-CN"/>
        </w:rPr>
        <w:t>: 10-20 [PMID: 29458779 DOI: 10.1016/j.critrevonc.2017.12.009</w:t>
      </w:r>
      <w:r>
        <w:rPr>
          <w:rFonts w:ascii="Book Antiqua" w:eastAsia="等线" w:hAnsi="Book Antiqua" w:cs="Times New Roman"/>
          <w:color w:val="auto"/>
          <w:kern w:val="2"/>
          <w:sz w:val="24"/>
          <w:szCs w:val="24"/>
          <w:lang w:val="en-US" w:eastAsia="zh-CN"/>
        </w:rPr>
        <w:t>]</w:t>
      </w:r>
    </w:p>
    <w:p w14:paraId="25DC8D5C"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72 </w:t>
      </w:r>
      <w:r w:rsidRPr="00773643">
        <w:rPr>
          <w:rFonts w:ascii="Book Antiqua" w:eastAsia="等线" w:hAnsi="Book Antiqua" w:cs="Times New Roman"/>
          <w:b/>
          <w:color w:val="auto"/>
          <w:kern w:val="2"/>
          <w:sz w:val="24"/>
          <w:szCs w:val="24"/>
          <w:lang w:val="en-US" w:eastAsia="zh-CN"/>
        </w:rPr>
        <w:t>Amant F</w:t>
      </w:r>
      <w:r w:rsidRPr="00773643">
        <w:rPr>
          <w:rFonts w:ascii="Book Antiqua" w:eastAsia="等线" w:hAnsi="Book Antiqua" w:cs="Times New Roman"/>
          <w:color w:val="auto"/>
          <w:kern w:val="2"/>
          <w:sz w:val="24"/>
          <w:szCs w:val="24"/>
          <w:lang w:val="en-US" w:eastAsia="zh-CN"/>
        </w:rPr>
        <w:t xml:space="preserve">, Schurmans K, Steenkiste E, Verbist L, Abeler VM, Tulunay G, De Jonge E, Massuger L, Moerman P, Vergote I. Immunohistochemical determination of estrogen and progesterone receptor positivity in uterine adenosarcoma.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2004; </w:t>
      </w:r>
      <w:r w:rsidRPr="00773643">
        <w:rPr>
          <w:rFonts w:ascii="Book Antiqua" w:eastAsia="等线" w:hAnsi="Book Antiqua" w:cs="Times New Roman"/>
          <w:b/>
          <w:color w:val="auto"/>
          <w:kern w:val="2"/>
          <w:sz w:val="24"/>
          <w:szCs w:val="24"/>
          <w:lang w:val="en-US" w:eastAsia="zh-CN"/>
        </w:rPr>
        <w:t>93</w:t>
      </w:r>
      <w:r w:rsidRPr="00773643">
        <w:rPr>
          <w:rFonts w:ascii="Book Antiqua" w:eastAsia="等线" w:hAnsi="Book Antiqua" w:cs="Times New Roman"/>
          <w:color w:val="auto"/>
          <w:kern w:val="2"/>
          <w:sz w:val="24"/>
          <w:szCs w:val="24"/>
          <w:lang w:val="en-US" w:eastAsia="zh-CN"/>
        </w:rPr>
        <w:t>: 680-685 [PMID: 15196864 DOI: 10.1016/j.ygyno.2004.03.021</w:t>
      </w:r>
      <w:r>
        <w:rPr>
          <w:rFonts w:ascii="Book Antiqua" w:eastAsia="等线" w:hAnsi="Book Antiqua" w:cs="Times New Roman"/>
          <w:color w:val="auto"/>
          <w:kern w:val="2"/>
          <w:sz w:val="24"/>
          <w:szCs w:val="24"/>
          <w:lang w:val="en-US" w:eastAsia="zh-CN"/>
        </w:rPr>
        <w:t>]</w:t>
      </w:r>
    </w:p>
    <w:p w14:paraId="1927CE41"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73 </w:t>
      </w:r>
      <w:r w:rsidRPr="00773643">
        <w:rPr>
          <w:rFonts w:ascii="Book Antiqua" w:eastAsia="等线" w:hAnsi="Book Antiqua" w:cs="Times New Roman"/>
          <w:b/>
          <w:color w:val="auto"/>
          <w:kern w:val="2"/>
          <w:sz w:val="24"/>
          <w:szCs w:val="24"/>
          <w:lang w:val="en-US" w:eastAsia="zh-CN"/>
        </w:rPr>
        <w:t>Marcus JZ</w:t>
      </w:r>
      <w:r w:rsidRPr="00773643">
        <w:rPr>
          <w:rFonts w:ascii="Book Antiqua" w:eastAsia="等线" w:hAnsi="Book Antiqua" w:cs="Times New Roman"/>
          <w:color w:val="auto"/>
          <w:kern w:val="2"/>
          <w:sz w:val="24"/>
          <w:szCs w:val="24"/>
          <w:lang w:val="en-US" w:eastAsia="zh-CN"/>
        </w:rPr>
        <w:t xml:space="preserve">, Klobocista M, Karabakhtsian RG, Prossnitz E, Goldberg GL, Huang GS. Female Sex Hormone Receptor Profiling in Uterine Adenosarcomas. </w:t>
      </w:r>
      <w:r w:rsidRPr="00773643">
        <w:rPr>
          <w:rFonts w:ascii="Book Antiqua" w:eastAsia="等线" w:hAnsi="Book Antiqua" w:cs="Times New Roman"/>
          <w:i/>
          <w:color w:val="auto"/>
          <w:kern w:val="2"/>
          <w:sz w:val="24"/>
          <w:szCs w:val="24"/>
          <w:lang w:val="en-US" w:eastAsia="zh-CN"/>
        </w:rPr>
        <w:t>Int J Gynecol Cancer</w:t>
      </w:r>
      <w:r w:rsidRPr="00773643">
        <w:rPr>
          <w:rFonts w:ascii="Book Antiqua" w:eastAsia="等线" w:hAnsi="Book Antiqua" w:cs="Times New Roman"/>
          <w:color w:val="auto"/>
          <w:kern w:val="2"/>
          <w:sz w:val="24"/>
          <w:szCs w:val="24"/>
          <w:lang w:val="en-US" w:eastAsia="zh-CN"/>
        </w:rPr>
        <w:t xml:space="preserve"> 2018; </w:t>
      </w:r>
      <w:r w:rsidRPr="00773643">
        <w:rPr>
          <w:rFonts w:ascii="Book Antiqua" w:eastAsia="等线" w:hAnsi="Book Antiqua" w:cs="Times New Roman"/>
          <w:b/>
          <w:color w:val="auto"/>
          <w:kern w:val="2"/>
          <w:sz w:val="24"/>
          <w:szCs w:val="24"/>
          <w:lang w:val="en-US" w:eastAsia="zh-CN"/>
        </w:rPr>
        <w:t>28</w:t>
      </w:r>
      <w:r w:rsidRPr="00773643">
        <w:rPr>
          <w:rFonts w:ascii="Book Antiqua" w:eastAsia="等线" w:hAnsi="Book Antiqua" w:cs="Times New Roman"/>
          <w:color w:val="auto"/>
          <w:kern w:val="2"/>
          <w:sz w:val="24"/>
          <w:szCs w:val="24"/>
          <w:lang w:val="en-US" w:eastAsia="zh-CN"/>
        </w:rPr>
        <w:t>: 500-504 [PMID: 29303935 DOI: 10.1097/IGC.0000000000001183</w:t>
      </w:r>
      <w:r>
        <w:rPr>
          <w:rFonts w:ascii="Book Antiqua" w:eastAsia="等线" w:hAnsi="Book Antiqua" w:cs="Times New Roman"/>
          <w:color w:val="auto"/>
          <w:kern w:val="2"/>
          <w:sz w:val="24"/>
          <w:szCs w:val="24"/>
          <w:lang w:val="en-US" w:eastAsia="zh-CN"/>
        </w:rPr>
        <w:t>]</w:t>
      </w:r>
    </w:p>
    <w:p w14:paraId="27204033" w14:textId="77777777" w:rsidR="00773643" w:rsidRP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74 </w:t>
      </w:r>
      <w:r w:rsidRPr="00773643">
        <w:rPr>
          <w:rFonts w:ascii="Book Antiqua" w:eastAsia="等线" w:hAnsi="Book Antiqua" w:cs="Times New Roman"/>
          <w:b/>
          <w:color w:val="auto"/>
          <w:kern w:val="2"/>
          <w:sz w:val="24"/>
          <w:szCs w:val="24"/>
          <w:lang w:val="en-US" w:eastAsia="zh-CN"/>
        </w:rPr>
        <w:t>Nannini M</w:t>
      </w:r>
      <w:r w:rsidRPr="00773643">
        <w:rPr>
          <w:rFonts w:ascii="Book Antiqua" w:eastAsia="等线" w:hAnsi="Book Antiqua" w:cs="Times New Roman"/>
          <w:color w:val="auto"/>
          <w:kern w:val="2"/>
          <w:sz w:val="24"/>
          <w:szCs w:val="24"/>
          <w:lang w:val="en-US" w:eastAsia="zh-CN"/>
        </w:rPr>
        <w:t xml:space="preserve">, Dondi G, Santini D, De Leo A, Dei Tos AP, Zamagni C, Saponara M, Gatto L, Nigro C, Bertaccini P, Zompatori M, De Iaco P, Perrone MA, Pantaleo MA. A Single-Centre Experience on the Management of Adenosarcoma: A Successful Report of an Integrated Medical and Surgical Approach. </w:t>
      </w:r>
      <w:r w:rsidRPr="00773643">
        <w:rPr>
          <w:rFonts w:ascii="Book Antiqua" w:eastAsia="等线" w:hAnsi="Book Antiqua" w:cs="Times New Roman"/>
          <w:i/>
          <w:color w:val="auto"/>
          <w:kern w:val="2"/>
          <w:sz w:val="24"/>
          <w:szCs w:val="24"/>
          <w:lang w:val="en-US" w:eastAsia="zh-CN"/>
        </w:rPr>
        <w:t>Clin Med Insights Oncol</w:t>
      </w:r>
      <w:r w:rsidRPr="00773643">
        <w:rPr>
          <w:rFonts w:ascii="Book Antiqua" w:eastAsia="等线" w:hAnsi="Book Antiqua" w:cs="Times New Roman"/>
          <w:color w:val="auto"/>
          <w:kern w:val="2"/>
          <w:sz w:val="24"/>
          <w:szCs w:val="24"/>
          <w:lang w:val="en-US" w:eastAsia="zh-CN"/>
        </w:rPr>
        <w:t xml:space="preserve"> 2018; </w:t>
      </w:r>
      <w:r w:rsidRPr="00773643">
        <w:rPr>
          <w:rFonts w:ascii="Book Antiqua" w:eastAsia="等线" w:hAnsi="Book Antiqua" w:cs="Times New Roman"/>
          <w:b/>
          <w:color w:val="auto"/>
          <w:kern w:val="2"/>
          <w:sz w:val="24"/>
          <w:szCs w:val="24"/>
          <w:lang w:val="en-US" w:eastAsia="zh-CN"/>
        </w:rPr>
        <w:t>12</w:t>
      </w:r>
      <w:r w:rsidRPr="00773643">
        <w:rPr>
          <w:rFonts w:ascii="Book Antiqua" w:eastAsia="等线" w:hAnsi="Book Antiqua" w:cs="Times New Roman"/>
          <w:color w:val="auto"/>
          <w:kern w:val="2"/>
          <w:sz w:val="24"/>
          <w:szCs w:val="24"/>
          <w:lang w:val="en-US" w:eastAsia="zh-CN"/>
        </w:rPr>
        <w:t>: 1179554918782477 [PMID: 29977120 DOI: 10.1177/1179554918782477</w:t>
      </w:r>
      <w:r>
        <w:rPr>
          <w:rFonts w:ascii="Book Antiqua" w:eastAsia="等线" w:hAnsi="Book Antiqua" w:cs="Times New Roman"/>
          <w:color w:val="auto"/>
          <w:kern w:val="2"/>
          <w:sz w:val="24"/>
          <w:szCs w:val="24"/>
          <w:lang w:val="en-US" w:eastAsia="zh-CN"/>
        </w:rPr>
        <w:t>]</w:t>
      </w:r>
    </w:p>
    <w:p w14:paraId="1B4B9AEE" w14:textId="77777777" w:rsidR="00773643" w:rsidRDefault="00773643"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r w:rsidRPr="00773643">
        <w:rPr>
          <w:rFonts w:ascii="Book Antiqua" w:eastAsia="等线" w:hAnsi="Book Antiqua" w:cs="Times New Roman"/>
          <w:color w:val="auto"/>
          <w:kern w:val="2"/>
          <w:sz w:val="24"/>
          <w:szCs w:val="24"/>
          <w:lang w:val="en-US" w:eastAsia="zh-CN"/>
        </w:rPr>
        <w:t xml:space="preserve">75 </w:t>
      </w:r>
      <w:r w:rsidRPr="00773643">
        <w:rPr>
          <w:rFonts w:ascii="Book Antiqua" w:eastAsia="等线" w:hAnsi="Book Antiqua" w:cs="Times New Roman"/>
          <w:b/>
          <w:color w:val="auto"/>
          <w:kern w:val="2"/>
          <w:sz w:val="24"/>
          <w:szCs w:val="24"/>
          <w:lang w:val="en-US" w:eastAsia="zh-CN"/>
        </w:rPr>
        <w:t>Hines BJ</w:t>
      </w:r>
      <w:r w:rsidRPr="00773643">
        <w:rPr>
          <w:rFonts w:ascii="Book Antiqua" w:eastAsia="等线" w:hAnsi="Book Antiqua" w:cs="Times New Roman"/>
          <w:color w:val="auto"/>
          <w:kern w:val="2"/>
          <w:sz w:val="24"/>
          <w:szCs w:val="24"/>
          <w:lang w:val="en-US" w:eastAsia="zh-CN"/>
        </w:rPr>
        <w:t xml:space="preserve">, Porges RF, Mittal K, Muggia FM, Curtin JP. Use of medroxyprogesterone acetate in the treatment of Müllerian adenosarcoma: a case report. </w:t>
      </w:r>
      <w:r w:rsidRPr="00773643">
        <w:rPr>
          <w:rFonts w:ascii="Book Antiqua" w:eastAsia="等线" w:hAnsi="Book Antiqua" w:cs="Times New Roman"/>
          <w:i/>
          <w:color w:val="auto"/>
          <w:kern w:val="2"/>
          <w:sz w:val="24"/>
          <w:szCs w:val="24"/>
          <w:lang w:val="en-US" w:eastAsia="zh-CN"/>
        </w:rPr>
        <w:t>Gynecol Oncol</w:t>
      </w:r>
      <w:r w:rsidRPr="00773643">
        <w:rPr>
          <w:rFonts w:ascii="Book Antiqua" w:eastAsia="等线" w:hAnsi="Book Antiqua" w:cs="Times New Roman"/>
          <w:color w:val="auto"/>
          <w:kern w:val="2"/>
          <w:sz w:val="24"/>
          <w:szCs w:val="24"/>
          <w:lang w:val="en-US" w:eastAsia="zh-CN"/>
        </w:rPr>
        <w:t xml:space="preserve"> 2002; </w:t>
      </w:r>
      <w:r w:rsidRPr="00773643">
        <w:rPr>
          <w:rFonts w:ascii="Book Antiqua" w:eastAsia="等线" w:hAnsi="Book Antiqua" w:cs="Times New Roman"/>
          <w:b/>
          <w:color w:val="auto"/>
          <w:kern w:val="2"/>
          <w:sz w:val="24"/>
          <w:szCs w:val="24"/>
          <w:lang w:val="en-US" w:eastAsia="zh-CN"/>
        </w:rPr>
        <w:t>85</w:t>
      </w:r>
      <w:r w:rsidRPr="00773643">
        <w:rPr>
          <w:rFonts w:ascii="Book Antiqua" w:eastAsia="等线" w:hAnsi="Book Antiqua" w:cs="Times New Roman"/>
          <w:color w:val="auto"/>
          <w:kern w:val="2"/>
          <w:sz w:val="24"/>
          <w:szCs w:val="24"/>
          <w:lang w:val="en-US" w:eastAsia="zh-CN"/>
        </w:rPr>
        <w:t>: 192-195 [PMID: 11925144 DOI: 10.1006/gyno.2002.6585</w:t>
      </w:r>
      <w:r>
        <w:rPr>
          <w:rFonts w:ascii="Book Antiqua" w:eastAsia="等线" w:hAnsi="Book Antiqua" w:cs="Times New Roman"/>
          <w:color w:val="auto"/>
          <w:kern w:val="2"/>
          <w:sz w:val="24"/>
          <w:szCs w:val="24"/>
          <w:lang w:val="en-US" w:eastAsia="zh-CN"/>
        </w:rPr>
        <w:t>]</w:t>
      </w:r>
    </w:p>
    <w:p w14:paraId="3E834AFE" w14:textId="77777777" w:rsidR="00BA0B21" w:rsidRDefault="00BA0B21" w:rsidP="00773643">
      <w:pPr>
        <w:widowControl w:val="0"/>
        <w:adjustRightInd w:val="0"/>
        <w:snapToGrid w:val="0"/>
        <w:spacing w:line="360" w:lineRule="auto"/>
        <w:jc w:val="both"/>
        <w:rPr>
          <w:rFonts w:ascii="Book Antiqua" w:eastAsia="等线" w:hAnsi="Book Antiqua" w:cs="Times New Roman"/>
          <w:color w:val="auto"/>
          <w:kern w:val="2"/>
          <w:sz w:val="24"/>
          <w:szCs w:val="24"/>
          <w:lang w:val="en-US" w:eastAsia="zh-CN"/>
        </w:rPr>
      </w:pPr>
    </w:p>
    <w:p w14:paraId="4DE0C465" w14:textId="7AB40469" w:rsidR="00BA0B21" w:rsidRPr="00BA0B21" w:rsidRDefault="00BA0B21" w:rsidP="00557D29">
      <w:pPr>
        <w:widowControl w:val="0"/>
        <w:wordWrap w:val="0"/>
        <w:spacing w:line="360" w:lineRule="auto"/>
        <w:jc w:val="right"/>
        <w:rPr>
          <w:rFonts w:ascii="Book Antiqua" w:eastAsia="宋体" w:hAnsi="Book Antiqua" w:cs="Courier New"/>
          <w:b/>
          <w:color w:val="auto"/>
          <w:kern w:val="2"/>
          <w:sz w:val="24"/>
          <w:szCs w:val="24"/>
          <w:lang w:val="en-US" w:eastAsia="zh-CN"/>
        </w:rPr>
      </w:pPr>
      <w:r w:rsidRPr="00BA0B21">
        <w:rPr>
          <w:rFonts w:ascii="Book Antiqua" w:eastAsia="宋体" w:hAnsi="Book Antiqua" w:cs="Courier New"/>
          <w:b/>
          <w:color w:val="auto"/>
          <w:kern w:val="2"/>
          <w:sz w:val="24"/>
          <w:szCs w:val="24"/>
          <w:lang w:val="en-US" w:eastAsia="zh-CN"/>
        </w:rPr>
        <w:t xml:space="preserve">P-Reviewer: </w:t>
      </w:r>
      <w:r w:rsidRPr="00BA0B21">
        <w:rPr>
          <w:rFonts w:ascii="Book Antiqua" w:eastAsia="宋体" w:hAnsi="Book Antiqua" w:cs="Courier New"/>
          <w:color w:val="000000"/>
          <w:kern w:val="2"/>
          <w:sz w:val="24"/>
          <w:szCs w:val="24"/>
          <w:lang w:val="en-US" w:eastAsia="zh-CN"/>
        </w:rPr>
        <w:t>Gao</w:t>
      </w:r>
      <w:r>
        <w:rPr>
          <w:rFonts w:ascii="Book Antiqua" w:eastAsia="宋体" w:hAnsi="Book Antiqua" w:cs="Courier New"/>
          <w:color w:val="000000"/>
          <w:kern w:val="2"/>
          <w:sz w:val="24"/>
          <w:szCs w:val="24"/>
          <w:lang w:val="en-US" w:eastAsia="zh-CN"/>
        </w:rPr>
        <w:t xml:space="preserve"> BL</w:t>
      </w:r>
      <w:r w:rsidRPr="00BA0B21">
        <w:rPr>
          <w:rFonts w:ascii="Book Antiqua" w:eastAsia="宋体" w:hAnsi="Book Antiqua" w:cs="Courier New"/>
          <w:color w:val="000000"/>
          <w:kern w:val="2"/>
          <w:sz w:val="24"/>
          <w:szCs w:val="24"/>
          <w:lang w:val="en-US" w:eastAsia="zh-CN"/>
        </w:rPr>
        <w:t xml:space="preserve"> </w:t>
      </w:r>
      <w:r w:rsidRPr="00BA0B21">
        <w:rPr>
          <w:rFonts w:ascii="Book Antiqua" w:eastAsia="宋体" w:hAnsi="Book Antiqua" w:cs="Courier New"/>
          <w:b/>
          <w:color w:val="auto"/>
          <w:kern w:val="2"/>
          <w:sz w:val="24"/>
          <w:szCs w:val="24"/>
          <w:lang w:val="en-US" w:eastAsia="zh-CN"/>
        </w:rPr>
        <w:t xml:space="preserve">S-Editor: </w:t>
      </w:r>
      <w:r w:rsidRPr="00BA0B21">
        <w:rPr>
          <w:rFonts w:ascii="Book Antiqua" w:eastAsia="宋体" w:hAnsi="Book Antiqua" w:cs="Courier New"/>
          <w:color w:val="auto"/>
          <w:kern w:val="2"/>
          <w:sz w:val="24"/>
          <w:szCs w:val="24"/>
          <w:lang w:val="en-US" w:eastAsia="zh-CN"/>
        </w:rPr>
        <w:t>Cui LJ</w:t>
      </w:r>
      <w:r w:rsidRPr="00BA0B21">
        <w:rPr>
          <w:rFonts w:ascii="Book Antiqua" w:eastAsia="宋体" w:hAnsi="Book Antiqua" w:cs="Courier New"/>
          <w:b/>
          <w:color w:val="auto"/>
          <w:kern w:val="2"/>
          <w:sz w:val="24"/>
          <w:szCs w:val="24"/>
          <w:lang w:val="en-US" w:eastAsia="zh-CN"/>
        </w:rPr>
        <w:t xml:space="preserve"> L-Editor: </w:t>
      </w:r>
      <w:r w:rsidR="00557D29" w:rsidRPr="00557D29">
        <w:rPr>
          <w:rFonts w:ascii="Book Antiqua" w:eastAsia="宋体" w:hAnsi="Book Antiqua" w:cs="Courier New" w:hint="eastAsia"/>
          <w:color w:val="auto"/>
          <w:kern w:val="2"/>
          <w:sz w:val="24"/>
          <w:szCs w:val="24"/>
          <w:lang w:val="en-US" w:eastAsia="zh-CN"/>
        </w:rPr>
        <w:t>A</w:t>
      </w:r>
      <w:r w:rsidR="00557D29">
        <w:rPr>
          <w:rFonts w:ascii="Book Antiqua" w:eastAsia="宋体" w:hAnsi="Book Antiqua" w:cs="Courier New" w:hint="eastAsia"/>
          <w:b/>
          <w:color w:val="auto"/>
          <w:kern w:val="2"/>
          <w:sz w:val="24"/>
          <w:szCs w:val="24"/>
          <w:lang w:val="en-US" w:eastAsia="zh-CN"/>
        </w:rPr>
        <w:t xml:space="preserve"> </w:t>
      </w:r>
      <w:r w:rsidRPr="00BA0B21">
        <w:rPr>
          <w:rFonts w:ascii="Book Antiqua" w:eastAsia="宋体" w:hAnsi="Book Antiqua" w:cs="Courier New"/>
          <w:b/>
          <w:color w:val="auto"/>
          <w:kern w:val="2"/>
          <w:sz w:val="24"/>
          <w:szCs w:val="24"/>
          <w:lang w:val="en-US" w:eastAsia="zh-CN"/>
        </w:rPr>
        <w:t xml:space="preserve">E-Editor: </w:t>
      </w:r>
      <w:r w:rsidR="00557D29" w:rsidRPr="00557D29">
        <w:rPr>
          <w:rFonts w:ascii="Book Antiqua" w:eastAsia="宋体" w:hAnsi="Book Antiqua" w:cs="Courier New" w:hint="eastAsia"/>
          <w:color w:val="auto"/>
          <w:kern w:val="2"/>
          <w:sz w:val="24"/>
          <w:szCs w:val="24"/>
          <w:lang w:val="en-US" w:eastAsia="zh-CN"/>
        </w:rPr>
        <w:t>Wang J</w:t>
      </w:r>
    </w:p>
    <w:p w14:paraId="42DB3387" w14:textId="77777777" w:rsidR="00BA0B21" w:rsidRPr="00BA0B21" w:rsidRDefault="00BA0B21" w:rsidP="00BA0B21">
      <w:pPr>
        <w:widowControl w:val="0"/>
        <w:spacing w:line="360" w:lineRule="auto"/>
        <w:jc w:val="both"/>
        <w:rPr>
          <w:rFonts w:ascii="Book Antiqua" w:eastAsia="宋体" w:hAnsi="Book Antiqua" w:cs="Courier New"/>
          <w:b/>
          <w:color w:val="auto"/>
          <w:kern w:val="2"/>
          <w:sz w:val="24"/>
          <w:szCs w:val="24"/>
          <w:lang w:val="en-US" w:eastAsia="zh-CN"/>
        </w:rPr>
      </w:pPr>
      <w:r w:rsidRPr="00BA0B21">
        <w:rPr>
          <w:rFonts w:ascii="Book Antiqua" w:eastAsia="宋体" w:hAnsi="Book Antiqua" w:cs="Courier New"/>
          <w:b/>
          <w:color w:val="auto"/>
          <w:kern w:val="2"/>
          <w:sz w:val="24"/>
          <w:szCs w:val="24"/>
          <w:lang w:val="en-US" w:eastAsia="zh-CN"/>
        </w:rPr>
        <w:t xml:space="preserve"> </w:t>
      </w:r>
    </w:p>
    <w:p w14:paraId="6E549DE7" w14:textId="77777777" w:rsidR="00BA0B21" w:rsidRPr="00BA0B21" w:rsidRDefault="00BA0B21" w:rsidP="00BA0B21">
      <w:pPr>
        <w:snapToGrid w:val="0"/>
        <w:spacing w:line="360" w:lineRule="auto"/>
        <w:jc w:val="both"/>
        <w:rPr>
          <w:rFonts w:ascii="Book Antiqua" w:eastAsia="宋体" w:hAnsi="Book Antiqua" w:cs="Helvetica"/>
          <w:b/>
          <w:color w:val="auto"/>
          <w:sz w:val="24"/>
          <w:szCs w:val="24"/>
          <w:lang w:val="en-US" w:eastAsia="zh-CN"/>
        </w:rPr>
      </w:pPr>
      <w:r w:rsidRPr="00BA0B21">
        <w:rPr>
          <w:rFonts w:ascii="Book Antiqua" w:eastAsia="宋体" w:hAnsi="Book Antiqua" w:cs="Helvetica"/>
          <w:b/>
          <w:color w:val="auto"/>
          <w:sz w:val="24"/>
          <w:szCs w:val="24"/>
          <w:lang w:val="en-US" w:eastAsia="zh-CN"/>
        </w:rPr>
        <w:t xml:space="preserve">Specialty type: </w:t>
      </w:r>
      <w:r w:rsidRPr="00BA0B21">
        <w:rPr>
          <w:rFonts w:ascii="Book Antiqua" w:eastAsia="微软雅黑" w:hAnsi="Book Antiqua" w:cs="宋体"/>
          <w:color w:val="auto"/>
          <w:sz w:val="24"/>
          <w:szCs w:val="24"/>
          <w:lang w:val="en-US" w:eastAsia="zh-CN"/>
        </w:rPr>
        <w:t>Medicine, research and experimental</w:t>
      </w:r>
    </w:p>
    <w:p w14:paraId="3F3A9B48" w14:textId="77777777" w:rsidR="00BA0B21" w:rsidRPr="00BA0B21" w:rsidRDefault="00BA0B21" w:rsidP="00BA0B21">
      <w:pPr>
        <w:snapToGrid w:val="0"/>
        <w:spacing w:line="360" w:lineRule="auto"/>
        <w:jc w:val="both"/>
        <w:rPr>
          <w:rFonts w:ascii="Book Antiqua" w:eastAsia="宋体" w:hAnsi="Book Antiqua" w:cs="Helvetica"/>
          <w:b/>
          <w:color w:val="auto"/>
          <w:sz w:val="24"/>
          <w:szCs w:val="24"/>
          <w:lang w:val="en-US" w:eastAsia="zh-CN"/>
        </w:rPr>
      </w:pPr>
      <w:r w:rsidRPr="00BA0B21">
        <w:rPr>
          <w:rFonts w:ascii="Book Antiqua" w:eastAsia="宋体" w:hAnsi="Book Antiqua" w:cs="Helvetica"/>
          <w:b/>
          <w:color w:val="auto"/>
          <w:sz w:val="24"/>
          <w:szCs w:val="24"/>
          <w:lang w:val="en-US" w:eastAsia="zh-CN"/>
        </w:rPr>
        <w:t xml:space="preserve">Country of origin: </w:t>
      </w:r>
      <w:r w:rsidRPr="00BA0B21">
        <w:rPr>
          <w:rFonts w:ascii="Book Antiqua" w:eastAsia="宋体" w:hAnsi="Book Antiqua" w:cs="Times New Roman"/>
          <w:color w:val="auto"/>
          <w:sz w:val="24"/>
          <w:szCs w:val="24"/>
          <w:lang w:val="en-US" w:eastAsia="zh-CN"/>
        </w:rPr>
        <w:t>Italy</w:t>
      </w:r>
    </w:p>
    <w:p w14:paraId="4663F671" w14:textId="77777777" w:rsidR="00BA0B21" w:rsidRPr="00BA0B21" w:rsidRDefault="00BA0B21" w:rsidP="00BA0B21">
      <w:pPr>
        <w:snapToGrid w:val="0"/>
        <w:spacing w:line="360" w:lineRule="auto"/>
        <w:jc w:val="both"/>
        <w:rPr>
          <w:rFonts w:ascii="Book Antiqua" w:eastAsia="宋体" w:hAnsi="Book Antiqua" w:cs="Helvetica"/>
          <w:b/>
          <w:color w:val="auto"/>
          <w:sz w:val="24"/>
          <w:szCs w:val="24"/>
          <w:lang w:val="en-US" w:eastAsia="zh-CN"/>
        </w:rPr>
      </w:pPr>
      <w:r w:rsidRPr="00BA0B21">
        <w:rPr>
          <w:rFonts w:ascii="Book Antiqua" w:eastAsia="宋体" w:hAnsi="Book Antiqua" w:cs="Helvetica"/>
          <w:b/>
          <w:color w:val="auto"/>
          <w:sz w:val="24"/>
          <w:szCs w:val="24"/>
          <w:lang w:val="en-US" w:eastAsia="zh-CN"/>
        </w:rPr>
        <w:t>Peer-review report classification</w:t>
      </w:r>
    </w:p>
    <w:p w14:paraId="03F22C5D" w14:textId="77777777" w:rsidR="00BA0B21" w:rsidRPr="00BA0B21" w:rsidRDefault="00BA0B21" w:rsidP="00BA0B21">
      <w:pPr>
        <w:snapToGrid w:val="0"/>
        <w:spacing w:line="360" w:lineRule="auto"/>
        <w:jc w:val="both"/>
        <w:rPr>
          <w:rFonts w:ascii="Book Antiqua" w:eastAsia="宋体" w:hAnsi="Book Antiqua" w:cs="Helvetica"/>
          <w:color w:val="auto"/>
          <w:sz w:val="24"/>
          <w:szCs w:val="24"/>
          <w:lang w:val="en-US" w:eastAsia="zh-CN"/>
        </w:rPr>
      </w:pPr>
      <w:r w:rsidRPr="00BA0B21">
        <w:rPr>
          <w:rFonts w:ascii="Book Antiqua" w:eastAsia="宋体" w:hAnsi="Book Antiqua" w:cs="Helvetica"/>
          <w:color w:val="auto"/>
          <w:sz w:val="24"/>
          <w:szCs w:val="24"/>
          <w:lang w:val="en-US" w:eastAsia="zh-CN"/>
        </w:rPr>
        <w:t>Grade A (Excellent): 0</w:t>
      </w:r>
    </w:p>
    <w:p w14:paraId="7C9CA10E" w14:textId="77777777" w:rsidR="00BA0B21" w:rsidRPr="00BA0B21" w:rsidRDefault="00BA0B21" w:rsidP="00BA0B21">
      <w:pPr>
        <w:snapToGrid w:val="0"/>
        <w:spacing w:line="360" w:lineRule="auto"/>
        <w:jc w:val="both"/>
        <w:rPr>
          <w:rFonts w:ascii="Book Antiqua" w:eastAsia="宋体" w:hAnsi="Book Antiqua" w:cs="Helvetica"/>
          <w:color w:val="auto"/>
          <w:sz w:val="24"/>
          <w:szCs w:val="24"/>
          <w:lang w:val="en-US" w:eastAsia="zh-CN"/>
        </w:rPr>
      </w:pPr>
      <w:r w:rsidRPr="00BA0B21">
        <w:rPr>
          <w:rFonts w:ascii="Book Antiqua" w:eastAsia="宋体" w:hAnsi="Book Antiqua" w:cs="Helvetica"/>
          <w:color w:val="auto"/>
          <w:sz w:val="24"/>
          <w:szCs w:val="24"/>
          <w:lang w:val="en-US" w:eastAsia="zh-CN"/>
        </w:rPr>
        <w:t xml:space="preserve">Grade B (Very good): </w:t>
      </w:r>
      <w:r>
        <w:rPr>
          <w:rFonts w:ascii="Book Antiqua" w:eastAsia="宋体" w:hAnsi="Book Antiqua" w:cs="Helvetica"/>
          <w:color w:val="auto"/>
          <w:sz w:val="24"/>
          <w:szCs w:val="24"/>
          <w:lang w:val="en-US" w:eastAsia="zh-CN"/>
        </w:rPr>
        <w:t>0</w:t>
      </w:r>
    </w:p>
    <w:p w14:paraId="1FDB9BE9" w14:textId="77777777" w:rsidR="00BA0B21" w:rsidRPr="00BA0B21" w:rsidRDefault="00BA0B21" w:rsidP="00BA0B21">
      <w:pPr>
        <w:snapToGrid w:val="0"/>
        <w:spacing w:line="360" w:lineRule="auto"/>
        <w:jc w:val="both"/>
        <w:rPr>
          <w:rFonts w:ascii="Book Antiqua" w:eastAsia="宋体" w:hAnsi="Book Antiqua" w:cs="Helvetica"/>
          <w:color w:val="auto"/>
          <w:sz w:val="24"/>
          <w:szCs w:val="24"/>
          <w:lang w:val="en-US" w:eastAsia="zh-CN"/>
        </w:rPr>
      </w:pPr>
      <w:r w:rsidRPr="00BA0B21">
        <w:rPr>
          <w:rFonts w:ascii="Book Antiqua" w:eastAsia="宋体" w:hAnsi="Book Antiqua" w:cs="Helvetica"/>
          <w:color w:val="auto"/>
          <w:sz w:val="24"/>
          <w:szCs w:val="24"/>
          <w:lang w:val="en-US" w:eastAsia="zh-CN"/>
        </w:rPr>
        <w:t xml:space="preserve">Grade C (Good): </w:t>
      </w:r>
      <w:r>
        <w:rPr>
          <w:rFonts w:ascii="Book Antiqua" w:eastAsia="宋体" w:hAnsi="Book Antiqua" w:cs="Helvetica"/>
          <w:color w:val="auto"/>
          <w:sz w:val="24"/>
          <w:szCs w:val="24"/>
          <w:lang w:val="en-US" w:eastAsia="zh-CN"/>
        </w:rPr>
        <w:t>C</w:t>
      </w:r>
    </w:p>
    <w:p w14:paraId="46F8FD01" w14:textId="77777777" w:rsidR="00BA0B21" w:rsidRPr="00BA0B21" w:rsidRDefault="00BA0B21" w:rsidP="00BA0B21">
      <w:pPr>
        <w:snapToGrid w:val="0"/>
        <w:spacing w:line="360" w:lineRule="auto"/>
        <w:jc w:val="both"/>
        <w:rPr>
          <w:rFonts w:ascii="Book Antiqua" w:eastAsia="宋体" w:hAnsi="Book Antiqua" w:cs="Helvetica"/>
          <w:color w:val="auto"/>
          <w:sz w:val="24"/>
          <w:szCs w:val="24"/>
          <w:lang w:val="en-US" w:eastAsia="zh-CN"/>
        </w:rPr>
      </w:pPr>
      <w:r w:rsidRPr="00BA0B21">
        <w:rPr>
          <w:rFonts w:ascii="Book Antiqua" w:eastAsia="宋体" w:hAnsi="Book Antiqua" w:cs="Helvetica"/>
          <w:color w:val="auto"/>
          <w:sz w:val="24"/>
          <w:szCs w:val="24"/>
          <w:lang w:val="en-US" w:eastAsia="zh-CN"/>
        </w:rPr>
        <w:t xml:space="preserve">Grade D (Fair): 0 </w:t>
      </w:r>
    </w:p>
    <w:p w14:paraId="590EF484" w14:textId="2E67A0EF" w:rsidR="00F555A5" w:rsidRDefault="00BA0B21" w:rsidP="00BA0B21">
      <w:pPr>
        <w:autoSpaceDE w:val="0"/>
        <w:autoSpaceDN w:val="0"/>
        <w:adjustRightInd w:val="0"/>
        <w:spacing w:line="360" w:lineRule="auto"/>
        <w:jc w:val="both"/>
        <w:rPr>
          <w:rFonts w:ascii="Book Antiqua" w:eastAsia="宋体" w:hAnsi="Book Antiqua" w:cs="Helvetica"/>
          <w:color w:val="auto"/>
          <w:sz w:val="24"/>
          <w:szCs w:val="24"/>
          <w:lang w:val="en-US" w:eastAsia="zh-CN"/>
        </w:rPr>
      </w:pPr>
      <w:r w:rsidRPr="00BA0B21">
        <w:rPr>
          <w:rFonts w:ascii="Book Antiqua" w:eastAsia="宋体" w:hAnsi="Book Antiqua" w:cs="Helvetica"/>
          <w:color w:val="auto"/>
          <w:sz w:val="24"/>
          <w:szCs w:val="24"/>
          <w:lang w:val="en-US" w:eastAsia="zh-CN"/>
        </w:rPr>
        <w:t>Grade E (Poor): 0</w:t>
      </w:r>
    </w:p>
    <w:p w14:paraId="50FA5E6E" w14:textId="01371F5B" w:rsidR="001560FA" w:rsidRPr="00F555A5" w:rsidRDefault="00F555A5" w:rsidP="00F555A5">
      <w:pPr>
        <w:spacing w:line="240" w:lineRule="auto"/>
        <w:rPr>
          <w:rFonts w:ascii="Book Antiqua" w:eastAsia="宋体" w:hAnsi="Book Antiqua" w:cs="Helvetica"/>
          <w:color w:val="auto"/>
          <w:sz w:val="24"/>
          <w:szCs w:val="24"/>
          <w:lang w:val="en-US" w:eastAsia="zh-CN"/>
        </w:rPr>
      </w:pPr>
      <w:r>
        <w:rPr>
          <w:rFonts w:ascii="Book Antiqua" w:eastAsia="宋体" w:hAnsi="Book Antiqua" w:cs="Helvetica"/>
          <w:color w:val="auto"/>
          <w:sz w:val="24"/>
          <w:szCs w:val="24"/>
          <w:lang w:val="en-US" w:eastAsia="zh-CN"/>
        </w:rPr>
        <w:br w:type="page"/>
      </w:r>
    </w:p>
    <w:p w14:paraId="2DC74E09" w14:textId="77777777" w:rsidR="00453EF6" w:rsidRPr="001F38B2" w:rsidRDefault="001F38B2" w:rsidP="00773643">
      <w:pPr>
        <w:adjustRightInd w:val="0"/>
        <w:snapToGrid w:val="0"/>
        <w:spacing w:line="360" w:lineRule="auto"/>
        <w:jc w:val="both"/>
        <w:rPr>
          <w:rFonts w:ascii="Book Antiqua" w:hAnsi="Book Antiqua"/>
          <w:b/>
          <w:sz w:val="24"/>
          <w:szCs w:val="24"/>
          <w:lang w:val="en-GB"/>
        </w:rPr>
      </w:pPr>
      <w:r w:rsidRPr="001F38B2">
        <w:rPr>
          <w:rFonts w:ascii="Book Antiqua" w:hAnsi="Book Antiqua"/>
          <w:b/>
          <w:sz w:val="24"/>
          <w:szCs w:val="24"/>
          <w:lang w:val="en-GB"/>
        </w:rPr>
        <w:t xml:space="preserve">Table 1 Summary of chief trials investigating the role of adjuvant chemotherapy and </w:t>
      </w:r>
      <w:r w:rsidRPr="00557D29">
        <w:rPr>
          <w:rFonts w:ascii="Book Antiqua" w:hAnsi="Book Antiqua"/>
          <w:b/>
          <w:sz w:val="24"/>
          <w:szCs w:val="24"/>
          <w:lang w:val="en-GB"/>
        </w:rPr>
        <w:t>radiotherapy in uterine sarcomas</w:t>
      </w:r>
    </w:p>
    <w:tbl>
      <w:tblPr>
        <w:tblStyle w:val="a5"/>
        <w:tblW w:w="1071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0"/>
        <w:gridCol w:w="770"/>
        <w:gridCol w:w="1362"/>
        <w:gridCol w:w="1301"/>
        <w:gridCol w:w="882"/>
        <w:gridCol w:w="959"/>
        <w:gridCol w:w="959"/>
        <w:gridCol w:w="810"/>
        <w:gridCol w:w="818"/>
        <w:gridCol w:w="772"/>
      </w:tblGrid>
      <w:tr w:rsidR="00453EF6" w:rsidRPr="00773643" w14:paraId="4A0C5BFF" w14:textId="77777777" w:rsidTr="00F555A5">
        <w:tc>
          <w:tcPr>
            <w:tcW w:w="2080" w:type="dxa"/>
            <w:tcBorders>
              <w:top w:val="single" w:sz="4" w:space="0" w:color="auto"/>
              <w:bottom w:val="single" w:sz="4" w:space="0" w:color="auto"/>
            </w:tcBorders>
          </w:tcPr>
          <w:p w14:paraId="52098031"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p>
        </w:tc>
        <w:tc>
          <w:tcPr>
            <w:tcW w:w="770" w:type="dxa"/>
            <w:tcBorders>
              <w:top w:val="single" w:sz="4" w:space="0" w:color="auto"/>
              <w:bottom w:val="single" w:sz="4" w:space="0" w:color="auto"/>
            </w:tcBorders>
          </w:tcPr>
          <w:p w14:paraId="5187B83C" w14:textId="77777777" w:rsidR="00453EF6" w:rsidRPr="00773643" w:rsidRDefault="000740A3" w:rsidP="00773643">
            <w:pPr>
              <w:tabs>
                <w:tab w:val="left" w:pos="431"/>
              </w:tabs>
              <w:adjustRightInd w:val="0"/>
              <w:snapToGrid w:val="0"/>
              <w:spacing w:line="360" w:lineRule="auto"/>
              <w:jc w:val="both"/>
              <w:rPr>
                <w:rFonts w:ascii="Book Antiqua" w:hAnsi="Book Antiqua"/>
                <w:b/>
                <w:sz w:val="24"/>
                <w:szCs w:val="24"/>
                <w:lang w:val="en-GB"/>
              </w:rPr>
            </w:pPr>
            <w:r w:rsidRPr="000740A3">
              <w:rPr>
                <w:rFonts w:ascii="Book Antiqua" w:hAnsi="Book Antiqua"/>
                <w:b/>
                <w:i/>
                <w:iCs/>
                <w:sz w:val="24"/>
                <w:szCs w:val="24"/>
                <w:lang w:val="en-GB"/>
              </w:rPr>
              <w:t>n</w:t>
            </w:r>
            <w:r w:rsidR="00453EF6" w:rsidRPr="00773643">
              <w:rPr>
                <w:rFonts w:ascii="Book Antiqua" w:hAnsi="Book Antiqua"/>
                <w:b/>
                <w:sz w:val="24"/>
                <w:szCs w:val="24"/>
                <w:lang w:val="en-GB"/>
              </w:rPr>
              <w:t xml:space="preserve"> p</w:t>
            </w:r>
            <w:r>
              <w:rPr>
                <w:rFonts w:ascii="Book Antiqua" w:hAnsi="Book Antiqua"/>
                <w:b/>
                <w:sz w:val="24"/>
                <w:szCs w:val="24"/>
                <w:lang w:val="en-GB"/>
              </w:rPr>
              <w:t>atien</w:t>
            </w:r>
            <w:r w:rsidR="00453EF6" w:rsidRPr="00773643">
              <w:rPr>
                <w:rFonts w:ascii="Book Antiqua" w:hAnsi="Book Antiqua"/>
                <w:b/>
                <w:sz w:val="24"/>
                <w:szCs w:val="24"/>
                <w:lang w:val="en-GB"/>
              </w:rPr>
              <w:t>ts</w:t>
            </w:r>
          </w:p>
        </w:tc>
        <w:tc>
          <w:tcPr>
            <w:tcW w:w="1362" w:type="dxa"/>
            <w:tcBorders>
              <w:top w:val="single" w:sz="4" w:space="0" w:color="auto"/>
              <w:bottom w:val="single" w:sz="4" w:space="0" w:color="auto"/>
            </w:tcBorders>
          </w:tcPr>
          <w:p w14:paraId="5EB3A6DE"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Trial population</w:t>
            </w:r>
          </w:p>
        </w:tc>
        <w:tc>
          <w:tcPr>
            <w:tcW w:w="1301" w:type="dxa"/>
            <w:tcBorders>
              <w:top w:val="single" w:sz="4" w:space="0" w:color="auto"/>
              <w:bottom w:val="single" w:sz="4" w:space="0" w:color="auto"/>
            </w:tcBorders>
          </w:tcPr>
          <w:p w14:paraId="2D158105"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Trial desing</w:t>
            </w:r>
          </w:p>
        </w:tc>
        <w:tc>
          <w:tcPr>
            <w:tcW w:w="882" w:type="dxa"/>
            <w:tcBorders>
              <w:top w:val="single" w:sz="4" w:space="0" w:color="auto"/>
              <w:bottom w:val="single" w:sz="4" w:space="0" w:color="auto"/>
            </w:tcBorders>
          </w:tcPr>
          <w:p w14:paraId="2D0365A6"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 relapse</w:t>
            </w:r>
          </w:p>
        </w:tc>
        <w:tc>
          <w:tcPr>
            <w:tcW w:w="959" w:type="dxa"/>
            <w:tcBorders>
              <w:top w:val="single" w:sz="4" w:space="0" w:color="auto"/>
              <w:bottom w:val="single" w:sz="4" w:space="0" w:color="auto"/>
            </w:tcBorders>
          </w:tcPr>
          <w:p w14:paraId="765F5A0F"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PFS (mo)</w:t>
            </w:r>
          </w:p>
        </w:tc>
        <w:tc>
          <w:tcPr>
            <w:tcW w:w="959" w:type="dxa"/>
            <w:tcBorders>
              <w:top w:val="single" w:sz="4" w:space="0" w:color="auto"/>
              <w:bottom w:val="single" w:sz="4" w:space="0" w:color="auto"/>
            </w:tcBorders>
          </w:tcPr>
          <w:p w14:paraId="430ED99A"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OS (mo)</w:t>
            </w:r>
          </w:p>
        </w:tc>
        <w:tc>
          <w:tcPr>
            <w:tcW w:w="810" w:type="dxa"/>
            <w:tcBorders>
              <w:top w:val="single" w:sz="4" w:space="0" w:color="auto"/>
              <w:bottom w:val="single" w:sz="4" w:space="0" w:color="auto"/>
            </w:tcBorders>
          </w:tcPr>
          <w:p w14:paraId="2BBEAF01"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 xml:space="preserve">2-yr </w:t>
            </w:r>
            <w:bookmarkStart w:id="3" w:name="_Hlk12018996"/>
            <w:r w:rsidRPr="00773643">
              <w:rPr>
                <w:rFonts w:ascii="Book Antiqua" w:hAnsi="Book Antiqua"/>
                <w:b/>
                <w:sz w:val="24"/>
                <w:szCs w:val="24"/>
                <w:lang w:val="en-GB"/>
              </w:rPr>
              <w:t>DFS</w:t>
            </w:r>
            <w:bookmarkEnd w:id="3"/>
          </w:p>
        </w:tc>
        <w:tc>
          <w:tcPr>
            <w:tcW w:w="818" w:type="dxa"/>
            <w:tcBorders>
              <w:top w:val="single" w:sz="4" w:space="0" w:color="auto"/>
              <w:bottom w:val="single" w:sz="4" w:space="0" w:color="auto"/>
            </w:tcBorders>
          </w:tcPr>
          <w:p w14:paraId="4D4C8CD5"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3-yr DFS</w:t>
            </w:r>
          </w:p>
        </w:tc>
        <w:tc>
          <w:tcPr>
            <w:tcW w:w="772" w:type="dxa"/>
            <w:tcBorders>
              <w:top w:val="single" w:sz="4" w:space="0" w:color="auto"/>
              <w:bottom w:val="single" w:sz="4" w:space="0" w:color="auto"/>
            </w:tcBorders>
          </w:tcPr>
          <w:p w14:paraId="0CC3AE8F" w14:textId="77777777" w:rsidR="00453EF6" w:rsidRPr="00773643" w:rsidRDefault="00453EF6" w:rsidP="00773643">
            <w:pPr>
              <w:adjustRightInd w:val="0"/>
              <w:snapToGrid w:val="0"/>
              <w:spacing w:line="360" w:lineRule="auto"/>
              <w:jc w:val="both"/>
              <w:rPr>
                <w:rFonts w:ascii="Book Antiqua" w:hAnsi="Book Antiqua"/>
                <w:b/>
                <w:sz w:val="24"/>
                <w:szCs w:val="24"/>
                <w:lang w:val="en-GB"/>
              </w:rPr>
            </w:pPr>
            <w:r w:rsidRPr="00773643">
              <w:rPr>
                <w:rFonts w:ascii="Book Antiqua" w:hAnsi="Book Antiqua"/>
                <w:b/>
                <w:sz w:val="24"/>
                <w:szCs w:val="24"/>
                <w:lang w:val="en-GB"/>
              </w:rPr>
              <w:t>3-yr OS</w:t>
            </w:r>
          </w:p>
        </w:tc>
      </w:tr>
      <w:tr w:rsidR="00453EF6" w:rsidRPr="00773643" w14:paraId="7945A05C" w14:textId="77777777" w:rsidTr="00F555A5">
        <w:tc>
          <w:tcPr>
            <w:tcW w:w="2080" w:type="dxa"/>
            <w:tcBorders>
              <w:top w:val="single" w:sz="4" w:space="0" w:color="auto"/>
            </w:tcBorders>
          </w:tcPr>
          <w:p w14:paraId="57321A61"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 xml:space="preserve">51 Gy in 28 fractions </w:t>
            </w:r>
            <w:r w:rsidR="001F38B2" w:rsidRPr="001F38B2">
              <w:rPr>
                <w:rFonts w:ascii="Book Antiqua" w:hAnsi="Book Antiqua"/>
                <w:bCs/>
                <w:i/>
                <w:iCs/>
                <w:sz w:val="24"/>
                <w:szCs w:val="24"/>
                <w:lang w:val="en-GB"/>
              </w:rPr>
              <w:t xml:space="preserve">vs </w:t>
            </w:r>
            <w:r w:rsidRPr="001F38B2">
              <w:rPr>
                <w:rFonts w:ascii="Book Antiqua" w:hAnsi="Book Antiqua"/>
                <w:bCs/>
                <w:sz w:val="24"/>
                <w:szCs w:val="24"/>
                <w:lang w:val="en-GB"/>
              </w:rPr>
              <w:t>observation (Reed</w:t>
            </w:r>
            <w:r w:rsidR="007A14E9">
              <w:rPr>
                <w:rFonts w:ascii="Book Antiqua" w:hAnsi="Book Antiqua"/>
                <w:bCs/>
                <w:sz w:val="24"/>
                <w:szCs w:val="24"/>
                <w:lang w:val="en-GB"/>
              </w:rPr>
              <w:t xml:space="preserve"> </w:t>
            </w:r>
            <w:r w:rsidR="007A14E9" w:rsidRPr="007A14E9">
              <w:rPr>
                <w:rFonts w:ascii="Book Antiqua" w:hAnsi="Book Antiqua"/>
                <w:bCs/>
                <w:i/>
                <w:iCs/>
                <w:sz w:val="24"/>
                <w:szCs w:val="24"/>
                <w:lang w:val="en-GB"/>
              </w:rPr>
              <w:t>et al</w:t>
            </w:r>
            <w:r w:rsidR="007A14E9" w:rsidRPr="007A14E9">
              <w:rPr>
                <w:rFonts w:ascii="Book Antiqua" w:hAnsi="Book Antiqua"/>
                <w:bCs/>
                <w:sz w:val="24"/>
                <w:szCs w:val="24"/>
                <w:vertAlign w:val="superscript"/>
                <w:lang w:val="en-GB"/>
              </w:rPr>
              <w:t>[23]</w:t>
            </w:r>
            <w:r w:rsidRPr="001F38B2">
              <w:rPr>
                <w:rFonts w:ascii="Book Antiqua" w:hAnsi="Book Antiqua"/>
                <w:bCs/>
                <w:sz w:val="24"/>
                <w:szCs w:val="24"/>
                <w:lang w:val="en-GB"/>
              </w:rPr>
              <w:t xml:space="preserve">, 2008) </w:t>
            </w:r>
          </w:p>
        </w:tc>
        <w:tc>
          <w:tcPr>
            <w:tcW w:w="770" w:type="dxa"/>
            <w:tcBorders>
              <w:top w:val="single" w:sz="4" w:space="0" w:color="auto"/>
            </w:tcBorders>
          </w:tcPr>
          <w:p w14:paraId="382AE5CA"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224</w:t>
            </w:r>
          </w:p>
        </w:tc>
        <w:tc>
          <w:tcPr>
            <w:tcW w:w="1362" w:type="dxa"/>
            <w:tcBorders>
              <w:top w:val="single" w:sz="4" w:space="0" w:color="auto"/>
            </w:tcBorders>
          </w:tcPr>
          <w:p w14:paraId="60BE3519"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US, stage I-II (103 uLMS)</w:t>
            </w:r>
          </w:p>
        </w:tc>
        <w:tc>
          <w:tcPr>
            <w:tcW w:w="1301" w:type="dxa"/>
            <w:tcBorders>
              <w:top w:val="single" w:sz="4" w:space="0" w:color="auto"/>
            </w:tcBorders>
          </w:tcPr>
          <w:p w14:paraId="7C07DB31"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Randomised, phase 3</w:t>
            </w:r>
          </w:p>
        </w:tc>
        <w:tc>
          <w:tcPr>
            <w:tcW w:w="882" w:type="dxa"/>
            <w:tcBorders>
              <w:top w:val="single" w:sz="4" w:space="0" w:color="auto"/>
            </w:tcBorders>
          </w:tcPr>
          <w:p w14:paraId="5470E235"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959" w:type="dxa"/>
            <w:tcBorders>
              <w:top w:val="single" w:sz="4" w:space="0" w:color="auto"/>
            </w:tcBorders>
          </w:tcPr>
          <w:p w14:paraId="09A2EB64"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 xml:space="preserve">6.2 </w:t>
            </w:r>
            <w:r w:rsidR="001F38B2" w:rsidRPr="001F38B2">
              <w:rPr>
                <w:rFonts w:ascii="Book Antiqua" w:hAnsi="Book Antiqua"/>
                <w:bCs/>
                <w:i/>
                <w:iCs/>
                <w:sz w:val="24"/>
                <w:szCs w:val="24"/>
                <w:lang w:val="en-GB"/>
              </w:rPr>
              <w:t xml:space="preserve">vs </w:t>
            </w:r>
            <w:r w:rsidRPr="001F38B2">
              <w:rPr>
                <w:rFonts w:ascii="Book Antiqua" w:hAnsi="Book Antiqua"/>
                <w:bCs/>
                <w:sz w:val="24"/>
                <w:szCs w:val="24"/>
                <w:lang w:val="en-GB"/>
              </w:rPr>
              <w:t>4.9 (</w:t>
            </w:r>
            <w:r w:rsidR="001F38B2" w:rsidRPr="001F38B2">
              <w:rPr>
                <w:rFonts w:ascii="Book Antiqua" w:hAnsi="Book Antiqua"/>
                <w:bCs/>
                <w:i/>
                <w:iCs/>
                <w:sz w:val="24"/>
                <w:szCs w:val="24"/>
                <w:lang w:val="en-GB"/>
              </w:rPr>
              <w:t>P</w:t>
            </w:r>
            <w:r w:rsidRPr="001F38B2">
              <w:rPr>
                <w:rFonts w:ascii="Book Antiqua" w:hAnsi="Book Antiqua"/>
                <w:bCs/>
                <w:sz w:val="24"/>
                <w:szCs w:val="24"/>
                <w:lang w:val="en-GB"/>
              </w:rPr>
              <w:t xml:space="preserve"> = 0.35)</w:t>
            </w:r>
          </w:p>
        </w:tc>
        <w:tc>
          <w:tcPr>
            <w:tcW w:w="959" w:type="dxa"/>
            <w:tcBorders>
              <w:top w:val="single" w:sz="4" w:space="0" w:color="auto"/>
            </w:tcBorders>
          </w:tcPr>
          <w:p w14:paraId="4A2D1087"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 xml:space="preserve">8.5 </w:t>
            </w:r>
            <w:r w:rsidR="001F38B2" w:rsidRPr="001F38B2">
              <w:rPr>
                <w:rFonts w:ascii="Book Antiqua" w:hAnsi="Book Antiqua"/>
                <w:bCs/>
                <w:i/>
                <w:iCs/>
                <w:sz w:val="24"/>
                <w:szCs w:val="24"/>
                <w:lang w:val="en-GB"/>
              </w:rPr>
              <w:t xml:space="preserve">vs </w:t>
            </w:r>
            <w:r w:rsidRPr="001F38B2">
              <w:rPr>
                <w:rFonts w:ascii="Book Antiqua" w:hAnsi="Book Antiqua"/>
                <w:bCs/>
                <w:sz w:val="24"/>
                <w:szCs w:val="24"/>
                <w:lang w:val="en-GB"/>
              </w:rPr>
              <w:t>6.7 (</w:t>
            </w:r>
            <w:r w:rsidR="001F38B2" w:rsidRPr="001F38B2">
              <w:rPr>
                <w:rFonts w:ascii="Book Antiqua" w:hAnsi="Book Antiqua"/>
                <w:bCs/>
                <w:i/>
                <w:iCs/>
                <w:sz w:val="24"/>
                <w:szCs w:val="24"/>
                <w:lang w:val="en-GB"/>
              </w:rPr>
              <w:t xml:space="preserve">P </w:t>
            </w:r>
            <w:r w:rsidRPr="001F38B2">
              <w:rPr>
                <w:rFonts w:ascii="Book Antiqua" w:hAnsi="Book Antiqua"/>
                <w:bCs/>
                <w:sz w:val="24"/>
                <w:szCs w:val="24"/>
                <w:lang w:val="en-GB"/>
              </w:rPr>
              <w:t>= 0.92)</w:t>
            </w:r>
          </w:p>
        </w:tc>
        <w:tc>
          <w:tcPr>
            <w:tcW w:w="810" w:type="dxa"/>
            <w:tcBorders>
              <w:top w:val="single" w:sz="4" w:space="0" w:color="auto"/>
            </w:tcBorders>
          </w:tcPr>
          <w:p w14:paraId="3DDFE389"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818" w:type="dxa"/>
            <w:tcBorders>
              <w:top w:val="single" w:sz="4" w:space="0" w:color="auto"/>
            </w:tcBorders>
          </w:tcPr>
          <w:p w14:paraId="5128C61A"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772" w:type="dxa"/>
            <w:tcBorders>
              <w:top w:val="single" w:sz="4" w:space="0" w:color="auto"/>
            </w:tcBorders>
          </w:tcPr>
          <w:p w14:paraId="2444AA4A"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r>
      <w:tr w:rsidR="00453EF6" w:rsidRPr="00773643" w14:paraId="7498DFB5" w14:textId="77777777" w:rsidTr="00F555A5">
        <w:tc>
          <w:tcPr>
            <w:tcW w:w="2080" w:type="dxa"/>
          </w:tcPr>
          <w:p w14:paraId="7F25F48F"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Doxorubicin 60 mg/m</w:t>
            </w:r>
            <w:r w:rsidRPr="00BB0A44">
              <w:rPr>
                <w:rFonts w:ascii="Book Antiqua" w:hAnsi="Book Antiqua"/>
                <w:bCs/>
                <w:sz w:val="24"/>
                <w:szCs w:val="24"/>
                <w:vertAlign w:val="superscript"/>
                <w:lang w:val="en-GB"/>
              </w:rPr>
              <w:t>2</w:t>
            </w:r>
            <w:r w:rsidRPr="001F38B2">
              <w:rPr>
                <w:rFonts w:ascii="Book Antiqua" w:hAnsi="Book Antiqua"/>
                <w:bCs/>
                <w:sz w:val="24"/>
                <w:szCs w:val="24"/>
                <w:lang w:val="en-GB"/>
              </w:rPr>
              <w:t xml:space="preserve"> (8 cycles) </w:t>
            </w:r>
            <w:r w:rsidR="001F38B2" w:rsidRPr="001F38B2">
              <w:rPr>
                <w:rFonts w:ascii="Book Antiqua" w:hAnsi="Book Antiqua"/>
                <w:bCs/>
                <w:i/>
                <w:iCs/>
                <w:sz w:val="24"/>
                <w:szCs w:val="24"/>
                <w:lang w:val="en-GB"/>
              </w:rPr>
              <w:t xml:space="preserve">vs </w:t>
            </w:r>
            <w:r w:rsidRPr="001F38B2">
              <w:rPr>
                <w:rFonts w:ascii="Book Antiqua" w:hAnsi="Book Antiqua"/>
                <w:bCs/>
                <w:sz w:val="24"/>
                <w:szCs w:val="24"/>
                <w:lang w:val="en-GB"/>
              </w:rPr>
              <w:t>observation (Omura</w:t>
            </w:r>
            <w:r w:rsidR="007A14E9" w:rsidRPr="007A14E9">
              <w:rPr>
                <w:rFonts w:ascii="Book Antiqua" w:hAnsi="Book Antiqua"/>
                <w:bCs/>
                <w:i/>
                <w:iCs/>
                <w:sz w:val="24"/>
                <w:szCs w:val="24"/>
                <w:lang w:val="en-GB"/>
              </w:rPr>
              <w:t xml:space="preserve"> et al</w:t>
            </w:r>
            <w:r w:rsidR="007A14E9" w:rsidRPr="007A14E9">
              <w:rPr>
                <w:rFonts w:ascii="Book Antiqua" w:hAnsi="Book Antiqua"/>
                <w:bCs/>
                <w:sz w:val="24"/>
                <w:szCs w:val="24"/>
                <w:vertAlign w:val="superscript"/>
                <w:lang w:val="en-GB"/>
              </w:rPr>
              <w:t>[</w:t>
            </w:r>
            <w:r w:rsidR="007A14E9">
              <w:rPr>
                <w:rFonts w:ascii="Book Antiqua" w:hAnsi="Book Antiqua"/>
                <w:bCs/>
                <w:sz w:val="24"/>
                <w:szCs w:val="24"/>
                <w:vertAlign w:val="superscript"/>
                <w:lang w:val="en-GB"/>
              </w:rPr>
              <w:t>40]</w:t>
            </w:r>
            <w:r w:rsidR="007A14E9" w:rsidRPr="001F38B2">
              <w:rPr>
                <w:rFonts w:ascii="Book Antiqua" w:hAnsi="Book Antiqua"/>
                <w:bCs/>
                <w:sz w:val="24"/>
                <w:szCs w:val="24"/>
                <w:lang w:val="en-GB"/>
              </w:rPr>
              <w:t>,</w:t>
            </w:r>
            <w:r w:rsidR="007A14E9">
              <w:rPr>
                <w:rFonts w:ascii="Book Antiqua" w:hAnsi="Book Antiqua"/>
                <w:bCs/>
                <w:sz w:val="24"/>
                <w:szCs w:val="24"/>
                <w:lang w:val="en-GB"/>
              </w:rPr>
              <w:t xml:space="preserve"> </w:t>
            </w:r>
            <w:r w:rsidRPr="001F38B2">
              <w:rPr>
                <w:rFonts w:ascii="Book Antiqua" w:hAnsi="Book Antiqua"/>
                <w:bCs/>
                <w:sz w:val="24"/>
                <w:szCs w:val="24"/>
                <w:lang w:val="en-GB"/>
              </w:rPr>
              <w:t xml:space="preserve">1985) </w:t>
            </w:r>
          </w:p>
        </w:tc>
        <w:tc>
          <w:tcPr>
            <w:tcW w:w="770" w:type="dxa"/>
          </w:tcPr>
          <w:p w14:paraId="6E241DFD"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225</w:t>
            </w:r>
          </w:p>
        </w:tc>
        <w:tc>
          <w:tcPr>
            <w:tcW w:w="1362" w:type="dxa"/>
          </w:tcPr>
          <w:p w14:paraId="7A9F5F7A"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US, stage I-II (48 uLMS)</w:t>
            </w:r>
          </w:p>
        </w:tc>
        <w:tc>
          <w:tcPr>
            <w:tcW w:w="1301" w:type="dxa"/>
          </w:tcPr>
          <w:p w14:paraId="4F1ED32A"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Randomised, phase 3</w:t>
            </w:r>
          </w:p>
        </w:tc>
        <w:tc>
          <w:tcPr>
            <w:tcW w:w="882" w:type="dxa"/>
          </w:tcPr>
          <w:p w14:paraId="6C97D83C"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 xml:space="preserve">41% </w:t>
            </w:r>
            <w:r w:rsidR="001F38B2" w:rsidRPr="001F38B2">
              <w:rPr>
                <w:rFonts w:ascii="Book Antiqua" w:hAnsi="Book Antiqua"/>
                <w:bCs/>
                <w:i/>
                <w:iCs/>
                <w:sz w:val="24"/>
                <w:szCs w:val="24"/>
                <w:lang w:val="en-GB"/>
              </w:rPr>
              <w:t xml:space="preserve">vs </w:t>
            </w:r>
            <w:r w:rsidRPr="001F38B2">
              <w:rPr>
                <w:rFonts w:ascii="Book Antiqua" w:hAnsi="Book Antiqua"/>
                <w:bCs/>
                <w:sz w:val="24"/>
                <w:szCs w:val="24"/>
                <w:lang w:val="en-GB"/>
              </w:rPr>
              <w:t>53%</w:t>
            </w:r>
          </w:p>
        </w:tc>
        <w:tc>
          <w:tcPr>
            <w:tcW w:w="959" w:type="dxa"/>
          </w:tcPr>
          <w:p w14:paraId="184F57CE"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 xml:space="preserve">NR </w:t>
            </w:r>
            <w:r w:rsidR="001F38B2" w:rsidRPr="001F38B2">
              <w:rPr>
                <w:rFonts w:ascii="Book Antiqua" w:hAnsi="Book Antiqua"/>
                <w:bCs/>
                <w:i/>
                <w:iCs/>
                <w:sz w:val="24"/>
                <w:szCs w:val="24"/>
                <w:lang w:val="en-GB"/>
              </w:rPr>
              <w:t xml:space="preserve">vs </w:t>
            </w:r>
            <w:r w:rsidRPr="001F38B2">
              <w:rPr>
                <w:rFonts w:ascii="Book Antiqua" w:hAnsi="Book Antiqua"/>
                <w:bCs/>
                <w:sz w:val="24"/>
                <w:szCs w:val="24"/>
                <w:lang w:val="en-GB"/>
              </w:rPr>
              <w:t>40.2</w:t>
            </w:r>
          </w:p>
        </w:tc>
        <w:tc>
          <w:tcPr>
            <w:tcW w:w="959" w:type="dxa"/>
          </w:tcPr>
          <w:p w14:paraId="36E843CB"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 xml:space="preserve">73.7 </w:t>
            </w:r>
            <w:r w:rsidR="001F38B2" w:rsidRPr="001F38B2">
              <w:rPr>
                <w:rFonts w:ascii="Book Antiqua" w:hAnsi="Book Antiqua"/>
                <w:bCs/>
                <w:i/>
                <w:iCs/>
                <w:sz w:val="24"/>
                <w:szCs w:val="24"/>
                <w:lang w:val="en-GB"/>
              </w:rPr>
              <w:t xml:space="preserve">vs </w:t>
            </w:r>
            <w:r w:rsidRPr="001F38B2">
              <w:rPr>
                <w:rFonts w:ascii="Book Antiqua" w:hAnsi="Book Antiqua"/>
                <w:bCs/>
                <w:sz w:val="24"/>
                <w:szCs w:val="24"/>
                <w:lang w:val="en-GB"/>
              </w:rPr>
              <w:t>55 (</w:t>
            </w:r>
            <w:r w:rsidR="001F38B2" w:rsidRPr="001F38B2">
              <w:rPr>
                <w:rFonts w:ascii="Book Antiqua" w:hAnsi="Book Antiqua"/>
                <w:bCs/>
                <w:i/>
                <w:iCs/>
                <w:sz w:val="24"/>
                <w:szCs w:val="24"/>
                <w:lang w:val="en-GB"/>
              </w:rPr>
              <w:t>P</w:t>
            </w:r>
            <w:r w:rsidRPr="001F38B2">
              <w:rPr>
                <w:rFonts w:ascii="Book Antiqua" w:hAnsi="Book Antiqua"/>
                <w:bCs/>
                <w:sz w:val="24"/>
                <w:szCs w:val="24"/>
                <w:lang w:val="en-GB"/>
              </w:rPr>
              <w:t xml:space="preserve"> &gt; 0.5)</w:t>
            </w:r>
          </w:p>
        </w:tc>
        <w:tc>
          <w:tcPr>
            <w:tcW w:w="810" w:type="dxa"/>
          </w:tcPr>
          <w:p w14:paraId="077D80F1"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818" w:type="dxa"/>
          </w:tcPr>
          <w:p w14:paraId="74C847E2"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772" w:type="dxa"/>
          </w:tcPr>
          <w:p w14:paraId="427A9AFE"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r>
      <w:tr w:rsidR="00453EF6" w:rsidRPr="00773643" w14:paraId="6AA892E0" w14:textId="77777777" w:rsidTr="00F555A5">
        <w:tc>
          <w:tcPr>
            <w:tcW w:w="2080" w:type="dxa"/>
          </w:tcPr>
          <w:p w14:paraId="27CB1000"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Ifosfamide 1.5 g/m</w:t>
            </w:r>
            <w:r w:rsidRPr="007A14E9">
              <w:rPr>
                <w:rFonts w:ascii="Book Antiqua" w:hAnsi="Book Antiqua"/>
                <w:bCs/>
                <w:sz w:val="24"/>
                <w:szCs w:val="24"/>
                <w:vertAlign w:val="superscript"/>
                <w:lang w:val="en-GB"/>
              </w:rPr>
              <w:t>2</w:t>
            </w:r>
            <w:r w:rsidRPr="001F38B2">
              <w:rPr>
                <w:rFonts w:ascii="Book Antiqua" w:hAnsi="Book Antiqua"/>
                <w:bCs/>
                <w:sz w:val="24"/>
                <w:szCs w:val="24"/>
                <w:lang w:val="en-GB"/>
              </w:rPr>
              <w:t>/d</w:t>
            </w:r>
            <w:r w:rsidR="000740A3">
              <w:rPr>
                <w:rFonts w:ascii="Book Antiqua" w:hAnsi="Book Antiqua"/>
                <w:bCs/>
                <w:sz w:val="24"/>
                <w:szCs w:val="24"/>
                <w:lang w:val="en-GB"/>
              </w:rPr>
              <w:t xml:space="preserve"> </w:t>
            </w:r>
            <w:r w:rsidRPr="001F38B2">
              <w:rPr>
                <w:rFonts w:ascii="Book Antiqua" w:hAnsi="Book Antiqua"/>
                <w:bCs/>
                <w:sz w:val="24"/>
                <w:szCs w:val="24"/>
                <w:lang w:val="en-GB"/>
              </w:rPr>
              <w:t>(Kushner</w:t>
            </w:r>
            <w:r w:rsidR="007A14E9" w:rsidRPr="007A14E9">
              <w:rPr>
                <w:rFonts w:ascii="Book Antiqua" w:hAnsi="Book Antiqua"/>
                <w:bCs/>
                <w:i/>
                <w:iCs/>
                <w:sz w:val="24"/>
                <w:szCs w:val="24"/>
                <w:lang w:val="en-GB"/>
              </w:rPr>
              <w:t xml:space="preserve"> et al</w:t>
            </w:r>
            <w:r w:rsidR="007A14E9" w:rsidRPr="007A14E9">
              <w:rPr>
                <w:rFonts w:ascii="Book Antiqua" w:hAnsi="Book Antiqua"/>
                <w:bCs/>
                <w:sz w:val="24"/>
                <w:szCs w:val="24"/>
                <w:vertAlign w:val="superscript"/>
                <w:lang w:val="en-GB"/>
              </w:rPr>
              <w:t>[</w:t>
            </w:r>
            <w:r w:rsidR="007A14E9">
              <w:rPr>
                <w:rFonts w:ascii="Book Antiqua" w:hAnsi="Book Antiqua"/>
                <w:bCs/>
                <w:sz w:val="24"/>
                <w:szCs w:val="24"/>
                <w:vertAlign w:val="superscript"/>
                <w:lang w:val="en-GB"/>
              </w:rPr>
              <w:t>41]</w:t>
            </w:r>
            <w:r w:rsidR="007A14E9" w:rsidRPr="001F38B2">
              <w:rPr>
                <w:rFonts w:ascii="Book Antiqua" w:hAnsi="Book Antiqua"/>
                <w:bCs/>
                <w:sz w:val="24"/>
                <w:szCs w:val="24"/>
                <w:lang w:val="en-GB"/>
              </w:rPr>
              <w:t>,</w:t>
            </w:r>
            <w:r w:rsidR="007A14E9">
              <w:rPr>
                <w:rFonts w:ascii="Book Antiqua" w:hAnsi="Book Antiqua"/>
                <w:bCs/>
                <w:sz w:val="24"/>
                <w:szCs w:val="24"/>
                <w:lang w:val="en-GB"/>
              </w:rPr>
              <w:t xml:space="preserve"> </w:t>
            </w:r>
            <w:r w:rsidRPr="001F38B2">
              <w:rPr>
                <w:rFonts w:ascii="Book Antiqua" w:hAnsi="Book Antiqua"/>
                <w:bCs/>
                <w:sz w:val="24"/>
                <w:szCs w:val="24"/>
                <w:lang w:val="en-GB"/>
              </w:rPr>
              <w:t xml:space="preserve">2000) </w:t>
            </w:r>
          </w:p>
        </w:tc>
        <w:tc>
          <w:tcPr>
            <w:tcW w:w="770" w:type="dxa"/>
          </w:tcPr>
          <w:p w14:paraId="3431A38C"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13</w:t>
            </w:r>
          </w:p>
        </w:tc>
        <w:tc>
          <w:tcPr>
            <w:tcW w:w="1362" w:type="dxa"/>
          </w:tcPr>
          <w:p w14:paraId="6F5BF9A3"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US, stage I-IV</w:t>
            </w:r>
          </w:p>
        </w:tc>
        <w:tc>
          <w:tcPr>
            <w:tcW w:w="1301" w:type="dxa"/>
          </w:tcPr>
          <w:p w14:paraId="3684E2DE"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Single-arm</w:t>
            </w:r>
          </w:p>
        </w:tc>
        <w:tc>
          <w:tcPr>
            <w:tcW w:w="882" w:type="dxa"/>
          </w:tcPr>
          <w:p w14:paraId="230033D8"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959" w:type="dxa"/>
          </w:tcPr>
          <w:p w14:paraId="59D1AD19"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26</w:t>
            </w:r>
          </w:p>
        </w:tc>
        <w:tc>
          <w:tcPr>
            <w:tcW w:w="959" w:type="dxa"/>
          </w:tcPr>
          <w:p w14:paraId="5BEA8ACC"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41</w:t>
            </w:r>
          </w:p>
        </w:tc>
        <w:tc>
          <w:tcPr>
            <w:tcW w:w="810" w:type="dxa"/>
          </w:tcPr>
          <w:p w14:paraId="4FDB9178"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818" w:type="dxa"/>
          </w:tcPr>
          <w:p w14:paraId="35688EDF"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772" w:type="dxa"/>
          </w:tcPr>
          <w:p w14:paraId="073DD888"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r>
      <w:tr w:rsidR="00453EF6" w:rsidRPr="00773643" w14:paraId="742AAB56" w14:textId="77777777" w:rsidTr="00F555A5">
        <w:tc>
          <w:tcPr>
            <w:tcW w:w="2080" w:type="dxa"/>
          </w:tcPr>
          <w:p w14:paraId="6017816D"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Gemcitabine 900 mg/m</w:t>
            </w:r>
            <w:r w:rsidRPr="007A14E9">
              <w:rPr>
                <w:rFonts w:ascii="Book Antiqua" w:hAnsi="Book Antiqua"/>
                <w:bCs/>
                <w:sz w:val="24"/>
                <w:szCs w:val="24"/>
                <w:vertAlign w:val="superscript"/>
                <w:lang w:val="en-US"/>
              </w:rPr>
              <w:t>2</w:t>
            </w:r>
            <w:r w:rsidRPr="001F38B2">
              <w:rPr>
                <w:rFonts w:ascii="Book Antiqua" w:hAnsi="Book Antiqua"/>
                <w:bCs/>
                <w:sz w:val="24"/>
                <w:szCs w:val="24"/>
                <w:lang w:val="en-US"/>
              </w:rPr>
              <w:t xml:space="preserve"> d1, d8 + Docetaxel 75 mg/m</w:t>
            </w:r>
            <w:r w:rsidRPr="007A14E9">
              <w:rPr>
                <w:rFonts w:ascii="Book Antiqua" w:hAnsi="Book Antiqua"/>
                <w:bCs/>
                <w:sz w:val="24"/>
                <w:szCs w:val="24"/>
                <w:vertAlign w:val="superscript"/>
                <w:lang w:val="en-US"/>
              </w:rPr>
              <w:t>2</w:t>
            </w:r>
            <w:r w:rsidRPr="001F38B2">
              <w:rPr>
                <w:rFonts w:ascii="Book Antiqua" w:hAnsi="Book Antiqua"/>
                <w:bCs/>
                <w:sz w:val="24"/>
                <w:szCs w:val="24"/>
                <w:lang w:val="en-US"/>
              </w:rPr>
              <w:t xml:space="preserve"> d8 q21d, 4 cycles (Hensley</w:t>
            </w:r>
            <w:r w:rsidR="007A14E9" w:rsidRPr="007A14E9">
              <w:rPr>
                <w:rFonts w:ascii="Book Antiqua" w:hAnsi="Book Antiqua"/>
                <w:bCs/>
                <w:i/>
                <w:iCs/>
                <w:sz w:val="24"/>
                <w:szCs w:val="24"/>
                <w:lang w:val="en-GB"/>
              </w:rPr>
              <w:t xml:space="preserve"> et al</w:t>
            </w:r>
            <w:r w:rsidR="007A14E9" w:rsidRPr="007A14E9">
              <w:rPr>
                <w:rFonts w:ascii="Book Antiqua" w:hAnsi="Book Antiqua"/>
                <w:bCs/>
                <w:sz w:val="24"/>
                <w:szCs w:val="24"/>
                <w:vertAlign w:val="superscript"/>
                <w:lang w:val="en-GB"/>
              </w:rPr>
              <w:t>[</w:t>
            </w:r>
            <w:r w:rsidR="007A14E9">
              <w:rPr>
                <w:rFonts w:ascii="Book Antiqua" w:hAnsi="Book Antiqua"/>
                <w:bCs/>
                <w:sz w:val="24"/>
                <w:szCs w:val="24"/>
                <w:vertAlign w:val="superscript"/>
                <w:lang w:val="en-GB"/>
              </w:rPr>
              <w:t>11]</w:t>
            </w:r>
            <w:r w:rsidR="007A14E9" w:rsidRPr="001F38B2">
              <w:rPr>
                <w:rFonts w:ascii="Book Antiqua" w:hAnsi="Book Antiqua"/>
                <w:bCs/>
                <w:sz w:val="24"/>
                <w:szCs w:val="24"/>
                <w:lang w:val="en-GB"/>
              </w:rPr>
              <w:t>,</w:t>
            </w:r>
            <w:r w:rsidR="007A14E9">
              <w:rPr>
                <w:rFonts w:ascii="Book Antiqua" w:hAnsi="Book Antiqua"/>
                <w:bCs/>
                <w:sz w:val="24"/>
                <w:szCs w:val="24"/>
                <w:lang w:val="en-GB"/>
              </w:rPr>
              <w:t xml:space="preserve"> </w:t>
            </w:r>
            <w:r w:rsidRPr="001F38B2">
              <w:rPr>
                <w:rFonts w:ascii="Book Antiqua" w:hAnsi="Book Antiqua"/>
                <w:bCs/>
                <w:sz w:val="24"/>
                <w:szCs w:val="24"/>
                <w:lang w:val="en-US"/>
              </w:rPr>
              <w:t>2009)</w:t>
            </w:r>
          </w:p>
        </w:tc>
        <w:tc>
          <w:tcPr>
            <w:tcW w:w="770" w:type="dxa"/>
          </w:tcPr>
          <w:p w14:paraId="00CD1B94"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25</w:t>
            </w:r>
          </w:p>
        </w:tc>
        <w:tc>
          <w:tcPr>
            <w:tcW w:w="1362" w:type="dxa"/>
          </w:tcPr>
          <w:p w14:paraId="57A79C3C"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uLMS, stage I-IV</w:t>
            </w:r>
          </w:p>
        </w:tc>
        <w:tc>
          <w:tcPr>
            <w:tcW w:w="1301" w:type="dxa"/>
          </w:tcPr>
          <w:p w14:paraId="54218EBA"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Single-arm</w:t>
            </w:r>
          </w:p>
        </w:tc>
        <w:tc>
          <w:tcPr>
            <w:tcW w:w="882" w:type="dxa"/>
          </w:tcPr>
          <w:p w14:paraId="266D4E36"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959" w:type="dxa"/>
          </w:tcPr>
          <w:p w14:paraId="4A5E42E3"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 xml:space="preserve">13 </w:t>
            </w:r>
          </w:p>
          <w:p w14:paraId="1D38CD11"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(FU &gt; 49)</w:t>
            </w:r>
          </w:p>
        </w:tc>
        <w:tc>
          <w:tcPr>
            <w:tcW w:w="959" w:type="dxa"/>
          </w:tcPr>
          <w:p w14:paraId="271FCD69"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NR</w:t>
            </w:r>
          </w:p>
        </w:tc>
        <w:tc>
          <w:tcPr>
            <w:tcW w:w="810" w:type="dxa"/>
          </w:tcPr>
          <w:p w14:paraId="0A17EC85"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All pts 45%</w:t>
            </w:r>
          </w:p>
          <w:p w14:paraId="52D966B5"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p w14:paraId="79461706"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r w:rsidRPr="001F38B2">
              <w:rPr>
                <w:rFonts w:ascii="Book Antiqua" w:hAnsi="Book Antiqua"/>
                <w:bCs/>
                <w:sz w:val="24"/>
                <w:szCs w:val="24"/>
                <w:lang w:val="en-GB"/>
              </w:rPr>
              <w:t>Stage I-II 59%</w:t>
            </w:r>
          </w:p>
        </w:tc>
        <w:tc>
          <w:tcPr>
            <w:tcW w:w="818" w:type="dxa"/>
          </w:tcPr>
          <w:p w14:paraId="10EE4941"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c>
          <w:tcPr>
            <w:tcW w:w="772" w:type="dxa"/>
          </w:tcPr>
          <w:p w14:paraId="207CF0B2" w14:textId="77777777" w:rsidR="00453EF6" w:rsidRPr="001F38B2" w:rsidRDefault="00453EF6" w:rsidP="00773643">
            <w:pPr>
              <w:adjustRightInd w:val="0"/>
              <w:snapToGrid w:val="0"/>
              <w:spacing w:line="360" w:lineRule="auto"/>
              <w:jc w:val="both"/>
              <w:rPr>
                <w:rFonts w:ascii="Book Antiqua" w:hAnsi="Book Antiqua"/>
                <w:bCs/>
                <w:sz w:val="24"/>
                <w:szCs w:val="24"/>
                <w:lang w:val="en-GB"/>
              </w:rPr>
            </w:pPr>
          </w:p>
        </w:tc>
      </w:tr>
      <w:tr w:rsidR="00453EF6" w:rsidRPr="00773643" w14:paraId="32E584C4" w14:textId="77777777" w:rsidTr="00F555A5">
        <w:tc>
          <w:tcPr>
            <w:tcW w:w="2080" w:type="dxa"/>
          </w:tcPr>
          <w:p w14:paraId="23FBF7CF"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Gemcitabine 900 mg/m</w:t>
            </w:r>
            <w:r w:rsidRPr="007A14E9">
              <w:rPr>
                <w:rFonts w:ascii="Book Antiqua" w:hAnsi="Book Antiqua"/>
                <w:bCs/>
                <w:sz w:val="24"/>
                <w:szCs w:val="24"/>
                <w:vertAlign w:val="superscript"/>
                <w:lang w:val="en-US"/>
              </w:rPr>
              <w:t>2</w:t>
            </w:r>
            <w:r w:rsidRPr="001F38B2">
              <w:rPr>
                <w:rFonts w:ascii="Book Antiqua" w:hAnsi="Book Antiqua"/>
                <w:bCs/>
                <w:sz w:val="24"/>
                <w:szCs w:val="24"/>
                <w:lang w:val="en-US"/>
              </w:rPr>
              <w:t xml:space="preserve"> d1, d8 + Docetaxel 75 mg/m</w:t>
            </w:r>
            <w:r w:rsidRPr="007A14E9">
              <w:rPr>
                <w:rFonts w:ascii="Book Antiqua" w:hAnsi="Book Antiqua"/>
                <w:bCs/>
                <w:sz w:val="24"/>
                <w:szCs w:val="24"/>
                <w:vertAlign w:val="superscript"/>
                <w:lang w:val="en-US"/>
              </w:rPr>
              <w:t>2</w:t>
            </w:r>
            <w:r w:rsidRPr="001F38B2">
              <w:rPr>
                <w:rFonts w:ascii="Book Antiqua" w:hAnsi="Book Antiqua"/>
                <w:bCs/>
                <w:sz w:val="24"/>
                <w:szCs w:val="24"/>
                <w:lang w:val="en-US"/>
              </w:rPr>
              <w:t xml:space="preserve"> d8 q21d 4 cycles followed by doxorubicin 60 mg/m</w:t>
            </w:r>
            <w:r w:rsidRPr="007A14E9">
              <w:rPr>
                <w:rFonts w:ascii="Book Antiqua" w:hAnsi="Book Antiqua"/>
                <w:bCs/>
                <w:sz w:val="24"/>
                <w:szCs w:val="24"/>
                <w:vertAlign w:val="superscript"/>
                <w:lang w:val="en-US"/>
              </w:rPr>
              <w:t>2</w:t>
            </w:r>
            <w:r w:rsidRPr="001F38B2">
              <w:rPr>
                <w:rFonts w:ascii="Book Antiqua" w:hAnsi="Book Antiqua"/>
                <w:bCs/>
                <w:sz w:val="24"/>
                <w:szCs w:val="24"/>
                <w:lang w:val="en-US"/>
              </w:rPr>
              <w:t xml:space="preserve"> q21d 4 cycles (SARC-005) (Hensley</w:t>
            </w:r>
            <w:r w:rsidR="007A14E9" w:rsidRPr="007A14E9">
              <w:rPr>
                <w:rFonts w:ascii="Book Antiqua" w:hAnsi="Book Antiqua"/>
                <w:bCs/>
                <w:i/>
                <w:iCs/>
                <w:sz w:val="24"/>
                <w:szCs w:val="24"/>
                <w:lang w:val="en-GB"/>
              </w:rPr>
              <w:t xml:space="preserve"> et al</w:t>
            </w:r>
            <w:r w:rsidR="007A14E9" w:rsidRPr="007A14E9">
              <w:rPr>
                <w:rFonts w:ascii="Book Antiqua" w:hAnsi="Book Antiqua"/>
                <w:bCs/>
                <w:sz w:val="24"/>
                <w:szCs w:val="24"/>
                <w:vertAlign w:val="superscript"/>
                <w:lang w:val="en-GB"/>
              </w:rPr>
              <w:t>[</w:t>
            </w:r>
            <w:r w:rsidR="007A14E9">
              <w:rPr>
                <w:rFonts w:ascii="Book Antiqua" w:hAnsi="Book Antiqua"/>
                <w:bCs/>
                <w:sz w:val="24"/>
                <w:szCs w:val="24"/>
                <w:vertAlign w:val="superscript"/>
                <w:lang w:val="en-GB"/>
              </w:rPr>
              <w:t>46]</w:t>
            </w:r>
            <w:r w:rsidRPr="001F38B2">
              <w:rPr>
                <w:rFonts w:ascii="Book Antiqua" w:hAnsi="Book Antiqua"/>
                <w:bCs/>
                <w:sz w:val="24"/>
                <w:szCs w:val="24"/>
                <w:lang w:val="en-US"/>
              </w:rPr>
              <w:t xml:space="preserve">, 2013) </w:t>
            </w:r>
          </w:p>
        </w:tc>
        <w:tc>
          <w:tcPr>
            <w:tcW w:w="770" w:type="dxa"/>
          </w:tcPr>
          <w:p w14:paraId="145E7387"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47</w:t>
            </w:r>
          </w:p>
        </w:tc>
        <w:tc>
          <w:tcPr>
            <w:tcW w:w="1362" w:type="dxa"/>
          </w:tcPr>
          <w:p w14:paraId="0682C5C8"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uLMS, stage I-IIIa</w:t>
            </w:r>
          </w:p>
        </w:tc>
        <w:tc>
          <w:tcPr>
            <w:tcW w:w="1301" w:type="dxa"/>
          </w:tcPr>
          <w:p w14:paraId="61EA44EC"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Phase 2</w:t>
            </w:r>
          </w:p>
        </w:tc>
        <w:tc>
          <w:tcPr>
            <w:tcW w:w="882" w:type="dxa"/>
          </w:tcPr>
          <w:p w14:paraId="73630592"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p>
        </w:tc>
        <w:tc>
          <w:tcPr>
            <w:tcW w:w="959" w:type="dxa"/>
          </w:tcPr>
          <w:p w14:paraId="38D9AB33"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 xml:space="preserve">NR </w:t>
            </w:r>
          </w:p>
          <w:p w14:paraId="1189926E"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(FU &gt; 39)</w:t>
            </w:r>
          </w:p>
        </w:tc>
        <w:tc>
          <w:tcPr>
            <w:tcW w:w="959" w:type="dxa"/>
          </w:tcPr>
          <w:p w14:paraId="65C343B3"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NR</w:t>
            </w:r>
          </w:p>
        </w:tc>
        <w:tc>
          <w:tcPr>
            <w:tcW w:w="810" w:type="dxa"/>
          </w:tcPr>
          <w:p w14:paraId="0F091DA5"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78%</w:t>
            </w:r>
          </w:p>
        </w:tc>
        <w:tc>
          <w:tcPr>
            <w:tcW w:w="818" w:type="dxa"/>
          </w:tcPr>
          <w:p w14:paraId="6BC300D4"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57%</w:t>
            </w:r>
          </w:p>
        </w:tc>
        <w:tc>
          <w:tcPr>
            <w:tcW w:w="772" w:type="dxa"/>
          </w:tcPr>
          <w:p w14:paraId="3303C691"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p>
        </w:tc>
      </w:tr>
      <w:tr w:rsidR="00453EF6" w:rsidRPr="00773643" w14:paraId="44ED43F2" w14:textId="77777777" w:rsidTr="00F555A5">
        <w:tc>
          <w:tcPr>
            <w:tcW w:w="2080" w:type="dxa"/>
          </w:tcPr>
          <w:p w14:paraId="2A230FBF" w14:textId="77777777" w:rsidR="00453EF6" w:rsidRPr="001F38B2" w:rsidRDefault="00453EF6" w:rsidP="00773643">
            <w:pPr>
              <w:adjustRightInd w:val="0"/>
              <w:snapToGrid w:val="0"/>
              <w:spacing w:line="360" w:lineRule="auto"/>
              <w:jc w:val="both"/>
              <w:rPr>
                <w:rFonts w:ascii="Book Antiqua" w:hAnsi="Book Antiqua"/>
                <w:bCs/>
                <w:sz w:val="24"/>
                <w:szCs w:val="24"/>
              </w:rPr>
            </w:pPr>
            <w:r w:rsidRPr="001F38B2">
              <w:rPr>
                <w:rFonts w:ascii="Book Antiqua" w:hAnsi="Book Antiqua"/>
                <w:bCs/>
                <w:sz w:val="24"/>
                <w:szCs w:val="24"/>
              </w:rPr>
              <w:t>Doxorubicin 50 mg/m</w:t>
            </w:r>
            <w:r w:rsidRPr="007A14E9">
              <w:rPr>
                <w:rFonts w:ascii="Book Antiqua" w:hAnsi="Book Antiqua"/>
                <w:bCs/>
                <w:sz w:val="24"/>
                <w:szCs w:val="24"/>
                <w:vertAlign w:val="superscript"/>
              </w:rPr>
              <w:t>2</w:t>
            </w:r>
            <w:r w:rsidRPr="001F38B2">
              <w:rPr>
                <w:rFonts w:ascii="Book Antiqua" w:hAnsi="Book Antiqua"/>
                <w:bCs/>
                <w:sz w:val="24"/>
                <w:szCs w:val="24"/>
              </w:rPr>
              <w:t xml:space="preserve"> d1, ifosfamide 3 g/m</w:t>
            </w:r>
            <w:r w:rsidRPr="007A14E9">
              <w:rPr>
                <w:rFonts w:ascii="Book Antiqua" w:hAnsi="Book Antiqua"/>
                <w:bCs/>
                <w:sz w:val="24"/>
                <w:szCs w:val="24"/>
                <w:vertAlign w:val="superscript"/>
              </w:rPr>
              <w:t>2</w:t>
            </w:r>
            <w:r w:rsidRPr="001F38B2">
              <w:rPr>
                <w:rFonts w:ascii="Book Antiqua" w:hAnsi="Book Antiqua"/>
                <w:bCs/>
                <w:sz w:val="24"/>
                <w:szCs w:val="24"/>
              </w:rPr>
              <w:t xml:space="preserve"> d1 d2, cisplatin 75 mg/m</w:t>
            </w:r>
            <w:r w:rsidRPr="001F38B2">
              <w:rPr>
                <w:rFonts w:ascii="Book Antiqua" w:hAnsi="Book Antiqua"/>
                <w:bCs/>
                <w:sz w:val="24"/>
                <w:szCs w:val="24"/>
                <w:vertAlign w:val="superscript"/>
              </w:rPr>
              <w:t>2</w:t>
            </w:r>
            <w:r w:rsidRPr="001F38B2">
              <w:rPr>
                <w:rFonts w:ascii="Book Antiqua" w:hAnsi="Book Antiqua"/>
                <w:bCs/>
                <w:sz w:val="24"/>
                <w:szCs w:val="24"/>
              </w:rPr>
              <w:t xml:space="preserve"> d3 (4 cycles) + G-CSF + RT </w:t>
            </w:r>
            <w:r w:rsidR="001F38B2" w:rsidRPr="001F38B2">
              <w:rPr>
                <w:rFonts w:ascii="Book Antiqua" w:hAnsi="Book Antiqua"/>
                <w:bCs/>
                <w:i/>
                <w:iCs/>
                <w:sz w:val="24"/>
                <w:szCs w:val="24"/>
              </w:rPr>
              <w:t xml:space="preserve">vs </w:t>
            </w:r>
            <w:r w:rsidRPr="001F38B2">
              <w:rPr>
                <w:rFonts w:ascii="Book Antiqua" w:hAnsi="Book Antiqua"/>
                <w:bCs/>
                <w:sz w:val="24"/>
                <w:szCs w:val="24"/>
              </w:rPr>
              <w:t>RT alone (SARCGYN) (Pautier</w:t>
            </w:r>
            <w:r w:rsidR="007A14E9">
              <w:rPr>
                <w:rFonts w:ascii="Book Antiqua" w:hAnsi="Book Antiqua"/>
                <w:bCs/>
                <w:sz w:val="24"/>
                <w:szCs w:val="24"/>
              </w:rPr>
              <w:t xml:space="preserve"> </w:t>
            </w:r>
            <w:r w:rsidR="007A14E9" w:rsidRPr="007A14E9">
              <w:rPr>
                <w:rFonts w:ascii="Book Antiqua" w:hAnsi="Book Antiqua"/>
                <w:bCs/>
                <w:i/>
                <w:iCs/>
                <w:sz w:val="24"/>
                <w:szCs w:val="24"/>
                <w:lang w:val="en-GB"/>
              </w:rPr>
              <w:t>et al</w:t>
            </w:r>
            <w:r w:rsidR="007A14E9" w:rsidRPr="007A14E9">
              <w:rPr>
                <w:rFonts w:ascii="Book Antiqua" w:hAnsi="Book Antiqua"/>
                <w:bCs/>
                <w:sz w:val="24"/>
                <w:szCs w:val="24"/>
                <w:vertAlign w:val="superscript"/>
                <w:lang w:val="en-GB"/>
              </w:rPr>
              <w:t>[</w:t>
            </w:r>
            <w:r w:rsidR="007A14E9">
              <w:rPr>
                <w:rFonts w:ascii="Book Antiqua" w:hAnsi="Book Antiqua"/>
                <w:bCs/>
                <w:sz w:val="24"/>
                <w:szCs w:val="24"/>
                <w:vertAlign w:val="superscript"/>
                <w:lang w:val="en-GB"/>
              </w:rPr>
              <w:t>47]</w:t>
            </w:r>
            <w:r w:rsidRPr="001F38B2">
              <w:rPr>
                <w:rFonts w:ascii="Book Antiqua" w:hAnsi="Book Antiqua"/>
                <w:bCs/>
                <w:sz w:val="24"/>
                <w:szCs w:val="24"/>
              </w:rPr>
              <w:t>, 2013)</w:t>
            </w:r>
          </w:p>
        </w:tc>
        <w:tc>
          <w:tcPr>
            <w:tcW w:w="770" w:type="dxa"/>
          </w:tcPr>
          <w:p w14:paraId="1E1FE33D"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81</w:t>
            </w:r>
          </w:p>
        </w:tc>
        <w:tc>
          <w:tcPr>
            <w:tcW w:w="1362" w:type="dxa"/>
          </w:tcPr>
          <w:p w14:paraId="485D4E43"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US, stage I-III</w:t>
            </w:r>
          </w:p>
        </w:tc>
        <w:tc>
          <w:tcPr>
            <w:tcW w:w="1301" w:type="dxa"/>
          </w:tcPr>
          <w:p w14:paraId="3E903589"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Randomised, Phase 3</w:t>
            </w:r>
          </w:p>
        </w:tc>
        <w:tc>
          <w:tcPr>
            <w:tcW w:w="882" w:type="dxa"/>
          </w:tcPr>
          <w:p w14:paraId="3D629067"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 xml:space="preserve">38.5% </w:t>
            </w:r>
            <w:r w:rsidR="001F38B2" w:rsidRPr="001F38B2">
              <w:rPr>
                <w:rFonts w:ascii="Book Antiqua" w:hAnsi="Book Antiqua"/>
                <w:bCs/>
                <w:i/>
                <w:iCs/>
                <w:sz w:val="24"/>
                <w:szCs w:val="24"/>
                <w:lang w:val="en-US"/>
              </w:rPr>
              <w:t xml:space="preserve">vs </w:t>
            </w:r>
            <w:r w:rsidRPr="001F38B2">
              <w:rPr>
                <w:rFonts w:ascii="Book Antiqua" w:hAnsi="Book Antiqua"/>
                <w:bCs/>
                <w:sz w:val="24"/>
                <w:szCs w:val="24"/>
                <w:lang w:val="en-US"/>
              </w:rPr>
              <w:t>62%</w:t>
            </w:r>
          </w:p>
        </w:tc>
        <w:tc>
          <w:tcPr>
            <w:tcW w:w="959" w:type="dxa"/>
          </w:tcPr>
          <w:p w14:paraId="094A8BC6"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p>
        </w:tc>
        <w:tc>
          <w:tcPr>
            <w:tcW w:w="959" w:type="dxa"/>
          </w:tcPr>
          <w:p w14:paraId="0BE0E1EE"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p>
        </w:tc>
        <w:tc>
          <w:tcPr>
            <w:tcW w:w="810" w:type="dxa"/>
          </w:tcPr>
          <w:p w14:paraId="4D482760"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p>
        </w:tc>
        <w:tc>
          <w:tcPr>
            <w:tcW w:w="818" w:type="dxa"/>
          </w:tcPr>
          <w:p w14:paraId="641B6564"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 xml:space="preserve">55% </w:t>
            </w:r>
            <w:r w:rsidR="001F38B2" w:rsidRPr="001F38B2">
              <w:rPr>
                <w:rFonts w:ascii="Book Antiqua" w:hAnsi="Book Antiqua"/>
                <w:bCs/>
                <w:i/>
                <w:iCs/>
                <w:sz w:val="24"/>
                <w:szCs w:val="24"/>
                <w:lang w:val="en-US"/>
              </w:rPr>
              <w:t xml:space="preserve">vs </w:t>
            </w:r>
            <w:r w:rsidRPr="001F38B2">
              <w:rPr>
                <w:rFonts w:ascii="Book Antiqua" w:hAnsi="Book Antiqua"/>
                <w:bCs/>
                <w:sz w:val="24"/>
                <w:szCs w:val="24"/>
                <w:lang w:val="en-US"/>
              </w:rPr>
              <w:t>41% (</w:t>
            </w:r>
            <w:r w:rsidR="00BB0A44" w:rsidRPr="00BB0A44">
              <w:rPr>
                <w:rFonts w:ascii="Book Antiqua" w:hAnsi="Book Antiqua"/>
                <w:bCs/>
                <w:i/>
                <w:iCs/>
                <w:sz w:val="24"/>
                <w:szCs w:val="24"/>
                <w:lang w:val="en-US"/>
              </w:rPr>
              <w:t>P</w:t>
            </w:r>
            <w:r w:rsidRPr="001F38B2">
              <w:rPr>
                <w:rFonts w:ascii="Book Antiqua" w:hAnsi="Book Antiqua"/>
                <w:bCs/>
                <w:sz w:val="24"/>
                <w:szCs w:val="24"/>
                <w:lang w:val="en-US"/>
              </w:rPr>
              <w:t xml:space="preserve"> = 0.048)</w:t>
            </w:r>
          </w:p>
        </w:tc>
        <w:tc>
          <w:tcPr>
            <w:tcW w:w="772" w:type="dxa"/>
          </w:tcPr>
          <w:p w14:paraId="0A0D8D2A" w14:textId="77777777" w:rsidR="00453EF6" w:rsidRPr="001F38B2" w:rsidRDefault="00453EF6" w:rsidP="00773643">
            <w:pPr>
              <w:adjustRightInd w:val="0"/>
              <w:snapToGrid w:val="0"/>
              <w:spacing w:line="360" w:lineRule="auto"/>
              <w:jc w:val="both"/>
              <w:rPr>
                <w:rFonts w:ascii="Book Antiqua" w:hAnsi="Book Antiqua"/>
                <w:bCs/>
                <w:sz w:val="24"/>
                <w:szCs w:val="24"/>
                <w:lang w:val="en-US"/>
              </w:rPr>
            </w:pPr>
            <w:r w:rsidRPr="001F38B2">
              <w:rPr>
                <w:rFonts w:ascii="Book Antiqua" w:hAnsi="Book Antiqua"/>
                <w:bCs/>
                <w:sz w:val="24"/>
                <w:szCs w:val="24"/>
                <w:lang w:val="en-US"/>
              </w:rPr>
              <w:t xml:space="preserve">81% </w:t>
            </w:r>
            <w:r w:rsidR="001F38B2" w:rsidRPr="001F38B2">
              <w:rPr>
                <w:rFonts w:ascii="Book Antiqua" w:hAnsi="Book Antiqua"/>
                <w:bCs/>
                <w:i/>
                <w:iCs/>
                <w:sz w:val="24"/>
                <w:szCs w:val="24"/>
                <w:lang w:val="en-US"/>
              </w:rPr>
              <w:t xml:space="preserve">vs </w:t>
            </w:r>
            <w:r w:rsidRPr="001F38B2">
              <w:rPr>
                <w:rFonts w:ascii="Book Antiqua" w:hAnsi="Book Antiqua"/>
                <w:bCs/>
                <w:sz w:val="24"/>
                <w:szCs w:val="24"/>
                <w:lang w:val="en-US"/>
              </w:rPr>
              <w:t>69% (</w:t>
            </w:r>
            <w:r w:rsidR="00BB0A44" w:rsidRPr="00BB0A44">
              <w:rPr>
                <w:rFonts w:ascii="Book Antiqua" w:hAnsi="Book Antiqua"/>
                <w:bCs/>
                <w:i/>
                <w:iCs/>
                <w:sz w:val="24"/>
                <w:szCs w:val="24"/>
                <w:lang w:val="en-US"/>
              </w:rPr>
              <w:t>P</w:t>
            </w:r>
            <w:r w:rsidRPr="001F38B2">
              <w:rPr>
                <w:rFonts w:ascii="Book Antiqua" w:hAnsi="Book Antiqua"/>
                <w:bCs/>
                <w:sz w:val="24"/>
                <w:szCs w:val="24"/>
                <w:lang w:val="en-US"/>
              </w:rPr>
              <w:t xml:space="preserve"> = 0.92)</w:t>
            </w:r>
          </w:p>
        </w:tc>
      </w:tr>
    </w:tbl>
    <w:p w14:paraId="5D5483E3" w14:textId="77777777" w:rsidR="000740A3" w:rsidRPr="000740A3" w:rsidRDefault="001F38B2" w:rsidP="000740A3">
      <w:pPr>
        <w:adjustRightInd w:val="0"/>
        <w:snapToGrid w:val="0"/>
        <w:spacing w:line="360" w:lineRule="auto"/>
        <w:jc w:val="both"/>
        <w:rPr>
          <w:rFonts w:ascii="Book Antiqua" w:hAnsi="Book Antiqua"/>
          <w:b/>
          <w:sz w:val="24"/>
          <w:szCs w:val="24"/>
          <w:lang w:val="en-US"/>
        </w:rPr>
      </w:pPr>
      <w:r w:rsidRPr="00557D29">
        <w:rPr>
          <w:rFonts w:ascii="Book Antiqua" w:hAnsi="Book Antiqua"/>
          <w:sz w:val="24"/>
          <w:szCs w:val="24"/>
          <w:lang w:val="en-GB"/>
        </w:rPr>
        <w:t>RT: Radiotherapy; US</w:t>
      </w:r>
      <w:r w:rsidRPr="00557D29">
        <w:rPr>
          <w:rFonts w:ascii="宋体" w:eastAsia="宋体" w:hAnsi="宋体" w:cs="宋体" w:hint="eastAsia"/>
          <w:sz w:val="24"/>
          <w:szCs w:val="24"/>
          <w:lang w:val="en-GB" w:eastAsia="zh-CN"/>
        </w:rPr>
        <w:t>:</w:t>
      </w:r>
      <w:r w:rsidR="000740A3" w:rsidRPr="00557D29">
        <w:rPr>
          <w:rFonts w:ascii="宋体" w:eastAsia="宋体" w:hAnsi="宋体" w:cs="宋体"/>
          <w:sz w:val="24"/>
          <w:szCs w:val="24"/>
          <w:lang w:val="en-GB" w:eastAsia="zh-CN"/>
        </w:rPr>
        <w:t xml:space="preserve"> </w:t>
      </w:r>
      <w:r w:rsidRPr="00557D29">
        <w:rPr>
          <w:rFonts w:ascii="Book Antiqua" w:hAnsi="Book Antiqua"/>
          <w:sz w:val="24"/>
          <w:szCs w:val="24"/>
          <w:lang w:val="en-GB"/>
        </w:rPr>
        <w:t>Uterine sarcomas;</w:t>
      </w:r>
      <w:r w:rsidR="00BB0A44" w:rsidRPr="00557D29">
        <w:t xml:space="preserve"> </w:t>
      </w:r>
      <w:r w:rsidR="00BB0A44" w:rsidRPr="00557D29">
        <w:rPr>
          <w:rFonts w:ascii="Book Antiqua" w:hAnsi="Book Antiqua"/>
          <w:sz w:val="24"/>
          <w:szCs w:val="24"/>
          <w:lang w:val="en-GB"/>
        </w:rPr>
        <w:t xml:space="preserve">DFS: Disease-free survival; </w:t>
      </w:r>
      <w:r w:rsidR="000740A3" w:rsidRPr="00557D29">
        <w:rPr>
          <w:rFonts w:ascii="Book Antiqua" w:hAnsi="Book Antiqua"/>
          <w:sz w:val="24"/>
          <w:szCs w:val="24"/>
          <w:lang w:val="en-GB"/>
        </w:rPr>
        <w:t>PFS: Progression-free survival; OS: Overall survival</w:t>
      </w:r>
      <w:r w:rsidR="000740A3" w:rsidRPr="00557D29">
        <w:rPr>
          <w:rFonts w:ascii="Book Antiqua" w:eastAsiaTheme="minorEastAsia" w:hAnsi="Book Antiqua" w:hint="eastAsia"/>
          <w:bCs/>
          <w:sz w:val="24"/>
          <w:szCs w:val="24"/>
          <w:lang w:val="en-US" w:eastAsia="zh-CN"/>
        </w:rPr>
        <w:t>;</w:t>
      </w:r>
      <w:r w:rsidR="000740A3" w:rsidRPr="00557D29">
        <w:rPr>
          <w:rFonts w:ascii="Book Antiqua" w:eastAsiaTheme="minorEastAsia" w:hAnsi="Book Antiqua"/>
          <w:b/>
          <w:sz w:val="24"/>
          <w:szCs w:val="24"/>
          <w:lang w:val="en-US" w:eastAsia="zh-CN"/>
        </w:rPr>
        <w:t xml:space="preserve"> </w:t>
      </w:r>
      <w:r w:rsidR="000740A3" w:rsidRPr="00557D29">
        <w:rPr>
          <w:rFonts w:ascii="Book Antiqua" w:hAnsi="Book Antiqua"/>
          <w:color w:val="131313"/>
          <w:sz w:val="24"/>
          <w:szCs w:val="24"/>
          <w:lang w:val="it-IT"/>
        </w:rPr>
        <w:t>uLMS: Uterine leiomyosarcoma.</w:t>
      </w:r>
    </w:p>
    <w:p w14:paraId="0E5487AA" w14:textId="77777777" w:rsidR="00776A74" w:rsidRPr="00773643" w:rsidRDefault="00776A74" w:rsidP="00773643">
      <w:pPr>
        <w:adjustRightInd w:val="0"/>
        <w:snapToGrid w:val="0"/>
        <w:spacing w:line="360" w:lineRule="auto"/>
        <w:jc w:val="both"/>
        <w:rPr>
          <w:rFonts w:ascii="Book Antiqua" w:hAnsi="Book Antiqua"/>
          <w:sz w:val="24"/>
          <w:szCs w:val="24"/>
          <w:lang w:val="en-GB"/>
        </w:rPr>
      </w:pPr>
    </w:p>
    <w:sectPr w:rsidR="00776A74" w:rsidRPr="00773643" w:rsidSect="00A01FCB">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01B09" w14:textId="77777777" w:rsidR="00906749" w:rsidRDefault="00906749" w:rsidP="00557D29">
      <w:pPr>
        <w:spacing w:line="240" w:lineRule="auto"/>
      </w:pPr>
      <w:r>
        <w:separator/>
      </w:r>
    </w:p>
  </w:endnote>
  <w:endnote w:type="continuationSeparator" w:id="0">
    <w:p w14:paraId="6804171A" w14:textId="77777777" w:rsidR="00906749" w:rsidRDefault="00906749" w:rsidP="00557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1"/>
    <w:family w:val="swiss"/>
    <w:pitch w:val="variable"/>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aramond-Bold">
    <w:altName w:val="Segoe Print"/>
    <w:charset w:val="00"/>
    <w:family w:val="auto"/>
    <w:pitch w:val="default"/>
    <w:sig w:usb0="00000000"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等线 Light">
    <w:altName w:val="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79387"/>
      <w:docPartObj>
        <w:docPartGallery w:val="Page Numbers (Bottom of Page)"/>
        <w:docPartUnique/>
      </w:docPartObj>
    </w:sdtPr>
    <w:sdtEndPr/>
    <w:sdtContent>
      <w:p w14:paraId="4CD929D1" w14:textId="4B40EB26" w:rsidR="00557D29" w:rsidRDefault="00557D29">
        <w:pPr>
          <w:pStyle w:val="af1"/>
          <w:jc w:val="center"/>
        </w:pPr>
        <w:r>
          <w:fldChar w:fldCharType="begin"/>
        </w:r>
        <w:r>
          <w:instrText>PAGE   \* MERGEFORMAT</w:instrText>
        </w:r>
        <w:r>
          <w:fldChar w:fldCharType="separate"/>
        </w:r>
        <w:r w:rsidR="00906749" w:rsidRPr="00906749">
          <w:rPr>
            <w:noProof/>
            <w:lang w:val="zh-CN" w:eastAsia="zh-CN"/>
          </w:rPr>
          <w:t>1</w:t>
        </w:r>
        <w:r>
          <w:fldChar w:fldCharType="end"/>
        </w:r>
      </w:p>
    </w:sdtContent>
  </w:sdt>
  <w:p w14:paraId="78D69641" w14:textId="77777777" w:rsidR="00557D29" w:rsidRDefault="00557D2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FEFA8" w14:textId="77777777" w:rsidR="00906749" w:rsidRDefault="00906749" w:rsidP="00557D29">
      <w:pPr>
        <w:spacing w:line="240" w:lineRule="auto"/>
      </w:pPr>
      <w:r>
        <w:separator/>
      </w:r>
    </w:p>
  </w:footnote>
  <w:footnote w:type="continuationSeparator" w:id="0">
    <w:p w14:paraId="73B1F6AB" w14:textId="77777777" w:rsidR="00906749" w:rsidRDefault="00906749" w:rsidP="00557D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13ADA"/>
    <w:multiLevelType w:val="hybridMultilevel"/>
    <w:tmpl w:val="F8928E1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5B"/>
    <w:rsid w:val="00001E9B"/>
    <w:rsid w:val="000740A3"/>
    <w:rsid w:val="000B1985"/>
    <w:rsid w:val="00102273"/>
    <w:rsid w:val="00123A5E"/>
    <w:rsid w:val="001560FA"/>
    <w:rsid w:val="001E0EA5"/>
    <w:rsid w:val="001F38B2"/>
    <w:rsid w:val="00221A7B"/>
    <w:rsid w:val="002A155B"/>
    <w:rsid w:val="002C2F18"/>
    <w:rsid w:val="00374D5F"/>
    <w:rsid w:val="0038741B"/>
    <w:rsid w:val="00393098"/>
    <w:rsid w:val="003A44EA"/>
    <w:rsid w:val="00414FE3"/>
    <w:rsid w:val="0042102D"/>
    <w:rsid w:val="00453EF6"/>
    <w:rsid w:val="00557D29"/>
    <w:rsid w:val="006A7EF8"/>
    <w:rsid w:val="00700914"/>
    <w:rsid w:val="00703639"/>
    <w:rsid w:val="00716688"/>
    <w:rsid w:val="00721041"/>
    <w:rsid w:val="00773643"/>
    <w:rsid w:val="00776A74"/>
    <w:rsid w:val="007A14E9"/>
    <w:rsid w:val="007B5530"/>
    <w:rsid w:val="00834B4A"/>
    <w:rsid w:val="008455A2"/>
    <w:rsid w:val="008C6F7B"/>
    <w:rsid w:val="00906749"/>
    <w:rsid w:val="00957DBE"/>
    <w:rsid w:val="00993746"/>
    <w:rsid w:val="0099451D"/>
    <w:rsid w:val="00A01FCB"/>
    <w:rsid w:val="00A86ACF"/>
    <w:rsid w:val="00AA47C6"/>
    <w:rsid w:val="00B502A4"/>
    <w:rsid w:val="00B65931"/>
    <w:rsid w:val="00BA0B21"/>
    <w:rsid w:val="00BB0A44"/>
    <w:rsid w:val="00C25BAC"/>
    <w:rsid w:val="00CF5914"/>
    <w:rsid w:val="00E10EBC"/>
    <w:rsid w:val="00F33E5E"/>
    <w:rsid w:val="00F42A1B"/>
    <w:rsid w:val="00F555A5"/>
    <w:rsid w:val="00F650A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5B"/>
    <w:pPr>
      <w:spacing w:line="276" w:lineRule="auto"/>
    </w:pPr>
    <w:rPr>
      <w:rFonts w:ascii="Arial" w:eastAsia="Arial" w:hAnsi="Arial" w:cs="Arial"/>
      <w:color w:val="00000A"/>
      <w:sz w:val="22"/>
      <w:szCs w:val="22"/>
      <w:lang w:val="it" w:eastAsia="it-IT"/>
    </w:rPr>
  </w:style>
  <w:style w:type="paragraph" w:styleId="1">
    <w:name w:val="heading 1"/>
    <w:basedOn w:val="a"/>
    <w:link w:val="1Char"/>
    <w:qFormat/>
    <w:rsid w:val="00776A74"/>
    <w:pPr>
      <w:keepNext/>
      <w:keepLines/>
      <w:spacing w:before="400" w:after="120" w:line="240" w:lineRule="auto"/>
      <w:outlineLvl w:val="0"/>
    </w:pPr>
    <w:rPr>
      <w:rFonts w:ascii="Times New Roman" w:eastAsia="Times New Roman" w:hAnsi="Times New Roman" w:cs="Times New Roman"/>
      <w:color w:val="auto"/>
      <w:sz w:val="40"/>
      <w:szCs w:val="40"/>
      <w:lang w:val="it-IT"/>
    </w:rPr>
  </w:style>
  <w:style w:type="paragraph" w:styleId="2">
    <w:name w:val="heading 2"/>
    <w:basedOn w:val="a"/>
    <w:link w:val="2Char"/>
    <w:qFormat/>
    <w:rsid w:val="00776A74"/>
    <w:pPr>
      <w:keepNext/>
      <w:keepLines/>
      <w:spacing w:before="360" w:after="120" w:line="240" w:lineRule="auto"/>
      <w:outlineLvl w:val="1"/>
    </w:pPr>
    <w:rPr>
      <w:rFonts w:ascii="Times New Roman" w:eastAsia="Times New Roman" w:hAnsi="Times New Roman" w:cs="Times New Roman"/>
      <w:color w:val="auto"/>
      <w:sz w:val="32"/>
      <w:szCs w:val="32"/>
      <w:lang w:val="it-IT"/>
    </w:rPr>
  </w:style>
  <w:style w:type="paragraph" w:styleId="3">
    <w:name w:val="heading 3"/>
    <w:basedOn w:val="a"/>
    <w:link w:val="3Char"/>
    <w:qFormat/>
    <w:rsid w:val="00776A74"/>
    <w:pPr>
      <w:keepNext/>
      <w:keepLines/>
      <w:spacing w:before="320" w:after="80" w:line="240" w:lineRule="auto"/>
      <w:outlineLvl w:val="2"/>
    </w:pPr>
    <w:rPr>
      <w:rFonts w:ascii="Times New Roman" w:eastAsia="Times New Roman" w:hAnsi="Times New Roman" w:cs="Times New Roman"/>
      <w:color w:val="434343"/>
      <w:sz w:val="28"/>
      <w:szCs w:val="28"/>
      <w:lang w:val="it-IT"/>
    </w:rPr>
  </w:style>
  <w:style w:type="paragraph" w:styleId="4">
    <w:name w:val="heading 4"/>
    <w:basedOn w:val="a"/>
    <w:link w:val="4Char"/>
    <w:qFormat/>
    <w:rsid w:val="00776A74"/>
    <w:pPr>
      <w:keepNext/>
      <w:keepLines/>
      <w:spacing w:before="280" w:after="80" w:line="240" w:lineRule="auto"/>
      <w:outlineLvl w:val="3"/>
    </w:pPr>
    <w:rPr>
      <w:rFonts w:ascii="Times New Roman" w:eastAsia="Times New Roman" w:hAnsi="Times New Roman" w:cs="Times New Roman"/>
      <w:color w:val="666666"/>
      <w:sz w:val="24"/>
      <w:szCs w:val="24"/>
      <w:lang w:val="it-IT"/>
    </w:rPr>
  </w:style>
  <w:style w:type="paragraph" w:styleId="5">
    <w:name w:val="heading 5"/>
    <w:basedOn w:val="a"/>
    <w:link w:val="5Char"/>
    <w:qFormat/>
    <w:rsid w:val="00776A74"/>
    <w:pPr>
      <w:keepNext/>
      <w:keepLines/>
      <w:spacing w:before="240" w:after="80" w:line="240" w:lineRule="auto"/>
      <w:outlineLvl w:val="4"/>
    </w:pPr>
    <w:rPr>
      <w:rFonts w:ascii="Times New Roman" w:eastAsia="Times New Roman" w:hAnsi="Times New Roman" w:cs="Times New Roman"/>
      <w:color w:val="666666"/>
      <w:sz w:val="24"/>
      <w:szCs w:val="24"/>
      <w:lang w:val="it-IT"/>
    </w:rPr>
  </w:style>
  <w:style w:type="paragraph" w:styleId="6">
    <w:name w:val="heading 6"/>
    <w:basedOn w:val="a"/>
    <w:link w:val="6Char"/>
    <w:qFormat/>
    <w:rsid w:val="00776A74"/>
    <w:pPr>
      <w:keepNext/>
      <w:keepLines/>
      <w:spacing w:before="240" w:after="80" w:line="240" w:lineRule="auto"/>
      <w:outlineLvl w:val="5"/>
    </w:pPr>
    <w:rPr>
      <w:rFonts w:ascii="Times New Roman" w:eastAsia="Times New Roman" w:hAnsi="Times New Roman" w:cs="Times New Roman"/>
      <w:i/>
      <w:color w:val="666666"/>
      <w:sz w:val="24"/>
      <w:szCs w:val="24"/>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688"/>
    <w:pPr>
      <w:ind w:left="720"/>
      <w:contextualSpacing/>
    </w:pPr>
  </w:style>
  <w:style w:type="character" w:styleId="a4">
    <w:name w:val="Hyperlink"/>
    <w:basedOn w:val="a0"/>
    <w:uiPriority w:val="99"/>
    <w:unhideWhenUsed/>
    <w:rsid w:val="00716688"/>
    <w:rPr>
      <w:color w:val="0563C1" w:themeColor="hyperlink"/>
      <w:u w:val="single"/>
    </w:rPr>
  </w:style>
  <w:style w:type="character" w:customStyle="1" w:styleId="UnresolvedMention">
    <w:name w:val="Unresolved Mention"/>
    <w:basedOn w:val="a0"/>
    <w:uiPriority w:val="99"/>
    <w:semiHidden/>
    <w:unhideWhenUsed/>
    <w:rsid w:val="00716688"/>
    <w:rPr>
      <w:color w:val="605E5C"/>
      <w:shd w:val="clear" w:color="auto" w:fill="E1DFDD"/>
    </w:rPr>
  </w:style>
  <w:style w:type="table" w:styleId="a5">
    <w:name w:val="Table Grid"/>
    <w:basedOn w:val="a1"/>
    <w:uiPriority w:val="39"/>
    <w:rsid w:val="0022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776A74"/>
    <w:rPr>
      <w:rFonts w:ascii="Times New Roman" w:eastAsia="Times New Roman" w:hAnsi="Times New Roman" w:cs="Times New Roman"/>
      <w:sz w:val="40"/>
      <w:szCs w:val="40"/>
      <w:lang w:eastAsia="it-IT"/>
    </w:rPr>
  </w:style>
  <w:style w:type="character" w:customStyle="1" w:styleId="2Char">
    <w:name w:val="标题 2 Char"/>
    <w:basedOn w:val="a0"/>
    <w:link w:val="2"/>
    <w:rsid w:val="00776A74"/>
    <w:rPr>
      <w:rFonts w:ascii="Times New Roman" w:eastAsia="Times New Roman" w:hAnsi="Times New Roman" w:cs="Times New Roman"/>
      <w:sz w:val="32"/>
      <w:szCs w:val="32"/>
      <w:lang w:eastAsia="it-IT"/>
    </w:rPr>
  </w:style>
  <w:style w:type="character" w:customStyle="1" w:styleId="3Char">
    <w:name w:val="标题 3 Char"/>
    <w:basedOn w:val="a0"/>
    <w:link w:val="3"/>
    <w:rsid w:val="00776A74"/>
    <w:rPr>
      <w:rFonts w:ascii="Times New Roman" w:eastAsia="Times New Roman" w:hAnsi="Times New Roman" w:cs="Times New Roman"/>
      <w:color w:val="434343"/>
      <w:sz w:val="28"/>
      <w:szCs w:val="28"/>
      <w:lang w:eastAsia="it-IT"/>
    </w:rPr>
  </w:style>
  <w:style w:type="character" w:customStyle="1" w:styleId="4Char">
    <w:name w:val="标题 4 Char"/>
    <w:basedOn w:val="a0"/>
    <w:link w:val="4"/>
    <w:rsid w:val="00776A74"/>
    <w:rPr>
      <w:rFonts w:ascii="Times New Roman" w:eastAsia="Times New Roman" w:hAnsi="Times New Roman" w:cs="Times New Roman"/>
      <w:color w:val="666666"/>
      <w:lang w:eastAsia="it-IT"/>
    </w:rPr>
  </w:style>
  <w:style w:type="character" w:customStyle="1" w:styleId="5Char">
    <w:name w:val="标题 5 Char"/>
    <w:basedOn w:val="a0"/>
    <w:link w:val="5"/>
    <w:rsid w:val="00776A74"/>
    <w:rPr>
      <w:rFonts w:ascii="Times New Roman" w:eastAsia="Times New Roman" w:hAnsi="Times New Roman" w:cs="Times New Roman"/>
      <w:color w:val="666666"/>
      <w:lang w:eastAsia="it-IT"/>
    </w:rPr>
  </w:style>
  <w:style w:type="character" w:customStyle="1" w:styleId="6Char">
    <w:name w:val="标题 6 Char"/>
    <w:basedOn w:val="a0"/>
    <w:link w:val="6"/>
    <w:rsid w:val="00776A74"/>
    <w:rPr>
      <w:rFonts w:ascii="Times New Roman" w:eastAsia="Times New Roman" w:hAnsi="Times New Roman" w:cs="Times New Roman"/>
      <w:i/>
      <w:color w:val="666666"/>
      <w:lang w:eastAsia="it-IT"/>
    </w:rPr>
  </w:style>
  <w:style w:type="character" w:customStyle="1" w:styleId="TestofumettoCarattere">
    <w:name w:val="Testo fumetto Carattere"/>
    <w:basedOn w:val="a0"/>
    <w:qFormat/>
    <w:rsid w:val="00776A74"/>
    <w:rPr>
      <w:rFonts w:ascii="Tahoma" w:hAnsi="Tahoma" w:cs="Tahoma"/>
      <w:sz w:val="16"/>
      <w:szCs w:val="16"/>
    </w:rPr>
  </w:style>
  <w:style w:type="character" w:styleId="a6">
    <w:name w:val="annotation reference"/>
    <w:basedOn w:val="a0"/>
    <w:qFormat/>
    <w:rsid w:val="00776A74"/>
    <w:rPr>
      <w:sz w:val="16"/>
      <w:szCs w:val="16"/>
    </w:rPr>
  </w:style>
  <w:style w:type="character" w:customStyle="1" w:styleId="TestocommentoCarattere">
    <w:name w:val="Testo commento Carattere"/>
    <w:basedOn w:val="a0"/>
    <w:qFormat/>
    <w:rsid w:val="00776A74"/>
    <w:rPr>
      <w:sz w:val="20"/>
      <w:szCs w:val="20"/>
    </w:rPr>
  </w:style>
  <w:style w:type="character" w:customStyle="1" w:styleId="SoggettocommentoCarattere">
    <w:name w:val="Soggetto commento Carattere"/>
    <w:basedOn w:val="TestocommentoCarattere"/>
    <w:qFormat/>
    <w:rsid w:val="00776A74"/>
    <w:rPr>
      <w:b/>
      <w:bCs/>
      <w:sz w:val="20"/>
      <w:szCs w:val="20"/>
    </w:rPr>
  </w:style>
  <w:style w:type="character" w:customStyle="1" w:styleId="CollegamentoInternet">
    <w:name w:val="Collegamento Internet"/>
    <w:rsid w:val="00776A74"/>
    <w:rPr>
      <w:color w:val="000080"/>
      <w:u w:val="single"/>
    </w:rPr>
  </w:style>
  <w:style w:type="paragraph" w:customStyle="1" w:styleId="Titolo1">
    <w:name w:val="Titolo1"/>
    <w:basedOn w:val="a"/>
    <w:next w:val="a7"/>
    <w:qFormat/>
    <w:rsid w:val="00776A74"/>
    <w:pPr>
      <w:keepNext/>
      <w:spacing w:before="240" w:after="120" w:line="240" w:lineRule="auto"/>
    </w:pPr>
    <w:rPr>
      <w:rFonts w:ascii="Liberation Sans" w:eastAsia="微软雅黑" w:hAnsi="Liberation Sans" w:cs="Mangal"/>
      <w:color w:val="auto"/>
      <w:sz w:val="28"/>
      <w:szCs w:val="28"/>
      <w:lang w:val="it-IT"/>
    </w:rPr>
  </w:style>
  <w:style w:type="paragraph" w:styleId="a7">
    <w:name w:val="Body Text"/>
    <w:basedOn w:val="a"/>
    <w:link w:val="Char"/>
    <w:rsid w:val="00776A74"/>
    <w:pPr>
      <w:spacing w:after="140" w:line="288" w:lineRule="auto"/>
    </w:pPr>
    <w:rPr>
      <w:rFonts w:ascii="Times New Roman" w:eastAsia="Times New Roman" w:hAnsi="Times New Roman" w:cs="Times New Roman"/>
      <w:color w:val="auto"/>
      <w:sz w:val="24"/>
      <w:szCs w:val="24"/>
      <w:lang w:val="it-IT"/>
    </w:rPr>
  </w:style>
  <w:style w:type="character" w:customStyle="1" w:styleId="Char">
    <w:name w:val="正文文本 Char"/>
    <w:basedOn w:val="a0"/>
    <w:link w:val="a7"/>
    <w:rsid w:val="00776A74"/>
    <w:rPr>
      <w:rFonts w:ascii="Times New Roman" w:eastAsia="Times New Roman" w:hAnsi="Times New Roman" w:cs="Times New Roman"/>
      <w:lang w:eastAsia="it-IT"/>
    </w:rPr>
  </w:style>
  <w:style w:type="paragraph" w:styleId="a8">
    <w:name w:val="List"/>
    <w:basedOn w:val="a7"/>
    <w:rsid w:val="00776A74"/>
    <w:rPr>
      <w:rFonts w:cs="Mangal"/>
    </w:rPr>
  </w:style>
  <w:style w:type="paragraph" w:styleId="a9">
    <w:name w:val="caption"/>
    <w:basedOn w:val="a"/>
    <w:qFormat/>
    <w:rsid w:val="00776A74"/>
    <w:pPr>
      <w:suppressLineNumbers/>
      <w:spacing w:before="120" w:after="120" w:line="240" w:lineRule="auto"/>
    </w:pPr>
    <w:rPr>
      <w:rFonts w:ascii="Times New Roman" w:eastAsia="Times New Roman" w:hAnsi="Times New Roman" w:cs="Mangal"/>
      <w:i/>
      <w:iCs/>
      <w:color w:val="auto"/>
      <w:sz w:val="24"/>
      <w:szCs w:val="24"/>
      <w:lang w:val="it-IT"/>
    </w:rPr>
  </w:style>
  <w:style w:type="paragraph" w:customStyle="1" w:styleId="Indice">
    <w:name w:val="Indice"/>
    <w:basedOn w:val="a"/>
    <w:qFormat/>
    <w:rsid w:val="00776A74"/>
    <w:pPr>
      <w:suppressLineNumbers/>
      <w:spacing w:line="240" w:lineRule="auto"/>
    </w:pPr>
    <w:rPr>
      <w:rFonts w:ascii="Times New Roman" w:eastAsia="Times New Roman" w:hAnsi="Times New Roman" w:cs="Mangal"/>
      <w:color w:val="auto"/>
      <w:sz w:val="24"/>
      <w:szCs w:val="24"/>
      <w:lang w:val="it-IT"/>
    </w:rPr>
  </w:style>
  <w:style w:type="paragraph" w:styleId="aa">
    <w:name w:val="Title"/>
    <w:basedOn w:val="a"/>
    <w:link w:val="Char0"/>
    <w:qFormat/>
    <w:rsid w:val="00776A74"/>
    <w:pPr>
      <w:keepNext/>
      <w:keepLines/>
      <w:spacing w:after="60" w:line="240" w:lineRule="auto"/>
    </w:pPr>
    <w:rPr>
      <w:rFonts w:ascii="Times New Roman" w:eastAsia="Times New Roman" w:hAnsi="Times New Roman" w:cs="Times New Roman"/>
      <w:color w:val="auto"/>
      <w:sz w:val="52"/>
      <w:szCs w:val="52"/>
      <w:lang w:val="it-IT"/>
    </w:rPr>
  </w:style>
  <w:style w:type="character" w:customStyle="1" w:styleId="Char0">
    <w:name w:val="标题 Char"/>
    <w:basedOn w:val="a0"/>
    <w:link w:val="aa"/>
    <w:rsid w:val="00776A74"/>
    <w:rPr>
      <w:rFonts w:ascii="Times New Roman" w:eastAsia="Times New Roman" w:hAnsi="Times New Roman" w:cs="Times New Roman"/>
      <w:sz w:val="52"/>
      <w:szCs w:val="52"/>
      <w:lang w:eastAsia="it-IT"/>
    </w:rPr>
  </w:style>
  <w:style w:type="paragraph" w:styleId="ab">
    <w:name w:val="Subtitle"/>
    <w:basedOn w:val="a"/>
    <w:link w:val="Char1"/>
    <w:qFormat/>
    <w:rsid w:val="00776A74"/>
    <w:pPr>
      <w:keepNext/>
      <w:keepLines/>
      <w:spacing w:after="320" w:line="240" w:lineRule="auto"/>
    </w:pPr>
    <w:rPr>
      <w:rFonts w:ascii="Times New Roman" w:eastAsia="Times New Roman" w:hAnsi="Times New Roman" w:cs="Times New Roman"/>
      <w:color w:val="666666"/>
      <w:sz w:val="30"/>
      <w:szCs w:val="30"/>
      <w:lang w:val="it-IT"/>
    </w:rPr>
  </w:style>
  <w:style w:type="character" w:customStyle="1" w:styleId="Char1">
    <w:name w:val="副标题 Char"/>
    <w:basedOn w:val="a0"/>
    <w:link w:val="ab"/>
    <w:rsid w:val="00776A74"/>
    <w:rPr>
      <w:rFonts w:ascii="Times New Roman" w:eastAsia="Times New Roman" w:hAnsi="Times New Roman" w:cs="Times New Roman"/>
      <w:color w:val="666666"/>
      <w:sz w:val="30"/>
      <w:szCs w:val="30"/>
      <w:lang w:eastAsia="it-IT"/>
    </w:rPr>
  </w:style>
  <w:style w:type="paragraph" w:styleId="ac">
    <w:name w:val="Balloon Text"/>
    <w:basedOn w:val="a"/>
    <w:link w:val="Char2"/>
    <w:qFormat/>
    <w:rsid w:val="00776A74"/>
    <w:pPr>
      <w:spacing w:line="240" w:lineRule="auto"/>
    </w:pPr>
    <w:rPr>
      <w:rFonts w:ascii="Tahoma" w:eastAsia="Times New Roman" w:hAnsi="Tahoma" w:cs="Tahoma"/>
      <w:color w:val="auto"/>
      <w:sz w:val="16"/>
      <w:szCs w:val="16"/>
      <w:lang w:val="it-IT"/>
    </w:rPr>
  </w:style>
  <w:style w:type="character" w:customStyle="1" w:styleId="Char2">
    <w:name w:val="批注框文本 Char"/>
    <w:basedOn w:val="a0"/>
    <w:link w:val="ac"/>
    <w:rsid w:val="00776A74"/>
    <w:rPr>
      <w:rFonts w:ascii="Tahoma" w:eastAsia="Times New Roman" w:hAnsi="Tahoma" w:cs="Tahoma"/>
      <w:sz w:val="16"/>
      <w:szCs w:val="16"/>
      <w:lang w:eastAsia="it-IT"/>
    </w:rPr>
  </w:style>
  <w:style w:type="paragraph" w:styleId="ad">
    <w:name w:val="annotation text"/>
    <w:basedOn w:val="a"/>
    <w:link w:val="Char3"/>
    <w:uiPriority w:val="99"/>
    <w:qFormat/>
    <w:rsid w:val="00776A74"/>
    <w:pPr>
      <w:spacing w:line="240" w:lineRule="auto"/>
    </w:pPr>
    <w:rPr>
      <w:rFonts w:ascii="Times New Roman" w:eastAsia="Times New Roman" w:hAnsi="Times New Roman" w:cs="Times New Roman"/>
      <w:color w:val="auto"/>
      <w:sz w:val="20"/>
      <w:szCs w:val="20"/>
      <w:lang w:val="it-IT"/>
    </w:rPr>
  </w:style>
  <w:style w:type="character" w:customStyle="1" w:styleId="Char3">
    <w:name w:val="批注文字 Char"/>
    <w:basedOn w:val="a0"/>
    <w:link w:val="ad"/>
    <w:uiPriority w:val="99"/>
    <w:qFormat/>
    <w:rsid w:val="00776A74"/>
    <w:rPr>
      <w:rFonts w:ascii="Times New Roman" w:eastAsia="Times New Roman" w:hAnsi="Times New Roman" w:cs="Times New Roman"/>
      <w:sz w:val="20"/>
      <w:szCs w:val="20"/>
      <w:lang w:eastAsia="it-IT"/>
    </w:rPr>
  </w:style>
  <w:style w:type="paragraph" w:styleId="ae">
    <w:name w:val="annotation subject"/>
    <w:basedOn w:val="ad"/>
    <w:link w:val="Char4"/>
    <w:qFormat/>
    <w:rsid w:val="00776A74"/>
    <w:rPr>
      <w:b/>
      <w:bCs/>
    </w:rPr>
  </w:style>
  <w:style w:type="character" w:customStyle="1" w:styleId="Char4">
    <w:name w:val="批注主题 Char"/>
    <w:basedOn w:val="Char3"/>
    <w:link w:val="ae"/>
    <w:rsid w:val="00776A74"/>
    <w:rPr>
      <w:rFonts w:ascii="Times New Roman" w:eastAsia="Times New Roman" w:hAnsi="Times New Roman" w:cs="Times New Roman"/>
      <w:b/>
      <w:bCs/>
      <w:sz w:val="20"/>
      <w:szCs w:val="20"/>
      <w:lang w:eastAsia="it-IT"/>
    </w:rPr>
  </w:style>
  <w:style w:type="paragraph" w:customStyle="1" w:styleId="Illustrazione">
    <w:name w:val="Illustrazione"/>
    <w:basedOn w:val="a9"/>
    <w:qFormat/>
    <w:rsid w:val="00776A74"/>
  </w:style>
  <w:style w:type="paragraph" w:customStyle="1" w:styleId="Contenutocornice">
    <w:name w:val="Contenuto cornice"/>
    <w:basedOn w:val="a"/>
    <w:qFormat/>
    <w:rsid w:val="00776A74"/>
    <w:pPr>
      <w:spacing w:line="240" w:lineRule="auto"/>
    </w:pPr>
    <w:rPr>
      <w:rFonts w:ascii="Times New Roman" w:eastAsia="Times New Roman" w:hAnsi="Times New Roman" w:cs="Times New Roman"/>
      <w:color w:val="auto"/>
      <w:sz w:val="24"/>
      <w:szCs w:val="24"/>
      <w:lang w:val="it-IT"/>
    </w:rPr>
  </w:style>
  <w:style w:type="character" w:styleId="af">
    <w:name w:val="FollowedHyperlink"/>
    <w:basedOn w:val="a0"/>
    <w:uiPriority w:val="99"/>
    <w:semiHidden/>
    <w:unhideWhenUsed/>
    <w:rsid w:val="00776A74"/>
    <w:rPr>
      <w:color w:val="954F72" w:themeColor="followedHyperlink"/>
      <w:u w:val="single"/>
    </w:rPr>
  </w:style>
  <w:style w:type="paragraph" w:styleId="af0">
    <w:name w:val="header"/>
    <w:basedOn w:val="a"/>
    <w:link w:val="Char5"/>
    <w:uiPriority w:val="99"/>
    <w:unhideWhenUsed/>
    <w:rsid w:val="00557D2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f0"/>
    <w:uiPriority w:val="99"/>
    <w:rsid w:val="00557D29"/>
    <w:rPr>
      <w:rFonts w:ascii="Arial" w:eastAsia="Arial" w:hAnsi="Arial" w:cs="Arial"/>
      <w:color w:val="00000A"/>
      <w:sz w:val="18"/>
      <w:szCs w:val="18"/>
      <w:lang w:val="it" w:eastAsia="it-IT"/>
    </w:rPr>
  </w:style>
  <w:style w:type="paragraph" w:styleId="af1">
    <w:name w:val="footer"/>
    <w:basedOn w:val="a"/>
    <w:link w:val="Char6"/>
    <w:uiPriority w:val="99"/>
    <w:unhideWhenUsed/>
    <w:rsid w:val="00557D29"/>
    <w:pPr>
      <w:tabs>
        <w:tab w:val="center" w:pos="4153"/>
        <w:tab w:val="right" w:pos="8306"/>
      </w:tabs>
      <w:snapToGrid w:val="0"/>
      <w:spacing w:line="240" w:lineRule="auto"/>
    </w:pPr>
    <w:rPr>
      <w:sz w:val="18"/>
      <w:szCs w:val="18"/>
    </w:rPr>
  </w:style>
  <w:style w:type="character" w:customStyle="1" w:styleId="Char6">
    <w:name w:val="页脚 Char"/>
    <w:basedOn w:val="a0"/>
    <w:link w:val="af1"/>
    <w:uiPriority w:val="99"/>
    <w:rsid w:val="00557D29"/>
    <w:rPr>
      <w:rFonts w:ascii="Arial" w:eastAsia="Arial" w:hAnsi="Arial" w:cs="Arial"/>
      <w:color w:val="00000A"/>
      <w:sz w:val="18"/>
      <w:szCs w:val="18"/>
      <w:lang w:val="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5B"/>
    <w:pPr>
      <w:spacing w:line="276" w:lineRule="auto"/>
    </w:pPr>
    <w:rPr>
      <w:rFonts w:ascii="Arial" w:eastAsia="Arial" w:hAnsi="Arial" w:cs="Arial"/>
      <w:color w:val="00000A"/>
      <w:sz w:val="22"/>
      <w:szCs w:val="22"/>
      <w:lang w:val="it" w:eastAsia="it-IT"/>
    </w:rPr>
  </w:style>
  <w:style w:type="paragraph" w:styleId="1">
    <w:name w:val="heading 1"/>
    <w:basedOn w:val="a"/>
    <w:link w:val="1Char"/>
    <w:qFormat/>
    <w:rsid w:val="00776A74"/>
    <w:pPr>
      <w:keepNext/>
      <w:keepLines/>
      <w:spacing w:before="400" w:after="120" w:line="240" w:lineRule="auto"/>
      <w:outlineLvl w:val="0"/>
    </w:pPr>
    <w:rPr>
      <w:rFonts w:ascii="Times New Roman" w:eastAsia="Times New Roman" w:hAnsi="Times New Roman" w:cs="Times New Roman"/>
      <w:color w:val="auto"/>
      <w:sz w:val="40"/>
      <w:szCs w:val="40"/>
      <w:lang w:val="it-IT"/>
    </w:rPr>
  </w:style>
  <w:style w:type="paragraph" w:styleId="2">
    <w:name w:val="heading 2"/>
    <w:basedOn w:val="a"/>
    <w:link w:val="2Char"/>
    <w:qFormat/>
    <w:rsid w:val="00776A74"/>
    <w:pPr>
      <w:keepNext/>
      <w:keepLines/>
      <w:spacing w:before="360" w:after="120" w:line="240" w:lineRule="auto"/>
      <w:outlineLvl w:val="1"/>
    </w:pPr>
    <w:rPr>
      <w:rFonts w:ascii="Times New Roman" w:eastAsia="Times New Roman" w:hAnsi="Times New Roman" w:cs="Times New Roman"/>
      <w:color w:val="auto"/>
      <w:sz w:val="32"/>
      <w:szCs w:val="32"/>
      <w:lang w:val="it-IT"/>
    </w:rPr>
  </w:style>
  <w:style w:type="paragraph" w:styleId="3">
    <w:name w:val="heading 3"/>
    <w:basedOn w:val="a"/>
    <w:link w:val="3Char"/>
    <w:qFormat/>
    <w:rsid w:val="00776A74"/>
    <w:pPr>
      <w:keepNext/>
      <w:keepLines/>
      <w:spacing w:before="320" w:after="80" w:line="240" w:lineRule="auto"/>
      <w:outlineLvl w:val="2"/>
    </w:pPr>
    <w:rPr>
      <w:rFonts w:ascii="Times New Roman" w:eastAsia="Times New Roman" w:hAnsi="Times New Roman" w:cs="Times New Roman"/>
      <w:color w:val="434343"/>
      <w:sz w:val="28"/>
      <w:szCs w:val="28"/>
      <w:lang w:val="it-IT"/>
    </w:rPr>
  </w:style>
  <w:style w:type="paragraph" w:styleId="4">
    <w:name w:val="heading 4"/>
    <w:basedOn w:val="a"/>
    <w:link w:val="4Char"/>
    <w:qFormat/>
    <w:rsid w:val="00776A74"/>
    <w:pPr>
      <w:keepNext/>
      <w:keepLines/>
      <w:spacing w:before="280" w:after="80" w:line="240" w:lineRule="auto"/>
      <w:outlineLvl w:val="3"/>
    </w:pPr>
    <w:rPr>
      <w:rFonts w:ascii="Times New Roman" w:eastAsia="Times New Roman" w:hAnsi="Times New Roman" w:cs="Times New Roman"/>
      <w:color w:val="666666"/>
      <w:sz w:val="24"/>
      <w:szCs w:val="24"/>
      <w:lang w:val="it-IT"/>
    </w:rPr>
  </w:style>
  <w:style w:type="paragraph" w:styleId="5">
    <w:name w:val="heading 5"/>
    <w:basedOn w:val="a"/>
    <w:link w:val="5Char"/>
    <w:qFormat/>
    <w:rsid w:val="00776A74"/>
    <w:pPr>
      <w:keepNext/>
      <w:keepLines/>
      <w:spacing w:before="240" w:after="80" w:line="240" w:lineRule="auto"/>
      <w:outlineLvl w:val="4"/>
    </w:pPr>
    <w:rPr>
      <w:rFonts w:ascii="Times New Roman" w:eastAsia="Times New Roman" w:hAnsi="Times New Roman" w:cs="Times New Roman"/>
      <w:color w:val="666666"/>
      <w:sz w:val="24"/>
      <w:szCs w:val="24"/>
      <w:lang w:val="it-IT"/>
    </w:rPr>
  </w:style>
  <w:style w:type="paragraph" w:styleId="6">
    <w:name w:val="heading 6"/>
    <w:basedOn w:val="a"/>
    <w:link w:val="6Char"/>
    <w:qFormat/>
    <w:rsid w:val="00776A74"/>
    <w:pPr>
      <w:keepNext/>
      <w:keepLines/>
      <w:spacing w:before="240" w:after="80" w:line="240" w:lineRule="auto"/>
      <w:outlineLvl w:val="5"/>
    </w:pPr>
    <w:rPr>
      <w:rFonts w:ascii="Times New Roman" w:eastAsia="Times New Roman" w:hAnsi="Times New Roman" w:cs="Times New Roman"/>
      <w:i/>
      <w:color w:val="666666"/>
      <w:sz w:val="24"/>
      <w:szCs w:val="24"/>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688"/>
    <w:pPr>
      <w:ind w:left="720"/>
      <w:contextualSpacing/>
    </w:pPr>
  </w:style>
  <w:style w:type="character" w:styleId="a4">
    <w:name w:val="Hyperlink"/>
    <w:basedOn w:val="a0"/>
    <w:uiPriority w:val="99"/>
    <w:unhideWhenUsed/>
    <w:rsid w:val="00716688"/>
    <w:rPr>
      <w:color w:val="0563C1" w:themeColor="hyperlink"/>
      <w:u w:val="single"/>
    </w:rPr>
  </w:style>
  <w:style w:type="character" w:customStyle="1" w:styleId="UnresolvedMention">
    <w:name w:val="Unresolved Mention"/>
    <w:basedOn w:val="a0"/>
    <w:uiPriority w:val="99"/>
    <w:semiHidden/>
    <w:unhideWhenUsed/>
    <w:rsid w:val="00716688"/>
    <w:rPr>
      <w:color w:val="605E5C"/>
      <w:shd w:val="clear" w:color="auto" w:fill="E1DFDD"/>
    </w:rPr>
  </w:style>
  <w:style w:type="table" w:styleId="a5">
    <w:name w:val="Table Grid"/>
    <w:basedOn w:val="a1"/>
    <w:uiPriority w:val="39"/>
    <w:rsid w:val="0022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776A74"/>
    <w:rPr>
      <w:rFonts w:ascii="Times New Roman" w:eastAsia="Times New Roman" w:hAnsi="Times New Roman" w:cs="Times New Roman"/>
      <w:sz w:val="40"/>
      <w:szCs w:val="40"/>
      <w:lang w:eastAsia="it-IT"/>
    </w:rPr>
  </w:style>
  <w:style w:type="character" w:customStyle="1" w:styleId="2Char">
    <w:name w:val="标题 2 Char"/>
    <w:basedOn w:val="a0"/>
    <w:link w:val="2"/>
    <w:rsid w:val="00776A74"/>
    <w:rPr>
      <w:rFonts w:ascii="Times New Roman" w:eastAsia="Times New Roman" w:hAnsi="Times New Roman" w:cs="Times New Roman"/>
      <w:sz w:val="32"/>
      <w:szCs w:val="32"/>
      <w:lang w:eastAsia="it-IT"/>
    </w:rPr>
  </w:style>
  <w:style w:type="character" w:customStyle="1" w:styleId="3Char">
    <w:name w:val="标题 3 Char"/>
    <w:basedOn w:val="a0"/>
    <w:link w:val="3"/>
    <w:rsid w:val="00776A74"/>
    <w:rPr>
      <w:rFonts w:ascii="Times New Roman" w:eastAsia="Times New Roman" w:hAnsi="Times New Roman" w:cs="Times New Roman"/>
      <w:color w:val="434343"/>
      <w:sz w:val="28"/>
      <w:szCs w:val="28"/>
      <w:lang w:eastAsia="it-IT"/>
    </w:rPr>
  </w:style>
  <w:style w:type="character" w:customStyle="1" w:styleId="4Char">
    <w:name w:val="标题 4 Char"/>
    <w:basedOn w:val="a0"/>
    <w:link w:val="4"/>
    <w:rsid w:val="00776A74"/>
    <w:rPr>
      <w:rFonts w:ascii="Times New Roman" w:eastAsia="Times New Roman" w:hAnsi="Times New Roman" w:cs="Times New Roman"/>
      <w:color w:val="666666"/>
      <w:lang w:eastAsia="it-IT"/>
    </w:rPr>
  </w:style>
  <w:style w:type="character" w:customStyle="1" w:styleId="5Char">
    <w:name w:val="标题 5 Char"/>
    <w:basedOn w:val="a0"/>
    <w:link w:val="5"/>
    <w:rsid w:val="00776A74"/>
    <w:rPr>
      <w:rFonts w:ascii="Times New Roman" w:eastAsia="Times New Roman" w:hAnsi="Times New Roman" w:cs="Times New Roman"/>
      <w:color w:val="666666"/>
      <w:lang w:eastAsia="it-IT"/>
    </w:rPr>
  </w:style>
  <w:style w:type="character" w:customStyle="1" w:styleId="6Char">
    <w:name w:val="标题 6 Char"/>
    <w:basedOn w:val="a0"/>
    <w:link w:val="6"/>
    <w:rsid w:val="00776A74"/>
    <w:rPr>
      <w:rFonts w:ascii="Times New Roman" w:eastAsia="Times New Roman" w:hAnsi="Times New Roman" w:cs="Times New Roman"/>
      <w:i/>
      <w:color w:val="666666"/>
      <w:lang w:eastAsia="it-IT"/>
    </w:rPr>
  </w:style>
  <w:style w:type="character" w:customStyle="1" w:styleId="TestofumettoCarattere">
    <w:name w:val="Testo fumetto Carattere"/>
    <w:basedOn w:val="a0"/>
    <w:qFormat/>
    <w:rsid w:val="00776A74"/>
    <w:rPr>
      <w:rFonts w:ascii="Tahoma" w:hAnsi="Tahoma" w:cs="Tahoma"/>
      <w:sz w:val="16"/>
      <w:szCs w:val="16"/>
    </w:rPr>
  </w:style>
  <w:style w:type="character" w:styleId="a6">
    <w:name w:val="annotation reference"/>
    <w:basedOn w:val="a0"/>
    <w:qFormat/>
    <w:rsid w:val="00776A74"/>
    <w:rPr>
      <w:sz w:val="16"/>
      <w:szCs w:val="16"/>
    </w:rPr>
  </w:style>
  <w:style w:type="character" w:customStyle="1" w:styleId="TestocommentoCarattere">
    <w:name w:val="Testo commento Carattere"/>
    <w:basedOn w:val="a0"/>
    <w:qFormat/>
    <w:rsid w:val="00776A74"/>
    <w:rPr>
      <w:sz w:val="20"/>
      <w:szCs w:val="20"/>
    </w:rPr>
  </w:style>
  <w:style w:type="character" w:customStyle="1" w:styleId="SoggettocommentoCarattere">
    <w:name w:val="Soggetto commento Carattere"/>
    <w:basedOn w:val="TestocommentoCarattere"/>
    <w:qFormat/>
    <w:rsid w:val="00776A74"/>
    <w:rPr>
      <w:b/>
      <w:bCs/>
      <w:sz w:val="20"/>
      <w:szCs w:val="20"/>
    </w:rPr>
  </w:style>
  <w:style w:type="character" w:customStyle="1" w:styleId="CollegamentoInternet">
    <w:name w:val="Collegamento Internet"/>
    <w:rsid w:val="00776A74"/>
    <w:rPr>
      <w:color w:val="000080"/>
      <w:u w:val="single"/>
    </w:rPr>
  </w:style>
  <w:style w:type="paragraph" w:customStyle="1" w:styleId="Titolo1">
    <w:name w:val="Titolo1"/>
    <w:basedOn w:val="a"/>
    <w:next w:val="a7"/>
    <w:qFormat/>
    <w:rsid w:val="00776A74"/>
    <w:pPr>
      <w:keepNext/>
      <w:spacing w:before="240" w:after="120" w:line="240" w:lineRule="auto"/>
    </w:pPr>
    <w:rPr>
      <w:rFonts w:ascii="Liberation Sans" w:eastAsia="微软雅黑" w:hAnsi="Liberation Sans" w:cs="Mangal"/>
      <w:color w:val="auto"/>
      <w:sz w:val="28"/>
      <w:szCs w:val="28"/>
      <w:lang w:val="it-IT"/>
    </w:rPr>
  </w:style>
  <w:style w:type="paragraph" w:styleId="a7">
    <w:name w:val="Body Text"/>
    <w:basedOn w:val="a"/>
    <w:link w:val="Char"/>
    <w:rsid w:val="00776A74"/>
    <w:pPr>
      <w:spacing w:after="140" w:line="288" w:lineRule="auto"/>
    </w:pPr>
    <w:rPr>
      <w:rFonts w:ascii="Times New Roman" w:eastAsia="Times New Roman" w:hAnsi="Times New Roman" w:cs="Times New Roman"/>
      <w:color w:val="auto"/>
      <w:sz w:val="24"/>
      <w:szCs w:val="24"/>
      <w:lang w:val="it-IT"/>
    </w:rPr>
  </w:style>
  <w:style w:type="character" w:customStyle="1" w:styleId="Char">
    <w:name w:val="正文文本 Char"/>
    <w:basedOn w:val="a0"/>
    <w:link w:val="a7"/>
    <w:rsid w:val="00776A74"/>
    <w:rPr>
      <w:rFonts w:ascii="Times New Roman" w:eastAsia="Times New Roman" w:hAnsi="Times New Roman" w:cs="Times New Roman"/>
      <w:lang w:eastAsia="it-IT"/>
    </w:rPr>
  </w:style>
  <w:style w:type="paragraph" w:styleId="a8">
    <w:name w:val="List"/>
    <w:basedOn w:val="a7"/>
    <w:rsid w:val="00776A74"/>
    <w:rPr>
      <w:rFonts w:cs="Mangal"/>
    </w:rPr>
  </w:style>
  <w:style w:type="paragraph" w:styleId="a9">
    <w:name w:val="caption"/>
    <w:basedOn w:val="a"/>
    <w:qFormat/>
    <w:rsid w:val="00776A74"/>
    <w:pPr>
      <w:suppressLineNumbers/>
      <w:spacing w:before="120" w:after="120" w:line="240" w:lineRule="auto"/>
    </w:pPr>
    <w:rPr>
      <w:rFonts w:ascii="Times New Roman" w:eastAsia="Times New Roman" w:hAnsi="Times New Roman" w:cs="Mangal"/>
      <w:i/>
      <w:iCs/>
      <w:color w:val="auto"/>
      <w:sz w:val="24"/>
      <w:szCs w:val="24"/>
      <w:lang w:val="it-IT"/>
    </w:rPr>
  </w:style>
  <w:style w:type="paragraph" w:customStyle="1" w:styleId="Indice">
    <w:name w:val="Indice"/>
    <w:basedOn w:val="a"/>
    <w:qFormat/>
    <w:rsid w:val="00776A74"/>
    <w:pPr>
      <w:suppressLineNumbers/>
      <w:spacing w:line="240" w:lineRule="auto"/>
    </w:pPr>
    <w:rPr>
      <w:rFonts w:ascii="Times New Roman" w:eastAsia="Times New Roman" w:hAnsi="Times New Roman" w:cs="Mangal"/>
      <w:color w:val="auto"/>
      <w:sz w:val="24"/>
      <w:szCs w:val="24"/>
      <w:lang w:val="it-IT"/>
    </w:rPr>
  </w:style>
  <w:style w:type="paragraph" w:styleId="aa">
    <w:name w:val="Title"/>
    <w:basedOn w:val="a"/>
    <w:link w:val="Char0"/>
    <w:qFormat/>
    <w:rsid w:val="00776A74"/>
    <w:pPr>
      <w:keepNext/>
      <w:keepLines/>
      <w:spacing w:after="60" w:line="240" w:lineRule="auto"/>
    </w:pPr>
    <w:rPr>
      <w:rFonts w:ascii="Times New Roman" w:eastAsia="Times New Roman" w:hAnsi="Times New Roman" w:cs="Times New Roman"/>
      <w:color w:val="auto"/>
      <w:sz w:val="52"/>
      <w:szCs w:val="52"/>
      <w:lang w:val="it-IT"/>
    </w:rPr>
  </w:style>
  <w:style w:type="character" w:customStyle="1" w:styleId="Char0">
    <w:name w:val="标题 Char"/>
    <w:basedOn w:val="a0"/>
    <w:link w:val="aa"/>
    <w:rsid w:val="00776A74"/>
    <w:rPr>
      <w:rFonts w:ascii="Times New Roman" w:eastAsia="Times New Roman" w:hAnsi="Times New Roman" w:cs="Times New Roman"/>
      <w:sz w:val="52"/>
      <w:szCs w:val="52"/>
      <w:lang w:eastAsia="it-IT"/>
    </w:rPr>
  </w:style>
  <w:style w:type="paragraph" w:styleId="ab">
    <w:name w:val="Subtitle"/>
    <w:basedOn w:val="a"/>
    <w:link w:val="Char1"/>
    <w:qFormat/>
    <w:rsid w:val="00776A74"/>
    <w:pPr>
      <w:keepNext/>
      <w:keepLines/>
      <w:spacing w:after="320" w:line="240" w:lineRule="auto"/>
    </w:pPr>
    <w:rPr>
      <w:rFonts w:ascii="Times New Roman" w:eastAsia="Times New Roman" w:hAnsi="Times New Roman" w:cs="Times New Roman"/>
      <w:color w:val="666666"/>
      <w:sz w:val="30"/>
      <w:szCs w:val="30"/>
      <w:lang w:val="it-IT"/>
    </w:rPr>
  </w:style>
  <w:style w:type="character" w:customStyle="1" w:styleId="Char1">
    <w:name w:val="副标题 Char"/>
    <w:basedOn w:val="a0"/>
    <w:link w:val="ab"/>
    <w:rsid w:val="00776A74"/>
    <w:rPr>
      <w:rFonts w:ascii="Times New Roman" w:eastAsia="Times New Roman" w:hAnsi="Times New Roman" w:cs="Times New Roman"/>
      <w:color w:val="666666"/>
      <w:sz w:val="30"/>
      <w:szCs w:val="30"/>
      <w:lang w:eastAsia="it-IT"/>
    </w:rPr>
  </w:style>
  <w:style w:type="paragraph" w:styleId="ac">
    <w:name w:val="Balloon Text"/>
    <w:basedOn w:val="a"/>
    <w:link w:val="Char2"/>
    <w:qFormat/>
    <w:rsid w:val="00776A74"/>
    <w:pPr>
      <w:spacing w:line="240" w:lineRule="auto"/>
    </w:pPr>
    <w:rPr>
      <w:rFonts w:ascii="Tahoma" w:eastAsia="Times New Roman" w:hAnsi="Tahoma" w:cs="Tahoma"/>
      <w:color w:val="auto"/>
      <w:sz w:val="16"/>
      <w:szCs w:val="16"/>
      <w:lang w:val="it-IT"/>
    </w:rPr>
  </w:style>
  <w:style w:type="character" w:customStyle="1" w:styleId="Char2">
    <w:name w:val="批注框文本 Char"/>
    <w:basedOn w:val="a0"/>
    <w:link w:val="ac"/>
    <w:rsid w:val="00776A74"/>
    <w:rPr>
      <w:rFonts w:ascii="Tahoma" w:eastAsia="Times New Roman" w:hAnsi="Tahoma" w:cs="Tahoma"/>
      <w:sz w:val="16"/>
      <w:szCs w:val="16"/>
      <w:lang w:eastAsia="it-IT"/>
    </w:rPr>
  </w:style>
  <w:style w:type="paragraph" w:styleId="ad">
    <w:name w:val="annotation text"/>
    <w:basedOn w:val="a"/>
    <w:link w:val="Char3"/>
    <w:uiPriority w:val="99"/>
    <w:qFormat/>
    <w:rsid w:val="00776A74"/>
    <w:pPr>
      <w:spacing w:line="240" w:lineRule="auto"/>
    </w:pPr>
    <w:rPr>
      <w:rFonts w:ascii="Times New Roman" w:eastAsia="Times New Roman" w:hAnsi="Times New Roman" w:cs="Times New Roman"/>
      <w:color w:val="auto"/>
      <w:sz w:val="20"/>
      <w:szCs w:val="20"/>
      <w:lang w:val="it-IT"/>
    </w:rPr>
  </w:style>
  <w:style w:type="character" w:customStyle="1" w:styleId="Char3">
    <w:name w:val="批注文字 Char"/>
    <w:basedOn w:val="a0"/>
    <w:link w:val="ad"/>
    <w:uiPriority w:val="99"/>
    <w:qFormat/>
    <w:rsid w:val="00776A74"/>
    <w:rPr>
      <w:rFonts w:ascii="Times New Roman" w:eastAsia="Times New Roman" w:hAnsi="Times New Roman" w:cs="Times New Roman"/>
      <w:sz w:val="20"/>
      <w:szCs w:val="20"/>
      <w:lang w:eastAsia="it-IT"/>
    </w:rPr>
  </w:style>
  <w:style w:type="paragraph" w:styleId="ae">
    <w:name w:val="annotation subject"/>
    <w:basedOn w:val="ad"/>
    <w:link w:val="Char4"/>
    <w:qFormat/>
    <w:rsid w:val="00776A74"/>
    <w:rPr>
      <w:b/>
      <w:bCs/>
    </w:rPr>
  </w:style>
  <w:style w:type="character" w:customStyle="1" w:styleId="Char4">
    <w:name w:val="批注主题 Char"/>
    <w:basedOn w:val="Char3"/>
    <w:link w:val="ae"/>
    <w:rsid w:val="00776A74"/>
    <w:rPr>
      <w:rFonts w:ascii="Times New Roman" w:eastAsia="Times New Roman" w:hAnsi="Times New Roman" w:cs="Times New Roman"/>
      <w:b/>
      <w:bCs/>
      <w:sz w:val="20"/>
      <w:szCs w:val="20"/>
      <w:lang w:eastAsia="it-IT"/>
    </w:rPr>
  </w:style>
  <w:style w:type="paragraph" w:customStyle="1" w:styleId="Illustrazione">
    <w:name w:val="Illustrazione"/>
    <w:basedOn w:val="a9"/>
    <w:qFormat/>
    <w:rsid w:val="00776A74"/>
  </w:style>
  <w:style w:type="paragraph" w:customStyle="1" w:styleId="Contenutocornice">
    <w:name w:val="Contenuto cornice"/>
    <w:basedOn w:val="a"/>
    <w:qFormat/>
    <w:rsid w:val="00776A74"/>
    <w:pPr>
      <w:spacing w:line="240" w:lineRule="auto"/>
    </w:pPr>
    <w:rPr>
      <w:rFonts w:ascii="Times New Roman" w:eastAsia="Times New Roman" w:hAnsi="Times New Roman" w:cs="Times New Roman"/>
      <w:color w:val="auto"/>
      <w:sz w:val="24"/>
      <w:szCs w:val="24"/>
      <w:lang w:val="it-IT"/>
    </w:rPr>
  </w:style>
  <w:style w:type="character" w:styleId="af">
    <w:name w:val="FollowedHyperlink"/>
    <w:basedOn w:val="a0"/>
    <w:uiPriority w:val="99"/>
    <w:semiHidden/>
    <w:unhideWhenUsed/>
    <w:rsid w:val="00776A74"/>
    <w:rPr>
      <w:color w:val="954F72" w:themeColor="followedHyperlink"/>
      <w:u w:val="single"/>
    </w:rPr>
  </w:style>
  <w:style w:type="paragraph" w:styleId="af0">
    <w:name w:val="header"/>
    <w:basedOn w:val="a"/>
    <w:link w:val="Char5"/>
    <w:uiPriority w:val="99"/>
    <w:unhideWhenUsed/>
    <w:rsid w:val="00557D2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f0"/>
    <w:uiPriority w:val="99"/>
    <w:rsid w:val="00557D29"/>
    <w:rPr>
      <w:rFonts w:ascii="Arial" w:eastAsia="Arial" w:hAnsi="Arial" w:cs="Arial"/>
      <w:color w:val="00000A"/>
      <w:sz w:val="18"/>
      <w:szCs w:val="18"/>
      <w:lang w:val="it" w:eastAsia="it-IT"/>
    </w:rPr>
  </w:style>
  <w:style w:type="paragraph" w:styleId="af1">
    <w:name w:val="footer"/>
    <w:basedOn w:val="a"/>
    <w:link w:val="Char6"/>
    <w:uiPriority w:val="99"/>
    <w:unhideWhenUsed/>
    <w:rsid w:val="00557D29"/>
    <w:pPr>
      <w:tabs>
        <w:tab w:val="center" w:pos="4153"/>
        <w:tab w:val="right" w:pos="8306"/>
      </w:tabs>
      <w:snapToGrid w:val="0"/>
      <w:spacing w:line="240" w:lineRule="auto"/>
    </w:pPr>
    <w:rPr>
      <w:sz w:val="18"/>
      <w:szCs w:val="18"/>
    </w:rPr>
  </w:style>
  <w:style w:type="character" w:customStyle="1" w:styleId="Char6">
    <w:name w:val="页脚 Char"/>
    <w:basedOn w:val="a0"/>
    <w:link w:val="af1"/>
    <w:uiPriority w:val="99"/>
    <w:rsid w:val="00557D29"/>
    <w:rPr>
      <w:rFonts w:ascii="Arial" w:eastAsia="Arial" w:hAnsi="Arial" w:cs="Arial"/>
      <w:color w:val="00000A"/>
      <w:sz w:val="18"/>
      <w:szCs w:val="18"/>
      <w:lang w:val="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0189">
      <w:bodyDiv w:val="1"/>
      <w:marLeft w:val="0"/>
      <w:marRight w:val="0"/>
      <w:marTop w:val="0"/>
      <w:marBottom w:val="0"/>
      <w:divBdr>
        <w:top w:val="none" w:sz="0" w:space="0" w:color="auto"/>
        <w:left w:val="none" w:sz="0" w:space="0" w:color="auto"/>
        <w:bottom w:val="none" w:sz="0" w:space="0" w:color="auto"/>
        <w:right w:val="none" w:sz="0" w:space="0" w:color="auto"/>
      </w:divBdr>
    </w:div>
    <w:div w:id="135953880">
      <w:bodyDiv w:val="1"/>
      <w:marLeft w:val="0"/>
      <w:marRight w:val="0"/>
      <w:marTop w:val="0"/>
      <w:marBottom w:val="0"/>
      <w:divBdr>
        <w:top w:val="none" w:sz="0" w:space="0" w:color="auto"/>
        <w:left w:val="none" w:sz="0" w:space="0" w:color="auto"/>
        <w:bottom w:val="none" w:sz="0" w:space="0" w:color="auto"/>
        <w:right w:val="none" w:sz="0" w:space="0" w:color="auto"/>
      </w:divBdr>
    </w:div>
    <w:div w:id="140930841">
      <w:bodyDiv w:val="1"/>
      <w:marLeft w:val="0"/>
      <w:marRight w:val="0"/>
      <w:marTop w:val="0"/>
      <w:marBottom w:val="0"/>
      <w:divBdr>
        <w:top w:val="none" w:sz="0" w:space="0" w:color="auto"/>
        <w:left w:val="none" w:sz="0" w:space="0" w:color="auto"/>
        <w:bottom w:val="none" w:sz="0" w:space="0" w:color="auto"/>
        <w:right w:val="none" w:sz="0" w:space="0" w:color="auto"/>
      </w:divBdr>
    </w:div>
    <w:div w:id="166100400">
      <w:bodyDiv w:val="1"/>
      <w:marLeft w:val="0"/>
      <w:marRight w:val="0"/>
      <w:marTop w:val="0"/>
      <w:marBottom w:val="0"/>
      <w:divBdr>
        <w:top w:val="none" w:sz="0" w:space="0" w:color="auto"/>
        <w:left w:val="none" w:sz="0" w:space="0" w:color="auto"/>
        <w:bottom w:val="none" w:sz="0" w:space="0" w:color="auto"/>
        <w:right w:val="none" w:sz="0" w:space="0" w:color="auto"/>
      </w:divBdr>
    </w:div>
    <w:div w:id="171454855">
      <w:bodyDiv w:val="1"/>
      <w:marLeft w:val="0"/>
      <w:marRight w:val="0"/>
      <w:marTop w:val="0"/>
      <w:marBottom w:val="0"/>
      <w:divBdr>
        <w:top w:val="none" w:sz="0" w:space="0" w:color="auto"/>
        <w:left w:val="none" w:sz="0" w:space="0" w:color="auto"/>
        <w:bottom w:val="none" w:sz="0" w:space="0" w:color="auto"/>
        <w:right w:val="none" w:sz="0" w:space="0" w:color="auto"/>
      </w:divBdr>
    </w:div>
    <w:div w:id="176818351">
      <w:bodyDiv w:val="1"/>
      <w:marLeft w:val="0"/>
      <w:marRight w:val="0"/>
      <w:marTop w:val="0"/>
      <w:marBottom w:val="0"/>
      <w:divBdr>
        <w:top w:val="none" w:sz="0" w:space="0" w:color="auto"/>
        <w:left w:val="none" w:sz="0" w:space="0" w:color="auto"/>
        <w:bottom w:val="none" w:sz="0" w:space="0" w:color="auto"/>
        <w:right w:val="none" w:sz="0" w:space="0" w:color="auto"/>
      </w:divBdr>
    </w:div>
    <w:div w:id="285695664">
      <w:bodyDiv w:val="1"/>
      <w:marLeft w:val="0"/>
      <w:marRight w:val="0"/>
      <w:marTop w:val="0"/>
      <w:marBottom w:val="0"/>
      <w:divBdr>
        <w:top w:val="none" w:sz="0" w:space="0" w:color="auto"/>
        <w:left w:val="none" w:sz="0" w:space="0" w:color="auto"/>
        <w:bottom w:val="none" w:sz="0" w:space="0" w:color="auto"/>
        <w:right w:val="none" w:sz="0" w:space="0" w:color="auto"/>
      </w:divBdr>
    </w:div>
    <w:div w:id="330790203">
      <w:bodyDiv w:val="1"/>
      <w:marLeft w:val="0"/>
      <w:marRight w:val="0"/>
      <w:marTop w:val="0"/>
      <w:marBottom w:val="0"/>
      <w:divBdr>
        <w:top w:val="none" w:sz="0" w:space="0" w:color="auto"/>
        <w:left w:val="none" w:sz="0" w:space="0" w:color="auto"/>
        <w:bottom w:val="none" w:sz="0" w:space="0" w:color="auto"/>
        <w:right w:val="none" w:sz="0" w:space="0" w:color="auto"/>
      </w:divBdr>
    </w:div>
    <w:div w:id="334259997">
      <w:bodyDiv w:val="1"/>
      <w:marLeft w:val="0"/>
      <w:marRight w:val="0"/>
      <w:marTop w:val="0"/>
      <w:marBottom w:val="0"/>
      <w:divBdr>
        <w:top w:val="none" w:sz="0" w:space="0" w:color="auto"/>
        <w:left w:val="none" w:sz="0" w:space="0" w:color="auto"/>
        <w:bottom w:val="none" w:sz="0" w:space="0" w:color="auto"/>
        <w:right w:val="none" w:sz="0" w:space="0" w:color="auto"/>
      </w:divBdr>
    </w:div>
    <w:div w:id="349726457">
      <w:bodyDiv w:val="1"/>
      <w:marLeft w:val="0"/>
      <w:marRight w:val="0"/>
      <w:marTop w:val="0"/>
      <w:marBottom w:val="0"/>
      <w:divBdr>
        <w:top w:val="none" w:sz="0" w:space="0" w:color="auto"/>
        <w:left w:val="none" w:sz="0" w:space="0" w:color="auto"/>
        <w:bottom w:val="none" w:sz="0" w:space="0" w:color="auto"/>
        <w:right w:val="none" w:sz="0" w:space="0" w:color="auto"/>
      </w:divBdr>
    </w:div>
    <w:div w:id="350188927">
      <w:bodyDiv w:val="1"/>
      <w:marLeft w:val="0"/>
      <w:marRight w:val="0"/>
      <w:marTop w:val="0"/>
      <w:marBottom w:val="0"/>
      <w:divBdr>
        <w:top w:val="none" w:sz="0" w:space="0" w:color="auto"/>
        <w:left w:val="none" w:sz="0" w:space="0" w:color="auto"/>
        <w:bottom w:val="none" w:sz="0" w:space="0" w:color="auto"/>
        <w:right w:val="none" w:sz="0" w:space="0" w:color="auto"/>
      </w:divBdr>
    </w:div>
    <w:div w:id="354036115">
      <w:bodyDiv w:val="1"/>
      <w:marLeft w:val="0"/>
      <w:marRight w:val="0"/>
      <w:marTop w:val="0"/>
      <w:marBottom w:val="0"/>
      <w:divBdr>
        <w:top w:val="none" w:sz="0" w:space="0" w:color="auto"/>
        <w:left w:val="none" w:sz="0" w:space="0" w:color="auto"/>
        <w:bottom w:val="none" w:sz="0" w:space="0" w:color="auto"/>
        <w:right w:val="none" w:sz="0" w:space="0" w:color="auto"/>
      </w:divBdr>
    </w:div>
    <w:div w:id="377359166">
      <w:bodyDiv w:val="1"/>
      <w:marLeft w:val="0"/>
      <w:marRight w:val="0"/>
      <w:marTop w:val="0"/>
      <w:marBottom w:val="0"/>
      <w:divBdr>
        <w:top w:val="none" w:sz="0" w:space="0" w:color="auto"/>
        <w:left w:val="none" w:sz="0" w:space="0" w:color="auto"/>
        <w:bottom w:val="none" w:sz="0" w:space="0" w:color="auto"/>
        <w:right w:val="none" w:sz="0" w:space="0" w:color="auto"/>
      </w:divBdr>
    </w:div>
    <w:div w:id="402799003">
      <w:bodyDiv w:val="1"/>
      <w:marLeft w:val="0"/>
      <w:marRight w:val="0"/>
      <w:marTop w:val="0"/>
      <w:marBottom w:val="0"/>
      <w:divBdr>
        <w:top w:val="none" w:sz="0" w:space="0" w:color="auto"/>
        <w:left w:val="none" w:sz="0" w:space="0" w:color="auto"/>
        <w:bottom w:val="none" w:sz="0" w:space="0" w:color="auto"/>
        <w:right w:val="none" w:sz="0" w:space="0" w:color="auto"/>
      </w:divBdr>
    </w:div>
    <w:div w:id="415371692">
      <w:bodyDiv w:val="1"/>
      <w:marLeft w:val="0"/>
      <w:marRight w:val="0"/>
      <w:marTop w:val="0"/>
      <w:marBottom w:val="0"/>
      <w:divBdr>
        <w:top w:val="none" w:sz="0" w:space="0" w:color="auto"/>
        <w:left w:val="none" w:sz="0" w:space="0" w:color="auto"/>
        <w:bottom w:val="none" w:sz="0" w:space="0" w:color="auto"/>
        <w:right w:val="none" w:sz="0" w:space="0" w:color="auto"/>
      </w:divBdr>
    </w:div>
    <w:div w:id="450244716">
      <w:bodyDiv w:val="1"/>
      <w:marLeft w:val="0"/>
      <w:marRight w:val="0"/>
      <w:marTop w:val="0"/>
      <w:marBottom w:val="0"/>
      <w:divBdr>
        <w:top w:val="none" w:sz="0" w:space="0" w:color="auto"/>
        <w:left w:val="none" w:sz="0" w:space="0" w:color="auto"/>
        <w:bottom w:val="none" w:sz="0" w:space="0" w:color="auto"/>
        <w:right w:val="none" w:sz="0" w:space="0" w:color="auto"/>
      </w:divBdr>
    </w:div>
    <w:div w:id="465583625">
      <w:bodyDiv w:val="1"/>
      <w:marLeft w:val="0"/>
      <w:marRight w:val="0"/>
      <w:marTop w:val="0"/>
      <w:marBottom w:val="0"/>
      <w:divBdr>
        <w:top w:val="none" w:sz="0" w:space="0" w:color="auto"/>
        <w:left w:val="none" w:sz="0" w:space="0" w:color="auto"/>
        <w:bottom w:val="none" w:sz="0" w:space="0" w:color="auto"/>
        <w:right w:val="none" w:sz="0" w:space="0" w:color="auto"/>
      </w:divBdr>
    </w:div>
    <w:div w:id="474102908">
      <w:bodyDiv w:val="1"/>
      <w:marLeft w:val="0"/>
      <w:marRight w:val="0"/>
      <w:marTop w:val="0"/>
      <w:marBottom w:val="0"/>
      <w:divBdr>
        <w:top w:val="none" w:sz="0" w:space="0" w:color="auto"/>
        <w:left w:val="none" w:sz="0" w:space="0" w:color="auto"/>
        <w:bottom w:val="none" w:sz="0" w:space="0" w:color="auto"/>
        <w:right w:val="none" w:sz="0" w:space="0" w:color="auto"/>
      </w:divBdr>
    </w:div>
    <w:div w:id="474418471">
      <w:bodyDiv w:val="1"/>
      <w:marLeft w:val="0"/>
      <w:marRight w:val="0"/>
      <w:marTop w:val="0"/>
      <w:marBottom w:val="0"/>
      <w:divBdr>
        <w:top w:val="none" w:sz="0" w:space="0" w:color="auto"/>
        <w:left w:val="none" w:sz="0" w:space="0" w:color="auto"/>
        <w:bottom w:val="none" w:sz="0" w:space="0" w:color="auto"/>
        <w:right w:val="none" w:sz="0" w:space="0" w:color="auto"/>
      </w:divBdr>
    </w:div>
    <w:div w:id="486671335">
      <w:bodyDiv w:val="1"/>
      <w:marLeft w:val="0"/>
      <w:marRight w:val="0"/>
      <w:marTop w:val="0"/>
      <w:marBottom w:val="0"/>
      <w:divBdr>
        <w:top w:val="none" w:sz="0" w:space="0" w:color="auto"/>
        <w:left w:val="none" w:sz="0" w:space="0" w:color="auto"/>
        <w:bottom w:val="none" w:sz="0" w:space="0" w:color="auto"/>
        <w:right w:val="none" w:sz="0" w:space="0" w:color="auto"/>
      </w:divBdr>
    </w:div>
    <w:div w:id="486748365">
      <w:bodyDiv w:val="1"/>
      <w:marLeft w:val="0"/>
      <w:marRight w:val="0"/>
      <w:marTop w:val="0"/>
      <w:marBottom w:val="0"/>
      <w:divBdr>
        <w:top w:val="none" w:sz="0" w:space="0" w:color="auto"/>
        <w:left w:val="none" w:sz="0" w:space="0" w:color="auto"/>
        <w:bottom w:val="none" w:sz="0" w:space="0" w:color="auto"/>
        <w:right w:val="none" w:sz="0" w:space="0" w:color="auto"/>
      </w:divBdr>
    </w:div>
    <w:div w:id="491914485">
      <w:bodyDiv w:val="1"/>
      <w:marLeft w:val="0"/>
      <w:marRight w:val="0"/>
      <w:marTop w:val="0"/>
      <w:marBottom w:val="0"/>
      <w:divBdr>
        <w:top w:val="none" w:sz="0" w:space="0" w:color="auto"/>
        <w:left w:val="none" w:sz="0" w:space="0" w:color="auto"/>
        <w:bottom w:val="none" w:sz="0" w:space="0" w:color="auto"/>
        <w:right w:val="none" w:sz="0" w:space="0" w:color="auto"/>
      </w:divBdr>
    </w:div>
    <w:div w:id="517156568">
      <w:bodyDiv w:val="1"/>
      <w:marLeft w:val="0"/>
      <w:marRight w:val="0"/>
      <w:marTop w:val="0"/>
      <w:marBottom w:val="0"/>
      <w:divBdr>
        <w:top w:val="none" w:sz="0" w:space="0" w:color="auto"/>
        <w:left w:val="none" w:sz="0" w:space="0" w:color="auto"/>
        <w:bottom w:val="none" w:sz="0" w:space="0" w:color="auto"/>
        <w:right w:val="none" w:sz="0" w:space="0" w:color="auto"/>
      </w:divBdr>
    </w:div>
    <w:div w:id="520246102">
      <w:bodyDiv w:val="1"/>
      <w:marLeft w:val="0"/>
      <w:marRight w:val="0"/>
      <w:marTop w:val="0"/>
      <w:marBottom w:val="0"/>
      <w:divBdr>
        <w:top w:val="none" w:sz="0" w:space="0" w:color="auto"/>
        <w:left w:val="none" w:sz="0" w:space="0" w:color="auto"/>
        <w:bottom w:val="none" w:sz="0" w:space="0" w:color="auto"/>
        <w:right w:val="none" w:sz="0" w:space="0" w:color="auto"/>
      </w:divBdr>
    </w:div>
    <w:div w:id="529606052">
      <w:bodyDiv w:val="1"/>
      <w:marLeft w:val="0"/>
      <w:marRight w:val="0"/>
      <w:marTop w:val="0"/>
      <w:marBottom w:val="0"/>
      <w:divBdr>
        <w:top w:val="none" w:sz="0" w:space="0" w:color="auto"/>
        <w:left w:val="none" w:sz="0" w:space="0" w:color="auto"/>
        <w:bottom w:val="none" w:sz="0" w:space="0" w:color="auto"/>
        <w:right w:val="none" w:sz="0" w:space="0" w:color="auto"/>
      </w:divBdr>
    </w:div>
    <w:div w:id="554390471">
      <w:bodyDiv w:val="1"/>
      <w:marLeft w:val="0"/>
      <w:marRight w:val="0"/>
      <w:marTop w:val="0"/>
      <w:marBottom w:val="0"/>
      <w:divBdr>
        <w:top w:val="none" w:sz="0" w:space="0" w:color="auto"/>
        <w:left w:val="none" w:sz="0" w:space="0" w:color="auto"/>
        <w:bottom w:val="none" w:sz="0" w:space="0" w:color="auto"/>
        <w:right w:val="none" w:sz="0" w:space="0" w:color="auto"/>
      </w:divBdr>
    </w:div>
    <w:div w:id="560215410">
      <w:bodyDiv w:val="1"/>
      <w:marLeft w:val="0"/>
      <w:marRight w:val="0"/>
      <w:marTop w:val="0"/>
      <w:marBottom w:val="0"/>
      <w:divBdr>
        <w:top w:val="none" w:sz="0" w:space="0" w:color="auto"/>
        <w:left w:val="none" w:sz="0" w:space="0" w:color="auto"/>
        <w:bottom w:val="none" w:sz="0" w:space="0" w:color="auto"/>
        <w:right w:val="none" w:sz="0" w:space="0" w:color="auto"/>
      </w:divBdr>
    </w:div>
    <w:div w:id="587932153">
      <w:bodyDiv w:val="1"/>
      <w:marLeft w:val="0"/>
      <w:marRight w:val="0"/>
      <w:marTop w:val="0"/>
      <w:marBottom w:val="0"/>
      <w:divBdr>
        <w:top w:val="none" w:sz="0" w:space="0" w:color="auto"/>
        <w:left w:val="none" w:sz="0" w:space="0" w:color="auto"/>
        <w:bottom w:val="none" w:sz="0" w:space="0" w:color="auto"/>
        <w:right w:val="none" w:sz="0" w:space="0" w:color="auto"/>
      </w:divBdr>
    </w:div>
    <w:div w:id="591594344">
      <w:bodyDiv w:val="1"/>
      <w:marLeft w:val="0"/>
      <w:marRight w:val="0"/>
      <w:marTop w:val="0"/>
      <w:marBottom w:val="0"/>
      <w:divBdr>
        <w:top w:val="none" w:sz="0" w:space="0" w:color="auto"/>
        <w:left w:val="none" w:sz="0" w:space="0" w:color="auto"/>
        <w:bottom w:val="none" w:sz="0" w:space="0" w:color="auto"/>
        <w:right w:val="none" w:sz="0" w:space="0" w:color="auto"/>
      </w:divBdr>
    </w:div>
    <w:div w:id="596790196">
      <w:bodyDiv w:val="1"/>
      <w:marLeft w:val="0"/>
      <w:marRight w:val="0"/>
      <w:marTop w:val="0"/>
      <w:marBottom w:val="0"/>
      <w:divBdr>
        <w:top w:val="none" w:sz="0" w:space="0" w:color="auto"/>
        <w:left w:val="none" w:sz="0" w:space="0" w:color="auto"/>
        <w:bottom w:val="none" w:sz="0" w:space="0" w:color="auto"/>
        <w:right w:val="none" w:sz="0" w:space="0" w:color="auto"/>
      </w:divBdr>
    </w:div>
    <w:div w:id="628584582">
      <w:bodyDiv w:val="1"/>
      <w:marLeft w:val="0"/>
      <w:marRight w:val="0"/>
      <w:marTop w:val="0"/>
      <w:marBottom w:val="0"/>
      <w:divBdr>
        <w:top w:val="none" w:sz="0" w:space="0" w:color="auto"/>
        <w:left w:val="none" w:sz="0" w:space="0" w:color="auto"/>
        <w:bottom w:val="none" w:sz="0" w:space="0" w:color="auto"/>
        <w:right w:val="none" w:sz="0" w:space="0" w:color="auto"/>
      </w:divBdr>
    </w:div>
    <w:div w:id="632489697">
      <w:bodyDiv w:val="1"/>
      <w:marLeft w:val="0"/>
      <w:marRight w:val="0"/>
      <w:marTop w:val="0"/>
      <w:marBottom w:val="0"/>
      <w:divBdr>
        <w:top w:val="none" w:sz="0" w:space="0" w:color="auto"/>
        <w:left w:val="none" w:sz="0" w:space="0" w:color="auto"/>
        <w:bottom w:val="none" w:sz="0" w:space="0" w:color="auto"/>
        <w:right w:val="none" w:sz="0" w:space="0" w:color="auto"/>
      </w:divBdr>
    </w:div>
    <w:div w:id="640843187">
      <w:bodyDiv w:val="1"/>
      <w:marLeft w:val="0"/>
      <w:marRight w:val="0"/>
      <w:marTop w:val="0"/>
      <w:marBottom w:val="0"/>
      <w:divBdr>
        <w:top w:val="none" w:sz="0" w:space="0" w:color="auto"/>
        <w:left w:val="none" w:sz="0" w:space="0" w:color="auto"/>
        <w:bottom w:val="none" w:sz="0" w:space="0" w:color="auto"/>
        <w:right w:val="none" w:sz="0" w:space="0" w:color="auto"/>
      </w:divBdr>
    </w:div>
    <w:div w:id="659771875">
      <w:bodyDiv w:val="1"/>
      <w:marLeft w:val="0"/>
      <w:marRight w:val="0"/>
      <w:marTop w:val="0"/>
      <w:marBottom w:val="0"/>
      <w:divBdr>
        <w:top w:val="none" w:sz="0" w:space="0" w:color="auto"/>
        <w:left w:val="none" w:sz="0" w:space="0" w:color="auto"/>
        <w:bottom w:val="none" w:sz="0" w:space="0" w:color="auto"/>
        <w:right w:val="none" w:sz="0" w:space="0" w:color="auto"/>
      </w:divBdr>
    </w:div>
    <w:div w:id="663901583">
      <w:bodyDiv w:val="1"/>
      <w:marLeft w:val="0"/>
      <w:marRight w:val="0"/>
      <w:marTop w:val="0"/>
      <w:marBottom w:val="0"/>
      <w:divBdr>
        <w:top w:val="none" w:sz="0" w:space="0" w:color="auto"/>
        <w:left w:val="none" w:sz="0" w:space="0" w:color="auto"/>
        <w:bottom w:val="none" w:sz="0" w:space="0" w:color="auto"/>
        <w:right w:val="none" w:sz="0" w:space="0" w:color="auto"/>
      </w:divBdr>
    </w:div>
    <w:div w:id="669406926">
      <w:bodyDiv w:val="1"/>
      <w:marLeft w:val="0"/>
      <w:marRight w:val="0"/>
      <w:marTop w:val="0"/>
      <w:marBottom w:val="0"/>
      <w:divBdr>
        <w:top w:val="none" w:sz="0" w:space="0" w:color="auto"/>
        <w:left w:val="none" w:sz="0" w:space="0" w:color="auto"/>
        <w:bottom w:val="none" w:sz="0" w:space="0" w:color="auto"/>
        <w:right w:val="none" w:sz="0" w:space="0" w:color="auto"/>
      </w:divBdr>
    </w:div>
    <w:div w:id="678822701">
      <w:bodyDiv w:val="1"/>
      <w:marLeft w:val="0"/>
      <w:marRight w:val="0"/>
      <w:marTop w:val="0"/>
      <w:marBottom w:val="0"/>
      <w:divBdr>
        <w:top w:val="none" w:sz="0" w:space="0" w:color="auto"/>
        <w:left w:val="none" w:sz="0" w:space="0" w:color="auto"/>
        <w:bottom w:val="none" w:sz="0" w:space="0" w:color="auto"/>
        <w:right w:val="none" w:sz="0" w:space="0" w:color="auto"/>
      </w:divBdr>
    </w:div>
    <w:div w:id="689599293">
      <w:bodyDiv w:val="1"/>
      <w:marLeft w:val="0"/>
      <w:marRight w:val="0"/>
      <w:marTop w:val="0"/>
      <w:marBottom w:val="0"/>
      <w:divBdr>
        <w:top w:val="none" w:sz="0" w:space="0" w:color="auto"/>
        <w:left w:val="none" w:sz="0" w:space="0" w:color="auto"/>
        <w:bottom w:val="none" w:sz="0" w:space="0" w:color="auto"/>
        <w:right w:val="none" w:sz="0" w:space="0" w:color="auto"/>
      </w:divBdr>
    </w:div>
    <w:div w:id="695691861">
      <w:bodyDiv w:val="1"/>
      <w:marLeft w:val="0"/>
      <w:marRight w:val="0"/>
      <w:marTop w:val="0"/>
      <w:marBottom w:val="0"/>
      <w:divBdr>
        <w:top w:val="none" w:sz="0" w:space="0" w:color="auto"/>
        <w:left w:val="none" w:sz="0" w:space="0" w:color="auto"/>
        <w:bottom w:val="none" w:sz="0" w:space="0" w:color="auto"/>
        <w:right w:val="none" w:sz="0" w:space="0" w:color="auto"/>
      </w:divBdr>
    </w:div>
    <w:div w:id="704788846">
      <w:bodyDiv w:val="1"/>
      <w:marLeft w:val="0"/>
      <w:marRight w:val="0"/>
      <w:marTop w:val="0"/>
      <w:marBottom w:val="0"/>
      <w:divBdr>
        <w:top w:val="none" w:sz="0" w:space="0" w:color="auto"/>
        <w:left w:val="none" w:sz="0" w:space="0" w:color="auto"/>
        <w:bottom w:val="none" w:sz="0" w:space="0" w:color="auto"/>
        <w:right w:val="none" w:sz="0" w:space="0" w:color="auto"/>
      </w:divBdr>
    </w:div>
    <w:div w:id="707801747">
      <w:bodyDiv w:val="1"/>
      <w:marLeft w:val="0"/>
      <w:marRight w:val="0"/>
      <w:marTop w:val="0"/>
      <w:marBottom w:val="0"/>
      <w:divBdr>
        <w:top w:val="none" w:sz="0" w:space="0" w:color="auto"/>
        <w:left w:val="none" w:sz="0" w:space="0" w:color="auto"/>
        <w:bottom w:val="none" w:sz="0" w:space="0" w:color="auto"/>
        <w:right w:val="none" w:sz="0" w:space="0" w:color="auto"/>
      </w:divBdr>
    </w:div>
    <w:div w:id="718896352">
      <w:bodyDiv w:val="1"/>
      <w:marLeft w:val="0"/>
      <w:marRight w:val="0"/>
      <w:marTop w:val="0"/>
      <w:marBottom w:val="0"/>
      <w:divBdr>
        <w:top w:val="none" w:sz="0" w:space="0" w:color="auto"/>
        <w:left w:val="none" w:sz="0" w:space="0" w:color="auto"/>
        <w:bottom w:val="none" w:sz="0" w:space="0" w:color="auto"/>
        <w:right w:val="none" w:sz="0" w:space="0" w:color="auto"/>
      </w:divBdr>
    </w:div>
    <w:div w:id="743994030">
      <w:bodyDiv w:val="1"/>
      <w:marLeft w:val="0"/>
      <w:marRight w:val="0"/>
      <w:marTop w:val="0"/>
      <w:marBottom w:val="0"/>
      <w:divBdr>
        <w:top w:val="none" w:sz="0" w:space="0" w:color="auto"/>
        <w:left w:val="none" w:sz="0" w:space="0" w:color="auto"/>
        <w:bottom w:val="none" w:sz="0" w:space="0" w:color="auto"/>
        <w:right w:val="none" w:sz="0" w:space="0" w:color="auto"/>
      </w:divBdr>
    </w:div>
    <w:div w:id="753674082">
      <w:bodyDiv w:val="1"/>
      <w:marLeft w:val="0"/>
      <w:marRight w:val="0"/>
      <w:marTop w:val="0"/>
      <w:marBottom w:val="0"/>
      <w:divBdr>
        <w:top w:val="none" w:sz="0" w:space="0" w:color="auto"/>
        <w:left w:val="none" w:sz="0" w:space="0" w:color="auto"/>
        <w:bottom w:val="none" w:sz="0" w:space="0" w:color="auto"/>
        <w:right w:val="none" w:sz="0" w:space="0" w:color="auto"/>
      </w:divBdr>
    </w:div>
    <w:div w:id="758916147">
      <w:bodyDiv w:val="1"/>
      <w:marLeft w:val="0"/>
      <w:marRight w:val="0"/>
      <w:marTop w:val="0"/>
      <w:marBottom w:val="0"/>
      <w:divBdr>
        <w:top w:val="none" w:sz="0" w:space="0" w:color="auto"/>
        <w:left w:val="none" w:sz="0" w:space="0" w:color="auto"/>
        <w:bottom w:val="none" w:sz="0" w:space="0" w:color="auto"/>
        <w:right w:val="none" w:sz="0" w:space="0" w:color="auto"/>
      </w:divBdr>
    </w:div>
    <w:div w:id="762839904">
      <w:bodyDiv w:val="1"/>
      <w:marLeft w:val="0"/>
      <w:marRight w:val="0"/>
      <w:marTop w:val="0"/>
      <w:marBottom w:val="0"/>
      <w:divBdr>
        <w:top w:val="none" w:sz="0" w:space="0" w:color="auto"/>
        <w:left w:val="none" w:sz="0" w:space="0" w:color="auto"/>
        <w:bottom w:val="none" w:sz="0" w:space="0" w:color="auto"/>
        <w:right w:val="none" w:sz="0" w:space="0" w:color="auto"/>
      </w:divBdr>
    </w:div>
    <w:div w:id="790443988">
      <w:bodyDiv w:val="1"/>
      <w:marLeft w:val="0"/>
      <w:marRight w:val="0"/>
      <w:marTop w:val="0"/>
      <w:marBottom w:val="0"/>
      <w:divBdr>
        <w:top w:val="none" w:sz="0" w:space="0" w:color="auto"/>
        <w:left w:val="none" w:sz="0" w:space="0" w:color="auto"/>
        <w:bottom w:val="none" w:sz="0" w:space="0" w:color="auto"/>
        <w:right w:val="none" w:sz="0" w:space="0" w:color="auto"/>
      </w:divBdr>
    </w:div>
    <w:div w:id="832255202">
      <w:bodyDiv w:val="1"/>
      <w:marLeft w:val="0"/>
      <w:marRight w:val="0"/>
      <w:marTop w:val="0"/>
      <w:marBottom w:val="0"/>
      <w:divBdr>
        <w:top w:val="none" w:sz="0" w:space="0" w:color="auto"/>
        <w:left w:val="none" w:sz="0" w:space="0" w:color="auto"/>
        <w:bottom w:val="none" w:sz="0" w:space="0" w:color="auto"/>
        <w:right w:val="none" w:sz="0" w:space="0" w:color="auto"/>
      </w:divBdr>
    </w:div>
    <w:div w:id="845366567">
      <w:bodyDiv w:val="1"/>
      <w:marLeft w:val="0"/>
      <w:marRight w:val="0"/>
      <w:marTop w:val="0"/>
      <w:marBottom w:val="0"/>
      <w:divBdr>
        <w:top w:val="none" w:sz="0" w:space="0" w:color="auto"/>
        <w:left w:val="none" w:sz="0" w:space="0" w:color="auto"/>
        <w:bottom w:val="none" w:sz="0" w:space="0" w:color="auto"/>
        <w:right w:val="none" w:sz="0" w:space="0" w:color="auto"/>
      </w:divBdr>
    </w:div>
    <w:div w:id="867135720">
      <w:bodyDiv w:val="1"/>
      <w:marLeft w:val="0"/>
      <w:marRight w:val="0"/>
      <w:marTop w:val="0"/>
      <w:marBottom w:val="0"/>
      <w:divBdr>
        <w:top w:val="none" w:sz="0" w:space="0" w:color="auto"/>
        <w:left w:val="none" w:sz="0" w:space="0" w:color="auto"/>
        <w:bottom w:val="none" w:sz="0" w:space="0" w:color="auto"/>
        <w:right w:val="none" w:sz="0" w:space="0" w:color="auto"/>
      </w:divBdr>
    </w:div>
    <w:div w:id="906571138">
      <w:bodyDiv w:val="1"/>
      <w:marLeft w:val="0"/>
      <w:marRight w:val="0"/>
      <w:marTop w:val="0"/>
      <w:marBottom w:val="0"/>
      <w:divBdr>
        <w:top w:val="none" w:sz="0" w:space="0" w:color="auto"/>
        <w:left w:val="none" w:sz="0" w:space="0" w:color="auto"/>
        <w:bottom w:val="none" w:sz="0" w:space="0" w:color="auto"/>
        <w:right w:val="none" w:sz="0" w:space="0" w:color="auto"/>
      </w:divBdr>
    </w:div>
    <w:div w:id="916283602">
      <w:bodyDiv w:val="1"/>
      <w:marLeft w:val="0"/>
      <w:marRight w:val="0"/>
      <w:marTop w:val="0"/>
      <w:marBottom w:val="0"/>
      <w:divBdr>
        <w:top w:val="none" w:sz="0" w:space="0" w:color="auto"/>
        <w:left w:val="none" w:sz="0" w:space="0" w:color="auto"/>
        <w:bottom w:val="none" w:sz="0" w:space="0" w:color="auto"/>
        <w:right w:val="none" w:sz="0" w:space="0" w:color="auto"/>
      </w:divBdr>
    </w:div>
    <w:div w:id="931008399">
      <w:bodyDiv w:val="1"/>
      <w:marLeft w:val="0"/>
      <w:marRight w:val="0"/>
      <w:marTop w:val="0"/>
      <w:marBottom w:val="0"/>
      <w:divBdr>
        <w:top w:val="none" w:sz="0" w:space="0" w:color="auto"/>
        <w:left w:val="none" w:sz="0" w:space="0" w:color="auto"/>
        <w:bottom w:val="none" w:sz="0" w:space="0" w:color="auto"/>
        <w:right w:val="none" w:sz="0" w:space="0" w:color="auto"/>
      </w:divBdr>
    </w:div>
    <w:div w:id="950287244">
      <w:bodyDiv w:val="1"/>
      <w:marLeft w:val="0"/>
      <w:marRight w:val="0"/>
      <w:marTop w:val="0"/>
      <w:marBottom w:val="0"/>
      <w:divBdr>
        <w:top w:val="none" w:sz="0" w:space="0" w:color="auto"/>
        <w:left w:val="none" w:sz="0" w:space="0" w:color="auto"/>
        <w:bottom w:val="none" w:sz="0" w:space="0" w:color="auto"/>
        <w:right w:val="none" w:sz="0" w:space="0" w:color="auto"/>
      </w:divBdr>
    </w:div>
    <w:div w:id="954287011">
      <w:bodyDiv w:val="1"/>
      <w:marLeft w:val="0"/>
      <w:marRight w:val="0"/>
      <w:marTop w:val="0"/>
      <w:marBottom w:val="0"/>
      <w:divBdr>
        <w:top w:val="none" w:sz="0" w:space="0" w:color="auto"/>
        <w:left w:val="none" w:sz="0" w:space="0" w:color="auto"/>
        <w:bottom w:val="none" w:sz="0" w:space="0" w:color="auto"/>
        <w:right w:val="none" w:sz="0" w:space="0" w:color="auto"/>
      </w:divBdr>
    </w:div>
    <w:div w:id="955647886">
      <w:bodyDiv w:val="1"/>
      <w:marLeft w:val="0"/>
      <w:marRight w:val="0"/>
      <w:marTop w:val="0"/>
      <w:marBottom w:val="0"/>
      <w:divBdr>
        <w:top w:val="none" w:sz="0" w:space="0" w:color="auto"/>
        <w:left w:val="none" w:sz="0" w:space="0" w:color="auto"/>
        <w:bottom w:val="none" w:sz="0" w:space="0" w:color="auto"/>
        <w:right w:val="none" w:sz="0" w:space="0" w:color="auto"/>
      </w:divBdr>
    </w:div>
    <w:div w:id="981427888">
      <w:bodyDiv w:val="1"/>
      <w:marLeft w:val="0"/>
      <w:marRight w:val="0"/>
      <w:marTop w:val="0"/>
      <w:marBottom w:val="0"/>
      <w:divBdr>
        <w:top w:val="none" w:sz="0" w:space="0" w:color="auto"/>
        <w:left w:val="none" w:sz="0" w:space="0" w:color="auto"/>
        <w:bottom w:val="none" w:sz="0" w:space="0" w:color="auto"/>
        <w:right w:val="none" w:sz="0" w:space="0" w:color="auto"/>
      </w:divBdr>
    </w:div>
    <w:div w:id="1028408102">
      <w:bodyDiv w:val="1"/>
      <w:marLeft w:val="0"/>
      <w:marRight w:val="0"/>
      <w:marTop w:val="0"/>
      <w:marBottom w:val="0"/>
      <w:divBdr>
        <w:top w:val="none" w:sz="0" w:space="0" w:color="auto"/>
        <w:left w:val="none" w:sz="0" w:space="0" w:color="auto"/>
        <w:bottom w:val="none" w:sz="0" w:space="0" w:color="auto"/>
        <w:right w:val="none" w:sz="0" w:space="0" w:color="auto"/>
      </w:divBdr>
    </w:div>
    <w:div w:id="1037391915">
      <w:bodyDiv w:val="1"/>
      <w:marLeft w:val="0"/>
      <w:marRight w:val="0"/>
      <w:marTop w:val="0"/>
      <w:marBottom w:val="0"/>
      <w:divBdr>
        <w:top w:val="none" w:sz="0" w:space="0" w:color="auto"/>
        <w:left w:val="none" w:sz="0" w:space="0" w:color="auto"/>
        <w:bottom w:val="none" w:sz="0" w:space="0" w:color="auto"/>
        <w:right w:val="none" w:sz="0" w:space="0" w:color="auto"/>
      </w:divBdr>
    </w:div>
    <w:div w:id="1047023424">
      <w:bodyDiv w:val="1"/>
      <w:marLeft w:val="0"/>
      <w:marRight w:val="0"/>
      <w:marTop w:val="0"/>
      <w:marBottom w:val="0"/>
      <w:divBdr>
        <w:top w:val="none" w:sz="0" w:space="0" w:color="auto"/>
        <w:left w:val="none" w:sz="0" w:space="0" w:color="auto"/>
        <w:bottom w:val="none" w:sz="0" w:space="0" w:color="auto"/>
        <w:right w:val="none" w:sz="0" w:space="0" w:color="auto"/>
      </w:divBdr>
    </w:div>
    <w:div w:id="1092627224">
      <w:bodyDiv w:val="1"/>
      <w:marLeft w:val="0"/>
      <w:marRight w:val="0"/>
      <w:marTop w:val="0"/>
      <w:marBottom w:val="0"/>
      <w:divBdr>
        <w:top w:val="none" w:sz="0" w:space="0" w:color="auto"/>
        <w:left w:val="none" w:sz="0" w:space="0" w:color="auto"/>
        <w:bottom w:val="none" w:sz="0" w:space="0" w:color="auto"/>
        <w:right w:val="none" w:sz="0" w:space="0" w:color="auto"/>
      </w:divBdr>
    </w:div>
    <w:div w:id="1101225799">
      <w:bodyDiv w:val="1"/>
      <w:marLeft w:val="0"/>
      <w:marRight w:val="0"/>
      <w:marTop w:val="0"/>
      <w:marBottom w:val="0"/>
      <w:divBdr>
        <w:top w:val="none" w:sz="0" w:space="0" w:color="auto"/>
        <w:left w:val="none" w:sz="0" w:space="0" w:color="auto"/>
        <w:bottom w:val="none" w:sz="0" w:space="0" w:color="auto"/>
        <w:right w:val="none" w:sz="0" w:space="0" w:color="auto"/>
      </w:divBdr>
    </w:div>
    <w:div w:id="1116409092">
      <w:bodyDiv w:val="1"/>
      <w:marLeft w:val="0"/>
      <w:marRight w:val="0"/>
      <w:marTop w:val="0"/>
      <w:marBottom w:val="0"/>
      <w:divBdr>
        <w:top w:val="none" w:sz="0" w:space="0" w:color="auto"/>
        <w:left w:val="none" w:sz="0" w:space="0" w:color="auto"/>
        <w:bottom w:val="none" w:sz="0" w:space="0" w:color="auto"/>
        <w:right w:val="none" w:sz="0" w:space="0" w:color="auto"/>
      </w:divBdr>
    </w:div>
    <w:div w:id="1129317474">
      <w:bodyDiv w:val="1"/>
      <w:marLeft w:val="0"/>
      <w:marRight w:val="0"/>
      <w:marTop w:val="0"/>
      <w:marBottom w:val="0"/>
      <w:divBdr>
        <w:top w:val="none" w:sz="0" w:space="0" w:color="auto"/>
        <w:left w:val="none" w:sz="0" w:space="0" w:color="auto"/>
        <w:bottom w:val="none" w:sz="0" w:space="0" w:color="auto"/>
        <w:right w:val="none" w:sz="0" w:space="0" w:color="auto"/>
      </w:divBdr>
    </w:div>
    <w:div w:id="1145008611">
      <w:bodyDiv w:val="1"/>
      <w:marLeft w:val="0"/>
      <w:marRight w:val="0"/>
      <w:marTop w:val="0"/>
      <w:marBottom w:val="0"/>
      <w:divBdr>
        <w:top w:val="none" w:sz="0" w:space="0" w:color="auto"/>
        <w:left w:val="none" w:sz="0" w:space="0" w:color="auto"/>
        <w:bottom w:val="none" w:sz="0" w:space="0" w:color="auto"/>
        <w:right w:val="none" w:sz="0" w:space="0" w:color="auto"/>
      </w:divBdr>
    </w:div>
    <w:div w:id="1148741095">
      <w:bodyDiv w:val="1"/>
      <w:marLeft w:val="0"/>
      <w:marRight w:val="0"/>
      <w:marTop w:val="0"/>
      <w:marBottom w:val="0"/>
      <w:divBdr>
        <w:top w:val="none" w:sz="0" w:space="0" w:color="auto"/>
        <w:left w:val="none" w:sz="0" w:space="0" w:color="auto"/>
        <w:bottom w:val="none" w:sz="0" w:space="0" w:color="auto"/>
        <w:right w:val="none" w:sz="0" w:space="0" w:color="auto"/>
      </w:divBdr>
    </w:div>
    <w:div w:id="1159351092">
      <w:bodyDiv w:val="1"/>
      <w:marLeft w:val="0"/>
      <w:marRight w:val="0"/>
      <w:marTop w:val="0"/>
      <w:marBottom w:val="0"/>
      <w:divBdr>
        <w:top w:val="none" w:sz="0" w:space="0" w:color="auto"/>
        <w:left w:val="none" w:sz="0" w:space="0" w:color="auto"/>
        <w:bottom w:val="none" w:sz="0" w:space="0" w:color="auto"/>
        <w:right w:val="none" w:sz="0" w:space="0" w:color="auto"/>
      </w:divBdr>
    </w:div>
    <w:div w:id="1193614937">
      <w:bodyDiv w:val="1"/>
      <w:marLeft w:val="0"/>
      <w:marRight w:val="0"/>
      <w:marTop w:val="0"/>
      <w:marBottom w:val="0"/>
      <w:divBdr>
        <w:top w:val="none" w:sz="0" w:space="0" w:color="auto"/>
        <w:left w:val="none" w:sz="0" w:space="0" w:color="auto"/>
        <w:bottom w:val="none" w:sz="0" w:space="0" w:color="auto"/>
        <w:right w:val="none" w:sz="0" w:space="0" w:color="auto"/>
      </w:divBdr>
    </w:div>
    <w:div w:id="1201357519">
      <w:bodyDiv w:val="1"/>
      <w:marLeft w:val="0"/>
      <w:marRight w:val="0"/>
      <w:marTop w:val="0"/>
      <w:marBottom w:val="0"/>
      <w:divBdr>
        <w:top w:val="none" w:sz="0" w:space="0" w:color="auto"/>
        <w:left w:val="none" w:sz="0" w:space="0" w:color="auto"/>
        <w:bottom w:val="none" w:sz="0" w:space="0" w:color="auto"/>
        <w:right w:val="none" w:sz="0" w:space="0" w:color="auto"/>
      </w:divBdr>
    </w:div>
    <w:div w:id="1229610115">
      <w:bodyDiv w:val="1"/>
      <w:marLeft w:val="0"/>
      <w:marRight w:val="0"/>
      <w:marTop w:val="0"/>
      <w:marBottom w:val="0"/>
      <w:divBdr>
        <w:top w:val="none" w:sz="0" w:space="0" w:color="auto"/>
        <w:left w:val="none" w:sz="0" w:space="0" w:color="auto"/>
        <w:bottom w:val="none" w:sz="0" w:space="0" w:color="auto"/>
        <w:right w:val="none" w:sz="0" w:space="0" w:color="auto"/>
      </w:divBdr>
    </w:div>
    <w:div w:id="1230116350">
      <w:bodyDiv w:val="1"/>
      <w:marLeft w:val="0"/>
      <w:marRight w:val="0"/>
      <w:marTop w:val="0"/>
      <w:marBottom w:val="0"/>
      <w:divBdr>
        <w:top w:val="none" w:sz="0" w:space="0" w:color="auto"/>
        <w:left w:val="none" w:sz="0" w:space="0" w:color="auto"/>
        <w:bottom w:val="none" w:sz="0" w:space="0" w:color="auto"/>
        <w:right w:val="none" w:sz="0" w:space="0" w:color="auto"/>
      </w:divBdr>
    </w:div>
    <w:div w:id="1260023951">
      <w:bodyDiv w:val="1"/>
      <w:marLeft w:val="0"/>
      <w:marRight w:val="0"/>
      <w:marTop w:val="0"/>
      <w:marBottom w:val="0"/>
      <w:divBdr>
        <w:top w:val="none" w:sz="0" w:space="0" w:color="auto"/>
        <w:left w:val="none" w:sz="0" w:space="0" w:color="auto"/>
        <w:bottom w:val="none" w:sz="0" w:space="0" w:color="auto"/>
        <w:right w:val="none" w:sz="0" w:space="0" w:color="auto"/>
      </w:divBdr>
    </w:div>
    <w:div w:id="1264336571">
      <w:bodyDiv w:val="1"/>
      <w:marLeft w:val="0"/>
      <w:marRight w:val="0"/>
      <w:marTop w:val="0"/>
      <w:marBottom w:val="0"/>
      <w:divBdr>
        <w:top w:val="none" w:sz="0" w:space="0" w:color="auto"/>
        <w:left w:val="none" w:sz="0" w:space="0" w:color="auto"/>
        <w:bottom w:val="none" w:sz="0" w:space="0" w:color="auto"/>
        <w:right w:val="none" w:sz="0" w:space="0" w:color="auto"/>
      </w:divBdr>
    </w:div>
    <w:div w:id="1280454600">
      <w:bodyDiv w:val="1"/>
      <w:marLeft w:val="0"/>
      <w:marRight w:val="0"/>
      <w:marTop w:val="0"/>
      <w:marBottom w:val="0"/>
      <w:divBdr>
        <w:top w:val="none" w:sz="0" w:space="0" w:color="auto"/>
        <w:left w:val="none" w:sz="0" w:space="0" w:color="auto"/>
        <w:bottom w:val="none" w:sz="0" w:space="0" w:color="auto"/>
        <w:right w:val="none" w:sz="0" w:space="0" w:color="auto"/>
      </w:divBdr>
    </w:div>
    <w:div w:id="1282960665">
      <w:bodyDiv w:val="1"/>
      <w:marLeft w:val="0"/>
      <w:marRight w:val="0"/>
      <w:marTop w:val="0"/>
      <w:marBottom w:val="0"/>
      <w:divBdr>
        <w:top w:val="none" w:sz="0" w:space="0" w:color="auto"/>
        <w:left w:val="none" w:sz="0" w:space="0" w:color="auto"/>
        <w:bottom w:val="none" w:sz="0" w:space="0" w:color="auto"/>
        <w:right w:val="none" w:sz="0" w:space="0" w:color="auto"/>
      </w:divBdr>
    </w:div>
    <w:div w:id="1290670034">
      <w:bodyDiv w:val="1"/>
      <w:marLeft w:val="0"/>
      <w:marRight w:val="0"/>
      <w:marTop w:val="0"/>
      <w:marBottom w:val="0"/>
      <w:divBdr>
        <w:top w:val="none" w:sz="0" w:space="0" w:color="auto"/>
        <w:left w:val="none" w:sz="0" w:space="0" w:color="auto"/>
        <w:bottom w:val="none" w:sz="0" w:space="0" w:color="auto"/>
        <w:right w:val="none" w:sz="0" w:space="0" w:color="auto"/>
      </w:divBdr>
    </w:div>
    <w:div w:id="1300526287">
      <w:bodyDiv w:val="1"/>
      <w:marLeft w:val="0"/>
      <w:marRight w:val="0"/>
      <w:marTop w:val="0"/>
      <w:marBottom w:val="0"/>
      <w:divBdr>
        <w:top w:val="none" w:sz="0" w:space="0" w:color="auto"/>
        <w:left w:val="none" w:sz="0" w:space="0" w:color="auto"/>
        <w:bottom w:val="none" w:sz="0" w:space="0" w:color="auto"/>
        <w:right w:val="none" w:sz="0" w:space="0" w:color="auto"/>
      </w:divBdr>
    </w:div>
    <w:div w:id="1308363194">
      <w:bodyDiv w:val="1"/>
      <w:marLeft w:val="0"/>
      <w:marRight w:val="0"/>
      <w:marTop w:val="0"/>
      <w:marBottom w:val="0"/>
      <w:divBdr>
        <w:top w:val="none" w:sz="0" w:space="0" w:color="auto"/>
        <w:left w:val="none" w:sz="0" w:space="0" w:color="auto"/>
        <w:bottom w:val="none" w:sz="0" w:space="0" w:color="auto"/>
        <w:right w:val="none" w:sz="0" w:space="0" w:color="auto"/>
      </w:divBdr>
    </w:div>
    <w:div w:id="1317032404">
      <w:bodyDiv w:val="1"/>
      <w:marLeft w:val="0"/>
      <w:marRight w:val="0"/>
      <w:marTop w:val="0"/>
      <w:marBottom w:val="0"/>
      <w:divBdr>
        <w:top w:val="none" w:sz="0" w:space="0" w:color="auto"/>
        <w:left w:val="none" w:sz="0" w:space="0" w:color="auto"/>
        <w:bottom w:val="none" w:sz="0" w:space="0" w:color="auto"/>
        <w:right w:val="none" w:sz="0" w:space="0" w:color="auto"/>
      </w:divBdr>
    </w:div>
    <w:div w:id="1346058755">
      <w:bodyDiv w:val="1"/>
      <w:marLeft w:val="0"/>
      <w:marRight w:val="0"/>
      <w:marTop w:val="0"/>
      <w:marBottom w:val="0"/>
      <w:divBdr>
        <w:top w:val="none" w:sz="0" w:space="0" w:color="auto"/>
        <w:left w:val="none" w:sz="0" w:space="0" w:color="auto"/>
        <w:bottom w:val="none" w:sz="0" w:space="0" w:color="auto"/>
        <w:right w:val="none" w:sz="0" w:space="0" w:color="auto"/>
      </w:divBdr>
    </w:div>
    <w:div w:id="1346517321">
      <w:bodyDiv w:val="1"/>
      <w:marLeft w:val="0"/>
      <w:marRight w:val="0"/>
      <w:marTop w:val="0"/>
      <w:marBottom w:val="0"/>
      <w:divBdr>
        <w:top w:val="none" w:sz="0" w:space="0" w:color="auto"/>
        <w:left w:val="none" w:sz="0" w:space="0" w:color="auto"/>
        <w:bottom w:val="none" w:sz="0" w:space="0" w:color="auto"/>
        <w:right w:val="none" w:sz="0" w:space="0" w:color="auto"/>
      </w:divBdr>
    </w:div>
    <w:div w:id="1399858678">
      <w:bodyDiv w:val="1"/>
      <w:marLeft w:val="0"/>
      <w:marRight w:val="0"/>
      <w:marTop w:val="0"/>
      <w:marBottom w:val="0"/>
      <w:divBdr>
        <w:top w:val="none" w:sz="0" w:space="0" w:color="auto"/>
        <w:left w:val="none" w:sz="0" w:space="0" w:color="auto"/>
        <w:bottom w:val="none" w:sz="0" w:space="0" w:color="auto"/>
        <w:right w:val="none" w:sz="0" w:space="0" w:color="auto"/>
      </w:divBdr>
    </w:div>
    <w:div w:id="1408114131">
      <w:bodyDiv w:val="1"/>
      <w:marLeft w:val="0"/>
      <w:marRight w:val="0"/>
      <w:marTop w:val="0"/>
      <w:marBottom w:val="0"/>
      <w:divBdr>
        <w:top w:val="none" w:sz="0" w:space="0" w:color="auto"/>
        <w:left w:val="none" w:sz="0" w:space="0" w:color="auto"/>
        <w:bottom w:val="none" w:sz="0" w:space="0" w:color="auto"/>
        <w:right w:val="none" w:sz="0" w:space="0" w:color="auto"/>
      </w:divBdr>
    </w:div>
    <w:div w:id="1412968538">
      <w:bodyDiv w:val="1"/>
      <w:marLeft w:val="0"/>
      <w:marRight w:val="0"/>
      <w:marTop w:val="0"/>
      <w:marBottom w:val="0"/>
      <w:divBdr>
        <w:top w:val="none" w:sz="0" w:space="0" w:color="auto"/>
        <w:left w:val="none" w:sz="0" w:space="0" w:color="auto"/>
        <w:bottom w:val="none" w:sz="0" w:space="0" w:color="auto"/>
        <w:right w:val="none" w:sz="0" w:space="0" w:color="auto"/>
      </w:divBdr>
    </w:div>
    <w:div w:id="1414667952">
      <w:bodyDiv w:val="1"/>
      <w:marLeft w:val="0"/>
      <w:marRight w:val="0"/>
      <w:marTop w:val="0"/>
      <w:marBottom w:val="0"/>
      <w:divBdr>
        <w:top w:val="none" w:sz="0" w:space="0" w:color="auto"/>
        <w:left w:val="none" w:sz="0" w:space="0" w:color="auto"/>
        <w:bottom w:val="none" w:sz="0" w:space="0" w:color="auto"/>
        <w:right w:val="none" w:sz="0" w:space="0" w:color="auto"/>
      </w:divBdr>
    </w:div>
    <w:div w:id="1418357982">
      <w:bodyDiv w:val="1"/>
      <w:marLeft w:val="0"/>
      <w:marRight w:val="0"/>
      <w:marTop w:val="0"/>
      <w:marBottom w:val="0"/>
      <w:divBdr>
        <w:top w:val="none" w:sz="0" w:space="0" w:color="auto"/>
        <w:left w:val="none" w:sz="0" w:space="0" w:color="auto"/>
        <w:bottom w:val="none" w:sz="0" w:space="0" w:color="auto"/>
        <w:right w:val="none" w:sz="0" w:space="0" w:color="auto"/>
      </w:divBdr>
    </w:div>
    <w:div w:id="1425421545">
      <w:bodyDiv w:val="1"/>
      <w:marLeft w:val="0"/>
      <w:marRight w:val="0"/>
      <w:marTop w:val="0"/>
      <w:marBottom w:val="0"/>
      <w:divBdr>
        <w:top w:val="none" w:sz="0" w:space="0" w:color="auto"/>
        <w:left w:val="none" w:sz="0" w:space="0" w:color="auto"/>
        <w:bottom w:val="none" w:sz="0" w:space="0" w:color="auto"/>
        <w:right w:val="none" w:sz="0" w:space="0" w:color="auto"/>
      </w:divBdr>
    </w:div>
    <w:div w:id="1456020729">
      <w:bodyDiv w:val="1"/>
      <w:marLeft w:val="0"/>
      <w:marRight w:val="0"/>
      <w:marTop w:val="0"/>
      <w:marBottom w:val="0"/>
      <w:divBdr>
        <w:top w:val="none" w:sz="0" w:space="0" w:color="auto"/>
        <w:left w:val="none" w:sz="0" w:space="0" w:color="auto"/>
        <w:bottom w:val="none" w:sz="0" w:space="0" w:color="auto"/>
        <w:right w:val="none" w:sz="0" w:space="0" w:color="auto"/>
      </w:divBdr>
    </w:div>
    <w:div w:id="1469738391">
      <w:bodyDiv w:val="1"/>
      <w:marLeft w:val="0"/>
      <w:marRight w:val="0"/>
      <w:marTop w:val="0"/>
      <w:marBottom w:val="0"/>
      <w:divBdr>
        <w:top w:val="none" w:sz="0" w:space="0" w:color="auto"/>
        <w:left w:val="none" w:sz="0" w:space="0" w:color="auto"/>
        <w:bottom w:val="none" w:sz="0" w:space="0" w:color="auto"/>
        <w:right w:val="none" w:sz="0" w:space="0" w:color="auto"/>
      </w:divBdr>
    </w:div>
    <w:div w:id="1473869188">
      <w:bodyDiv w:val="1"/>
      <w:marLeft w:val="0"/>
      <w:marRight w:val="0"/>
      <w:marTop w:val="0"/>
      <w:marBottom w:val="0"/>
      <w:divBdr>
        <w:top w:val="none" w:sz="0" w:space="0" w:color="auto"/>
        <w:left w:val="none" w:sz="0" w:space="0" w:color="auto"/>
        <w:bottom w:val="none" w:sz="0" w:space="0" w:color="auto"/>
        <w:right w:val="none" w:sz="0" w:space="0" w:color="auto"/>
      </w:divBdr>
    </w:div>
    <w:div w:id="1482845178">
      <w:bodyDiv w:val="1"/>
      <w:marLeft w:val="0"/>
      <w:marRight w:val="0"/>
      <w:marTop w:val="0"/>
      <w:marBottom w:val="0"/>
      <w:divBdr>
        <w:top w:val="none" w:sz="0" w:space="0" w:color="auto"/>
        <w:left w:val="none" w:sz="0" w:space="0" w:color="auto"/>
        <w:bottom w:val="none" w:sz="0" w:space="0" w:color="auto"/>
        <w:right w:val="none" w:sz="0" w:space="0" w:color="auto"/>
      </w:divBdr>
    </w:div>
    <w:div w:id="1497764265">
      <w:bodyDiv w:val="1"/>
      <w:marLeft w:val="0"/>
      <w:marRight w:val="0"/>
      <w:marTop w:val="0"/>
      <w:marBottom w:val="0"/>
      <w:divBdr>
        <w:top w:val="none" w:sz="0" w:space="0" w:color="auto"/>
        <w:left w:val="none" w:sz="0" w:space="0" w:color="auto"/>
        <w:bottom w:val="none" w:sz="0" w:space="0" w:color="auto"/>
        <w:right w:val="none" w:sz="0" w:space="0" w:color="auto"/>
      </w:divBdr>
    </w:div>
    <w:div w:id="1498225457">
      <w:bodyDiv w:val="1"/>
      <w:marLeft w:val="0"/>
      <w:marRight w:val="0"/>
      <w:marTop w:val="0"/>
      <w:marBottom w:val="0"/>
      <w:divBdr>
        <w:top w:val="none" w:sz="0" w:space="0" w:color="auto"/>
        <w:left w:val="none" w:sz="0" w:space="0" w:color="auto"/>
        <w:bottom w:val="none" w:sz="0" w:space="0" w:color="auto"/>
        <w:right w:val="none" w:sz="0" w:space="0" w:color="auto"/>
      </w:divBdr>
    </w:div>
    <w:div w:id="1509439871">
      <w:bodyDiv w:val="1"/>
      <w:marLeft w:val="0"/>
      <w:marRight w:val="0"/>
      <w:marTop w:val="0"/>
      <w:marBottom w:val="0"/>
      <w:divBdr>
        <w:top w:val="none" w:sz="0" w:space="0" w:color="auto"/>
        <w:left w:val="none" w:sz="0" w:space="0" w:color="auto"/>
        <w:bottom w:val="none" w:sz="0" w:space="0" w:color="auto"/>
        <w:right w:val="none" w:sz="0" w:space="0" w:color="auto"/>
      </w:divBdr>
    </w:div>
    <w:div w:id="1510752443">
      <w:bodyDiv w:val="1"/>
      <w:marLeft w:val="0"/>
      <w:marRight w:val="0"/>
      <w:marTop w:val="0"/>
      <w:marBottom w:val="0"/>
      <w:divBdr>
        <w:top w:val="none" w:sz="0" w:space="0" w:color="auto"/>
        <w:left w:val="none" w:sz="0" w:space="0" w:color="auto"/>
        <w:bottom w:val="none" w:sz="0" w:space="0" w:color="auto"/>
        <w:right w:val="none" w:sz="0" w:space="0" w:color="auto"/>
      </w:divBdr>
    </w:div>
    <w:div w:id="1516460191">
      <w:bodyDiv w:val="1"/>
      <w:marLeft w:val="0"/>
      <w:marRight w:val="0"/>
      <w:marTop w:val="0"/>
      <w:marBottom w:val="0"/>
      <w:divBdr>
        <w:top w:val="none" w:sz="0" w:space="0" w:color="auto"/>
        <w:left w:val="none" w:sz="0" w:space="0" w:color="auto"/>
        <w:bottom w:val="none" w:sz="0" w:space="0" w:color="auto"/>
        <w:right w:val="none" w:sz="0" w:space="0" w:color="auto"/>
      </w:divBdr>
    </w:div>
    <w:div w:id="1533375412">
      <w:bodyDiv w:val="1"/>
      <w:marLeft w:val="0"/>
      <w:marRight w:val="0"/>
      <w:marTop w:val="0"/>
      <w:marBottom w:val="0"/>
      <w:divBdr>
        <w:top w:val="none" w:sz="0" w:space="0" w:color="auto"/>
        <w:left w:val="none" w:sz="0" w:space="0" w:color="auto"/>
        <w:bottom w:val="none" w:sz="0" w:space="0" w:color="auto"/>
        <w:right w:val="none" w:sz="0" w:space="0" w:color="auto"/>
      </w:divBdr>
    </w:div>
    <w:div w:id="1535071955">
      <w:bodyDiv w:val="1"/>
      <w:marLeft w:val="0"/>
      <w:marRight w:val="0"/>
      <w:marTop w:val="0"/>
      <w:marBottom w:val="0"/>
      <w:divBdr>
        <w:top w:val="none" w:sz="0" w:space="0" w:color="auto"/>
        <w:left w:val="none" w:sz="0" w:space="0" w:color="auto"/>
        <w:bottom w:val="none" w:sz="0" w:space="0" w:color="auto"/>
        <w:right w:val="none" w:sz="0" w:space="0" w:color="auto"/>
      </w:divBdr>
    </w:div>
    <w:div w:id="1539589695">
      <w:bodyDiv w:val="1"/>
      <w:marLeft w:val="0"/>
      <w:marRight w:val="0"/>
      <w:marTop w:val="0"/>
      <w:marBottom w:val="0"/>
      <w:divBdr>
        <w:top w:val="none" w:sz="0" w:space="0" w:color="auto"/>
        <w:left w:val="none" w:sz="0" w:space="0" w:color="auto"/>
        <w:bottom w:val="none" w:sz="0" w:space="0" w:color="auto"/>
        <w:right w:val="none" w:sz="0" w:space="0" w:color="auto"/>
      </w:divBdr>
    </w:div>
    <w:div w:id="1557594246">
      <w:bodyDiv w:val="1"/>
      <w:marLeft w:val="0"/>
      <w:marRight w:val="0"/>
      <w:marTop w:val="0"/>
      <w:marBottom w:val="0"/>
      <w:divBdr>
        <w:top w:val="none" w:sz="0" w:space="0" w:color="auto"/>
        <w:left w:val="none" w:sz="0" w:space="0" w:color="auto"/>
        <w:bottom w:val="none" w:sz="0" w:space="0" w:color="auto"/>
        <w:right w:val="none" w:sz="0" w:space="0" w:color="auto"/>
      </w:divBdr>
    </w:div>
    <w:div w:id="1575161049">
      <w:bodyDiv w:val="1"/>
      <w:marLeft w:val="0"/>
      <w:marRight w:val="0"/>
      <w:marTop w:val="0"/>
      <w:marBottom w:val="0"/>
      <w:divBdr>
        <w:top w:val="none" w:sz="0" w:space="0" w:color="auto"/>
        <w:left w:val="none" w:sz="0" w:space="0" w:color="auto"/>
        <w:bottom w:val="none" w:sz="0" w:space="0" w:color="auto"/>
        <w:right w:val="none" w:sz="0" w:space="0" w:color="auto"/>
      </w:divBdr>
    </w:div>
    <w:div w:id="1604335368">
      <w:bodyDiv w:val="1"/>
      <w:marLeft w:val="0"/>
      <w:marRight w:val="0"/>
      <w:marTop w:val="0"/>
      <w:marBottom w:val="0"/>
      <w:divBdr>
        <w:top w:val="none" w:sz="0" w:space="0" w:color="auto"/>
        <w:left w:val="none" w:sz="0" w:space="0" w:color="auto"/>
        <w:bottom w:val="none" w:sz="0" w:space="0" w:color="auto"/>
        <w:right w:val="none" w:sz="0" w:space="0" w:color="auto"/>
      </w:divBdr>
    </w:div>
    <w:div w:id="1609654082">
      <w:bodyDiv w:val="1"/>
      <w:marLeft w:val="0"/>
      <w:marRight w:val="0"/>
      <w:marTop w:val="0"/>
      <w:marBottom w:val="0"/>
      <w:divBdr>
        <w:top w:val="none" w:sz="0" w:space="0" w:color="auto"/>
        <w:left w:val="none" w:sz="0" w:space="0" w:color="auto"/>
        <w:bottom w:val="none" w:sz="0" w:space="0" w:color="auto"/>
        <w:right w:val="none" w:sz="0" w:space="0" w:color="auto"/>
      </w:divBdr>
    </w:div>
    <w:div w:id="1611232027">
      <w:bodyDiv w:val="1"/>
      <w:marLeft w:val="0"/>
      <w:marRight w:val="0"/>
      <w:marTop w:val="0"/>
      <w:marBottom w:val="0"/>
      <w:divBdr>
        <w:top w:val="none" w:sz="0" w:space="0" w:color="auto"/>
        <w:left w:val="none" w:sz="0" w:space="0" w:color="auto"/>
        <w:bottom w:val="none" w:sz="0" w:space="0" w:color="auto"/>
        <w:right w:val="none" w:sz="0" w:space="0" w:color="auto"/>
      </w:divBdr>
    </w:div>
    <w:div w:id="1622027120">
      <w:bodyDiv w:val="1"/>
      <w:marLeft w:val="0"/>
      <w:marRight w:val="0"/>
      <w:marTop w:val="0"/>
      <w:marBottom w:val="0"/>
      <w:divBdr>
        <w:top w:val="none" w:sz="0" w:space="0" w:color="auto"/>
        <w:left w:val="none" w:sz="0" w:space="0" w:color="auto"/>
        <w:bottom w:val="none" w:sz="0" w:space="0" w:color="auto"/>
        <w:right w:val="none" w:sz="0" w:space="0" w:color="auto"/>
      </w:divBdr>
    </w:div>
    <w:div w:id="1626111577">
      <w:bodyDiv w:val="1"/>
      <w:marLeft w:val="0"/>
      <w:marRight w:val="0"/>
      <w:marTop w:val="0"/>
      <w:marBottom w:val="0"/>
      <w:divBdr>
        <w:top w:val="none" w:sz="0" w:space="0" w:color="auto"/>
        <w:left w:val="none" w:sz="0" w:space="0" w:color="auto"/>
        <w:bottom w:val="none" w:sz="0" w:space="0" w:color="auto"/>
        <w:right w:val="none" w:sz="0" w:space="0" w:color="auto"/>
      </w:divBdr>
    </w:div>
    <w:div w:id="1632633410">
      <w:bodyDiv w:val="1"/>
      <w:marLeft w:val="0"/>
      <w:marRight w:val="0"/>
      <w:marTop w:val="0"/>
      <w:marBottom w:val="0"/>
      <w:divBdr>
        <w:top w:val="none" w:sz="0" w:space="0" w:color="auto"/>
        <w:left w:val="none" w:sz="0" w:space="0" w:color="auto"/>
        <w:bottom w:val="none" w:sz="0" w:space="0" w:color="auto"/>
        <w:right w:val="none" w:sz="0" w:space="0" w:color="auto"/>
      </w:divBdr>
    </w:div>
    <w:div w:id="1664621423">
      <w:bodyDiv w:val="1"/>
      <w:marLeft w:val="0"/>
      <w:marRight w:val="0"/>
      <w:marTop w:val="0"/>
      <w:marBottom w:val="0"/>
      <w:divBdr>
        <w:top w:val="none" w:sz="0" w:space="0" w:color="auto"/>
        <w:left w:val="none" w:sz="0" w:space="0" w:color="auto"/>
        <w:bottom w:val="none" w:sz="0" w:space="0" w:color="auto"/>
        <w:right w:val="none" w:sz="0" w:space="0" w:color="auto"/>
      </w:divBdr>
    </w:div>
    <w:div w:id="1720126884">
      <w:bodyDiv w:val="1"/>
      <w:marLeft w:val="0"/>
      <w:marRight w:val="0"/>
      <w:marTop w:val="0"/>
      <w:marBottom w:val="0"/>
      <w:divBdr>
        <w:top w:val="none" w:sz="0" w:space="0" w:color="auto"/>
        <w:left w:val="none" w:sz="0" w:space="0" w:color="auto"/>
        <w:bottom w:val="none" w:sz="0" w:space="0" w:color="auto"/>
        <w:right w:val="none" w:sz="0" w:space="0" w:color="auto"/>
      </w:divBdr>
    </w:div>
    <w:div w:id="1732848244">
      <w:bodyDiv w:val="1"/>
      <w:marLeft w:val="0"/>
      <w:marRight w:val="0"/>
      <w:marTop w:val="0"/>
      <w:marBottom w:val="0"/>
      <w:divBdr>
        <w:top w:val="none" w:sz="0" w:space="0" w:color="auto"/>
        <w:left w:val="none" w:sz="0" w:space="0" w:color="auto"/>
        <w:bottom w:val="none" w:sz="0" w:space="0" w:color="auto"/>
        <w:right w:val="none" w:sz="0" w:space="0" w:color="auto"/>
      </w:divBdr>
    </w:div>
    <w:div w:id="1753047675">
      <w:bodyDiv w:val="1"/>
      <w:marLeft w:val="0"/>
      <w:marRight w:val="0"/>
      <w:marTop w:val="0"/>
      <w:marBottom w:val="0"/>
      <w:divBdr>
        <w:top w:val="none" w:sz="0" w:space="0" w:color="auto"/>
        <w:left w:val="none" w:sz="0" w:space="0" w:color="auto"/>
        <w:bottom w:val="none" w:sz="0" w:space="0" w:color="auto"/>
        <w:right w:val="none" w:sz="0" w:space="0" w:color="auto"/>
      </w:divBdr>
    </w:div>
    <w:div w:id="1753160743">
      <w:bodyDiv w:val="1"/>
      <w:marLeft w:val="0"/>
      <w:marRight w:val="0"/>
      <w:marTop w:val="0"/>
      <w:marBottom w:val="0"/>
      <w:divBdr>
        <w:top w:val="none" w:sz="0" w:space="0" w:color="auto"/>
        <w:left w:val="none" w:sz="0" w:space="0" w:color="auto"/>
        <w:bottom w:val="none" w:sz="0" w:space="0" w:color="auto"/>
        <w:right w:val="none" w:sz="0" w:space="0" w:color="auto"/>
      </w:divBdr>
    </w:div>
    <w:div w:id="1754156385">
      <w:bodyDiv w:val="1"/>
      <w:marLeft w:val="0"/>
      <w:marRight w:val="0"/>
      <w:marTop w:val="0"/>
      <w:marBottom w:val="0"/>
      <w:divBdr>
        <w:top w:val="none" w:sz="0" w:space="0" w:color="auto"/>
        <w:left w:val="none" w:sz="0" w:space="0" w:color="auto"/>
        <w:bottom w:val="none" w:sz="0" w:space="0" w:color="auto"/>
        <w:right w:val="none" w:sz="0" w:space="0" w:color="auto"/>
      </w:divBdr>
    </w:div>
    <w:div w:id="1772357105">
      <w:bodyDiv w:val="1"/>
      <w:marLeft w:val="0"/>
      <w:marRight w:val="0"/>
      <w:marTop w:val="0"/>
      <w:marBottom w:val="0"/>
      <w:divBdr>
        <w:top w:val="none" w:sz="0" w:space="0" w:color="auto"/>
        <w:left w:val="none" w:sz="0" w:space="0" w:color="auto"/>
        <w:bottom w:val="none" w:sz="0" w:space="0" w:color="auto"/>
        <w:right w:val="none" w:sz="0" w:space="0" w:color="auto"/>
      </w:divBdr>
    </w:div>
    <w:div w:id="1793094212">
      <w:bodyDiv w:val="1"/>
      <w:marLeft w:val="0"/>
      <w:marRight w:val="0"/>
      <w:marTop w:val="0"/>
      <w:marBottom w:val="0"/>
      <w:divBdr>
        <w:top w:val="none" w:sz="0" w:space="0" w:color="auto"/>
        <w:left w:val="none" w:sz="0" w:space="0" w:color="auto"/>
        <w:bottom w:val="none" w:sz="0" w:space="0" w:color="auto"/>
        <w:right w:val="none" w:sz="0" w:space="0" w:color="auto"/>
      </w:divBdr>
    </w:div>
    <w:div w:id="1798639519">
      <w:bodyDiv w:val="1"/>
      <w:marLeft w:val="0"/>
      <w:marRight w:val="0"/>
      <w:marTop w:val="0"/>
      <w:marBottom w:val="0"/>
      <w:divBdr>
        <w:top w:val="none" w:sz="0" w:space="0" w:color="auto"/>
        <w:left w:val="none" w:sz="0" w:space="0" w:color="auto"/>
        <w:bottom w:val="none" w:sz="0" w:space="0" w:color="auto"/>
        <w:right w:val="none" w:sz="0" w:space="0" w:color="auto"/>
      </w:divBdr>
    </w:div>
    <w:div w:id="1802571947">
      <w:bodyDiv w:val="1"/>
      <w:marLeft w:val="0"/>
      <w:marRight w:val="0"/>
      <w:marTop w:val="0"/>
      <w:marBottom w:val="0"/>
      <w:divBdr>
        <w:top w:val="none" w:sz="0" w:space="0" w:color="auto"/>
        <w:left w:val="none" w:sz="0" w:space="0" w:color="auto"/>
        <w:bottom w:val="none" w:sz="0" w:space="0" w:color="auto"/>
        <w:right w:val="none" w:sz="0" w:space="0" w:color="auto"/>
      </w:divBdr>
    </w:div>
    <w:div w:id="1803500125">
      <w:bodyDiv w:val="1"/>
      <w:marLeft w:val="0"/>
      <w:marRight w:val="0"/>
      <w:marTop w:val="0"/>
      <w:marBottom w:val="0"/>
      <w:divBdr>
        <w:top w:val="none" w:sz="0" w:space="0" w:color="auto"/>
        <w:left w:val="none" w:sz="0" w:space="0" w:color="auto"/>
        <w:bottom w:val="none" w:sz="0" w:space="0" w:color="auto"/>
        <w:right w:val="none" w:sz="0" w:space="0" w:color="auto"/>
      </w:divBdr>
    </w:div>
    <w:div w:id="1809781728">
      <w:bodyDiv w:val="1"/>
      <w:marLeft w:val="0"/>
      <w:marRight w:val="0"/>
      <w:marTop w:val="0"/>
      <w:marBottom w:val="0"/>
      <w:divBdr>
        <w:top w:val="none" w:sz="0" w:space="0" w:color="auto"/>
        <w:left w:val="none" w:sz="0" w:space="0" w:color="auto"/>
        <w:bottom w:val="none" w:sz="0" w:space="0" w:color="auto"/>
        <w:right w:val="none" w:sz="0" w:space="0" w:color="auto"/>
      </w:divBdr>
    </w:div>
    <w:div w:id="1831364523">
      <w:bodyDiv w:val="1"/>
      <w:marLeft w:val="0"/>
      <w:marRight w:val="0"/>
      <w:marTop w:val="0"/>
      <w:marBottom w:val="0"/>
      <w:divBdr>
        <w:top w:val="none" w:sz="0" w:space="0" w:color="auto"/>
        <w:left w:val="none" w:sz="0" w:space="0" w:color="auto"/>
        <w:bottom w:val="none" w:sz="0" w:space="0" w:color="auto"/>
        <w:right w:val="none" w:sz="0" w:space="0" w:color="auto"/>
      </w:divBdr>
    </w:div>
    <w:div w:id="1847547800">
      <w:bodyDiv w:val="1"/>
      <w:marLeft w:val="0"/>
      <w:marRight w:val="0"/>
      <w:marTop w:val="0"/>
      <w:marBottom w:val="0"/>
      <w:divBdr>
        <w:top w:val="none" w:sz="0" w:space="0" w:color="auto"/>
        <w:left w:val="none" w:sz="0" w:space="0" w:color="auto"/>
        <w:bottom w:val="none" w:sz="0" w:space="0" w:color="auto"/>
        <w:right w:val="none" w:sz="0" w:space="0" w:color="auto"/>
      </w:divBdr>
    </w:div>
    <w:div w:id="1854682571">
      <w:bodyDiv w:val="1"/>
      <w:marLeft w:val="0"/>
      <w:marRight w:val="0"/>
      <w:marTop w:val="0"/>
      <w:marBottom w:val="0"/>
      <w:divBdr>
        <w:top w:val="none" w:sz="0" w:space="0" w:color="auto"/>
        <w:left w:val="none" w:sz="0" w:space="0" w:color="auto"/>
        <w:bottom w:val="none" w:sz="0" w:space="0" w:color="auto"/>
        <w:right w:val="none" w:sz="0" w:space="0" w:color="auto"/>
      </w:divBdr>
    </w:div>
    <w:div w:id="1857499781">
      <w:bodyDiv w:val="1"/>
      <w:marLeft w:val="0"/>
      <w:marRight w:val="0"/>
      <w:marTop w:val="0"/>
      <w:marBottom w:val="0"/>
      <w:divBdr>
        <w:top w:val="none" w:sz="0" w:space="0" w:color="auto"/>
        <w:left w:val="none" w:sz="0" w:space="0" w:color="auto"/>
        <w:bottom w:val="none" w:sz="0" w:space="0" w:color="auto"/>
        <w:right w:val="none" w:sz="0" w:space="0" w:color="auto"/>
      </w:divBdr>
    </w:div>
    <w:div w:id="1861579877">
      <w:bodyDiv w:val="1"/>
      <w:marLeft w:val="0"/>
      <w:marRight w:val="0"/>
      <w:marTop w:val="0"/>
      <w:marBottom w:val="0"/>
      <w:divBdr>
        <w:top w:val="none" w:sz="0" w:space="0" w:color="auto"/>
        <w:left w:val="none" w:sz="0" w:space="0" w:color="auto"/>
        <w:bottom w:val="none" w:sz="0" w:space="0" w:color="auto"/>
        <w:right w:val="none" w:sz="0" w:space="0" w:color="auto"/>
      </w:divBdr>
    </w:div>
    <w:div w:id="1874540603">
      <w:bodyDiv w:val="1"/>
      <w:marLeft w:val="0"/>
      <w:marRight w:val="0"/>
      <w:marTop w:val="0"/>
      <w:marBottom w:val="0"/>
      <w:divBdr>
        <w:top w:val="none" w:sz="0" w:space="0" w:color="auto"/>
        <w:left w:val="none" w:sz="0" w:space="0" w:color="auto"/>
        <w:bottom w:val="none" w:sz="0" w:space="0" w:color="auto"/>
        <w:right w:val="none" w:sz="0" w:space="0" w:color="auto"/>
      </w:divBdr>
    </w:div>
    <w:div w:id="1875773211">
      <w:bodyDiv w:val="1"/>
      <w:marLeft w:val="0"/>
      <w:marRight w:val="0"/>
      <w:marTop w:val="0"/>
      <w:marBottom w:val="0"/>
      <w:divBdr>
        <w:top w:val="none" w:sz="0" w:space="0" w:color="auto"/>
        <w:left w:val="none" w:sz="0" w:space="0" w:color="auto"/>
        <w:bottom w:val="none" w:sz="0" w:space="0" w:color="auto"/>
        <w:right w:val="none" w:sz="0" w:space="0" w:color="auto"/>
      </w:divBdr>
    </w:div>
    <w:div w:id="1897428977">
      <w:bodyDiv w:val="1"/>
      <w:marLeft w:val="0"/>
      <w:marRight w:val="0"/>
      <w:marTop w:val="0"/>
      <w:marBottom w:val="0"/>
      <w:divBdr>
        <w:top w:val="none" w:sz="0" w:space="0" w:color="auto"/>
        <w:left w:val="none" w:sz="0" w:space="0" w:color="auto"/>
        <w:bottom w:val="none" w:sz="0" w:space="0" w:color="auto"/>
        <w:right w:val="none" w:sz="0" w:space="0" w:color="auto"/>
      </w:divBdr>
    </w:div>
    <w:div w:id="1925456439">
      <w:bodyDiv w:val="1"/>
      <w:marLeft w:val="0"/>
      <w:marRight w:val="0"/>
      <w:marTop w:val="0"/>
      <w:marBottom w:val="0"/>
      <w:divBdr>
        <w:top w:val="none" w:sz="0" w:space="0" w:color="auto"/>
        <w:left w:val="none" w:sz="0" w:space="0" w:color="auto"/>
        <w:bottom w:val="none" w:sz="0" w:space="0" w:color="auto"/>
        <w:right w:val="none" w:sz="0" w:space="0" w:color="auto"/>
      </w:divBdr>
    </w:div>
    <w:div w:id="1945647794">
      <w:bodyDiv w:val="1"/>
      <w:marLeft w:val="0"/>
      <w:marRight w:val="0"/>
      <w:marTop w:val="0"/>
      <w:marBottom w:val="0"/>
      <w:divBdr>
        <w:top w:val="none" w:sz="0" w:space="0" w:color="auto"/>
        <w:left w:val="none" w:sz="0" w:space="0" w:color="auto"/>
        <w:bottom w:val="none" w:sz="0" w:space="0" w:color="auto"/>
        <w:right w:val="none" w:sz="0" w:space="0" w:color="auto"/>
      </w:divBdr>
    </w:div>
    <w:div w:id="1980724648">
      <w:bodyDiv w:val="1"/>
      <w:marLeft w:val="0"/>
      <w:marRight w:val="0"/>
      <w:marTop w:val="0"/>
      <w:marBottom w:val="0"/>
      <w:divBdr>
        <w:top w:val="none" w:sz="0" w:space="0" w:color="auto"/>
        <w:left w:val="none" w:sz="0" w:space="0" w:color="auto"/>
        <w:bottom w:val="none" w:sz="0" w:space="0" w:color="auto"/>
        <w:right w:val="none" w:sz="0" w:space="0" w:color="auto"/>
      </w:divBdr>
    </w:div>
    <w:div w:id="1987778723">
      <w:bodyDiv w:val="1"/>
      <w:marLeft w:val="0"/>
      <w:marRight w:val="0"/>
      <w:marTop w:val="0"/>
      <w:marBottom w:val="0"/>
      <w:divBdr>
        <w:top w:val="none" w:sz="0" w:space="0" w:color="auto"/>
        <w:left w:val="none" w:sz="0" w:space="0" w:color="auto"/>
        <w:bottom w:val="none" w:sz="0" w:space="0" w:color="auto"/>
        <w:right w:val="none" w:sz="0" w:space="0" w:color="auto"/>
      </w:divBdr>
    </w:div>
    <w:div w:id="1989506171">
      <w:bodyDiv w:val="1"/>
      <w:marLeft w:val="0"/>
      <w:marRight w:val="0"/>
      <w:marTop w:val="0"/>
      <w:marBottom w:val="0"/>
      <w:divBdr>
        <w:top w:val="none" w:sz="0" w:space="0" w:color="auto"/>
        <w:left w:val="none" w:sz="0" w:space="0" w:color="auto"/>
        <w:bottom w:val="none" w:sz="0" w:space="0" w:color="auto"/>
        <w:right w:val="none" w:sz="0" w:space="0" w:color="auto"/>
      </w:divBdr>
    </w:div>
    <w:div w:id="1999262870">
      <w:bodyDiv w:val="1"/>
      <w:marLeft w:val="0"/>
      <w:marRight w:val="0"/>
      <w:marTop w:val="0"/>
      <w:marBottom w:val="0"/>
      <w:divBdr>
        <w:top w:val="none" w:sz="0" w:space="0" w:color="auto"/>
        <w:left w:val="none" w:sz="0" w:space="0" w:color="auto"/>
        <w:bottom w:val="none" w:sz="0" w:space="0" w:color="auto"/>
        <w:right w:val="none" w:sz="0" w:space="0" w:color="auto"/>
      </w:divBdr>
    </w:div>
    <w:div w:id="2000770677">
      <w:bodyDiv w:val="1"/>
      <w:marLeft w:val="0"/>
      <w:marRight w:val="0"/>
      <w:marTop w:val="0"/>
      <w:marBottom w:val="0"/>
      <w:divBdr>
        <w:top w:val="none" w:sz="0" w:space="0" w:color="auto"/>
        <w:left w:val="none" w:sz="0" w:space="0" w:color="auto"/>
        <w:bottom w:val="none" w:sz="0" w:space="0" w:color="auto"/>
        <w:right w:val="none" w:sz="0" w:space="0" w:color="auto"/>
      </w:divBdr>
    </w:div>
    <w:div w:id="2042629102">
      <w:bodyDiv w:val="1"/>
      <w:marLeft w:val="0"/>
      <w:marRight w:val="0"/>
      <w:marTop w:val="0"/>
      <w:marBottom w:val="0"/>
      <w:divBdr>
        <w:top w:val="none" w:sz="0" w:space="0" w:color="auto"/>
        <w:left w:val="none" w:sz="0" w:space="0" w:color="auto"/>
        <w:bottom w:val="none" w:sz="0" w:space="0" w:color="auto"/>
        <w:right w:val="none" w:sz="0" w:space="0" w:color="auto"/>
      </w:divBdr>
    </w:div>
    <w:div w:id="2044136291">
      <w:bodyDiv w:val="1"/>
      <w:marLeft w:val="0"/>
      <w:marRight w:val="0"/>
      <w:marTop w:val="0"/>
      <w:marBottom w:val="0"/>
      <w:divBdr>
        <w:top w:val="none" w:sz="0" w:space="0" w:color="auto"/>
        <w:left w:val="none" w:sz="0" w:space="0" w:color="auto"/>
        <w:bottom w:val="none" w:sz="0" w:space="0" w:color="auto"/>
        <w:right w:val="none" w:sz="0" w:space="0" w:color="auto"/>
      </w:divBdr>
    </w:div>
    <w:div w:id="2045212686">
      <w:bodyDiv w:val="1"/>
      <w:marLeft w:val="0"/>
      <w:marRight w:val="0"/>
      <w:marTop w:val="0"/>
      <w:marBottom w:val="0"/>
      <w:divBdr>
        <w:top w:val="none" w:sz="0" w:space="0" w:color="auto"/>
        <w:left w:val="none" w:sz="0" w:space="0" w:color="auto"/>
        <w:bottom w:val="none" w:sz="0" w:space="0" w:color="auto"/>
        <w:right w:val="none" w:sz="0" w:space="0" w:color="auto"/>
      </w:divBdr>
    </w:div>
    <w:div w:id="2045523773">
      <w:bodyDiv w:val="1"/>
      <w:marLeft w:val="0"/>
      <w:marRight w:val="0"/>
      <w:marTop w:val="0"/>
      <w:marBottom w:val="0"/>
      <w:divBdr>
        <w:top w:val="none" w:sz="0" w:space="0" w:color="auto"/>
        <w:left w:val="none" w:sz="0" w:space="0" w:color="auto"/>
        <w:bottom w:val="none" w:sz="0" w:space="0" w:color="auto"/>
        <w:right w:val="none" w:sz="0" w:space="0" w:color="auto"/>
      </w:divBdr>
    </w:div>
    <w:div w:id="2050491360">
      <w:bodyDiv w:val="1"/>
      <w:marLeft w:val="0"/>
      <w:marRight w:val="0"/>
      <w:marTop w:val="0"/>
      <w:marBottom w:val="0"/>
      <w:divBdr>
        <w:top w:val="none" w:sz="0" w:space="0" w:color="auto"/>
        <w:left w:val="none" w:sz="0" w:space="0" w:color="auto"/>
        <w:bottom w:val="none" w:sz="0" w:space="0" w:color="auto"/>
        <w:right w:val="none" w:sz="0" w:space="0" w:color="auto"/>
      </w:divBdr>
    </w:div>
    <w:div w:id="2056852094">
      <w:bodyDiv w:val="1"/>
      <w:marLeft w:val="0"/>
      <w:marRight w:val="0"/>
      <w:marTop w:val="0"/>
      <w:marBottom w:val="0"/>
      <w:divBdr>
        <w:top w:val="none" w:sz="0" w:space="0" w:color="auto"/>
        <w:left w:val="none" w:sz="0" w:space="0" w:color="auto"/>
        <w:bottom w:val="none" w:sz="0" w:space="0" w:color="auto"/>
        <w:right w:val="none" w:sz="0" w:space="0" w:color="auto"/>
      </w:divBdr>
    </w:div>
    <w:div w:id="2075813904">
      <w:bodyDiv w:val="1"/>
      <w:marLeft w:val="0"/>
      <w:marRight w:val="0"/>
      <w:marTop w:val="0"/>
      <w:marBottom w:val="0"/>
      <w:divBdr>
        <w:top w:val="none" w:sz="0" w:space="0" w:color="auto"/>
        <w:left w:val="none" w:sz="0" w:space="0" w:color="auto"/>
        <w:bottom w:val="none" w:sz="0" w:space="0" w:color="auto"/>
        <w:right w:val="none" w:sz="0" w:space="0" w:color="auto"/>
      </w:divBdr>
    </w:div>
    <w:div w:id="2109693721">
      <w:bodyDiv w:val="1"/>
      <w:marLeft w:val="0"/>
      <w:marRight w:val="0"/>
      <w:marTop w:val="0"/>
      <w:marBottom w:val="0"/>
      <w:divBdr>
        <w:top w:val="none" w:sz="0" w:space="0" w:color="auto"/>
        <w:left w:val="none" w:sz="0" w:space="0" w:color="auto"/>
        <w:bottom w:val="none" w:sz="0" w:space="0" w:color="auto"/>
        <w:right w:val="none" w:sz="0" w:space="0" w:color="auto"/>
      </w:divBdr>
    </w:div>
    <w:div w:id="21178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00DA-6CFA-4E35-87E6-BE60F416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7645</Words>
  <Characters>43580</Characters>
  <Application>Microsoft Office Word</Application>
  <DocSecurity>0</DocSecurity>
  <Lines>363</Lines>
  <Paragraphs>102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alessandrorizzo1990@virgilio.it</dc:creator>
  <cp:keywords/>
  <dc:description/>
  <cp:lastModifiedBy>Wang Jie</cp:lastModifiedBy>
  <cp:revision>8</cp:revision>
  <dcterms:created xsi:type="dcterms:W3CDTF">2019-06-27T06:22:00Z</dcterms:created>
  <dcterms:modified xsi:type="dcterms:W3CDTF">2019-07-25T07:39:00Z</dcterms:modified>
</cp:coreProperties>
</file>